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543" w:right="0" w:hanging="142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Приложение № 1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Договору подряда №_____от _____2024г.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4394" w:right="0" w:firstLine="0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0348" w:type="dxa"/>
        <w:tblInd w:w="-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108"/>
        <w:gridCol w:w="2257"/>
        <w:gridCol w:w="4678"/>
      </w:tblGrid>
      <w:tr>
        <w:tblPrEx/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ЗАКАЗЧИК: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8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ПОДРЯДЧИК: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СП «Нерюнгринская ГРЭС»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8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61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 / 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8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 / _______________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jc w:val="center"/>
        <w:widowControl/>
        <w:tabs>
          <w:tab w:val="left" w:pos="828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widowControl/>
        <w:tabs>
          <w:tab w:val="left" w:pos="828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ТЕХНИЧЕСКОЕ ЗАДАНИЕ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widowControl/>
        <w:tabs>
          <w:tab w:val="left" w:pos="8280" w:leader="none"/>
        </w:tabs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на разработку проектно-сметной документации</w:t>
      </w:r>
      <w:r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widowControl/>
        <w:tabs>
          <w:tab w:val="left" w:pos="8280" w:leader="none"/>
        </w:tabs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по объекту "</w:t>
      </w:r>
      <w:r>
        <w:rPr>
          <w:sz w:val="26"/>
          <w:szCs w:val="26"/>
        </w:rPr>
        <w:t xml:space="preserve">Капитальный ремонт фасадной системы главного корпуса                                       СП «Нерюнгринская ГРЭС» с заменой изношенных участков стенового ограждения</w:t>
      </w:r>
      <w:r>
        <w:rPr>
          <w:sz w:val="26"/>
          <w:szCs w:val="26"/>
          <w:lang w:eastAsia="en-US"/>
        </w:rPr>
        <w:t xml:space="preserve">"</w:t>
      </w:r>
      <w:r>
        <w:rPr>
          <w:sz w:val="26"/>
          <w:szCs w:val="26"/>
        </w:rPr>
        <w:t xml:space="preserve"> (ППН2)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widowControl/>
        <w:tabs>
          <w:tab w:val="left" w:pos="8280" w:leader="none"/>
        </w:tabs>
        <w:rPr>
          <w:sz w:val="26"/>
          <w:szCs w:val="26"/>
        </w:rPr>
      </w:pPr>
      <w:r>
        <w:rPr>
          <w:sz w:val="26"/>
          <w:szCs w:val="26"/>
          <w:lang w:eastAsia="en-US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10356" w:type="dxa"/>
        <w:tblInd w:w="-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6"/>
        <w:gridCol w:w="2107"/>
        <w:gridCol w:w="7653"/>
      </w:tblGrid>
      <w:tr>
        <w:tblPrEx/>
        <w:trPr>
          <w:trHeight w:val="78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№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right="200"/>
              <w:jc w:val="center"/>
              <w:rPr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п/п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07" w:type="dxa"/>
            <w:vAlign w:val="center"/>
            <w:textDirection w:val="lrTb"/>
            <w:noWrap w:val="false"/>
          </w:tcPr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разделов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Содержание раздела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1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  <w:t xml:space="preserve">Основание для разработки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ffffff"/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Программа повышения надежности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469"/>
        </w:trPr>
        <w:tc>
          <w:tcPr>
            <w:shd w:val="clear" w:color="ffffff" w:fill="ffffff"/>
            <w:tcW w:w="596" w:type="dxa"/>
            <w:vMerge w:val="restart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2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ffffff" w:fill="ffffff"/>
            <w:tcW w:w="2107" w:type="dxa"/>
            <w:vMerge w:val="restart"/>
            <w:textDirection w:val="lrTb"/>
            <w:noWrap w:val="false"/>
          </w:tcPr>
          <w:p>
            <w:pPr>
              <w:ind w:left="142" w:right="103"/>
              <w:rPr>
                <w:rStyle w:val="953"/>
                <w:rFonts w:eastAsiaTheme="minorHAnsi"/>
                <w:color w:val="auto"/>
                <w:sz w:val="26"/>
                <w:szCs w:val="26"/>
                <w14:ligatures w14:val="none"/>
              </w:rPr>
            </w:pP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  <w:t xml:space="preserve">Заказчик 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  <w14:ligatures w14:val="none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  <w14:ligatures w14:val="none"/>
              </w:rPr>
            </w:r>
          </w:p>
        </w:tc>
        <w:tc>
          <w:tcPr>
            <w:shd w:val="clear" w:color="ffffff" w:fill="ffffff"/>
            <w:tcW w:w="7653" w:type="dxa"/>
            <w:vAlign w:val="center"/>
            <w:vMerge w:val="restart"/>
            <w:textDirection w:val="lrTb"/>
            <w:noWrap w:val="false"/>
          </w:tcPr>
          <w:p>
            <w:pPr>
              <w:ind w:left="0" w:right="103"/>
              <w:rPr>
                <w:rStyle w:val="953"/>
                <w:rFonts w:eastAsiaTheme="minorHAnsi"/>
                <w:color w:val="auto"/>
                <w:sz w:val="26"/>
                <w:szCs w:val="26"/>
                <w14:ligatures w14:val="none"/>
              </w:rPr>
            </w:pP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  <w:t xml:space="preserve">  АО «ДГК» СП «Нерюнгринская ТЭЦ»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  <w14:ligatures w14:val="none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  <w14:ligatures w14:val="none"/>
              </w:rPr>
            </w:r>
          </w:p>
        </w:tc>
      </w:tr>
      <w:tr>
        <w:tblPrEx/>
        <w:trPr>
          <w:trHeight w:val="567"/>
        </w:trPr>
        <w:tc>
          <w:tcPr>
            <w:shd w:val="clear" w:color="ffffff" w:fill="ffffff"/>
            <w:tcW w:w="596" w:type="dxa"/>
            <w:vMerge w:val="restart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3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ffffff" w:fill="ffffff"/>
            <w:tcW w:w="2107" w:type="dxa"/>
            <w:vMerge w:val="restart"/>
            <w:textDirection w:val="lrTb"/>
            <w:noWrap w:val="false"/>
          </w:tcPr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Район строительства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7653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keepLines/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Республика Саха (Якутия), Нерюнгринский район, пос. Серебряный Бор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0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ffffff" w:fill="ffffff"/>
            <w:tcW w:w="596" w:type="dxa"/>
            <w:vMerge w:val="restart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4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ffffff" w:fill="ffffff"/>
            <w:tcW w:w="2107" w:type="dxa"/>
            <w:vMerge w:val="restart"/>
            <w:textDirection w:val="lrTb"/>
            <w:noWrap w:val="false"/>
          </w:tcPr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Цель работы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7653" w:type="dxa"/>
            <w:vAlign w:val="center"/>
            <w:vMerge w:val="restart"/>
            <w:textDirection w:val="lrTb"/>
            <w:noWrap w:val="false"/>
          </w:tcPr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highlight w:val="none"/>
                <w:lang w:bidi="ru-RU"/>
              </w:rPr>
              <w:t xml:space="preserve">Приведение в нормативное состояние</w:t>
            </w:r>
            <w:r>
              <w:rPr>
                <w:sz w:val="26"/>
                <w:szCs w:val="26"/>
                <w:lang w:bidi="ru-RU"/>
              </w:rPr>
              <w:t xml:space="preserve"> конструкций стенового ограждения здания главного корпуса Нерюнгринской ГРЭС</w:t>
            </w:r>
            <w:r>
              <w:rPr>
                <w:sz w:val="26"/>
                <w:szCs w:val="26"/>
                <w:lang w:bidi="ru-RU"/>
              </w:rPr>
              <w:t xml:space="preserve">. Приведение микроклимата главного корпуса в соответствии с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</w:t>
            </w:r>
            <w:r>
              <w:rPr>
                <w:sz w:val="26"/>
                <w:szCs w:val="26"/>
                <w:lang w:bidi="ru-RU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rStyle w:val="953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  <w:t xml:space="preserve">Стадийность проектирования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</w:p>
        </w:tc>
        <w:tc>
          <w:tcPr>
            <w:shd w:val="clear" w:color="auto" w:fill="ffffff"/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jc w:val="both"/>
              <w:tabs>
                <w:tab w:val="left" w:pos="405" w:leader="none"/>
                <w:tab w:val="left" w:pos="688" w:leader="none"/>
              </w:tabs>
              <w:rPr>
                <w:rStyle w:val="953"/>
                <w:strike/>
                <w:color w:val="auto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Проектная и рабочая документация. </w:t>
            </w:r>
            <w:r>
              <w:rPr>
                <w:rStyle w:val="953"/>
                <w:strike/>
                <w:color w:val="auto"/>
                <w:sz w:val="26"/>
                <w:szCs w:val="26"/>
              </w:rPr>
            </w:r>
            <w:r>
              <w:rPr>
                <w:rStyle w:val="953"/>
                <w:strike/>
                <w:color w:val="auto"/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ffffff" w:fill="ffffff"/>
            <w:tcW w:w="596" w:type="dxa"/>
            <w:vMerge w:val="restart"/>
            <w:textDirection w:val="lrTb"/>
            <w:noWrap w:val="false"/>
          </w:tcPr>
          <w:p>
            <w:pPr>
              <w:ind w:right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6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2107" w:type="dxa"/>
            <w:vMerge w:val="restart"/>
            <w:textDirection w:val="lrTb"/>
            <w:noWrap w:val="false"/>
          </w:tcPr>
          <w:p>
            <w:pPr>
              <w:ind w:left="142" w:right="103"/>
              <w:rPr>
                <w:rStyle w:val="953"/>
                <w:rFonts w:eastAsiaTheme="minorHAnsi"/>
                <w:color w:val="auto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Этапы проектирования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</w:p>
        </w:tc>
        <w:tc>
          <w:tcPr>
            <w:shd w:val="clear" w:color="ffffff" w:fill="ffffff"/>
            <w:tcW w:w="7653" w:type="dxa"/>
            <w:vAlign w:val="center"/>
            <w:vMerge w:val="restart"/>
            <w:textDirection w:val="lrTb"/>
            <w:noWrap w:val="false"/>
          </w:tcPr>
          <w:p>
            <w:pPr>
              <w:pStyle w:val="954"/>
              <w:numPr>
                <w:ilvl w:val="0"/>
                <w:numId w:val="25"/>
              </w:numPr>
              <w:ind w:left="142" w:right="122" w:firstLine="0"/>
              <w:jc w:val="both"/>
              <w:tabs>
                <w:tab w:val="left" w:pos="425" w:leader="none"/>
              </w:tabs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Предпроектное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обследование, сбор исходных данных.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54"/>
              <w:numPr>
                <w:ilvl w:val="0"/>
                <w:numId w:val="25"/>
              </w:numPr>
              <w:ind w:left="142" w:right="122" w:firstLine="0"/>
              <w:jc w:val="both"/>
              <w:tabs>
                <w:tab w:val="left" w:pos="425" w:leader="none"/>
              </w:tabs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проектной документации.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54"/>
              <w:numPr>
                <w:ilvl w:val="0"/>
                <w:numId w:val="25"/>
              </w:numPr>
              <w:ind w:left="142" w:right="122" w:firstLine="0"/>
              <w:jc w:val="both"/>
              <w:tabs>
                <w:tab w:val="left" w:pos="425" w:leader="none"/>
              </w:tabs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highlight w:val="none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Прохождение негосударственной экспертизы проектной документации, с получением положительного заключения;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54"/>
              <w:numPr>
                <w:ilvl w:val="0"/>
                <w:numId w:val="25"/>
              </w:numPr>
              <w:ind w:left="142" w:right="122" w:firstLine="0"/>
              <w:jc w:val="both"/>
              <w:tabs>
                <w:tab w:val="left" w:pos="425" w:leader="none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рабочей документации, включая сметную.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7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Основные характеристики </w:t>
            </w:r>
            <w:r>
              <w:rPr>
                <w:sz w:val="26"/>
                <w:szCs w:val="26"/>
                <w:lang w:eastAsia="en-US"/>
              </w:rPr>
              <w:t xml:space="preserve">объекта проектирования</w:t>
            </w: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7653" w:type="dxa"/>
            <w:vAlign w:val="center"/>
            <w:textDirection w:val="lrTb"/>
            <w:noWrap w:val="false"/>
          </w:tcPr>
          <w:p>
            <w:pPr>
              <w:ind w:left="142" w:right="154" w:firstLine="425"/>
              <w:jc w:val="both"/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Основное средство в отношении которого разрабатывается  документация по капитальному ремонту с заменой изношенных участков стенового ограждения – Главный корпус.</w:t>
            </w:r>
            <w:r>
              <w:rPr>
                <w:sz w:val="26"/>
                <w:szCs w:val="26"/>
                <w:highlight w:val="white"/>
              </w:rPr>
            </w:r>
            <w:r>
              <w:rPr>
                <w:sz w:val="26"/>
                <w:szCs w:val="26"/>
                <w:highlight w:val="white"/>
              </w:rPr>
            </w:r>
          </w:p>
          <w:p>
            <w:pPr>
              <w:ind w:left="142" w:right="154"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Фундаменты: железобетонные монолитные,сборные железобетонные и железобетонные плиты и ленты. Бетон М 200; 250; 300; морозостойкость Мрз 150; водонепроницаемость В-6.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54"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Каркас стальной на сварных и болтовых соединениях, сталь 09Г2С; 10Г2С1; 14Г2С.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54"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</w:t>
            </w:r>
            <w:r>
              <w:rPr>
                <w:sz w:val="26"/>
                <w:szCs w:val="26"/>
              </w:rPr>
              <w:t xml:space="preserve">тены – сборные керамзитобетонные панели типа ПСЛ б=300мм, серии 1.432, панели ПСМ  б=110мм РЧ№ 468520-468531, световые панели ПП, ПДУ, ПУ серии 74563-с, 74564-с, б=240 мм серии 1.438. Панели ПСМ состоят из каркаса, выполненные из гнутых и прокатных профиле</w:t>
            </w:r>
            <w:r>
              <w:rPr>
                <w:sz w:val="26"/>
                <w:szCs w:val="26"/>
              </w:rPr>
              <w:t xml:space="preserve">й, наружных и внутренних обшивок из профлиста С10-899-0,8 и утеплителя из минеральной плиты. 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right="154"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Площадь застройки - 30 060 м</w:t>
            </w:r>
            <w:r>
              <w:rPr>
                <w:sz w:val="26"/>
                <w:szCs w:val="26"/>
                <w:vertAlign w:val="superscript"/>
              </w:rPr>
              <w:t xml:space="preserve">2</w:t>
            </w:r>
            <w:r>
              <w:rPr>
                <w:sz w:val="26"/>
                <w:szCs w:val="26"/>
              </w:rPr>
              <w:t xml:space="preserve">, строительный объем - 1 473 670 м</w:t>
            </w:r>
            <w:r>
              <w:rPr>
                <w:sz w:val="26"/>
                <w:szCs w:val="26"/>
                <w:vertAlign w:val="superscript"/>
              </w:rPr>
              <w:t xml:space="preserve">3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54" w:firstLine="42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Площадь стен за вычетом площади проемов - 42 930,4 м</w:t>
            </w:r>
            <w:r>
              <w:rPr>
                <w:sz w:val="26"/>
                <w:szCs w:val="26"/>
                <w:vertAlign w:val="superscript"/>
              </w:rPr>
              <w:t xml:space="preserve">2</w:t>
            </w:r>
            <w:r>
              <w:rPr>
                <w:sz w:val="26"/>
                <w:szCs w:val="26"/>
              </w:rPr>
              <w:t xml:space="preserve">. Общая площадь остекления проемов стен и фонарей 6 378 м</w:t>
            </w:r>
            <w:r>
              <w:rPr>
                <w:sz w:val="26"/>
                <w:szCs w:val="26"/>
                <w:vertAlign w:val="superscript"/>
              </w:rPr>
              <w:t xml:space="preserve">2</w:t>
            </w:r>
            <w:r>
              <w:rPr>
                <w:sz w:val="26"/>
                <w:szCs w:val="26"/>
              </w:rPr>
              <w:t xml:space="preserve">. Ворот - 11 шт площадью 499,3 м</w:t>
            </w:r>
            <w:r>
              <w:rPr>
                <w:sz w:val="26"/>
                <w:szCs w:val="26"/>
                <w:vertAlign w:val="superscript"/>
              </w:rPr>
              <w:t xml:space="preserve">2</w:t>
            </w:r>
            <w:r>
              <w:rPr>
                <w:sz w:val="26"/>
                <w:szCs w:val="26"/>
              </w:rPr>
              <w:t xml:space="preserve">, наружных дверей - 22 шт площадью 59,4 м</w:t>
            </w:r>
            <w:r>
              <w:rPr>
                <w:sz w:val="26"/>
                <w:szCs w:val="26"/>
                <w:vertAlign w:val="superscript"/>
              </w:rPr>
              <w:t xml:space="preserve">2</w:t>
            </w:r>
            <w:r>
              <w:rPr>
                <w:sz w:val="26"/>
                <w:szCs w:val="26"/>
              </w:rPr>
              <w:t xml:space="preserve">.     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  <w14:ligatures w14:val="none"/>
              </w:rPr>
            </w:pPr>
            <w:r>
              <w:rPr>
                <w:sz w:val="26"/>
                <w:szCs w:val="26"/>
              </w:rPr>
              <w:t xml:space="preserve"> С постоянным пребыванием обслуживающего персонала.</w:t>
            </w:r>
            <w:r>
              <w:rPr>
                <w:sz w:val="26"/>
                <w:szCs w:val="26"/>
                <w14:ligatures w14:val="none"/>
              </w:rPr>
            </w:r>
            <w:r>
              <w:rPr>
                <w:sz w:val="26"/>
                <w:szCs w:val="26"/>
                <w14:ligatures w14:val="none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8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Исходные данные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ffffff"/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Заказчик в части своей компетенции предоставляет необходимые исходные данные для выполнения работ по запросу Подрядчика в согласованные сроки.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Остальные исходные данные и согласования, в том числе у третьих лиц, а также в органах исполнительной власти и д</w:t>
            </w:r>
            <w:r>
              <w:rPr>
                <w:sz w:val="26"/>
                <w:szCs w:val="26"/>
              </w:rPr>
              <w:t xml:space="preserve">ругих организациях запрашиваются Подрядчиком самостоятельно за свой </w:t>
            </w:r>
            <w:r>
              <w:rPr>
                <w:sz w:val="26"/>
                <w:szCs w:val="26"/>
              </w:rPr>
              <w:t xml:space="preserve">счет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9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</w:t>
            </w:r>
            <w:r>
              <w:rPr>
                <w:sz w:val="26"/>
                <w:szCs w:val="26"/>
              </w:rPr>
              <w:t xml:space="preserve">объему</w:t>
            </w:r>
            <w:r>
              <w:rPr>
                <w:sz w:val="26"/>
                <w:szCs w:val="26"/>
              </w:rPr>
              <w:t xml:space="preserve"> выполняемых работ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ffffff"/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В </w:t>
            </w:r>
            <w:r>
              <w:rPr>
                <w:sz w:val="26"/>
                <w:szCs w:val="26"/>
              </w:rPr>
              <w:t xml:space="preserve">объеме</w:t>
            </w:r>
            <w:r>
              <w:rPr>
                <w:sz w:val="26"/>
                <w:szCs w:val="26"/>
              </w:rPr>
              <w:t xml:space="preserve"> работ необходимо</w:t>
            </w:r>
            <w:r>
              <w:rPr>
                <w:sz w:val="26"/>
                <w:szCs w:val="26"/>
              </w:rPr>
              <w:t xml:space="preserve">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1. П</w:t>
            </w:r>
            <w:r>
              <w:rPr>
                <w:sz w:val="26"/>
                <w:szCs w:val="26"/>
              </w:rPr>
              <w:t xml:space="preserve">ровести техническо</w:t>
            </w:r>
            <w:r>
              <w:rPr>
                <w:sz w:val="26"/>
                <w:szCs w:val="26"/>
              </w:rPr>
              <w:t xml:space="preserve">е обследование со</w:t>
            </w:r>
            <w:r>
              <w:rPr>
                <w:sz w:val="26"/>
                <w:szCs w:val="26"/>
              </w:rPr>
              <w:t xml:space="preserve">стояния строительных конструкций здания главного корпуса в объёме необходимом для определения категории технического состояния согласно действующим нормативным документам и дальнейшего проектирования с учётом действующих нагрузок (согласно ГОСТ 31937-2011)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Выполнить анализ и оценку технического состояния строительных конструкций, узлов крепления, закладных деталей и т.п. объекта. Определить теплотехнические характеристики ограждающих </w:t>
            </w:r>
            <w:r>
              <w:rPr>
                <w:sz w:val="26"/>
                <w:szCs w:val="26"/>
              </w:rPr>
              <w:t xml:space="preserve">конструкций</w:t>
            </w:r>
            <w:r>
              <w:rPr>
                <w:sz w:val="26"/>
                <w:szCs w:val="26"/>
              </w:rPr>
              <w:t xml:space="preserve"> и их </w:t>
            </w:r>
            <w:r>
              <w:rPr>
                <w:sz w:val="26"/>
                <w:szCs w:val="26"/>
              </w:rPr>
              <w:t xml:space="preserve">соответствие</w:t>
            </w:r>
            <w:r>
              <w:rPr>
                <w:sz w:val="26"/>
                <w:szCs w:val="26"/>
              </w:rPr>
              <w:t xml:space="preserve"> дей</w:t>
            </w:r>
            <w:r>
              <w:rPr>
                <w:sz w:val="26"/>
                <w:szCs w:val="26"/>
              </w:rPr>
              <w:t xml:space="preserve">ствующим нормам и правилам РФ, а также Закону об энергосбережении. </w:t>
            </w:r>
            <w:r>
              <w:rPr>
                <w:sz w:val="26"/>
                <w:szCs w:val="26"/>
              </w:rPr>
              <w:t xml:space="preserve">Составить ведомость демонтажа строительных конструкций, конструктивных элементов, отработавших установленных срок, не подлежащего дальнейшей эксплуатации. Разработать рекомендации по дальнейшей безопасной эксплуатации строительных конструкций объекта. </w:t>
            </w:r>
            <w:r>
              <w:rPr>
                <w:sz w:val="26"/>
                <w:szCs w:val="26"/>
              </w:rPr>
              <w:t xml:space="preserve">Оформить и выдать технический отчёт по результатам обследования объекта в требуемом объёме достаточном для разработки проектной документации.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2. В </w:t>
            </w:r>
            <w:bookmarkStart w:id="0" w:name="_GoBack"/>
            <w:r>
              <w:rPr>
                <w:sz w:val="26"/>
                <w:szCs w:val="26"/>
              </w:rPr>
            </w:r>
            <w:bookmarkEnd w:id="0"/>
            <w:r>
              <w:rPr>
                <w:sz w:val="26"/>
                <w:szCs w:val="26"/>
              </w:rPr>
              <w:t xml:space="preserve">документации ра</w:t>
            </w:r>
            <w:r>
              <w:rPr>
                <w:sz w:val="26"/>
                <w:szCs w:val="26"/>
              </w:rPr>
              <w:t xml:space="preserve">зработать решения по: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- замене ограждающих конструкций стен здания главного корпуса Нерюнгринская ГРЭС с применением из многослойных панелей заводской готовности (уточняется при проектировании);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- замене </w:t>
            </w:r>
            <w:r>
              <w:rPr>
                <w:sz w:val="26"/>
                <w:szCs w:val="26"/>
              </w:rPr>
              <w:t xml:space="preserve">светопрозрачных</w:t>
            </w:r>
            <w:r>
              <w:rPr>
                <w:sz w:val="26"/>
                <w:szCs w:val="26"/>
              </w:rPr>
              <w:t xml:space="preserve">/светоотражающих конструкций здания главного корпуса СП Нерюнгринская ГРЭС;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антикоррозионой</w:t>
            </w:r>
            <w:r>
              <w:rPr>
                <w:sz w:val="26"/>
                <w:szCs w:val="26"/>
              </w:rPr>
              <w:t xml:space="preserve"> защите несущих конструкций здания главного корпуса СП Нерюнгринская ГРЭС.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right="134" w:firstLine="142"/>
              <w:jc w:val="both"/>
              <w:tabs>
                <w:tab w:val="left" w:pos="426" w:leader="none"/>
              </w:tabs>
              <w:rPr>
                <w:sz w:val="26"/>
                <w:szCs w:val="26"/>
                <w14:ligatures w14:val="none"/>
              </w:rPr>
            </w:pPr>
            <w:r>
              <w:rPr>
                <w:sz w:val="26"/>
                <w:szCs w:val="26"/>
              </w:rPr>
              <w:t xml:space="preserve">3. Прохождение негосударственной экспертизы проектной документации. Получение положительных заключений экспертиз.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14:ligatures w14:val="none"/>
              </w:rPr>
            </w:r>
            <w:r>
              <w:rPr>
                <w:sz w:val="26"/>
                <w:szCs w:val="26"/>
                <w14:ligatures w14:val="none"/>
              </w:rPr>
            </w:r>
          </w:p>
          <w:p>
            <w:pPr>
              <w:ind w:left="142" w:right="122"/>
              <w:jc w:val="both"/>
              <w:tabs>
                <w:tab w:val="left" w:pos="293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4. Разработка рабочей документации (РД), включая сметную, и ее согласование с Заказчиком.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10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</w:t>
            </w:r>
            <w:r>
              <w:rPr>
                <w:sz w:val="26"/>
                <w:szCs w:val="26"/>
              </w:rPr>
              <w:t xml:space="preserve">ребования к разрабатываемой документации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03"/>
              <w:rPr>
                <w:rStyle w:val="953"/>
                <w:rFonts w:eastAsiaTheme="minorHAnsi"/>
                <w:color w:val="auto"/>
                <w:sz w:val="26"/>
                <w:szCs w:val="26"/>
              </w:rPr>
            </w:pPr>
            <w:r>
              <w:rPr>
                <w:rFonts w:eastAsiaTheme="minorHAnsi"/>
                <w:color w:val="auto"/>
                <w:sz w:val="26"/>
                <w:szCs w:val="26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</w:p>
        </w:tc>
        <w:tc>
          <w:tcPr>
            <w:shd w:val="clear" w:color="auto" w:fill="ffffff"/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jc w:val="both"/>
              <w:shd w:val="clear" w:color="ffffff" w:fill="ffffff"/>
              <w:rPr>
                <w:b/>
                <w:bCs/>
                <w:sz w:val="26"/>
                <w:szCs w:val="26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/>
                <w:sz w:val="26"/>
                <w:szCs w:val="26"/>
              </w:rPr>
              <w:t xml:space="preserve">1.  </w:t>
            </w:r>
            <w:r>
              <w:rPr>
                <w:b/>
                <w:sz w:val="26"/>
                <w:szCs w:val="26"/>
              </w:rPr>
              <w:t xml:space="preserve">Предпроектное</w:t>
            </w:r>
            <w:r>
              <w:rPr>
                <w:b/>
                <w:sz w:val="26"/>
                <w:szCs w:val="26"/>
              </w:rPr>
              <w:t xml:space="preserve"> обследование.</w:t>
            </w:r>
            <w:r>
              <w:rPr>
                <w:b/>
                <w:bCs/>
                <w:sz w:val="26"/>
                <w:szCs w:val="26"/>
                <w:highlight w:val="none"/>
              </w:rPr>
            </w:r>
            <w:r>
              <w:rPr>
                <w:b/>
                <w:bCs/>
                <w:sz w:val="26"/>
                <w:szCs w:val="26"/>
                <w:highlight w:val="none"/>
              </w:rPr>
            </w:r>
          </w:p>
          <w:p>
            <w:pPr>
              <w:ind w:left="142" w:right="154" w:firstLine="284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  <w:t xml:space="preserve">1. Проведение комплекса предпроектных обследований в объёме, необходимом д</w:t>
            </w:r>
            <w:r>
              <w:rPr>
                <w:sz w:val="26"/>
                <w:szCs w:val="26"/>
              </w:rPr>
              <w:t xml:space="preserve">ля выполнения проектных работ и получения положительного заключения негосударственной экспертизы проектной документации. 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left="142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В том числе: </w:t>
            </w:r>
            <w:r>
              <w:rPr>
                <w:sz w:val="26"/>
                <w:szCs w:val="26"/>
              </w:rPr>
              <w:t xml:space="preserve">о</w:t>
            </w:r>
            <w:r>
              <w:rPr>
                <w:sz w:val="26"/>
                <w:szCs w:val="26"/>
              </w:rPr>
              <w:t xml:space="preserve">бмерочные чертежи, 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статические расчёты элементов каркаса с заданными показателями для испытаний крепёжных (анкерных) элементов на «вырыв»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 акт обследования наружных стен здания, где указывается состояние фасадов, данные о несущей способности стен и о вели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чине отклонений отдельных участков стены от вертикальной плоскости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прочностные расчеты стенового ограждения </w:t>
            </w:r>
            <w:r>
              <w:rPr>
                <w:sz w:val="26"/>
                <w:szCs w:val="26"/>
              </w:rPr>
              <w:t xml:space="preserve">(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стеновое ограждение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 рассчитыва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ются на нагрузки и воздействия, и их сочетания (собственную массу и массу облицовочных и других элементов фасадной системы, нагрузки ветровые, от двухстороннего обледенения облицовки, температурные и климатические воздействия и др.)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Расчёт должен быть произведён по все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м участкам здания с учётом конструктивных стенового ограждения по отдельным участкам здания главного корпуса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54" w:firstLine="42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Отчёт с результатами предпроектного обследования оформить</w:t>
            </w:r>
            <w:r>
              <w:rPr>
                <w:sz w:val="26"/>
                <w:szCs w:val="26"/>
              </w:rPr>
              <w:t xml:space="preserve"> отдельным томом в составе проектной документации (ПД), согласовать с Заказчиком.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54" w:firstLine="42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</w:t>
            </w:r>
            <w:r>
              <w:rPr>
                <w:sz w:val="26"/>
                <w:szCs w:val="26"/>
              </w:rPr>
              <w:t xml:space="preserve">редпроектное обследование проводится Подрядчиком самостоятельно, с выездом специалистов на объект. Заказчик обеспечивает доступ на объект и оказывает необходимое содействие в сборе исходных данных.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firstLine="142"/>
              <w:jc w:val="both"/>
              <w:shd w:val="clear" w:color="ffffff" w:fill="ffffff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1.2. </w:t>
            </w:r>
            <w:r>
              <w:rPr>
                <w:sz w:val="26"/>
                <w:szCs w:val="26"/>
              </w:rPr>
              <w:t xml:space="preserve">Отчет</w:t>
            </w:r>
            <w:r>
              <w:rPr>
                <w:sz w:val="26"/>
                <w:szCs w:val="26"/>
              </w:rPr>
              <w:t xml:space="preserve"> об обсл</w:t>
            </w:r>
            <w:r>
              <w:rPr>
                <w:sz w:val="26"/>
                <w:szCs w:val="26"/>
              </w:rPr>
              <w:t xml:space="preserve">едовании должен содержать в том числе выводы проектной организации о возможности использования </w:t>
            </w:r>
            <w:r>
              <w:rPr>
                <w:sz w:val="26"/>
                <w:szCs w:val="26"/>
              </w:rPr>
              <w:t xml:space="preserve">обследованных  конструкций</w:t>
            </w:r>
            <w:r>
              <w:rPr>
                <w:sz w:val="26"/>
                <w:szCs w:val="26"/>
              </w:rPr>
              <w:t xml:space="preserve"> и инженерных систем для реализации проектируемого объекта, а также, включать мероприятия необходимые для восстановления требуемого тех</w:t>
            </w:r>
            <w:r>
              <w:rPr>
                <w:sz w:val="26"/>
                <w:szCs w:val="26"/>
              </w:rPr>
              <w:t xml:space="preserve">нического состояния стеновых панелей, светопрозрачных конструкций, узлов крепления.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shd w:val="clear" w:color="ffffff" w:fill="ffffff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/>
                <w:sz w:val="26"/>
                <w:szCs w:val="26"/>
              </w:rPr>
              <w:t xml:space="preserve">2. Проектная документ</w:t>
            </w:r>
            <w:r>
              <w:rPr>
                <w:b/>
                <w:sz w:val="26"/>
                <w:szCs w:val="26"/>
              </w:rPr>
              <w:t xml:space="preserve">ация.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firstLine="283"/>
              <w:jc w:val="both"/>
              <w:shd w:val="clear" w:color="ffffff" w:fill="ffffff"/>
              <w:rPr>
                <w:rStyle w:val="953"/>
                <w:rFonts w:eastAsia="Calibri"/>
                <w:sz w:val="26"/>
                <w:szCs w:val="26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2.1. Проектная документация выполняется на основании согласованного Заказчиком </w:t>
            </w:r>
            <w:r>
              <w:rPr>
                <w:rStyle w:val="953"/>
                <w:rFonts w:eastAsia="Calibri"/>
                <w:sz w:val="26"/>
                <w:szCs w:val="26"/>
              </w:rPr>
              <w:t xml:space="preserve">основного варианта капитального ремонта стеновых ограждений и материала для замены изношенных стеновых панелей  на основании </w:t>
            </w:r>
            <w:r>
              <w:rPr>
                <w:rStyle w:val="953"/>
                <w:rFonts w:eastAsia="Calibri"/>
                <w:sz w:val="26"/>
                <w:szCs w:val="26"/>
              </w:rPr>
              <w:t xml:space="preserve"> анализа различ</w:t>
            </w:r>
            <w:r>
              <w:rPr>
                <w:rStyle w:val="953"/>
                <w:rFonts w:eastAsia="Calibri"/>
                <w:sz w:val="26"/>
                <w:szCs w:val="26"/>
              </w:rPr>
              <w:t xml:space="preserve">ны</w:t>
            </w:r>
            <w:r>
              <w:rPr>
                <w:rStyle w:val="953"/>
                <w:rFonts w:eastAsia="Calibri"/>
                <w:sz w:val="26"/>
                <w:szCs w:val="26"/>
              </w:rPr>
              <w:t xml:space="preserve">х вариантов (не менее трёх), отвечающих современным требованиям эффективности на основании сравнения технико-экономических характеристик, а также цветового решения (по эскизу Заказчика) в корпоративные цвета ПАО «РусГидро». Окончательное решение по вариант</w:t>
            </w:r>
            <w:r>
              <w:rPr>
                <w:rStyle w:val="953"/>
                <w:rFonts w:eastAsia="Calibri"/>
                <w:sz w:val="26"/>
                <w:szCs w:val="26"/>
              </w:rPr>
              <w:t xml:space="preserve">у проектируемых конструкций фасадной системы главного корпуса, основных узлов и деталей, </w:t>
            </w:r>
            <w:r>
              <w:rPr>
                <w:rStyle w:val="953"/>
                <w:rFonts w:eastAsia="Calibri"/>
                <w:sz w:val="26"/>
                <w:szCs w:val="26"/>
                <w:highlight w:val="white"/>
              </w:rPr>
              <w:t xml:space="preserve">цветовому решению (</w:t>
            </w:r>
            <w:r>
              <w:rPr>
                <w:rStyle w:val="953"/>
                <w:rFonts w:eastAsia="Calibri"/>
                <w:sz w:val="26"/>
                <w:szCs w:val="26"/>
                <w:highlight w:val="white"/>
              </w:rPr>
              <w:t xml:space="preserve">окраске/ облицовке) фасадной системы в корпоративные цвета должно </w:t>
            </w:r>
            <w:r>
              <w:rPr>
                <w:rStyle w:val="953"/>
                <w:rFonts w:eastAsia="Calibri"/>
                <w:sz w:val="26"/>
                <w:szCs w:val="26"/>
                <w:highlight w:val="white"/>
              </w:rPr>
              <w:t xml:space="preserve">быть согласовано с Заказчиком. </w:t>
            </w:r>
            <w:r>
              <w:rPr>
                <w:rStyle w:val="953"/>
                <w:rFonts w:eastAsia="Calibri"/>
                <w:sz w:val="26"/>
                <w:szCs w:val="26"/>
                <w:highlight w:val="white"/>
              </w:rPr>
            </w:r>
            <w:r>
              <w:rPr>
                <w:rStyle w:val="953"/>
                <w:rFonts w:eastAsia="Calibri"/>
                <w:sz w:val="26"/>
                <w:szCs w:val="26"/>
                <w:highlight w:val="white"/>
              </w:rPr>
            </w:r>
          </w:p>
          <w:p>
            <w:pPr>
              <w:pStyle w:val="961"/>
              <w:ind w:left="283" w:right="154" w:firstLine="283"/>
              <w:jc w:val="both"/>
              <w:rPr>
                <w:sz w:val="26"/>
                <w:szCs w:val="26"/>
              </w:rPr>
            </w:pPr>
            <w:r>
              <w:rPr>
                <w:rStyle w:val="953"/>
                <w:rFonts w:eastAsia="Calibri"/>
                <w:sz w:val="26"/>
                <w:szCs w:val="26"/>
              </w:rPr>
              <w:t xml:space="preserve">2.2. В ПД должны быть разработаны технические решения: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61"/>
              <w:ind w:left="142" w:right="154" w:firstLine="226"/>
              <w:jc w:val="both"/>
              <w:rPr>
                <w:sz w:val="26"/>
                <w:szCs w:val="26"/>
              </w:rPr>
            </w:pPr>
            <w:r>
              <w:rPr>
                <w:rStyle w:val="953"/>
                <w:rFonts w:eastAsia="Calibri"/>
                <w:sz w:val="26"/>
                <w:szCs w:val="26"/>
              </w:rPr>
              <w:t xml:space="preserve">- по замене изношенных участков ограждающих конструкций стеновых панелей с проверкой несущей способности существующих фундаментов;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61"/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rStyle w:val="953"/>
                <w:rFonts w:eastAsia="Calibri"/>
                <w:sz w:val="26"/>
                <w:szCs w:val="26"/>
              </w:rPr>
              <w:t xml:space="preserve">- по капитальному ремонту ограждающих конструкций находящихся в ремонтопригодном состоянии;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61"/>
              <w:ind w:left="84" w:right="154" w:firstLine="284"/>
              <w:jc w:val="both"/>
              <w:rPr>
                <w:rFonts w:eastAsia="Calibri"/>
                <w:sz w:val="26"/>
                <w:szCs w:val="26"/>
                <w:highlight w:val="none"/>
              </w:rPr>
            </w:pPr>
            <w:r>
              <w:rPr>
                <w:rStyle w:val="953"/>
                <w:rFonts w:eastAsia="Calibri"/>
                <w:sz w:val="26"/>
                <w:szCs w:val="26"/>
              </w:rPr>
              <w:t xml:space="preserve">-по демонтажу  изношенных участков стенового ограждения;</w:t>
            </w:r>
            <w:r>
              <w:rPr>
                <w:rFonts w:eastAsia="Calibri"/>
                <w:sz w:val="26"/>
                <w:szCs w:val="26"/>
                <w:highlight w:val="none"/>
              </w:rPr>
            </w:r>
            <w:r>
              <w:rPr>
                <w:rFonts w:eastAsia="Calibri"/>
                <w:sz w:val="26"/>
                <w:szCs w:val="26"/>
                <w:highlight w:val="none"/>
              </w:rPr>
            </w:r>
          </w:p>
          <w:p>
            <w:pPr>
              <w:pStyle w:val="961"/>
              <w:ind w:left="84" w:right="154" w:firstLine="284"/>
              <w:jc w:val="both"/>
              <w:rPr>
                <w:rFonts w:eastAsia="Calibri"/>
                <w:sz w:val="26"/>
                <w:szCs w:val="26"/>
                <w:highlight w:val="none"/>
              </w:rPr>
            </w:pPr>
            <w:r>
              <w:rPr>
                <w:rStyle w:val="953"/>
                <w:rFonts w:eastAsia="Calibri"/>
                <w:sz w:val="26"/>
                <w:szCs w:val="26"/>
                <w:highlight w:val="none"/>
              </w:rPr>
              <w:t xml:space="preserve">-чертежи фасадов с разбивкой цветовых решений по эскизам Заказчика;</w:t>
            </w:r>
            <w:r>
              <w:rPr>
                <w:rFonts w:eastAsia="Calibri"/>
                <w:sz w:val="26"/>
                <w:szCs w:val="26"/>
                <w:highlight w:val="none"/>
              </w:rPr>
            </w:r>
            <w:r>
              <w:rPr>
                <w:rFonts w:eastAsia="Calibri"/>
                <w:sz w:val="26"/>
                <w:szCs w:val="26"/>
                <w:highlight w:val="none"/>
              </w:rPr>
            </w:r>
          </w:p>
          <w:p>
            <w:pPr>
              <w:pStyle w:val="961"/>
              <w:ind w:left="84" w:right="154" w:firstLine="284"/>
              <w:jc w:val="both"/>
              <w:rPr>
                <w:rFonts w:eastAsia="Calibri"/>
                <w:sz w:val="26"/>
                <w:szCs w:val="26"/>
                <w:highlight w:val="none"/>
              </w:rPr>
            </w:pPr>
            <w:r>
              <w:rPr>
                <w:rStyle w:val="953"/>
                <w:rFonts w:eastAsia="Calibri"/>
                <w:sz w:val="26"/>
                <w:szCs w:val="26"/>
                <w:highlight w:val="none"/>
              </w:rPr>
              <w:t xml:space="preserve">-разработка проектных решений по устройству новых лестниц, ворот (откатных, распашных), оконных конструкций. </w:t>
            </w:r>
            <w:r>
              <w:rPr>
                <w:rFonts w:eastAsia="Calibri"/>
                <w:sz w:val="26"/>
                <w:szCs w:val="26"/>
                <w:highlight w:val="none"/>
              </w:rPr>
            </w:r>
            <w:r>
              <w:rPr>
                <w:rFonts w:eastAsia="Calibri"/>
                <w:sz w:val="26"/>
                <w:szCs w:val="26"/>
                <w:highlight w:val="none"/>
              </w:rPr>
            </w:r>
          </w:p>
          <w:p>
            <w:pPr>
              <w:ind w:left="142" w:right="-20" w:firstLine="142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  <w:highlight w:val="none"/>
              </w:rPr>
              <w:t xml:space="preserve">  2.3. </w:t>
            </w:r>
            <w:r>
              <w:rPr>
                <w:sz w:val="26"/>
                <w:szCs w:val="26"/>
                <w:highlight w:val="white"/>
              </w:rPr>
              <w:t xml:space="preserve">В составе ПОС разработать: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283" w:right="-20" w:firstLine="142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highlight w:val="white"/>
              </w:rPr>
              <w:t xml:space="preserve">календарный план строительства, с разбивкой по этапам выполнения работ, с учетом сезонности;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42" w:right="-20" w:firstLine="142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highlight w:val="white"/>
              </w:rPr>
              <w:t xml:space="preserve">ведомости объемов общестроительных, монтажных и специальных строительных работ;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42" w:right="-20" w:firstLine="283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highlight w:val="white"/>
              </w:rPr>
              <w:t xml:space="preserve">ведомость потребности в строительных конструкциях, изделиях, материалах и оборудовании с распределением по календарным периодам строительства;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left="142" w:right="-20" w:firstLine="283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highlight w:val="white"/>
              </w:rPr>
              <w:t xml:space="preserve">перечень работ, для которых необходимо составление актов освидетельствования скрытых работ и актов промежуточной приемки ответственных конструкций (работ), порядок проведения приемочных испытаний (проверок);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left="142" w:right="-20" w:firstLine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rStyle w:val="953"/>
                <w:rFonts w:eastAsia="Calibri"/>
                <w:sz w:val="26"/>
                <w:szCs w:val="26"/>
              </w:rPr>
              <w:t xml:space="preserve">При составлении календарного плана </w:t>
            </w:r>
            <w:r>
              <w:rPr>
                <w:rStyle w:val="953"/>
                <w:rFonts w:eastAsia="Calibri"/>
                <w:sz w:val="26"/>
                <w:szCs w:val="26"/>
              </w:rPr>
              <w:t xml:space="preserve">организации строительства учесть сроки изготовления и доставки изделий, деталей и узлов к месту строительства.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961"/>
              <w:ind w:left="142" w:right="154" w:firstLine="142"/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Style w:val="953"/>
                <w:rFonts w:eastAsia="Calibri"/>
                <w:sz w:val="26"/>
                <w:szCs w:val="26"/>
              </w:rPr>
              <w:t xml:space="preserve">Все технические решения на этапах проектирования должны согласовываться с Заказчиком.</w: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</w:r>
          </w:p>
          <w:p>
            <w:pPr>
              <w:ind w:left="142" w:right="122"/>
              <w:jc w:val="both"/>
              <w:shd w:val="clear" w:color="ffffff" w:fill="ffffff"/>
              <w:rPr>
                <w:sz w:val="26"/>
                <w:szCs w:val="26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highlight w:val="none"/>
              </w:rPr>
              <w:t xml:space="preserve">2.4. </w:t>
            </w:r>
            <w:r>
              <w:rPr>
                <w:rStyle w:val="953"/>
                <w:rFonts w:eastAsia="Calibri"/>
                <w:sz w:val="26"/>
                <w:szCs w:val="26"/>
              </w:rPr>
              <w:t xml:space="preserve">В проекте предусматривать оборудование российского производства, с изготовлением и поставкой в комплектно-блочном исполнении максимальной готовности кру</w:t>
            </w:r>
            <w:r>
              <w:rPr>
                <w:rStyle w:val="953"/>
                <w:rFonts w:eastAsia="Calibri"/>
                <w:sz w:val="26"/>
                <w:szCs w:val="26"/>
              </w:rPr>
              <w:t xml:space="preserve">пными блоками, исходя из возможностей монтажа в существующих зданиях, а также габаритов транспортных средств. 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pStyle w:val="961"/>
              <w:ind w:left="283" w:right="154" w:firstLine="142"/>
              <w:jc w:val="both"/>
              <w:rPr>
                <w:rFonts w:eastAsia="Calibri"/>
                <w:sz w:val="26"/>
                <w:szCs w:val="26"/>
                <w14:ligatures w14:val="none"/>
              </w:rPr>
            </w:pPr>
            <w:r>
              <w:rPr>
                <w:rStyle w:val="953"/>
                <w:rFonts w:eastAsia="Calibri"/>
                <w:sz w:val="26"/>
                <w:szCs w:val="26"/>
              </w:rPr>
              <w:t xml:space="preserve">При выполнении проектных работ учесть требования действующих нормативных документов, в том числе СП 90.13330.2012 «Электростанции тепловые».</w:t>
            </w:r>
            <w:r>
              <w:rPr>
                <w:rFonts w:eastAsia="Calibri"/>
                <w:sz w:val="26"/>
                <w:szCs w:val="26"/>
                <w14:ligatures w14:val="none"/>
              </w:rPr>
            </w:r>
            <w:r>
              <w:rPr>
                <w:rFonts w:eastAsia="Calibri"/>
                <w:sz w:val="26"/>
                <w:szCs w:val="26"/>
                <w14:ligatures w14:val="none"/>
              </w:rPr>
            </w:r>
          </w:p>
          <w:p>
            <w:pPr>
              <w:ind w:left="283" w:right="122" w:hanging="141"/>
              <w:jc w:val="both"/>
              <w:shd w:val="clear" w:color="ffffff" w:fill="ffffff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2.5. Состав проектной документации должен соответствовать требованиям Статьи </w:t>
            </w:r>
            <w:r>
              <w:rPr>
                <w:sz w:val="26"/>
                <w:szCs w:val="26"/>
              </w:rPr>
              <w:t xml:space="preserve">48 «Градостроительного кодекса РФ» от 29.12.2004 ФЗ-190 с </w:t>
            </w:r>
            <w:r>
              <w:rPr>
                <w:sz w:val="26"/>
                <w:szCs w:val="26"/>
              </w:rPr>
              <w:t xml:space="preserve">учетом</w:t>
            </w:r>
            <w:r>
              <w:rPr>
                <w:sz w:val="26"/>
                <w:szCs w:val="26"/>
              </w:rPr>
              <w:t xml:space="preserve"> «Положения о составе разделов проектной документации и требований к их содержанию», </w:t>
            </w:r>
            <w:r>
              <w:rPr>
                <w:sz w:val="26"/>
                <w:szCs w:val="26"/>
              </w:rPr>
              <w:t xml:space="preserve">утвержденного</w:t>
            </w:r>
            <w:r>
              <w:rPr>
                <w:sz w:val="26"/>
                <w:szCs w:val="26"/>
              </w:rPr>
              <w:t xml:space="preserve"> Постановлением Правительства РФ от 16.02.2008 № 87, в </w:t>
            </w:r>
            <w:r>
              <w:rPr>
                <w:sz w:val="26"/>
                <w:szCs w:val="26"/>
              </w:rPr>
              <w:t xml:space="preserve">объеме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согласованном с Заказчиком.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425" w:right="122" w:hanging="283"/>
              <w:jc w:val="both"/>
              <w:shd w:val="clear" w:color="ffffff" w:fill="ffffff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2.6</w:t>
            </w:r>
            <w:r>
              <w:rPr>
                <w:sz w:val="26"/>
                <w:szCs w:val="26"/>
                <w:shd w:val="clear" w:color="auto" w:fill="ffffff"/>
              </w:rPr>
              <w:t xml:space="preserve">. При разработке проектной документации, </w:t>
            </w:r>
            <w:r>
              <w:rPr>
                <w:sz w:val="26"/>
                <w:szCs w:val="26"/>
              </w:rPr>
              <w:t xml:space="preserve">проектом организации строительства предусмотреть организацию строительно-монтажных работ с устройством подъездных путей, места размещения строительных материалов, работу и стоянку строительной техники без </w:t>
            </w:r>
            <w:r>
              <w:rPr>
                <w:sz w:val="26"/>
                <w:szCs w:val="26"/>
              </w:rPr>
              <w:t xml:space="preserve">нарушения</w:t>
            </w:r>
            <w:r>
              <w:rPr>
                <w:sz w:val="26"/>
                <w:szCs w:val="26"/>
              </w:rPr>
              <w:t xml:space="preserve"> функционирования действующего объекта Нерюнгринская ГРЭС.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shd w:val="clear" w:color="ffffff" w:fill="ffffff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shd w:val="clear" w:color="auto" w:fill="ffffff"/>
              </w:rPr>
              <w:t xml:space="preserve">2.7. Обеспечить соответствие </w:t>
            </w:r>
            <w:r>
              <w:rPr>
                <w:sz w:val="26"/>
                <w:szCs w:val="26"/>
                <w:shd w:val="clear" w:color="auto" w:fill="ffffff"/>
              </w:rPr>
              <w:t xml:space="preserve">приведенных</w:t>
            </w:r>
            <w:r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  <w:shd w:val="clear" w:color="auto" w:fill="ffffff"/>
              </w:rPr>
              <w:t xml:space="preserve">проектной документации технических решений требованиям актуальной нормативной документации, законодательных и нормативных правовых актов РФ, действующих на </w:t>
            </w:r>
            <w:r>
              <w:rPr>
                <w:sz w:val="26"/>
                <w:szCs w:val="26"/>
                <w:shd w:val="clear" w:color="auto" w:fill="ffffff"/>
              </w:rPr>
              <w:t xml:space="preserve">дату окончания проектирования, </w:t>
            </w:r>
            <w:r>
              <w:rPr>
                <w:sz w:val="26"/>
                <w:szCs w:val="26"/>
                <w:shd w:val="clear" w:color="auto" w:fill="ffffff"/>
              </w:rPr>
              <w:t xml:space="preserve">приведенных</w:t>
            </w:r>
            <w:r>
              <w:rPr>
                <w:sz w:val="26"/>
                <w:szCs w:val="26"/>
              </w:rPr>
              <w:t xml:space="preserve"> в </w:t>
            </w:r>
            <w:r>
              <w:rPr>
                <w:sz w:val="26"/>
                <w:szCs w:val="26"/>
                <w:shd w:val="clear" w:color="auto" w:fill="ffffff"/>
              </w:rPr>
              <w:t xml:space="preserve">Постановлении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Правительства Российской Федерации от 4 июля 2020 года № 985 «Об утверждении перечня национальных стандартов и сводов правил (частей таких стандартов и сводов правил), в результате применения котор</w:t>
            </w:r>
            <w:r>
              <w:rPr>
                <w:sz w:val="26"/>
                <w:szCs w:val="26"/>
                <w:shd w:val="clear" w:color="auto" w:fill="ffffff"/>
              </w:rPr>
              <w:t xml:space="preserve">ых на обязательной основе обеспечивается соблюдение требований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Федерального закона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«Технический регламент о безопасности зданий и сооружений» и о признании утратившими силу некоторых актов Правительства Российской Федерации».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shd w:val="clear" w:color="ffffff" w:fill="ffffff"/>
              <w:rPr>
                <w:sz w:val="26"/>
                <w:szCs w:val="26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2.8. Разработанную проектную </w:t>
            </w:r>
            <w:r>
              <w:rPr>
                <w:sz w:val="26"/>
                <w:szCs w:val="26"/>
              </w:rPr>
              <w:t xml:space="preserve">документацию согласовать с Заказчиком.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pStyle w:val="961"/>
              <w:ind w:left="283" w:right="154" w:firstLine="1"/>
              <w:jc w:val="both"/>
              <w:rPr>
                <w:rFonts w:eastAsia="Calibri"/>
                <w:sz w:val="26"/>
                <w:szCs w:val="26"/>
                <w14:ligatures w14:val="none"/>
              </w:rPr>
            </w:pPr>
            <w:r>
              <w:rPr>
                <w:rStyle w:val="953"/>
                <w:rFonts w:eastAsia="Calibri"/>
                <w:b/>
                <w:bCs/>
                <w:sz w:val="26"/>
                <w:szCs w:val="26"/>
              </w:rPr>
              <w:t xml:space="preserve">3. Прохождение негосударственной экспертизы </w:t>
            </w:r>
            <w:r>
              <w:rPr>
                <w:rStyle w:val="953"/>
                <w:rFonts w:eastAsia="Calibri"/>
                <w:b w:val="0"/>
                <w:bCs w:val="0"/>
                <w:sz w:val="26"/>
                <w:szCs w:val="26"/>
              </w:rPr>
              <w:t xml:space="preserve">проектной документации. Получение положительного заключения экспертизы</w:t>
            </w:r>
            <w:r>
              <w:rPr>
                <w:rStyle w:val="953"/>
                <w:rFonts w:eastAsia="Calibri"/>
                <w:b w:val="0"/>
                <w:bCs w:val="0"/>
                <w:sz w:val="26"/>
                <w:szCs w:val="26"/>
              </w:rPr>
              <w:t xml:space="preserve"> проектной документации.</w:t>
            </w:r>
            <w:r>
              <w:rPr>
                <w:rStyle w:val="953"/>
                <w:rFonts w:eastAsia="Calibri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  <w14:ligatures w14:val="none"/>
              </w:rPr>
            </w:r>
            <w:r>
              <w:rPr>
                <w:rFonts w:eastAsia="Calibri"/>
                <w:sz w:val="26"/>
                <w:szCs w:val="26"/>
                <w14:ligatures w14:val="none"/>
              </w:rPr>
            </w:r>
          </w:p>
          <w:p>
            <w:pPr>
              <w:ind w:left="142" w:right="122"/>
              <w:jc w:val="both"/>
              <w:shd w:val="clear" w:color="ffffff" w:fill="ffffff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b/>
                <w:spacing w:val="-5"/>
                <w:sz w:val="26"/>
                <w:szCs w:val="26"/>
                <w:lang w:bidi="ru-RU"/>
              </w:rPr>
              <w:t xml:space="preserve">4. Рабочая документация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shd w:val="clear" w:color="ffffff" w:fill="ffffff"/>
              <w:rPr>
                <w:spacing w:val="-5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pacing w:val="-5"/>
                <w:sz w:val="26"/>
                <w:szCs w:val="26"/>
                <w:lang w:bidi="ru-RU"/>
              </w:rPr>
              <w:t xml:space="preserve"> 4.1. </w:t>
            </w:r>
            <w:r>
              <w:rPr>
                <w:sz w:val="26"/>
                <w:szCs w:val="26"/>
              </w:rPr>
              <w:t xml:space="preserve">Рабочая документация выполняется на основании требований данного технического задания и </w:t>
            </w:r>
            <w:r>
              <w:rPr>
                <w:spacing w:val="-5"/>
                <w:sz w:val="26"/>
                <w:szCs w:val="26"/>
                <w:lang w:bidi="ru-RU"/>
              </w:rPr>
              <w:t xml:space="preserve">на основании проектной документации согласованной Заказчиком.</w:t>
            </w:r>
            <w:r>
              <w:rPr>
                <w:spacing w:val="-5"/>
                <w:sz w:val="26"/>
                <w:szCs w:val="26"/>
              </w:rPr>
            </w:r>
            <w:r>
              <w:rPr>
                <w:spacing w:val="-5"/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shd w:val="clear" w:color="ffffff" w:fill="ffffff"/>
              <w:rPr>
                <w:spacing w:val="-5"/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pacing w:val="-5"/>
                <w:sz w:val="26"/>
                <w:szCs w:val="26"/>
                <w:lang w:bidi="ru-RU"/>
              </w:rPr>
              <w:t xml:space="preserve">4.2. Рабочая документация должна быть</w:t>
            </w:r>
            <w:r>
              <w:rPr>
                <w:spacing w:val="-5"/>
                <w:sz w:val="26"/>
                <w:szCs w:val="26"/>
                <w:lang w:bidi="ru-RU"/>
              </w:rPr>
              <w:t xml:space="preserve"> выполнена в полном соответствии с ГОСТ 21.101-2020 «Основные требования к проектной и рабочей документации».</w:t>
            </w:r>
            <w:r>
              <w:rPr>
                <w:spacing w:val="-5"/>
                <w:sz w:val="26"/>
                <w:szCs w:val="26"/>
              </w:rPr>
            </w:r>
            <w:r>
              <w:rPr>
                <w:spacing w:val="-5"/>
                <w:sz w:val="26"/>
                <w:szCs w:val="26"/>
              </w:rPr>
            </w:r>
          </w:p>
          <w:p>
            <w:pPr>
              <w:ind w:left="142" w:right="122" w:firstLine="141"/>
              <w:jc w:val="both"/>
              <w:shd w:val="clear" w:color="ffffff" w:fill="ffffff"/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pacing w:val="-5"/>
                <w:sz w:val="26"/>
                <w:szCs w:val="26"/>
                <w:lang w:bidi="ru-RU"/>
              </w:rPr>
              <w:t xml:space="preserve">4.3. </w:t>
            </w:r>
            <w:r>
              <w:rPr>
                <w:spacing w:val="-5"/>
                <w:sz w:val="26"/>
                <w:szCs w:val="26"/>
                <w:lang w:bidi="ru-RU"/>
              </w:rPr>
              <w:t xml:space="preserve">В составе рабочей документации учесть разработку необходимых комплектов чертежей, планов, ведомостей </w:t>
            </w:r>
            <w:r>
              <w:rPr>
                <w:spacing w:val="-5"/>
                <w:sz w:val="26"/>
                <w:szCs w:val="26"/>
                <w:lang w:bidi="ru-RU"/>
              </w:rPr>
              <w:t xml:space="preserve">объемов</w:t>
            </w:r>
            <w:r>
              <w:rPr>
                <w:spacing w:val="-5"/>
                <w:sz w:val="26"/>
                <w:szCs w:val="26"/>
                <w:lang w:bidi="ru-RU"/>
              </w:rPr>
              <w:t xml:space="preserve"> работ, с</w:t>
            </w:r>
            <w:r>
              <w:rPr>
                <w:rStyle w:val="953"/>
                <w:color w:val="auto"/>
                <w:sz w:val="26"/>
                <w:szCs w:val="26"/>
                <w:highlight w:val="white"/>
              </w:rPr>
              <w:t xml:space="preserve">пецификаций оборудования</w:t>
            </w:r>
            <w:r>
              <w:rPr>
                <w:rStyle w:val="953"/>
                <w:color w:val="auto"/>
                <w:sz w:val="26"/>
                <w:szCs w:val="26"/>
                <w:highlight w:val="white"/>
              </w:rPr>
              <w:t xml:space="preserve">, изделий и материалов</w:t>
            </w:r>
            <w:r>
              <w:rPr>
                <w:spacing w:val="-5"/>
                <w:sz w:val="26"/>
                <w:szCs w:val="26"/>
                <w:lang w:bidi="ru-RU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bidi="ru-RU"/>
              </w:rPr>
              <w:t xml:space="preserve">4.4. В составе рабочей документации предусмотреть: сборочные и </w:t>
            </w:r>
            <w:r>
              <w:rPr>
                <w:sz w:val="26"/>
                <w:szCs w:val="26"/>
                <w:lang w:bidi="ru-RU"/>
              </w:rPr>
              <w:t xml:space="preserve">деталировочные</w:t>
            </w:r>
            <w:r>
              <w:rPr>
                <w:sz w:val="26"/>
                <w:szCs w:val="26"/>
                <w:lang w:bidi="ru-RU"/>
              </w:rPr>
              <w:t xml:space="preserve"> чертежи для изготовления и заказа необходимого оборудования, узлов и деталей, а также выполнение всего комплекса работ по реализации объекта.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bidi="ru-RU"/>
              </w:rPr>
              <w:t xml:space="preserve">4.5. </w:t>
            </w:r>
            <w:r>
              <w:rPr>
                <w:sz w:val="26"/>
                <w:szCs w:val="26"/>
              </w:rPr>
              <w:t xml:space="preserve">Разработанную рабочую документацию согласовать с Заказчиком.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31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1</w:t>
            </w:r>
            <w:r>
              <w:rPr>
                <w:rStyle w:val="953"/>
                <w:rFonts w:eastAsiaTheme="minorHAnsi"/>
                <w:sz w:val="26"/>
                <w:szCs w:val="26"/>
              </w:rPr>
              <w:t xml:space="preserve">1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</w:t>
            </w:r>
            <w:r>
              <w:rPr>
                <w:sz w:val="26"/>
                <w:szCs w:val="26"/>
              </w:rPr>
              <w:t xml:space="preserve">ребования пожарной безопасности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ffffff"/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Документацию выполнить с </w:t>
            </w:r>
            <w:r>
              <w:rPr>
                <w:sz w:val="26"/>
                <w:szCs w:val="26"/>
              </w:rPr>
              <w:t xml:space="preserve">учетом</w:t>
            </w:r>
            <w:r>
              <w:rPr>
                <w:sz w:val="26"/>
                <w:szCs w:val="26"/>
              </w:rPr>
              <w:t xml:space="preserve"> Федерального закона от 22.07.2008 № 123-ФЗ «Технический регламент о требованиях пожарной безопасности», Инструкции по проектированию противопожарной защиты энергетических предприятий, РД 153-34.0-49.101-2003 и иных нормативно-технических документов.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1</w:t>
            </w:r>
            <w:r>
              <w:rPr>
                <w:rStyle w:val="953"/>
                <w:rFonts w:eastAsiaTheme="minorHAnsi"/>
                <w:sz w:val="26"/>
                <w:szCs w:val="26"/>
              </w:rPr>
              <w:t xml:space="preserve">2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rStyle w:val="953"/>
                <w:rFonts w:eastAsiaTheme="minorHAnsi"/>
                <w:color w:val="auto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</w:t>
            </w:r>
            <w:r>
              <w:rPr>
                <w:sz w:val="26"/>
                <w:szCs w:val="26"/>
              </w:rPr>
              <w:t xml:space="preserve">собые условия Заказчика.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</w:p>
        </w:tc>
        <w:tc>
          <w:tcPr>
            <w:shd w:val="clear" w:color="auto" w:fill="ffffff"/>
            <w:tcW w:w="7653" w:type="dxa"/>
            <w:vAlign w:val="center"/>
            <w:textDirection w:val="lrTb"/>
            <w:noWrap w:val="false"/>
          </w:tcPr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Все замечания экспертных и надзорных ор</w:t>
            </w:r>
            <w:r>
              <w:rPr>
                <w:sz w:val="26"/>
                <w:szCs w:val="26"/>
              </w:rPr>
              <w:t xml:space="preserve">ганов, а также несоответствия проектной документации и проектных решений требованиям действующих нормативных и законодательных актов, устраняются Подрядчиком за </w:t>
            </w:r>
            <w:r>
              <w:rPr>
                <w:sz w:val="26"/>
                <w:szCs w:val="26"/>
              </w:rPr>
              <w:t xml:space="preserve">счет</w:t>
            </w:r>
            <w:r>
              <w:rPr>
                <w:sz w:val="26"/>
                <w:szCs w:val="26"/>
              </w:rPr>
              <w:t xml:space="preserve"> собственных сил и средств, с внесением необходимых исправлений и изменений в документацию.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Для разработки проектной и рабочей документации Подрядчик за свой </w:t>
            </w:r>
            <w:r>
              <w:rPr>
                <w:sz w:val="26"/>
                <w:szCs w:val="26"/>
              </w:rPr>
              <w:t xml:space="preserve">счет</w:t>
            </w:r>
            <w:r>
              <w:rPr>
                <w:sz w:val="26"/>
                <w:szCs w:val="26"/>
              </w:rPr>
              <w:t xml:space="preserve"> обеспечивает получение всех необходимых положительных согласований и заключений, в том числе, но не ограничиваясь: природоохранных органов, ГО и ЧС, Министерства здравоохранения и с</w:t>
            </w:r>
            <w:r>
              <w:rPr>
                <w:sz w:val="26"/>
                <w:szCs w:val="26"/>
              </w:rPr>
              <w:t xml:space="preserve">оциального развития Российской Федерации, эксплуатирующих организаций и органов местного самоуправления.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Принятые технические решения и оборудование</w:t>
            </w:r>
            <w:r>
              <w:rPr>
                <w:sz w:val="26"/>
                <w:szCs w:val="26"/>
              </w:rPr>
              <w:br/>
              <w:t xml:space="preserve">должны соответствовать законодательным и нормативным правовым актам, действующим на территории РФ.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4. Пр</w:t>
            </w:r>
            <w:r>
              <w:rPr>
                <w:sz w:val="26"/>
                <w:szCs w:val="26"/>
                <w:shd w:val="clear" w:color="auto" w:fill="ffffff"/>
              </w:rPr>
              <w:t xml:space="preserve">и разработке ПСД исключить применение импортного оборудования и материалов, включая комплектующие и ЗИП, при наличии альтернативных аналогов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Российского</w:t>
            </w:r>
            <w:r>
              <w:rPr>
                <w:sz w:val="26"/>
                <w:szCs w:val="26"/>
              </w:rPr>
              <w:t xml:space="preserve"> п</w:t>
            </w:r>
            <w:r>
              <w:rPr>
                <w:sz w:val="26"/>
                <w:szCs w:val="26"/>
                <w:shd w:val="clear" w:color="auto" w:fill="ffffff"/>
              </w:rPr>
              <w:t xml:space="preserve">роизводства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соответствующего качества.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bidi="ru-RU"/>
              </w:rPr>
              <w:t xml:space="preserve">5. </w:t>
            </w:r>
            <w:r>
              <w:rPr>
                <w:sz w:val="26"/>
                <w:szCs w:val="26"/>
              </w:rPr>
              <w:t xml:space="preserve">Не допускается указание Подрядчиком в документации, в том числе </w:t>
            </w:r>
            <w:r>
              <w:rPr>
                <w:sz w:val="26"/>
                <w:szCs w:val="26"/>
              </w:rPr>
              <w:t xml:space="preserve">спецификациях, материалов и изделий конкретных производителей. Указываются только тип, марка, и характеристики материалов и изделий.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6. B разрабатываемой проектной продукции должно быть исключ</w:t>
            </w:r>
            <w:r>
              <w:rPr>
                <w:sz w:val="26"/>
                <w:szCs w:val="26"/>
                <w:shd w:val="clear" w:color="auto" w:fill="ffffff"/>
              </w:rPr>
              <w:t xml:space="preserve">ено: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shd w:val="clear" w:color="auto" w:fill="ffffff"/>
              </w:rPr>
              <w:t xml:space="preserve">- лоббирование (явное/неявное) через технические требования конкретного (одного) изготовителя (поставщика) </w:t>
            </w:r>
            <w:r>
              <w:rPr>
                <w:sz w:val="26"/>
                <w:szCs w:val="26"/>
                <w:shd w:val="clear" w:color="auto" w:fill="ffffff"/>
              </w:rPr>
              <w:t xml:space="preserve">путем</w:t>
            </w:r>
            <w:r>
              <w:rPr>
                <w:sz w:val="26"/>
                <w:szCs w:val="26"/>
                <w:shd w:val="clear" w:color="auto" w:fill="ffffff"/>
              </w:rPr>
              <w:t xml:space="preserve"> указания наименований и ссылок на ТУ или указания конструктивного исполнения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shd w:val="clear" w:color="auto" w:fill="ffffff"/>
              </w:rPr>
              <w:t xml:space="preserve">оборудования/материалов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конкретного завода-изготовителя, a та</w:t>
            </w:r>
            <w:r>
              <w:rPr>
                <w:sz w:val="26"/>
                <w:szCs w:val="26"/>
                <w:shd w:val="clear" w:color="auto" w:fill="ffffff"/>
              </w:rPr>
              <w:t xml:space="preserve">кже исключить указание марок оборудования и материалов;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  <w:shd w:val="clear" w:color="auto" w:fill="ffffff"/>
              </w:rPr>
              <w:t xml:space="preserve">- технические требования, ведущие к завышению стоимости оборудования (в том числе за </w:t>
            </w:r>
            <w:r>
              <w:rPr>
                <w:sz w:val="26"/>
                <w:szCs w:val="26"/>
                <w:shd w:val="clear" w:color="auto" w:fill="ffffff"/>
              </w:rPr>
              <w:t xml:space="preserve">счет</w:t>
            </w:r>
            <w:r>
              <w:rPr>
                <w:sz w:val="26"/>
                <w:szCs w:val="26"/>
                <w:shd w:val="clear" w:color="auto" w:fill="ffffff"/>
              </w:rPr>
              <w:t xml:space="preserve"> избыточности требований по оказанию услуг по шефмонтажу и пуско-наладке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к типовому оборудованию) и материалов;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- избыточность Технических требований, ведущих к удорожанию СМР.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bidi="ru-RU"/>
              </w:rPr>
              <w:t xml:space="preserve">7. При направлении откорректированных материалов ПД (РД, СД) разработчиком должен быть приложен перечень направляемых томов (разделов) с указанием страниц, в которые были внесены изменения. </w:t>
            </w:r>
            <w:r>
              <w:rPr>
                <w:sz w:val="26"/>
                <w:szCs w:val="26"/>
                <w:lang w:bidi="ru-RU"/>
              </w:rPr>
              <w:t xml:space="preserve">Кроме того, указанные изменения должны быть выделены цветом по тексту документов.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1</w:t>
            </w:r>
            <w:r>
              <w:rPr>
                <w:rStyle w:val="953"/>
                <w:rFonts w:eastAsiaTheme="minorHAnsi"/>
                <w:sz w:val="26"/>
                <w:szCs w:val="26"/>
              </w:rPr>
              <w:t xml:space="preserve">3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rStyle w:val="953"/>
                <w:rFonts w:eastAsiaTheme="minorHAnsi"/>
                <w:color w:val="auto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</w:t>
            </w:r>
            <w:r>
              <w:rPr>
                <w:sz w:val="26"/>
                <w:szCs w:val="26"/>
              </w:rPr>
              <w:t xml:space="preserve">ребования к подготовке сметной документации в составе проекта.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</w:p>
        </w:tc>
        <w:tc>
          <w:tcPr>
            <w:shd w:val="clear" w:color="auto" w:fill="ffffff"/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 Порядок формирования цены договора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1.1. Разработка сметной документации осуществляется при заключении и исполнении договора в соответствии со следующими требованиями: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Цена проектных работ Подрядчика формируется с применением справочников базовых цен на проектные работы. Индексы перевода в т</w:t>
            </w:r>
            <w:r>
              <w:rPr>
                <w:sz w:val="26"/>
                <w:szCs w:val="26"/>
              </w:rPr>
              <w:t xml:space="preserve">екущие цены учитывать в размере: </w:t>
            </w:r>
            <w:r>
              <w:rPr>
                <w:sz w:val="26"/>
                <w:szCs w:val="26"/>
              </w:rPr>
              <w:br/>
              <w:t xml:space="preserve">Для сборников Базовые цены на проектные работы уровня цен 2001 г. в размере к=4,73: уровня 1995 г. – 34,14.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Для сборников Базовые цены на изыскательские работы уровня цен 2001 г. в размере к=4,77: уровня 1991 г. – 51,27.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В</w:t>
            </w:r>
            <w:r>
              <w:rPr>
                <w:sz w:val="26"/>
                <w:szCs w:val="26"/>
              </w:rPr>
              <w:t xml:space="preserve"> случае отсутствия необходимых расценок в указанных справочниках допустимо составление сметы по форме 3П (по трудозатратам) (Методическое указания по применению справочников базовых цен на проектные работы в строительстве, утверждённые приказом </w:t>
            </w:r>
            <w:r>
              <w:rPr>
                <w:sz w:val="26"/>
                <w:szCs w:val="26"/>
              </w:rPr>
              <w:t xml:space="preserve">Минрегиона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РФ от 29.12.2009 г. № 620). При учёте затрат по форме 3 П Подрядчик должен представить справку, подтверждающую стоимость чел/ дня исполнителей, размер (в процентах) накладных расходов и рентабельности, подписанную руководителем организации и главным бухгал</w:t>
            </w:r>
            <w:r>
              <w:rPr>
                <w:sz w:val="26"/>
                <w:szCs w:val="26"/>
              </w:rPr>
              <w:t xml:space="preserve">тером и заверенную печатью организации.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1.2. Командировочные расходы для выполнения проектных работ определяются по предварительному </w:t>
            </w:r>
            <w:r>
              <w:rPr>
                <w:sz w:val="26"/>
                <w:szCs w:val="26"/>
              </w:rPr>
              <w:t xml:space="preserve">расчету</w:t>
            </w:r>
            <w:r>
              <w:rPr>
                <w:sz w:val="26"/>
                <w:szCs w:val="26"/>
              </w:rPr>
              <w:t xml:space="preserve"> с расшифровкой затрат на проезд, проживание, суточные расходы (суточные не более 500 руб./</w:t>
            </w:r>
            <w:r>
              <w:rPr>
                <w:sz w:val="26"/>
                <w:szCs w:val="26"/>
              </w:rPr>
              <w:t xml:space="preserve">сут</w:t>
            </w:r>
            <w:r>
              <w:rPr>
                <w:sz w:val="26"/>
                <w:szCs w:val="26"/>
              </w:rPr>
              <w:t xml:space="preserve">., проживание не более</w:t>
            </w:r>
            <w:r>
              <w:rPr>
                <w:sz w:val="26"/>
                <w:szCs w:val="26"/>
              </w:rPr>
              <w:t xml:space="preserve"> 4000 руб./</w:t>
            </w:r>
            <w:r>
              <w:rPr>
                <w:sz w:val="26"/>
                <w:szCs w:val="26"/>
              </w:rPr>
              <w:t xml:space="preserve">сут</w:t>
            </w:r>
            <w:r>
              <w:rPr>
                <w:sz w:val="26"/>
                <w:szCs w:val="26"/>
              </w:rPr>
              <w:t xml:space="preserve">.). Заказчик имеет право в период действия договора запросить у Подрядчика копии первичных документов, платёжные поручения, реестры и т.д. для проверки соответствия суммы командировочных расходов фактическим затратам.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283" w:right="122" w:hanging="14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В составе проектной д</w:t>
            </w:r>
            <w:r>
              <w:rPr>
                <w:sz w:val="26"/>
                <w:szCs w:val="26"/>
              </w:rPr>
              <w:t xml:space="preserve">окументации сметы на СМР формировать по следующим критериям: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2.1. При составлении сметной документации руководствоваться актуальными методическими документами, действующими на момент составления проектной документации.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2.2. Стоимость работ определить ресурсно-индексным методом, с переводом в текущие цены по данным ФГИС (на момент составления сметной документации). </w:t>
            </w: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– при </w:t>
            </w:r>
            <w:r>
              <w:rPr>
                <w:sz w:val="26"/>
                <w:szCs w:val="26"/>
              </w:rPr>
              <w:t xml:space="preserve">расчете</w:t>
            </w:r>
            <w:r>
              <w:rPr>
                <w:sz w:val="26"/>
                <w:szCs w:val="26"/>
              </w:rPr>
              <w:t xml:space="preserve"> сметной стоимости, сметную прибыль принять 40% от ФОТ для СМР и 36% для ПНР.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2.3. Командирово</w:t>
            </w:r>
            <w:r>
              <w:rPr>
                <w:sz w:val="26"/>
                <w:szCs w:val="26"/>
              </w:rPr>
              <w:t xml:space="preserve">чные затраты для выполнения СМР и ПНР предусмотреть в размере 3,74% от итогов глав 1-9 без учёта стоимости оборудования.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2.4. Величину резерва средств на непредвиденные работы и затраты принимать в размере 3%.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2.5. При отсутствии в сборнике ФССЦ действующей сметно-нормативной базы данных о сметных ценах на отдельные материалы и оборудование, определить их сметную </w:t>
            </w:r>
            <w:r>
              <w:rPr>
                <w:sz w:val="26"/>
                <w:szCs w:val="26"/>
              </w:rPr>
              <w:t xml:space="preserve">стоимость по наиболее экономичному варианту, с предоставлением данных по </w:t>
            </w:r>
            <w:r>
              <w:rPr>
                <w:sz w:val="26"/>
                <w:szCs w:val="26"/>
              </w:rPr>
              <w:t xml:space="preserve">трем</w:t>
            </w:r>
            <w:r>
              <w:rPr>
                <w:sz w:val="26"/>
                <w:szCs w:val="26"/>
              </w:rPr>
              <w:t xml:space="preserve"> поставщикам аналогичной продукции, </w:t>
            </w:r>
            <w:r>
              <w:rPr>
                <w:sz w:val="26"/>
                <w:szCs w:val="26"/>
              </w:rPr>
              <w:t xml:space="preserve">определенному</w:t>
            </w:r>
            <w:r>
              <w:rPr>
                <w:sz w:val="26"/>
                <w:szCs w:val="26"/>
              </w:rPr>
              <w:t xml:space="preserve"> на основе конъюнктурного анализа цен, с максимальным учётом всех сопутствующих затрат. Результаты конъюнктурного анализа оформляю</w:t>
            </w:r>
            <w:r>
              <w:rPr>
                <w:sz w:val="26"/>
                <w:szCs w:val="26"/>
              </w:rPr>
              <w:t xml:space="preserve">тся в таблицу </w:t>
            </w:r>
            <w:r>
              <w:rPr>
                <w:sz w:val="26"/>
                <w:szCs w:val="26"/>
              </w:rPr>
              <w:t xml:space="preserve">коньюнктурного</w:t>
            </w:r>
            <w:r>
              <w:rPr>
                <w:sz w:val="26"/>
                <w:szCs w:val="26"/>
              </w:rPr>
              <w:t xml:space="preserve"> анализа цен, с приложением обоснования цен (коммерческие предложения, прайс-листы).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2.6. Сводный сметный расчёт, объектные сметы, составляются в текущем уровне цен.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2.7. В составе сводного сметного расчёта стоимости строительс</w:t>
            </w:r>
            <w:r>
              <w:rPr>
                <w:sz w:val="26"/>
                <w:szCs w:val="26"/>
              </w:rPr>
              <w:t xml:space="preserve">тва предусмотреть затраты на авторский надзор.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1</w:t>
            </w:r>
            <w:r>
              <w:rPr>
                <w:rStyle w:val="953"/>
                <w:rFonts w:eastAsiaTheme="minorHAnsi"/>
                <w:sz w:val="26"/>
                <w:szCs w:val="26"/>
              </w:rPr>
              <w:t xml:space="preserve">4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rStyle w:val="953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  <w:t xml:space="preserve">К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  <w:t xml:space="preserve">оличество экземпляров документации, выдаваемые Заказчику.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</w:p>
        </w:tc>
        <w:tc>
          <w:tcPr>
            <w:shd w:val="clear" w:color="auto" w:fill="ffffff"/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передаваемой документации – 4 экземпляра на бумажном носителе, два экземпляра в электронном виде на компакт-диске (на CD или DVD).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Формат передаваемой в электронном виде документации: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текстовая часть – </w:t>
            </w:r>
            <w:r>
              <w:rPr>
                <w:sz w:val="26"/>
                <w:szCs w:val="26"/>
                <w:lang w:val="en-US"/>
              </w:rPr>
              <w:t xml:space="preserve">doc</w:t>
            </w:r>
            <w:r>
              <w:rPr>
                <w:sz w:val="26"/>
                <w:szCs w:val="26"/>
              </w:rPr>
              <w:t xml:space="preserve">х), </w:t>
            </w:r>
            <w:r>
              <w:rPr>
                <w:sz w:val="26"/>
                <w:szCs w:val="26"/>
                <w:lang w:val="en-US"/>
              </w:rPr>
              <w:t xml:space="preserve">odt</w:t>
            </w:r>
            <w:r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  <w:lang w:val="en-US"/>
              </w:rPr>
              <w:t xml:space="preserve">LibreOffice</w:t>
            </w:r>
            <w:r>
              <w:rPr>
                <w:sz w:val="26"/>
                <w:szCs w:val="26"/>
              </w:rPr>
              <w:t xml:space="preserve">), </w:t>
            </w:r>
            <w:r>
              <w:rPr>
                <w:sz w:val="26"/>
                <w:szCs w:val="26"/>
                <w:lang w:val="en-US"/>
              </w:rPr>
              <w:t xml:space="preserve">pdf</w:t>
            </w:r>
            <w:r>
              <w:rPr>
                <w:sz w:val="26"/>
                <w:szCs w:val="26"/>
              </w:rPr>
              <w:t xml:space="preserve">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графическая часть – </w:t>
            </w:r>
            <w:r>
              <w:rPr>
                <w:sz w:val="26"/>
                <w:szCs w:val="26"/>
              </w:rPr>
              <w:t xml:space="preserve">cdw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dwg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pdf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tiff</w:t>
            </w:r>
            <w:r>
              <w:rPr>
                <w:sz w:val="26"/>
                <w:szCs w:val="26"/>
              </w:rPr>
              <w:t xml:space="preserve">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сметная часть – </w:t>
            </w:r>
            <w:r>
              <w:rPr>
                <w:sz w:val="26"/>
                <w:szCs w:val="26"/>
              </w:rPr>
              <w:t xml:space="preserve">xlsх</w:t>
            </w:r>
            <w:r>
              <w:rPr>
                <w:sz w:val="26"/>
                <w:szCs w:val="26"/>
              </w:rPr>
              <w:t xml:space="preserve">, в формате </w:t>
            </w:r>
            <w:r>
              <w:rPr>
                <w:sz w:val="26"/>
                <w:szCs w:val="26"/>
              </w:rPr>
              <w:t xml:space="preserve">gsf</w:t>
            </w:r>
            <w:r>
              <w:rPr>
                <w:sz w:val="26"/>
                <w:szCs w:val="26"/>
              </w:rPr>
              <w:t xml:space="preserve">, выполненная в программном комплекте ГРАНД-смета. Допускается наличие э</w:t>
            </w:r>
            <w:r>
              <w:rPr>
                <w:sz w:val="26"/>
                <w:szCs w:val="26"/>
              </w:rPr>
              <w:t xml:space="preserve">квивалентных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таблицы данных – </w:t>
            </w:r>
            <w:r>
              <w:rPr>
                <w:sz w:val="26"/>
                <w:szCs w:val="26"/>
                <w:lang w:val="en-US"/>
              </w:rPr>
              <w:t xml:space="preserve">doc</w:t>
            </w:r>
            <w:r>
              <w:rPr>
                <w:sz w:val="26"/>
                <w:szCs w:val="26"/>
              </w:rPr>
              <w:t xml:space="preserve">х, </w:t>
            </w:r>
            <w:r>
              <w:rPr>
                <w:sz w:val="26"/>
                <w:szCs w:val="26"/>
                <w:lang w:val="en-US"/>
              </w:rPr>
              <w:t xml:space="preserve">xls</w:t>
            </w:r>
            <w:r>
              <w:rPr>
                <w:sz w:val="26"/>
                <w:szCs w:val="26"/>
              </w:rPr>
              <w:t xml:space="preserve">х;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презентационные материалы – </w:t>
            </w:r>
            <w:r>
              <w:rPr>
                <w:sz w:val="26"/>
                <w:szCs w:val="26"/>
              </w:rPr>
              <w:t xml:space="preserve">ppt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допус</w:t>
            </w:r>
            <w:r>
              <w:rPr>
                <w:sz w:val="26"/>
                <w:szCs w:val="26"/>
              </w:rPr>
              <w:t xml:space="preserve">кается передача документации в формате </w:t>
            </w:r>
            <w:r>
              <w:rPr>
                <w:sz w:val="26"/>
                <w:szCs w:val="26"/>
              </w:rPr>
              <w:t xml:space="preserve">pdf</w:t>
            </w:r>
            <w:r>
              <w:rPr>
                <w:sz w:val="26"/>
                <w:szCs w:val="26"/>
              </w:rPr>
              <w:t xml:space="preserve"> с пофайловым разделением страниц.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175"/>
        </w:trPr>
        <w:tc>
          <w:tcPr>
            <w:shd w:val="clear" w:color="auto" w:fill="ffffff"/>
            <w:tcW w:w="596" w:type="dxa"/>
            <w:textDirection w:val="lrTb"/>
            <w:noWrap w:val="false"/>
          </w:tcPr>
          <w:p>
            <w:pPr>
              <w:ind w:right="200"/>
              <w:jc w:val="center"/>
              <w:rPr>
                <w:rStyle w:val="953"/>
                <w:rFonts w:eastAsiaTheme="minorHAnsi"/>
                <w:sz w:val="26"/>
                <w:szCs w:val="26"/>
              </w:rPr>
            </w:pPr>
            <w:r>
              <w:rPr>
                <w:rStyle w:val="953"/>
                <w:rFonts w:eastAsiaTheme="minorHAnsi"/>
                <w:sz w:val="26"/>
                <w:szCs w:val="26"/>
              </w:rPr>
              <w:t xml:space="preserve">1</w:t>
            </w:r>
            <w:r>
              <w:rPr>
                <w:rStyle w:val="953"/>
                <w:rFonts w:eastAsiaTheme="minorHAnsi"/>
                <w:sz w:val="26"/>
                <w:szCs w:val="26"/>
              </w:rPr>
              <w:t xml:space="preserve">5</w:t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  <w:r>
              <w:rPr>
                <w:rStyle w:val="953"/>
                <w:rFonts w:eastAsiaTheme="minorHAnsi"/>
                <w:sz w:val="26"/>
                <w:szCs w:val="26"/>
              </w:rPr>
            </w:r>
          </w:p>
        </w:tc>
        <w:tc>
          <w:tcPr>
            <w:shd w:val="clear" w:color="auto" w:fill="ffffff"/>
            <w:tcW w:w="2107" w:type="dxa"/>
            <w:textDirection w:val="lrTb"/>
            <w:noWrap w:val="false"/>
          </w:tcPr>
          <w:p>
            <w:pPr>
              <w:ind w:left="142" w:right="103"/>
              <w:rPr>
                <w:rStyle w:val="953"/>
                <w:rFonts w:eastAsiaTheme="minorHAnsi"/>
                <w:color w:val="auto"/>
                <w:sz w:val="26"/>
                <w:szCs w:val="26"/>
              </w:rPr>
            </w:pP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  <w:t xml:space="preserve">П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  <w:t xml:space="preserve">еречень обязательной к применению нормативно-технической документации</w:t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  <w:r>
              <w:rPr>
                <w:rStyle w:val="953"/>
                <w:rFonts w:eastAsiaTheme="minorHAnsi"/>
                <w:color w:val="auto"/>
                <w:sz w:val="26"/>
                <w:szCs w:val="26"/>
              </w:rPr>
            </w:r>
          </w:p>
        </w:tc>
        <w:tc>
          <w:tcPr>
            <w:shd w:val="clear" w:color="auto" w:fill="ffffff" w:themeFill="background1"/>
            <w:tcW w:w="7653" w:type="dxa"/>
            <w:vAlign w:val="center"/>
            <w:textDirection w:val="lrTb"/>
            <w:noWrap w:val="false"/>
          </w:tcPr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разделе. А также: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contextualSpacing/>
              <w:ind w:left="142" w:right="122"/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ГОСТ Р 21.101-2020 «Система проектной документации для стр</w:t>
            </w:r>
            <w:r>
              <w:rPr>
                <w:sz w:val="26"/>
                <w:szCs w:val="26"/>
              </w:rPr>
              <w:t xml:space="preserve">оительства. Основные требования к проектной и рабочей документации».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Градостроительный кодекс Российской Федерации от 29.12.2004 № 190-ФЗ;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contextualSpacing/>
              <w:ind w:left="142" w:right="122"/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Постановление Правительства РФ от 16.02.2008 № 87 «О составе разделов проектной документации и требованиях к их с</w:t>
            </w:r>
            <w:r>
              <w:rPr>
                <w:sz w:val="26"/>
                <w:szCs w:val="26"/>
              </w:rPr>
              <w:t xml:space="preserve">одержанию».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Федерального закона от 04.05.1999 №96 ФЗ «Об охране атмосферного воздуха».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закона от 30.03.1999 №52 ФЗ «О санитарно-эпидемиологическом благополучии населения».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закона от 10.01.2002 № 7-ФЗ "Об охране окружающей сре</w:t>
            </w:r>
            <w:r>
              <w:rPr>
                <w:sz w:val="26"/>
                <w:szCs w:val="26"/>
              </w:rPr>
              <w:t xml:space="preserve">ды".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закона от 03.06.2006 №74-ФЗ. «Водный кодекс Российской Федерации»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закона от 07.12.2011 № 416-ФЗ "О водоснабжении и водоотведении".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ГОСТ Р 21.101-2020 «Основные требования к проектной и рабочей документации».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pacing w:val="-5"/>
                <w:sz w:val="26"/>
                <w:szCs w:val="26"/>
                <w:lang w:bidi="ru-RU"/>
              </w:rPr>
              <w:t xml:space="preserve">Федерального </w:t>
            </w:r>
            <w:r>
              <w:rPr>
                <w:spacing w:val="-5"/>
                <w:sz w:val="26"/>
                <w:szCs w:val="26"/>
                <w:lang w:bidi="ru-RU"/>
              </w:rPr>
              <w:t xml:space="preserve">закона </w:t>
            </w:r>
            <w:r>
              <w:rPr>
                <w:spacing w:val="-5"/>
                <w:sz w:val="26"/>
                <w:szCs w:val="26"/>
                <w:lang w:bidi="ru-RU"/>
              </w:rPr>
              <w:t xml:space="preserve">от 22.07.2008 № 123-ФЗ «Технический регламент о требованиях пожарной безопасности», Инструкции по проектированию противопожарной защиты энергетических предприятий, РД 153-34.0-49.101-2003 и иных нормативно-технических документов.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  №</w:t>
            </w:r>
            <w:r>
              <w:rPr>
                <w:spacing w:val="-5"/>
                <w:sz w:val="26"/>
                <w:szCs w:val="26"/>
              </w:rPr>
              <w:t xml:space="preserve">384-ФЗ от 30.12.2009 «Технический регламент о безопасности зданий и сооружений».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 № 123-ФЗ от 22.07.2008 «Технический регламент о требованиях пожарной безопасности».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 ГОСТ 12.1.004-91* Система стандартов безопасности труда. Пожарная безопасность. Общие т</w:t>
            </w:r>
            <w:r>
              <w:rPr>
                <w:spacing w:val="-5"/>
                <w:sz w:val="26"/>
                <w:szCs w:val="26"/>
              </w:rPr>
              <w:t xml:space="preserve">ребования.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 Постановление Правительства РФ от 16.02.2008 № 87 «О составе разделов проектной документации и требованиях к их содержанию».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  №136-ФЗ от 25.10.2001 "Земельный кодекс Российской Федерации".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 ГОСТ Р 54257-2010 </w:t>
            </w:r>
            <w:r>
              <w:rPr>
                <w:spacing w:val="-5"/>
                <w:sz w:val="26"/>
                <w:szCs w:val="26"/>
              </w:rPr>
              <w:t xml:space="preserve">Надежность</w:t>
            </w:r>
            <w:r>
              <w:rPr>
                <w:spacing w:val="-5"/>
                <w:sz w:val="26"/>
                <w:szCs w:val="26"/>
              </w:rPr>
              <w:t xml:space="preserve"> строительных конструк</w:t>
            </w:r>
            <w:r>
              <w:rPr>
                <w:spacing w:val="-5"/>
                <w:sz w:val="26"/>
                <w:szCs w:val="26"/>
              </w:rPr>
              <w:t xml:space="preserve">ций и оснований. Основные положения и требования.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 СП 14.13330.2014 "СНиП II-7-81* Строительство в сейсмических районах".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 №99-ФЗ от 04.05.2011 «О лицензировании отдельных видов деятельности».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 СНиП 12-03-2001. Безопасность труда в строительстве. Часть 1. Общие требования.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 СНиП 12-04-12-04-2002. Безопасность труда в строительстве. Часть 2. Строительное производство.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 № 116-ФЗ от 21 июля 1997 "О промышленной безопасности опасных производствен</w:t>
            </w:r>
            <w:r>
              <w:rPr>
                <w:spacing w:val="-5"/>
                <w:sz w:val="26"/>
                <w:szCs w:val="26"/>
              </w:rPr>
              <w:t xml:space="preserve">ных объектов".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  <w:tab w:val="left" w:pos="6702" w:leader="none"/>
                <w:tab w:val="left" w:pos="6936" w:leader="none"/>
              </w:tabs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- CП 48.13330.2019. Свод правил. Организация строительства.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- ГОСТ 3201</w:t>
            </w:r>
            <w:r>
              <w:rPr>
                <w:sz w:val="26"/>
                <w:szCs w:val="26"/>
                <w:shd w:val="clear" w:color="auto" w:fill="ffffff"/>
              </w:rPr>
              <w:t xml:space="preserve">9 </w:t>
            </w:r>
            <w:r>
              <w:rPr>
                <w:sz w:val="26"/>
                <w:szCs w:val="26"/>
                <w:shd w:val="clear" w:color="auto" w:fill="ffffff"/>
              </w:rPr>
              <w:t xml:space="preserve">- 2</w:t>
            </w:r>
            <w:r>
              <w:rPr>
                <w:sz w:val="26"/>
                <w:szCs w:val="26"/>
                <w:shd w:val="clear" w:color="auto" w:fill="ffffff"/>
              </w:rPr>
              <w:t xml:space="preserve">012 мониторинг технического состояния уникальных зданий и сооружений</w:t>
            </w:r>
            <w:r>
              <w:rPr>
                <w:sz w:val="26"/>
                <w:szCs w:val="26"/>
                <w:shd w:val="clear" w:color="auto" w:fill="ffffff"/>
              </w:rPr>
              <w:t xml:space="preserve">.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Правила проектирования и установки стационарных систем (станций) мониторинга.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 xml:space="preserve">- ГОСТ Р 59789-202</w:t>
            </w:r>
            <w:r>
              <w:rPr>
                <w:sz w:val="26"/>
                <w:szCs w:val="26"/>
                <w:shd w:val="clear" w:color="auto" w:fill="ffffff"/>
              </w:rPr>
              <w:t xml:space="preserve">1"Проектирование систем </w:t>
            </w:r>
            <w:r>
              <w:rPr>
                <w:sz w:val="26"/>
                <w:szCs w:val="26"/>
                <w:shd w:val="clear" w:color="auto" w:fill="ffffff"/>
              </w:rPr>
              <w:t xml:space="preserve">молниезащиты</w:t>
            </w:r>
            <w:r>
              <w:rPr>
                <w:sz w:val="26"/>
                <w:szCs w:val="26"/>
                <w:shd w:val="clear" w:color="auto" w:fill="ffffff"/>
              </w:rPr>
              <w:t xml:space="preserve"> и заземления".</w:t>
            </w:r>
            <w:r>
              <w:rPr>
                <w:sz w:val="26"/>
                <w:szCs w:val="26"/>
                <w:shd w:val="clear" w:color="auto" w:fill="ffffff"/>
              </w:rPr>
              <w:br/>
              <w:t xml:space="preserve">- </w:t>
            </w:r>
            <w:r>
              <w:rPr>
                <w:sz w:val="26"/>
                <w:szCs w:val="26"/>
                <w:shd w:val="clear" w:color="auto" w:fill="ffffff"/>
              </w:rPr>
              <w:t xml:space="preserve">СП 52.13330.2016 (Актуализированная редакция СНиП 23-05-95*) </w:t>
            </w:r>
            <w:r>
              <w:rPr>
                <w:sz w:val="26"/>
                <w:szCs w:val="26"/>
                <w:shd w:val="clear" w:color="auto" w:fill="ffffff"/>
              </w:rPr>
              <w:t xml:space="preserve"> наружного и внутреннего освещения объектов.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shd w:val="clear" w:color="auto" w:fill="ffffff"/>
              </w:rPr>
              <w:t xml:space="preserve">- ГОСТ 21.608-2014 Выполнения рабочей документации внутреннего электрического освещения.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sz w:val="26"/>
                <w:szCs w:val="26"/>
                <w:shd w:val="clear" w:color="auto" w:fill="ffffff"/>
              </w:rPr>
              <w:t xml:space="preserve">СП 6.1</w:t>
            </w:r>
            <w:r>
              <w:rPr>
                <w:sz w:val="26"/>
                <w:szCs w:val="26"/>
                <w:shd w:val="clear" w:color="auto" w:fill="ffffff"/>
              </w:rPr>
              <w:t xml:space="preserve">3130.2013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системы противопожарной защиты электрооборудование требования пожарной безопасности.</w:t>
            </w:r>
            <w:r>
              <w:rPr>
                <w:sz w:val="26"/>
                <w:szCs w:val="26"/>
                <w:shd w:val="clear" w:color="auto" w:fill="ffffff"/>
              </w:rPr>
              <w:br/>
              <w:t xml:space="preserve">     - </w:t>
            </w:r>
            <w:r>
              <w:rPr>
                <w:sz w:val="26"/>
                <w:szCs w:val="26"/>
                <w:shd w:val="clear" w:color="auto" w:fill="ffffff"/>
              </w:rPr>
              <w:t xml:space="preserve">Приказ МЧС России от 06.04.2021 N 200 "Об утверждении свода правил СП 6.1313 "Системы противопожарной защиты. Электроустановки низковольтные. Требования по</w:t>
            </w:r>
            <w:r>
              <w:rPr>
                <w:sz w:val="26"/>
                <w:szCs w:val="26"/>
                <w:shd w:val="clear" w:color="auto" w:fill="ffffff"/>
              </w:rPr>
              <w:t xml:space="preserve">жарной безопасности". 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sz w:val="26"/>
                <w:szCs w:val="26"/>
                <w:shd w:val="clear" w:color="auto" w:fill="ffffff"/>
              </w:rPr>
              <w:t xml:space="preserve">ГОСТ 34700-2020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источники бесперебойного электропитания технических средств, средств пожарной автоматики.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sz w:val="26"/>
                <w:szCs w:val="26"/>
                <w:shd w:val="clear" w:color="auto" w:fill="ffffff"/>
              </w:rPr>
              <w:t xml:space="preserve">ГОСТ Р 53325-2012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технические средства пожарной автоматики.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sz w:val="26"/>
                <w:szCs w:val="26"/>
                <w:shd w:val="clear" w:color="auto" w:fill="ffffff"/>
              </w:rPr>
              <w:t xml:space="preserve">ГОСТ Р58403 -2019 системы беспроводные объектовые охранной сигн</w:t>
            </w:r>
            <w:r>
              <w:rPr>
                <w:sz w:val="26"/>
                <w:szCs w:val="26"/>
                <w:shd w:val="clear" w:color="auto" w:fill="ffffff"/>
              </w:rPr>
              <w:t xml:space="preserve">ализации</w:t>
            </w:r>
            <w:r>
              <w:rPr>
                <w:sz w:val="26"/>
                <w:szCs w:val="26"/>
                <w:shd w:val="clear" w:color="auto" w:fill="ffffff"/>
              </w:rPr>
              <w:t xml:space="preserve">".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sz w:val="26"/>
                <w:szCs w:val="26"/>
                <w:shd w:val="clear" w:color="auto" w:fill="ffffff"/>
              </w:rPr>
              <w:t xml:space="preserve">ГОСТ Р 59638-2021. Национальный стандарт Российской Федерации. Системы пожарной сигнализации. Руководство по проектированию, монтажу, техническому обслуживанию и ремонту. Методы испытаний </w:t>
            </w:r>
            <w:r>
              <w:rPr>
                <w:sz w:val="26"/>
                <w:szCs w:val="26"/>
                <w:shd w:val="clear" w:color="auto" w:fill="ffffff"/>
              </w:rPr>
              <w:t xml:space="preserve">на работоспособность" (утв. и </w:t>
            </w:r>
            <w:r>
              <w:rPr>
                <w:sz w:val="26"/>
                <w:szCs w:val="26"/>
                <w:shd w:val="clear" w:color="auto" w:fill="ffffff"/>
              </w:rPr>
              <w:t xml:space="preserve">введен</w:t>
            </w:r>
            <w:r>
              <w:rPr>
                <w:sz w:val="26"/>
                <w:szCs w:val="26"/>
                <w:shd w:val="clear" w:color="auto" w:fill="ffffff"/>
              </w:rPr>
              <w:t xml:space="preserve"> в действие Приказом</w:t>
            </w:r>
            <w:r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 xml:space="preserve">Росстандарта</w:t>
            </w:r>
            <w:r>
              <w:rPr>
                <w:sz w:val="26"/>
                <w:szCs w:val="26"/>
                <w:shd w:val="clear" w:color="auto" w:fill="ffffff"/>
              </w:rPr>
              <w:t xml:space="preserve"> от 24.08.2021 N 791-ст)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shd w:val="clear" w:color="auto" w:fill="ffffff"/>
              </w:rPr>
              <w:t xml:space="preserve">- </w:t>
            </w:r>
            <w:r>
              <w:rPr>
                <w:sz w:val="26"/>
                <w:szCs w:val="26"/>
                <w:shd w:val="clear" w:color="auto" w:fill="ffffff"/>
              </w:rPr>
              <w:t xml:space="preserve">ГОСТ Р 59636-2021. Национальный стандарт Российской Федерации. Установки пожаротушения автоматические. Руководство по проектированию, монтажу, техническому обслуживанию и ремонту. Методы испытаний на работоспособност</w:t>
            </w:r>
            <w:r>
              <w:rPr>
                <w:sz w:val="26"/>
                <w:szCs w:val="26"/>
                <w:shd w:val="clear" w:color="auto" w:fill="ffffff"/>
              </w:rPr>
              <w:t xml:space="preserve">ь" (утв. и </w:t>
            </w:r>
            <w:r>
              <w:rPr>
                <w:sz w:val="26"/>
                <w:szCs w:val="26"/>
                <w:shd w:val="clear" w:color="auto" w:fill="ffffff"/>
              </w:rPr>
              <w:t xml:space="preserve">введен</w:t>
            </w:r>
            <w:r>
              <w:rPr>
                <w:sz w:val="26"/>
                <w:szCs w:val="26"/>
                <w:shd w:val="clear" w:color="auto" w:fill="ffffff"/>
              </w:rPr>
              <w:t xml:space="preserve"> в действие Приказом </w:t>
            </w:r>
            <w:r>
              <w:rPr>
                <w:sz w:val="26"/>
                <w:szCs w:val="26"/>
                <w:shd w:val="clear" w:color="auto" w:fill="ffffff"/>
              </w:rPr>
              <w:t xml:space="preserve">Росстандарта</w:t>
            </w:r>
            <w:r>
              <w:rPr>
                <w:sz w:val="26"/>
                <w:szCs w:val="26"/>
                <w:shd w:val="clear" w:color="auto" w:fill="ffffff"/>
              </w:rPr>
              <w:t xml:space="preserve"> от 24.08.2021 N 789-ст).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  <w:shd w:val="clear" w:color="auto" w:fill="ffffff"/>
              </w:rPr>
              <w:t xml:space="preserve">- ГОСТ 9.401 </w:t>
            </w:r>
            <w:r>
              <w:rPr>
                <w:sz w:val="26"/>
                <w:szCs w:val="26"/>
                <w:shd w:val="clear" w:color="auto" w:fill="ffffff"/>
              </w:rPr>
              <w:t xml:space="preserve">-</w:t>
            </w:r>
            <w:r>
              <w:rPr>
                <w:sz w:val="26"/>
                <w:szCs w:val="26"/>
                <w:shd w:val="clear" w:color="auto" w:fill="ffffff"/>
              </w:rPr>
              <w:t xml:space="preserve"> 2018 Единая система защиты от коррозии и старения. Общие требования и методы ускоренных испытаний на стойкость к воздействию климатических факторов.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z w:val="26"/>
                <w:szCs w:val="26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6"/>
                <w:szCs w:val="26"/>
              </w:rPr>
              <w:t xml:space="preserve">- ГОСТ Р 8.968</w:t>
            </w:r>
            <w:r>
              <w:rPr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 xml:space="preserve">2019 сигнализаторы горючих газов и паров горючих жидкостей без </w:t>
            </w:r>
            <w:r>
              <w:rPr>
                <w:sz w:val="26"/>
                <w:szCs w:val="26"/>
              </w:rPr>
              <w:t xml:space="preserve">отсчетного</w:t>
            </w:r>
            <w:r>
              <w:rPr>
                <w:sz w:val="26"/>
                <w:szCs w:val="26"/>
              </w:rPr>
              <w:t xml:space="preserve"> устройства.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5279" w:leader="none"/>
              </w:tabs>
              <w:rPr>
                <w:spacing w:val="-5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ГОСТ Р 70846.4-2023 Система классификации и кодирования. Разработка и примене</w:t>
            </w:r>
            <w:r>
              <w:rPr>
                <w:sz w:val="26"/>
                <w:szCs w:val="26"/>
              </w:rPr>
              <w:t xml:space="preserve">ние систем классификации и кодирования пространственных данны</w:t>
            </w:r>
            <w:r>
              <w:rPr>
                <w:rFonts w:eastAsia="Arial"/>
                <w:sz w:val="26"/>
                <w:szCs w:val="26"/>
                <w:highlight w:val="white"/>
              </w:rPr>
              <w:t xml:space="preserve">х.</w:t>
            </w:r>
            <w:r>
              <w:rPr>
                <w:spacing w:val="-5"/>
                <w:sz w:val="26"/>
                <w:szCs w:val="26"/>
              </w:rPr>
            </w:r>
            <w:r>
              <w:rPr>
                <w:spacing w:val="-5"/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«Правила по охране труда при эксплуатации электроустановок» </w:t>
            </w:r>
            <w:r>
              <w:rPr>
                <w:sz w:val="26"/>
                <w:szCs w:val="26"/>
              </w:rPr>
              <w:t xml:space="preserve">утвержденные</w:t>
            </w:r>
            <w:r>
              <w:rPr>
                <w:sz w:val="26"/>
                <w:szCs w:val="26"/>
              </w:rPr>
              <w:t xml:space="preserve"> приказом Минтруда России от 15.12.2020 № 903н.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Другая действующая на момент разработки проектной документации нормати</w:t>
            </w:r>
            <w:r>
              <w:rPr>
                <w:sz w:val="26"/>
                <w:szCs w:val="26"/>
              </w:rPr>
              <w:t xml:space="preserve">вно-техническая документация, действующие законодательные документы РФ и нормативные акты к ним.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22"/>
              <w:jc w:val="both"/>
              <w:tabs>
                <w:tab w:val="left" w:pos="883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Перечень не является исчерпывающим.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9" w:h="16834" w:orient="portrait"/>
      <w:pgMar w:top="426" w:right="569" w:bottom="993" w:left="1134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jc w:val="both"/>
      <w:tabs>
        <w:tab w:val="left" w:pos="7797" w:leader="none"/>
      </w:tabs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4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6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8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0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2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4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6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8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05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8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4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6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8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0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2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4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6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8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05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4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  <w:i w:val="0"/>
      </w:rPr>
    </w:lvl>
    <w:lvl w:ilvl="1">
      <w:start w:val="1"/>
      <w:numFmt w:val="decimal"/>
      <w:isLgl w:val="false"/>
      <w:suff w:val="space"/>
      <w:lvlText w:val="%1.%2."/>
      <w:lvlJc w:val="left"/>
      <w:pPr>
        <w:ind w:left="1567" w:hanging="432"/>
      </w:pPr>
      <w:rPr>
        <w:rFonts w:hint="default" w:cs="Times New Roman"/>
        <w:b/>
        <w:i w:val="0"/>
        <w:sz w:val="26"/>
        <w:szCs w:val="2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14" w:hanging="504"/>
        <w:tabs>
          <w:tab w:val="num" w:pos="1430" w:leader="none"/>
        </w:tabs>
      </w:pPr>
      <w:rPr>
        <w:rFonts w:hint="default" w:cs="Times New Roman"/>
        <w:b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2160" w:leader="none"/>
        </w:tabs>
      </w:pPr>
      <w:rPr>
        <w:rFonts w:hint="default" w:cs="Times New Roman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96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5040" w:leader="none"/>
        </w:tabs>
      </w:pPr>
      <w:rPr>
        <w:rFonts w:hint="default" w:cs="Times New Roman"/>
      </w:r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4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2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4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6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8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0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2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4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6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85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8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8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52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72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92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12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32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52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72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92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12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20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isLgl w:val="false"/>
      <w:suff w:val="space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5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19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8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4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1495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09" w:hanging="360"/>
      </w:pPr>
      <w:rPr>
        <w:rFonts w:hint="default" w:ascii="Wingdings" w:hAnsi="Wingdings" w:eastAsia="Wingdings" w:cs="Wingdings"/>
      </w:rPr>
    </w:lvl>
  </w:abstractNum>
  <w:num w:numId="1">
    <w:abstractNumId w:val="5"/>
  </w:num>
  <w:num w:numId="2">
    <w:abstractNumId w:val="17"/>
  </w:num>
  <w:num w:numId="3">
    <w:abstractNumId w:val="7"/>
  </w:num>
  <w:num w:numId="4">
    <w:abstractNumId w:val="18"/>
  </w:num>
  <w:num w:numId="5">
    <w:abstractNumId w:val="14"/>
  </w:num>
  <w:num w:numId="6">
    <w:abstractNumId w:val="15"/>
  </w:num>
  <w:num w:numId="7">
    <w:abstractNumId w:val="19"/>
  </w:num>
  <w:num w:numId="8">
    <w:abstractNumId w:val="1"/>
  </w:num>
  <w:num w:numId="9">
    <w:abstractNumId w:val="22"/>
  </w:num>
  <w:num w:numId="10">
    <w:abstractNumId w:val="0"/>
  </w:num>
  <w:num w:numId="11">
    <w:abstractNumId w:val="24"/>
  </w:num>
  <w:num w:numId="12">
    <w:abstractNumId w:val="13"/>
  </w:num>
  <w:num w:numId="13">
    <w:abstractNumId w:val="21"/>
  </w:num>
  <w:num w:numId="14">
    <w:abstractNumId w:val="11"/>
  </w:num>
  <w:num w:numId="15">
    <w:abstractNumId w:val="12"/>
  </w:num>
  <w:num w:numId="16">
    <w:abstractNumId w:val="10"/>
  </w:num>
  <w:num w:numId="17">
    <w:abstractNumId w:val="6"/>
  </w:num>
  <w:num w:numId="18">
    <w:abstractNumId w:val="8"/>
  </w:num>
  <w:num w:numId="19">
    <w:abstractNumId w:val="20"/>
  </w:num>
  <w:num w:numId="20">
    <w:abstractNumId w:val="16"/>
  </w:num>
  <w:num w:numId="21">
    <w:abstractNumId w:val="3"/>
  </w:num>
  <w:num w:numId="22">
    <w:abstractNumId w:val="4"/>
  </w:num>
  <w:num w:numId="23">
    <w:abstractNumId w:val="9"/>
  </w:num>
  <w:num w:numId="24">
    <w:abstractNumId w:val="25"/>
  </w:num>
  <w:num w:numId="25">
    <w:abstractNumId w:val="2"/>
  </w:num>
  <w:num w:numId="26">
    <w:abstractNumId w:val="2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8" w:default="1">
    <w:name w:val="Normal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49">
    <w:name w:val="Heading 1"/>
    <w:basedOn w:val="748"/>
    <w:next w:val="748"/>
    <w:link w:val="77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0">
    <w:name w:val="Heading 2"/>
    <w:basedOn w:val="748"/>
    <w:next w:val="748"/>
    <w:link w:val="7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1">
    <w:name w:val="Heading 3"/>
    <w:basedOn w:val="748"/>
    <w:next w:val="748"/>
    <w:link w:val="7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2">
    <w:name w:val="Heading 4"/>
    <w:basedOn w:val="748"/>
    <w:next w:val="748"/>
    <w:link w:val="7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3">
    <w:name w:val="Heading 5"/>
    <w:basedOn w:val="748"/>
    <w:next w:val="748"/>
    <w:link w:val="78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54">
    <w:name w:val="Heading 6"/>
    <w:basedOn w:val="748"/>
    <w:next w:val="748"/>
    <w:link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5">
    <w:name w:val="Heading 7"/>
    <w:basedOn w:val="748"/>
    <w:next w:val="748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748"/>
    <w:next w:val="748"/>
    <w:link w:val="7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7">
    <w:name w:val="Heading 9"/>
    <w:basedOn w:val="748"/>
    <w:next w:val="748"/>
    <w:link w:val="7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8" w:default="1">
    <w:name w:val="Default Paragraph Font"/>
    <w:uiPriority w:val="1"/>
    <w:unhideWhenUsed/>
  </w:style>
  <w:style w:type="table" w:styleId="7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0" w:default="1">
    <w:name w:val="No List"/>
    <w:uiPriority w:val="99"/>
    <w:semiHidden/>
    <w:unhideWhenUsed/>
  </w:style>
  <w:style w:type="character" w:styleId="761" w:customStyle="1">
    <w:name w:val="Heading 1 Char"/>
    <w:basedOn w:val="758"/>
    <w:uiPriority w:val="9"/>
    <w:rPr>
      <w:rFonts w:ascii="Arial" w:hAnsi="Arial" w:eastAsia="Arial" w:cs="Arial"/>
      <w:sz w:val="40"/>
      <w:szCs w:val="40"/>
    </w:rPr>
  </w:style>
  <w:style w:type="character" w:styleId="762" w:customStyle="1">
    <w:name w:val="Heading 2 Char"/>
    <w:basedOn w:val="758"/>
    <w:uiPriority w:val="9"/>
    <w:rPr>
      <w:rFonts w:ascii="Arial" w:hAnsi="Arial" w:eastAsia="Arial" w:cs="Arial"/>
      <w:sz w:val="34"/>
    </w:rPr>
  </w:style>
  <w:style w:type="character" w:styleId="763" w:customStyle="1">
    <w:name w:val="Heading 3 Char"/>
    <w:basedOn w:val="758"/>
    <w:uiPriority w:val="9"/>
    <w:rPr>
      <w:rFonts w:ascii="Arial" w:hAnsi="Arial" w:eastAsia="Arial" w:cs="Arial"/>
      <w:sz w:val="30"/>
      <w:szCs w:val="30"/>
    </w:rPr>
  </w:style>
  <w:style w:type="character" w:styleId="764" w:customStyle="1">
    <w:name w:val="Heading 4 Char"/>
    <w:basedOn w:val="758"/>
    <w:uiPriority w:val="9"/>
    <w:rPr>
      <w:rFonts w:ascii="Arial" w:hAnsi="Arial" w:eastAsia="Arial" w:cs="Arial"/>
      <w:b/>
      <w:bCs/>
      <w:sz w:val="26"/>
      <w:szCs w:val="26"/>
    </w:rPr>
  </w:style>
  <w:style w:type="character" w:styleId="765" w:customStyle="1">
    <w:name w:val="Heading 5 Char"/>
    <w:basedOn w:val="758"/>
    <w:uiPriority w:val="9"/>
    <w:rPr>
      <w:rFonts w:ascii="Arial" w:hAnsi="Arial" w:eastAsia="Arial" w:cs="Arial"/>
      <w:b/>
      <w:bCs/>
      <w:sz w:val="24"/>
      <w:szCs w:val="24"/>
    </w:rPr>
  </w:style>
  <w:style w:type="character" w:styleId="766" w:customStyle="1">
    <w:name w:val="Heading 6 Char"/>
    <w:basedOn w:val="758"/>
    <w:uiPriority w:val="9"/>
    <w:rPr>
      <w:rFonts w:ascii="Arial" w:hAnsi="Arial" w:eastAsia="Arial" w:cs="Arial"/>
      <w:b/>
      <w:bCs/>
      <w:sz w:val="22"/>
      <w:szCs w:val="22"/>
    </w:rPr>
  </w:style>
  <w:style w:type="character" w:styleId="767" w:customStyle="1">
    <w:name w:val="Heading 7 Char"/>
    <w:basedOn w:val="75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8" w:customStyle="1">
    <w:name w:val="Heading 8 Char"/>
    <w:basedOn w:val="758"/>
    <w:uiPriority w:val="9"/>
    <w:rPr>
      <w:rFonts w:ascii="Arial" w:hAnsi="Arial" w:eastAsia="Arial" w:cs="Arial"/>
      <w:i/>
      <w:iCs/>
      <w:sz w:val="22"/>
      <w:szCs w:val="22"/>
    </w:rPr>
  </w:style>
  <w:style w:type="character" w:styleId="769" w:customStyle="1">
    <w:name w:val="Heading 9 Char"/>
    <w:basedOn w:val="758"/>
    <w:uiPriority w:val="9"/>
    <w:rPr>
      <w:rFonts w:ascii="Arial" w:hAnsi="Arial" w:eastAsia="Arial" w:cs="Arial"/>
      <w:i/>
      <w:iCs/>
      <w:sz w:val="21"/>
      <w:szCs w:val="21"/>
    </w:rPr>
  </w:style>
  <w:style w:type="character" w:styleId="770" w:customStyle="1">
    <w:name w:val="Title Char"/>
    <w:basedOn w:val="758"/>
    <w:uiPriority w:val="10"/>
    <w:rPr>
      <w:sz w:val="48"/>
      <w:szCs w:val="48"/>
    </w:rPr>
  </w:style>
  <w:style w:type="character" w:styleId="771" w:customStyle="1">
    <w:name w:val="Subtitle Char"/>
    <w:basedOn w:val="758"/>
    <w:uiPriority w:val="11"/>
    <w:rPr>
      <w:sz w:val="24"/>
      <w:szCs w:val="24"/>
    </w:rPr>
  </w:style>
  <w:style w:type="character" w:styleId="772" w:customStyle="1">
    <w:name w:val="Quote Char"/>
    <w:uiPriority w:val="29"/>
    <w:rPr>
      <w:i/>
    </w:rPr>
  </w:style>
  <w:style w:type="character" w:styleId="773" w:customStyle="1">
    <w:name w:val="Intense Quote Char"/>
    <w:uiPriority w:val="30"/>
    <w:rPr>
      <w:i/>
    </w:rPr>
  </w:style>
  <w:style w:type="character" w:styleId="774" w:customStyle="1">
    <w:name w:val="Footnote Text Char"/>
    <w:uiPriority w:val="99"/>
    <w:rPr>
      <w:sz w:val="18"/>
    </w:rPr>
  </w:style>
  <w:style w:type="character" w:styleId="775" w:customStyle="1">
    <w:name w:val="Endnote Text Char"/>
    <w:uiPriority w:val="99"/>
    <w:rPr>
      <w:sz w:val="20"/>
    </w:rPr>
  </w:style>
  <w:style w:type="character" w:styleId="776" w:customStyle="1">
    <w:name w:val="Заголовок 1 Знак"/>
    <w:basedOn w:val="758"/>
    <w:link w:val="749"/>
    <w:uiPriority w:val="9"/>
    <w:rPr>
      <w:rFonts w:ascii="Arial" w:hAnsi="Arial" w:eastAsia="Arial" w:cs="Arial"/>
      <w:sz w:val="40"/>
      <w:szCs w:val="40"/>
    </w:rPr>
  </w:style>
  <w:style w:type="character" w:styleId="777" w:customStyle="1">
    <w:name w:val="Заголовок 2 Знак"/>
    <w:basedOn w:val="758"/>
    <w:link w:val="750"/>
    <w:uiPriority w:val="9"/>
    <w:rPr>
      <w:rFonts w:ascii="Arial" w:hAnsi="Arial" w:eastAsia="Arial" w:cs="Arial"/>
      <w:sz w:val="34"/>
    </w:rPr>
  </w:style>
  <w:style w:type="character" w:styleId="778" w:customStyle="1">
    <w:name w:val="Заголовок 3 Знак"/>
    <w:basedOn w:val="758"/>
    <w:link w:val="751"/>
    <w:uiPriority w:val="9"/>
    <w:rPr>
      <w:rFonts w:ascii="Arial" w:hAnsi="Arial" w:eastAsia="Arial" w:cs="Arial"/>
      <w:sz w:val="30"/>
      <w:szCs w:val="30"/>
    </w:rPr>
  </w:style>
  <w:style w:type="character" w:styleId="779" w:customStyle="1">
    <w:name w:val="Заголовок 4 Знак"/>
    <w:basedOn w:val="758"/>
    <w:link w:val="752"/>
    <w:uiPriority w:val="9"/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Заголовок 5 Знак"/>
    <w:basedOn w:val="758"/>
    <w:link w:val="753"/>
    <w:uiPriority w:val="9"/>
    <w:rPr>
      <w:rFonts w:ascii="Arial" w:hAnsi="Arial" w:eastAsia="Arial" w:cs="Arial"/>
      <w:b/>
      <w:bCs/>
      <w:sz w:val="24"/>
      <w:szCs w:val="24"/>
    </w:rPr>
  </w:style>
  <w:style w:type="character" w:styleId="781" w:customStyle="1">
    <w:name w:val="Заголовок 6 Знак"/>
    <w:basedOn w:val="758"/>
    <w:link w:val="754"/>
    <w:uiPriority w:val="9"/>
    <w:rPr>
      <w:rFonts w:ascii="Arial" w:hAnsi="Arial" w:eastAsia="Arial" w:cs="Arial"/>
      <w:b/>
      <w:bCs/>
      <w:sz w:val="22"/>
      <w:szCs w:val="22"/>
    </w:rPr>
  </w:style>
  <w:style w:type="character" w:styleId="782" w:customStyle="1">
    <w:name w:val="Заголовок 7 Знак"/>
    <w:basedOn w:val="758"/>
    <w:link w:val="7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3" w:customStyle="1">
    <w:name w:val="Заголовок 8 Знак"/>
    <w:basedOn w:val="758"/>
    <w:link w:val="756"/>
    <w:uiPriority w:val="9"/>
    <w:rPr>
      <w:rFonts w:ascii="Arial" w:hAnsi="Arial" w:eastAsia="Arial" w:cs="Arial"/>
      <w:i/>
      <w:iCs/>
      <w:sz w:val="22"/>
      <w:szCs w:val="22"/>
    </w:rPr>
  </w:style>
  <w:style w:type="character" w:styleId="784" w:customStyle="1">
    <w:name w:val="Заголовок 9 Знак"/>
    <w:basedOn w:val="758"/>
    <w:link w:val="757"/>
    <w:uiPriority w:val="9"/>
    <w:rPr>
      <w:rFonts w:ascii="Arial" w:hAnsi="Arial" w:eastAsia="Arial" w:cs="Arial"/>
      <w:i/>
      <w:iCs/>
      <w:sz w:val="21"/>
      <w:szCs w:val="21"/>
    </w:rPr>
  </w:style>
  <w:style w:type="paragraph" w:styleId="785">
    <w:name w:val="No Spacing"/>
    <w:uiPriority w:val="1"/>
    <w:qFormat/>
    <w:pPr>
      <w:spacing w:after="0" w:line="240" w:lineRule="auto"/>
    </w:pPr>
  </w:style>
  <w:style w:type="paragraph" w:styleId="786">
    <w:name w:val="Title"/>
    <w:basedOn w:val="748"/>
    <w:next w:val="748"/>
    <w:link w:val="7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7" w:customStyle="1">
    <w:name w:val="Заголовок Знак"/>
    <w:basedOn w:val="758"/>
    <w:link w:val="786"/>
    <w:uiPriority w:val="10"/>
    <w:rPr>
      <w:sz w:val="48"/>
      <w:szCs w:val="48"/>
    </w:rPr>
  </w:style>
  <w:style w:type="paragraph" w:styleId="788">
    <w:name w:val="Subtitle"/>
    <w:basedOn w:val="748"/>
    <w:next w:val="748"/>
    <w:link w:val="789"/>
    <w:uiPriority w:val="11"/>
    <w:qFormat/>
    <w:pPr>
      <w:spacing w:before="200" w:after="200"/>
    </w:pPr>
    <w:rPr>
      <w:sz w:val="24"/>
      <w:szCs w:val="24"/>
    </w:rPr>
  </w:style>
  <w:style w:type="character" w:styleId="789" w:customStyle="1">
    <w:name w:val="Подзаголовок Знак"/>
    <w:basedOn w:val="758"/>
    <w:link w:val="788"/>
    <w:uiPriority w:val="11"/>
    <w:rPr>
      <w:sz w:val="24"/>
      <w:szCs w:val="24"/>
    </w:rPr>
  </w:style>
  <w:style w:type="paragraph" w:styleId="790">
    <w:name w:val="Quote"/>
    <w:basedOn w:val="748"/>
    <w:next w:val="748"/>
    <w:link w:val="791"/>
    <w:uiPriority w:val="29"/>
    <w:qFormat/>
    <w:pPr>
      <w:ind w:left="720" w:right="720"/>
    </w:pPr>
    <w:rPr>
      <w:i/>
    </w:rPr>
  </w:style>
  <w:style w:type="character" w:styleId="791" w:customStyle="1">
    <w:name w:val="Цитата 2 Знак"/>
    <w:link w:val="790"/>
    <w:uiPriority w:val="29"/>
    <w:rPr>
      <w:i/>
    </w:rPr>
  </w:style>
  <w:style w:type="paragraph" w:styleId="792">
    <w:name w:val="Intense Quote"/>
    <w:basedOn w:val="748"/>
    <w:next w:val="748"/>
    <w:link w:val="79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 w:customStyle="1">
    <w:name w:val="Выделенная цитата Знак"/>
    <w:link w:val="792"/>
    <w:uiPriority w:val="30"/>
    <w:rPr>
      <w:i/>
    </w:rPr>
  </w:style>
  <w:style w:type="character" w:styleId="794" w:customStyle="1">
    <w:name w:val="Header Char"/>
    <w:basedOn w:val="758"/>
    <w:uiPriority w:val="99"/>
  </w:style>
  <w:style w:type="character" w:styleId="795" w:customStyle="1">
    <w:name w:val="Footer Char"/>
    <w:basedOn w:val="758"/>
    <w:uiPriority w:val="99"/>
  </w:style>
  <w:style w:type="paragraph" w:styleId="796">
    <w:name w:val="Caption"/>
    <w:basedOn w:val="748"/>
    <w:next w:val="74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97" w:customStyle="1">
    <w:name w:val="Caption Char"/>
    <w:uiPriority w:val="99"/>
  </w:style>
  <w:style w:type="table" w:styleId="798">
    <w:name w:val="Table Grid"/>
    <w:basedOn w:val="75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99" w:customStyle="1">
    <w:name w:val="Table Grid Light"/>
    <w:basedOn w:val="75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0">
    <w:name w:val="Plain Table 1"/>
    <w:basedOn w:val="75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>
    <w:name w:val="Plain Table 2"/>
    <w:basedOn w:val="75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3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3">
    <w:name w:val="Plain Table 4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Plain Table 5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5">
    <w:name w:val="Grid Table 1 Light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4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7" w:customStyle="1">
    <w:name w:val="Grid Table 4 - Accent 1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28" w:customStyle="1">
    <w:name w:val="Grid Table 4 - Accent 2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29" w:customStyle="1">
    <w:name w:val="Grid Table 4 - Accent 3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30" w:customStyle="1">
    <w:name w:val="Grid Table 4 - Accent 4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31" w:customStyle="1">
    <w:name w:val="Grid Table 4 - Accent 5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32" w:customStyle="1">
    <w:name w:val="Grid Table 4 - Accent 6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3">
    <w:name w:val="Grid Table 5 Dark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40">
    <w:name w:val="Grid Table 6 Colorful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1" w:customStyle="1">
    <w:name w:val="Grid Table 6 Colorful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42" w:customStyle="1">
    <w:name w:val="Grid Table 6 Colorful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3" w:customStyle="1">
    <w:name w:val="Grid Table 6 Colorful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4" w:customStyle="1">
    <w:name w:val="Grid Table 6 Colorful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5" w:customStyle="1">
    <w:name w:val="Grid Table 6 Colorful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6" w:customStyle="1">
    <w:name w:val="Grid Table 6 Colorful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7">
    <w:name w:val="Grid Table 7 Colorful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1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2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3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4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5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6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68">
    <w:name w:val="List Table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5 Dark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>
    <w:name w:val="List Table 6 Colorful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0" w:customStyle="1">
    <w:name w:val="List Table 6 Colorful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91" w:customStyle="1">
    <w:name w:val="List Table 6 Colorful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92" w:customStyle="1">
    <w:name w:val="List Table 6 Colorful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3" w:customStyle="1">
    <w:name w:val="List Table 6 Colorful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4" w:customStyle="1">
    <w:name w:val="List Table 6 Colorful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95" w:customStyle="1">
    <w:name w:val="List Table 6 Colorful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96">
    <w:name w:val="List Table 7 Colorful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ned - Accent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4" w:customStyle="1">
    <w:name w:val="Lined - Accent 1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5" w:customStyle="1">
    <w:name w:val="Lined - Accent 2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6" w:customStyle="1">
    <w:name w:val="Lined - Accent 3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7" w:customStyle="1">
    <w:name w:val="Lined - Accent 4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08" w:customStyle="1">
    <w:name w:val="Lined - Accent 5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09" w:customStyle="1">
    <w:name w:val="Lined - Accent 6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0" w:customStyle="1">
    <w:name w:val="Bordered &amp; Lined - Accent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1" w:customStyle="1">
    <w:name w:val="Bordered &amp; Lined - Accent 1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12" w:customStyle="1">
    <w:name w:val="Bordered &amp; Lined - Accent 2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3" w:customStyle="1">
    <w:name w:val="Bordered &amp; Lined - Accent 3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4" w:customStyle="1">
    <w:name w:val="Bordered &amp; Lined - Accent 4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5" w:customStyle="1">
    <w:name w:val="Bordered &amp; Lined - Accent 5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6" w:customStyle="1">
    <w:name w:val="Bordered &amp; Lined - Accent 6"/>
    <w:basedOn w:val="75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7" w:customStyle="1">
    <w:name w:val="Bordered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8" w:customStyle="1">
    <w:name w:val="Bordered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19" w:customStyle="1">
    <w:name w:val="Bordered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20" w:customStyle="1">
    <w:name w:val="Bordered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21" w:customStyle="1">
    <w:name w:val="Bordered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22" w:customStyle="1">
    <w:name w:val="Bordered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23" w:customStyle="1">
    <w:name w:val="Bordered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24">
    <w:name w:val="footnote text"/>
    <w:basedOn w:val="748"/>
    <w:link w:val="925"/>
    <w:uiPriority w:val="99"/>
    <w:semiHidden/>
    <w:unhideWhenUsed/>
    <w:pPr>
      <w:spacing w:after="40"/>
    </w:pPr>
    <w:rPr>
      <w:sz w:val="18"/>
    </w:rPr>
  </w:style>
  <w:style w:type="character" w:styleId="925" w:customStyle="1">
    <w:name w:val="Текст сноски Знак"/>
    <w:link w:val="924"/>
    <w:uiPriority w:val="99"/>
    <w:rPr>
      <w:sz w:val="18"/>
    </w:rPr>
  </w:style>
  <w:style w:type="character" w:styleId="926">
    <w:name w:val="footnote reference"/>
    <w:basedOn w:val="758"/>
    <w:uiPriority w:val="99"/>
    <w:unhideWhenUsed/>
    <w:rPr>
      <w:vertAlign w:val="superscript"/>
    </w:rPr>
  </w:style>
  <w:style w:type="paragraph" w:styleId="927">
    <w:name w:val="endnote text"/>
    <w:basedOn w:val="748"/>
    <w:link w:val="928"/>
    <w:uiPriority w:val="99"/>
    <w:semiHidden/>
    <w:unhideWhenUsed/>
  </w:style>
  <w:style w:type="character" w:styleId="928" w:customStyle="1">
    <w:name w:val="Текст концевой сноски Знак"/>
    <w:link w:val="927"/>
    <w:uiPriority w:val="99"/>
    <w:rPr>
      <w:sz w:val="20"/>
    </w:rPr>
  </w:style>
  <w:style w:type="character" w:styleId="929">
    <w:name w:val="endnote reference"/>
    <w:basedOn w:val="758"/>
    <w:uiPriority w:val="99"/>
    <w:semiHidden/>
    <w:unhideWhenUsed/>
    <w:rPr>
      <w:vertAlign w:val="superscript"/>
    </w:rPr>
  </w:style>
  <w:style w:type="paragraph" w:styleId="930">
    <w:name w:val="toc 1"/>
    <w:basedOn w:val="748"/>
    <w:next w:val="748"/>
    <w:uiPriority w:val="39"/>
    <w:unhideWhenUsed/>
    <w:pPr>
      <w:spacing w:after="57"/>
    </w:pPr>
  </w:style>
  <w:style w:type="paragraph" w:styleId="931">
    <w:name w:val="toc 2"/>
    <w:basedOn w:val="748"/>
    <w:next w:val="748"/>
    <w:uiPriority w:val="39"/>
    <w:unhideWhenUsed/>
    <w:pPr>
      <w:ind w:left="283"/>
      <w:spacing w:after="57"/>
    </w:pPr>
  </w:style>
  <w:style w:type="paragraph" w:styleId="932">
    <w:name w:val="toc 3"/>
    <w:basedOn w:val="748"/>
    <w:next w:val="748"/>
    <w:uiPriority w:val="39"/>
    <w:unhideWhenUsed/>
    <w:pPr>
      <w:ind w:left="567"/>
      <w:spacing w:after="57"/>
    </w:pPr>
  </w:style>
  <w:style w:type="paragraph" w:styleId="933">
    <w:name w:val="toc 4"/>
    <w:basedOn w:val="748"/>
    <w:next w:val="748"/>
    <w:uiPriority w:val="39"/>
    <w:unhideWhenUsed/>
    <w:pPr>
      <w:ind w:left="850"/>
      <w:spacing w:after="57"/>
    </w:pPr>
  </w:style>
  <w:style w:type="paragraph" w:styleId="934">
    <w:name w:val="toc 5"/>
    <w:basedOn w:val="748"/>
    <w:next w:val="748"/>
    <w:uiPriority w:val="39"/>
    <w:unhideWhenUsed/>
    <w:pPr>
      <w:ind w:left="1134"/>
      <w:spacing w:after="57"/>
    </w:pPr>
  </w:style>
  <w:style w:type="paragraph" w:styleId="935">
    <w:name w:val="toc 6"/>
    <w:basedOn w:val="748"/>
    <w:next w:val="748"/>
    <w:uiPriority w:val="39"/>
    <w:unhideWhenUsed/>
    <w:pPr>
      <w:ind w:left="1417"/>
      <w:spacing w:after="57"/>
    </w:pPr>
  </w:style>
  <w:style w:type="paragraph" w:styleId="936">
    <w:name w:val="toc 7"/>
    <w:basedOn w:val="748"/>
    <w:next w:val="748"/>
    <w:uiPriority w:val="39"/>
    <w:unhideWhenUsed/>
    <w:pPr>
      <w:ind w:left="1701"/>
      <w:spacing w:after="57"/>
    </w:pPr>
  </w:style>
  <w:style w:type="paragraph" w:styleId="937">
    <w:name w:val="toc 8"/>
    <w:basedOn w:val="748"/>
    <w:next w:val="748"/>
    <w:uiPriority w:val="39"/>
    <w:unhideWhenUsed/>
    <w:pPr>
      <w:ind w:left="1984"/>
      <w:spacing w:after="57"/>
    </w:pPr>
  </w:style>
  <w:style w:type="paragraph" w:styleId="938">
    <w:name w:val="toc 9"/>
    <w:basedOn w:val="748"/>
    <w:next w:val="748"/>
    <w:uiPriority w:val="39"/>
    <w:unhideWhenUsed/>
    <w:pPr>
      <w:ind w:left="2268"/>
      <w:spacing w:after="57"/>
    </w:pPr>
  </w:style>
  <w:style w:type="paragraph" w:styleId="939">
    <w:name w:val="TOC Heading"/>
    <w:uiPriority w:val="39"/>
    <w:unhideWhenUsed/>
  </w:style>
  <w:style w:type="paragraph" w:styleId="940">
    <w:name w:val="table of figures"/>
    <w:basedOn w:val="748"/>
    <w:next w:val="748"/>
    <w:uiPriority w:val="99"/>
    <w:unhideWhenUsed/>
  </w:style>
  <w:style w:type="character" w:styleId="941" w:customStyle="1">
    <w:name w:val="Нижний колонтитул Знак"/>
    <w:link w:val="943"/>
    <w:uiPriority w:val="99"/>
  </w:style>
  <w:style w:type="character" w:styleId="942">
    <w:name w:val="Hyperlink"/>
    <w:uiPriority w:val="99"/>
    <w:unhideWhenUsed/>
    <w:rPr>
      <w:color w:val="0000ff"/>
      <w:u w:val="single"/>
    </w:rPr>
  </w:style>
  <w:style w:type="paragraph" w:styleId="943">
    <w:name w:val="Footer"/>
    <w:basedOn w:val="748"/>
    <w:link w:val="941"/>
    <w:uiPriority w:val="99"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944" w:customStyle="1">
    <w:name w:val="Нижний колонтитул Знак1"/>
    <w:basedOn w:val="75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5">
    <w:name w:val="Body Text"/>
    <w:basedOn w:val="748"/>
    <w:link w:val="946"/>
    <w:pPr>
      <w:widowControl/>
    </w:pPr>
    <w:rPr>
      <w:sz w:val="26"/>
      <w:szCs w:val="26"/>
    </w:rPr>
  </w:style>
  <w:style w:type="character" w:styleId="946" w:customStyle="1">
    <w:name w:val="Основной текст Знак"/>
    <w:basedOn w:val="758"/>
    <w:link w:val="945"/>
    <w:rPr>
      <w:rFonts w:ascii="Times New Roman" w:hAnsi="Times New Roman" w:eastAsia="Times New Roman" w:cs="Times New Roman"/>
      <w:sz w:val="26"/>
      <w:szCs w:val="26"/>
      <w:lang w:eastAsia="ru-RU"/>
    </w:rPr>
  </w:style>
  <w:style w:type="paragraph" w:styleId="947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Arial" w:cs="Times New Roman"/>
      <w:sz w:val="20"/>
      <w:szCs w:val="20"/>
      <w:lang w:eastAsia="ar-SA"/>
    </w:rPr>
  </w:style>
  <w:style w:type="paragraph" w:styleId="948">
    <w:name w:val="List Number"/>
    <w:basedOn w:val="748"/>
    <w:pPr>
      <w:ind w:left="502" w:hanging="360"/>
      <w:spacing w:before="120"/>
      <w:widowControl/>
      <w:tabs>
        <w:tab w:val="num" w:pos="502" w:leader="none"/>
      </w:tabs>
    </w:pPr>
    <w:rPr>
      <w:sz w:val="24"/>
      <w:lang w:eastAsia="en-US"/>
    </w:rPr>
  </w:style>
  <w:style w:type="paragraph" w:styleId="949" w:customStyle="1">
    <w:name w:val="Абзац списка;Алроса_маркер (Уровень 4);Маркер;ПАРАГРАФ;Абзац списка2"/>
    <w:basedOn w:val="748"/>
    <w:pPr>
      <w:contextualSpacing/>
      <w:ind w:left="720"/>
      <w:widowControl/>
    </w:pPr>
  </w:style>
  <w:style w:type="paragraph" w:styleId="950">
    <w:name w:val="Plain Text"/>
    <w:basedOn w:val="748"/>
    <w:link w:val="951"/>
    <w:pPr>
      <w:widowControl/>
    </w:pPr>
    <w:rPr>
      <w:rFonts w:ascii="Courier New" w:hAnsi="Courier New"/>
    </w:rPr>
  </w:style>
  <w:style w:type="character" w:styleId="951" w:customStyle="1">
    <w:name w:val="Текст Знак"/>
    <w:basedOn w:val="758"/>
    <w:link w:val="950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952">
    <w:name w:val="Emphasis"/>
    <w:rPr>
      <w:i/>
      <w:iCs/>
    </w:rPr>
  </w:style>
  <w:style w:type="character" w:styleId="953" w:customStyle="1">
    <w:name w:val="Основной текст (2)"/>
    <w:basedOn w:val="758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19"/>
      <w:szCs w:val="19"/>
      <w:u w:val="none"/>
      <w:lang w:val="ru-RU" w:eastAsia="ru-RU" w:bidi="ru-RU"/>
    </w:rPr>
  </w:style>
  <w:style w:type="paragraph" w:styleId="954">
    <w:name w:val="List Paragraph"/>
    <w:basedOn w:val="748"/>
    <w:link w:val="955"/>
    <w:uiPriority w:val="34"/>
    <w:qFormat/>
    <w:pPr>
      <w:contextualSpacing/>
      <w:ind w:left="720"/>
      <w:spacing w:after="160" w:line="259" w:lineRule="auto"/>
      <w:widowControl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styleId="955" w:customStyle="1">
    <w:name w:val="Абзац списка Знак"/>
    <w:link w:val="954"/>
    <w:uiPriority w:val="34"/>
    <w:qFormat/>
  </w:style>
  <w:style w:type="paragraph" w:styleId="956">
    <w:name w:val="Balloon Text"/>
    <w:basedOn w:val="748"/>
    <w:link w:val="95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57" w:customStyle="1">
    <w:name w:val="Текст выноски Знак"/>
    <w:basedOn w:val="758"/>
    <w:link w:val="95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58">
    <w:name w:val="Header"/>
    <w:basedOn w:val="748"/>
    <w:link w:val="95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758"/>
    <w:link w:val="958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60" w:customStyle="1">
    <w:name w:val="Текст примечания1"/>
    <w:uiPriority w:val="99"/>
    <w:unhideWhenUsed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961" w:customStyle="1">
    <w:name w:val="Абзац списка;Общий_К;List Paragraph;Нумерованый список;ПАРАГРАФ;List Paragraph1;Нумерованный спиков;Название таблицы;Списки;3_Абзац списка;Абзац маркированнный;1;UL;1. Абзац списка;Table-Normal;RSHB_Table-Normal;Предусловия;Odrážka;Раздел;Абзац вправо-1"/>
    <w:link w:val="927"/>
    <w:uiPriority w:val="34"/>
    <w:qFormat/>
    <w:pPr>
      <w:contextualSpacing/>
      <w:ind w:left="72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Загузова Юлия Сергеевна</dc:creator>
  <cp:keywords/>
  <dc:description/>
  <cp:revision>15</cp:revision>
  <dcterms:created xsi:type="dcterms:W3CDTF">2024-04-24T01:05:00Z</dcterms:created>
  <dcterms:modified xsi:type="dcterms:W3CDTF">2024-11-07T00:00:10Z</dcterms:modified>
</cp:coreProperties>
</file>