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-114" w:right="-505" w:firstLine="1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продукции производственно-технического назначения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49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"___" ________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Акционерное общество «Дальневосточная генерирующая компания» (АО «ДГК»)</w:t>
      </w:r>
      <w:r>
        <w:rPr>
          <w:rFonts w:ascii="Times New Roman" w:hAnsi="Times New Roman"/>
          <w:sz w:val="24"/>
          <w:szCs w:val="24"/>
        </w:rPr>
        <w:t xml:space="preserve">, именуемое в дальнейшем Покупатель, в лице </w:t>
      </w:r>
      <w:r>
        <w:rPr>
          <w:rFonts w:ascii="Times New Roman" w:hAnsi="Times New Roman"/>
          <w:sz w:val="24"/>
          <w:szCs w:val="24"/>
        </w:rPr>
        <w:t xml:space="preserve">____________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_________________</w:t>
      </w:r>
      <w:r>
        <w:rPr>
          <w:rFonts w:ascii="Times New Roman" w:hAnsi="Times New Roman"/>
          <w:sz w:val="24"/>
          <w:szCs w:val="24"/>
        </w:rPr>
        <w:t xml:space="preserve">, с одной стороны,</w:t>
      </w:r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_____________________</w:t>
      </w:r>
      <w:r>
        <w:rPr>
          <w:rFonts w:ascii="Times New Roman" w:hAnsi="Times New Roman"/>
          <w:sz w:val="24"/>
          <w:szCs w:val="24"/>
        </w:rPr>
        <w:t xml:space="preserve">, именуемое</w:t>
      </w:r>
      <w:r>
        <w:rPr>
          <w:rFonts w:ascii="Times New Roman" w:hAnsi="Times New Roman"/>
          <w:sz w:val="24"/>
          <w:szCs w:val="24"/>
        </w:rPr>
        <w:t xml:space="preserve"> в дальнейшем Поставщик, в лице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 xml:space="preserve">______________________________</w:t>
      </w:r>
      <w:r>
        <w:rPr>
          <w:rFonts w:ascii="Times New Roman" w:hAnsi="Times New Roman"/>
          <w:sz w:val="24"/>
          <w:szCs w:val="24"/>
        </w:rPr>
        <w:t xml:space="preserve">, с другой стороны, именуемые в дальнейшем Стороны, заключили настоящий Договор о нижеследующем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В соответствии с настоящим Договором и со Спецификацией</w:t>
      </w:r>
      <w:r>
        <w:rPr>
          <w:rFonts w:ascii="Times New Roman" w:hAnsi="Times New Roman" w:cs="Times New Roman"/>
        </w:rPr>
        <w:t xml:space="preserve"> №1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(Приложени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  <w:t xml:space="preserve"> к настоящему Договору) Поставщик обязуется передать Покупателю </w:t>
      </w:r>
      <w:r>
        <w:rPr>
          <w:rFonts w:ascii="Times New Roman" w:hAnsi="Times New Roman" w:cs="Times New Roman"/>
        </w:rPr>
        <w:t xml:space="preserve">наполнитель </w:t>
      </w:r>
      <w:r>
        <w:rPr>
          <w:rFonts w:ascii="Times New Roman" w:hAnsi="Times New Roman" w:cs="Times New Roman"/>
        </w:rPr>
        <w:t xml:space="preserve">для декарбонизатора </w:t>
      </w:r>
      <w:r>
        <w:rPr>
          <w:rFonts w:ascii="Times New Roman" w:hAnsi="Times New Roman" w:cs="Times New Roman"/>
        </w:rPr>
        <w:t xml:space="preserve">ДАНПАК (далее - продукция), а Покупатель </w:t>
      </w:r>
      <w:r>
        <w:rPr>
          <w:rFonts w:ascii="Times New Roman" w:hAnsi="Times New Roman" w:cs="Times New Roman"/>
        </w:rPr>
        <w:t xml:space="preserve">обязуется </w:t>
      </w:r>
      <w:r>
        <w:rPr>
          <w:rFonts w:ascii="Times New Roman" w:hAnsi="Times New Roman" w:cs="Times New Roman"/>
        </w:rPr>
        <w:t xml:space="preserve">принять и оплатить продукцию.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Сумма</w:t>
      </w:r>
      <w:r>
        <w:rPr>
          <w:rFonts w:ascii="Times New Roman" w:hAnsi="Times New Roman" w:cs="Times New Roman"/>
          <w:b/>
          <w:bCs/>
        </w:rPr>
        <w:t xml:space="preserve"> 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</w:t>
      </w:r>
      <w:r>
        <w:rPr>
          <w:rFonts w:ascii="Times New Roman" w:hAnsi="Times New Roman" w:cs="Times New Roman"/>
        </w:rPr>
        <w:t xml:space="preserve">Продукция оплачивается Покупателем по цен</w:t>
      </w:r>
      <w:r>
        <w:rPr>
          <w:rFonts w:ascii="Times New Roman" w:hAnsi="Times New Roman" w:cs="Times New Roman"/>
        </w:rPr>
        <w:t xml:space="preserve">ам</w:t>
      </w:r>
      <w:r>
        <w:rPr>
          <w:rFonts w:ascii="Times New Roman" w:hAnsi="Times New Roman" w:cs="Times New Roman"/>
        </w:rPr>
        <w:t xml:space="preserve">, отраженн</w:t>
      </w:r>
      <w:r>
        <w:rPr>
          <w:rFonts w:ascii="Times New Roman" w:hAnsi="Times New Roman" w:cs="Times New Roman"/>
        </w:rPr>
        <w:t xml:space="preserve">ым</w:t>
      </w:r>
      <w:r>
        <w:rPr>
          <w:rFonts w:ascii="Times New Roman" w:hAnsi="Times New Roman" w:cs="Times New Roman"/>
        </w:rPr>
        <w:t xml:space="preserve"> в Спецификаци</w:t>
      </w:r>
      <w:r>
        <w:rPr>
          <w:rFonts w:ascii="Times New Roman" w:hAnsi="Times New Roman" w:cs="Times New Roman"/>
        </w:rPr>
        <w:t xml:space="preserve">и №1 (Приложение №1</w:t>
      </w:r>
      <w:r>
        <w:rPr>
          <w:rFonts w:ascii="Times New Roman" w:hAnsi="Times New Roman" w:cs="Times New Roman"/>
        </w:rPr>
        <w:t xml:space="preserve"> к настоящему Договору)</w:t>
      </w:r>
      <w:r>
        <w:rPr>
          <w:rFonts w:ascii="Times New Roman" w:hAnsi="Times New Roman" w:cs="Times New Roman"/>
        </w:rPr>
        <w:t xml:space="preserve"> на основании выставленн</w:t>
      </w:r>
      <w:r>
        <w:rPr>
          <w:rFonts w:ascii="Times New Roman" w:hAnsi="Times New Roman" w:cs="Times New Roman"/>
        </w:rPr>
        <w:t xml:space="preserve">ых</w:t>
      </w:r>
      <w:r>
        <w:rPr>
          <w:rFonts w:ascii="Times New Roman" w:hAnsi="Times New Roman" w:cs="Times New Roman"/>
        </w:rPr>
        <w:t xml:space="preserve"> счет</w:t>
      </w:r>
      <w:r>
        <w:rPr>
          <w:rFonts w:ascii="Times New Roman" w:hAnsi="Times New Roman" w:cs="Times New Roman"/>
        </w:rPr>
        <w:t xml:space="preserve">ов</w:t>
      </w:r>
      <w:r>
        <w:rPr>
          <w:rFonts w:ascii="Times New Roman" w:hAnsi="Times New Roman" w:cs="Times New Roman"/>
        </w:rPr>
        <w:t xml:space="preserve">-фактур </w:t>
      </w:r>
      <w:r>
        <w:rPr>
          <w:rFonts w:ascii="Times New Roman" w:hAnsi="Times New Roman" w:cs="Times New Roman"/>
        </w:rPr>
        <w:t xml:space="preserve">или универсальн</w:t>
      </w:r>
      <w:r>
        <w:rPr>
          <w:rFonts w:ascii="Times New Roman" w:hAnsi="Times New Roman" w:cs="Times New Roman"/>
        </w:rPr>
        <w:t xml:space="preserve">ых</w:t>
      </w:r>
      <w:r>
        <w:rPr>
          <w:rFonts w:ascii="Times New Roman" w:hAnsi="Times New Roman" w:cs="Times New Roman"/>
        </w:rPr>
        <w:t xml:space="preserve"> передаточн</w:t>
      </w:r>
      <w:r>
        <w:rPr>
          <w:rFonts w:ascii="Times New Roman" w:hAnsi="Times New Roman" w:cs="Times New Roman"/>
        </w:rPr>
        <w:t xml:space="preserve">ых</w:t>
      </w:r>
      <w:r>
        <w:rPr>
          <w:rFonts w:ascii="Times New Roman" w:hAnsi="Times New Roman" w:cs="Times New Roman"/>
        </w:rPr>
        <w:t xml:space="preserve"> документ</w:t>
      </w:r>
      <w:r>
        <w:rPr>
          <w:rFonts w:ascii="Times New Roman" w:hAnsi="Times New Roman" w:cs="Times New Roman"/>
        </w:rPr>
        <w:t xml:space="preserve">ов</w:t>
      </w:r>
      <w:r>
        <w:rPr>
          <w:rFonts w:ascii="Times New Roman" w:hAnsi="Times New Roman" w:cs="Times New Roman"/>
        </w:rPr>
        <w:t xml:space="preserve"> (далее - </w:t>
      </w:r>
      <w:r>
        <w:rPr>
          <w:rFonts w:ascii="Times New Roman" w:hAnsi="Times New Roman" w:cs="Times New Roman"/>
        </w:rPr>
        <w:t xml:space="preserve">УПД)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отгруженную продукцию.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 xml:space="preserve">Сумма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составляет ____________ (____________________ рублей __ копеек), в том числе НДС (20%) _____________ (______________ рублей __ копеек).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>
        <w:rPr>
          <w:rFonts w:ascii="Times New Roman" w:hAnsi="Times New Roman" w:cs="Times New Roman"/>
        </w:rPr>
        <w:t xml:space="preserve">Порядок оплаты продукции: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 xml:space="preserve">в случае заключения договора с </w:t>
      </w:r>
      <w:r>
        <w:rPr>
          <w:rFonts w:ascii="Times New Roman" w:hAnsi="Times New Roman" w:cs="Times New Roman"/>
          <w:i/>
        </w:rPr>
        <w:t xml:space="preserve">Поставщиком</w:t>
      </w:r>
      <w:r>
        <w:rPr>
          <w:rFonts w:ascii="Times New Roman" w:hAnsi="Times New Roman" w:cs="Times New Roman"/>
          <w:i/>
        </w:rPr>
        <w:t xml:space="preserve">, не относящимся к субъектам малого и среднего предпринимательства</w:t>
      </w:r>
      <w:r>
        <w:rPr>
          <w:rFonts w:ascii="Times New Roman" w:hAnsi="Times New Roman" w:cs="Times New Roman"/>
          <w:i/>
        </w:rPr>
        <w:t xml:space="preserve"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100% от суммы поставленной продукции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производится по факту поставки продукции </w:t>
      </w:r>
      <w:r>
        <w:rPr>
          <w:rFonts w:ascii="Times New Roman" w:hAnsi="Times New Roman" w:cs="Times New Roman"/>
        </w:rPr>
        <w:t xml:space="preserve">в течение 20 (двадцати) календарных дней</w:t>
      </w:r>
      <w:r>
        <w:t xml:space="preserve"> </w:t>
      </w:r>
      <w:r>
        <w:rPr>
          <w:rFonts w:ascii="Times New Roman" w:hAnsi="Times New Roman" w:cs="Times New Roman"/>
        </w:rPr>
        <w:t xml:space="preserve">с даты подписания Покупателем (грузополучателем) товарной накладной по форме ТОРГ-12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УПД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 при наличии акта входного контроля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 xml:space="preserve">в случае заключения договора с Поставщиком, являющимся субъектом малого и среднего предпринимательства</w:t>
      </w:r>
      <w:r>
        <w:rPr>
          <w:rFonts w:ascii="Times New Roman" w:hAnsi="Times New Roman" w:cs="Times New Roman"/>
          <w:i/>
        </w:rPr>
        <w:t xml:space="preserve"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100% от суммы поставленной продукции произв</w:t>
      </w:r>
      <w:r>
        <w:rPr>
          <w:rFonts w:ascii="Times New Roman" w:hAnsi="Times New Roman" w:cs="Times New Roman"/>
        </w:rPr>
        <w:t xml:space="preserve">одится по факту поставки </w:t>
      </w:r>
      <w:r>
        <w:rPr>
          <w:rFonts w:ascii="Times New Roman" w:hAnsi="Times New Roman" w:cs="Times New Roman"/>
        </w:rPr>
        <w:t xml:space="preserve">продукции в течение 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семи) рабочих дней </w:t>
      </w:r>
      <w:r>
        <w:rPr>
          <w:rFonts w:ascii="Times New Roman" w:hAnsi="Times New Roman" w:cs="Times New Roman"/>
        </w:rPr>
        <w:t xml:space="preserve">с даты подписания Покупателем (грузополучателем) товарной накла</w:t>
      </w:r>
      <w:r>
        <w:rPr>
          <w:rFonts w:ascii="Times New Roman" w:hAnsi="Times New Roman" w:cs="Times New Roman"/>
        </w:rPr>
        <w:t xml:space="preserve">дной по форме ТОРГ-12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УПД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 при наличии </w:t>
      </w:r>
      <w:r>
        <w:rPr>
          <w:rFonts w:ascii="Times New Roman" w:hAnsi="Times New Roman" w:cs="Times New Roman"/>
        </w:rPr>
        <w:t xml:space="preserve">акта входного контроля.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фактически отгруженной Поставщиком продукции определяется Сторонами по товарным накладным по форме ТОРГ-12 (УПД). </w:t>
      </w:r>
      <w:r>
        <w:rPr>
          <w:rFonts w:ascii="Times New Roman" w:hAnsi="Times New Roman" w:cs="Times New Roman"/>
          <w:sz w:val="24"/>
          <w:szCs w:val="24"/>
        </w:rPr>
        <w:t xml:space="preserve">Из-за специфики отгрузки продукции возможно отступление поставки по количеству проду</w:t>
      </w:r>
      <w:r>
        <w:rPr>
          <w:rFonts w:ascii="Times New Roman" w:hAnsi="Times New Roman" w:cs="Times New Roman"/>
          <w:sz w:val="24"/>
          <w:szCs w:val="24"/>
        </w:rPr>
        <w:t xml:space="preserve">кции </w:t>
      </w:r>
      <w:r>
        <w:rPr>
          <w:rFonts w:ascii="Times New Roman" w:hAnsi="Times New Roman" w:cs="Times New Roman"/>
          <w:sz w:val="24"/>
          <w:szCs w:val="24"/>
        </w:rPr>
        <w:t xml:space="preserve">в пре</w:t>
      </w:r>
      <w:r>
        <w:rPr>
          <w:rFonts w:ascii="Times New Roman" w:hAnsi="Times New Roman" w:cs="Times New Roman"/>
          <w:sz w:val="24"/>
          <w:szCs w:val="24"/>
        </w:rPr>
        <w:t xml:space="preserve">делах -/+ 3</w:t>
      </w:r>
      <w:r>
        <w:rPr>
          <w:rFonts w:ascii="Times New Roman" w:hAnsi="Times New Roman" w:cs="Times New Roman"/>
          <w:sz w:val="24"/>
          <w:szCs w:val="24"/>
        </w:rPr>
        <w:t xml:space="preserve">%. В этом случае Покупатель производит оплату фактически поставленной продукции.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вправе произвести сальдо взаимных обязательств Сторон путем уменьше</w:t>
      </w:r>
      <w:r>
        <w:rPr>
          <w:rFonts w:ascii="Times New Roman" w:hAnsi="Times New Roman" w:cs="Times New Roman"/>
          <w:sz w:val="24"/>
          <w:szCs w:val="24"/>
        </w:rPr>
        <w:t xml:space="preserve">ния сумм причитающихся Поставщику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Поставщика перед </w:t>
      </w:r>
      <w:r>
        <w:rPr>
          <w:rFonts w:ascii="Times New Roman" w:hAnsi="Times New Roman" w:cs="Times New Roman"/>
          <w:sz w:val="24"/>
          <w:szCs w:val="24"/>
        </w:rPr>
        <w:t xml:space="preserve">Покупателем, в том числе (включая, но не ограничиваясь),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поставленной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продукции/недостатков выполненных Поставщиком работ/оказанных услуг.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2.5. </w:t>
      </w:r>
      <w:r>
        <w:rPr>
          <w:rFonts w:ascii="Times New Roman" w:hAnsi="Times New Roman" w:cs="Times New Roman"/>
        </w:rPr>
        <w:t xml:space="preserve">Цена за единицу продукции фиксируется в соответствии с условиями проведенной конкурентной процедуры и не подлежит изменению Поставщиком в одностороннем порядке до полного исполнения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2.6 Индексация цены Договора не предусм</w:t>
      </w:r>
      <w:r>
        <w:rPr>
          <w:rFonts w:ascii="Times New Roman" w:hAnsi="Times New Roman" w:cs="Times New Roman"/>
          <w:color w:val="000000"/>
        </w:rPr>
        <w:t xml:space="preserve">отрена.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Расчеты по Договор</w:t>
      </w:r>
      <w:r>
        <w:rPr>
          <w:rFonts w:ascii="Times New Roman" w:hAnsi="Times New Roman" w:cs="Times New Roman"/>
        </w:rPr>
        <w:t xml:space="preserve">у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осуществляются </w:t>
      </w:r>
      <w:r>
        <w:rPr>
          <w:rFonts w:ascii="Times New Roman" w:hAnsi="Times New Roman" w:cs="Times New Roman"/>
        </w:rPr>
        <w:t xml:space="preserve">в валюте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2.8</w:t>
      </w:r>
      <w:r>
        <w:rPr>
          <w:rFonts w:ascii="Times New Roman" w:hAnsi="Times New Roman" w:cs="Times New Roman"/>
        </w:rPr>
        <w:t xml:space="preserve">. Оплата производится путем перечисления денежных средств на расчетный счет </w:t>
      </w:r>
      <w:r>
        <w:rPr>
          <w:rFonts w:ascii="Times New Roman" w:hAnsi="Times New Roman" w:cs="Times New Roman"/>
        </w:rPr>
        <w:t xml:space="preserve">Поставщика</w:t>
      </w:r>
      <w:r>
        <w:rPr>
          <w:rFonts w:ascii="Times New Roman" w:hAnsi="Times New Roman" w:cs="Times New Roman"/>
        </w:rPr>
        <w:t xml:space="preserve">, указанный в Договоре.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2.9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Обязательства по оплате </w:t>
      </w:r>
      <w:r>
        <w:rPr>
          <w:rFonts w:ascii="Times New Roman" w:hAnsi="Times New Roman" w:cs="Times New Roman"/>
        </w:rPr>
        <w:t xml:space="preserve">продукции</w:t>
      </w:r>
      <w:r>
        <w:rPr>
          <w:rFonts w:ascii="Times New Roman" w:hAnsi="Times New Roman" w:cs="Times New Roman"/>
        </w:rPr>
        <w:t xml:space="preserve"> считаются выполненными с даты списания денежных средств с расчетного счета </w:t>
      </w:r>
      <w:r>
        <w:rPr>
          <w:rFonts w:ascii="Times New Roman" w:hAnsi="Times New Roman" w:cs="Times New Roman"/>
        </w:rPr>
        <w:t xml:space="preserve">Покупателя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 xml:space="preserve">10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Стоимость </w:t>
      </w:r>
      <w:r>
        <w:rPr>
          <w:rFonts w:ascii="Times New Roman" w:hAnsi="Times New Roman" w:cs="Times New Roman"/>
        </w:rPr>
        <w:t xml:space="preserve">тары, упаковки, маркировки</w:t>
      </w:r>
      <w:r>
        <w:rPr>
          <w:rFonts w:ascii="Times New Roman" w:hAnsi="Times New Roman" w:cs="Times New Roman"/>
        </w:rPr>
        <w:t xml:space="preserve">, страхования, таможенных пошлин, налогов, других обязательных платежей, а также т</w:t>
      </w:r>
      <w:r>
        <w:rPr>
          <w:rFonts w:ascii="Times New Roman" w:hAnsi="Times New Roman" w:cs="Times New Roman"/>
        </w:rPr>
        <w:t xml:space="preserve">ранспортных расходов </w:t>
      </w:r>
      <w:r>
        <w:rPr>
          <w:rFonts w:ascii="Times New Roman" w:hAnsi="Times New Roman" w:cs="Times New Roman"/>
        </w:rPr>
        <w:t xml:space="preserve">до склад</w:t>
      </w:r>
      <w:r>
        <w:rPr>
          <w:rFonts w:ascii="Times New Roman" w:hAnsi="Times New Roman" w:cs="Times New Roman"/>
        </w:rPr>
        <w:t xml:space="preserve">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Покупателя (</w:t>
      </w:r>
      <w:r>
        <w:rPr>
          <w:rFonts w:ascii="Times New Roman" w:hAnsi="Times New Roman" w:cs="Times New Roman"/>
        </w:rPr>
        <w:t xml:space="preserve">грузополучателя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включен</w:t>
      </w:r>
      <w:r>
        <w:rPr>
          <w:rFonts w:ascii="Times New Roman" w:hAnsi="Times New Roman" w:cs="Times New Roman"/>
        </w:rPr>
        <w:t xml:space="preserve">ы</w:t>
      </w:r>
      <w:r>
        <w:rPr>
          <w:rFonts w:ascii="Times New Roman" w:hAnsi="Times New Roman" w:cs="Times New Roman"/>
        </w:rPr>
        <w:t xml:space="preserve"> в стоимость продукции</w:t>
      </w:r>
      <w:r>
        <w:rPr>
          <w:rFonts w:ascii="Times New Roman" w:hAnsi="Times New Roman" w:cs="Times New Roman"/>
        </w:rPr>
        <w:t xml:space="preserve"> по настоящему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2.11. По окончании исполнения Договора Стороны обязуются составить и подписать акт сверки расчетов, направленный Поставщиком Покупателю.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highlight w:val="none"/>
          <w:u w:val="none"/>
        </w:rPr>
        <w:t xml:space="preserve">2.12. </w:t>
      </w:r>
      <w:r>
        <w:rPr>
          <w:rFonts w:ascii="Times New Roman" w:hAnsi="Times New Roman" w:eastAsia="Times New Roman" w:cs="Times New Roman"/>
          <w:szCs w:val="24"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</w:t>
      </w:r>
      <w:r>
        <w:rPr>
          <w:rFonts w:ascii="Times New Roman" w:hAnsi="Times New Roman" w:eastAsia="Times New Roman" w:cs="Times New Roman"/>
          <w:szCs w:val="24"/>
        </w:rPr>
        <w:t xml:space="preserve">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</w:t>
      </w:r>
      <w:r>
        <w:rPr>
          <w:rFonts w:ascii="Times New Roman" w:hAnsi="Times New Roman" w:eastAsia="Times New Roman" w:cs="Times New Roman"/>
          <w:szCs w:val="24"/>
        </w:rPr>
        <w:fldChar w:fldCharType="begin"/>
      </w:r>
      <w:r>
        <w:rPr>
          <w:rFonts w:ascii="Times New Roman" w:hAnsi="Times New Roman" w:eastAsia="Times New Roman" w:cs="Times New Roman"/>
          <w:szCs w:val="24"/>
        </w:rPr>
        <w:instrText xml:space="preserve"> HYPERLINK "https://www.diadoc.ru/" </w:instrText>
      </w:r>
      <w:r>
        <w:rPr>
          <w:rFonts w:ascii="Times New Roman" w:hAnsi="Times New Roman" w:eastAsia="Times New Roman" w:cs="Times New Roman"/>
          <w:szCs w:val="24"/>
        </w:rPr>
        <w:fldChar w:fldCharType="separate"/>
      </w:r>
      <w:r>
        <w:rPr>
          <w:rStyle w:val="878"/>
          <w:rFonts w:ascii="Times New Roman" w:hAnsi="Times New Roman" w:eastAsia="Times New Roman" w:cs="Times New Roman"/>
          <w:szCs w:val="24"/>
        </w:rPr>
        <w:t xml:space="preserve">https://www.diadoc.ru/</w:t>
      </w:r>
      <w:r>
        <w:rPr>
          <w:rStyle w:val="878"/>
          <w:rFonts w:ascii="Times New Roman" w:hAnsi="Times New Roman" w:eastAsia="Times New Roman" w:cs="Times New Roman"/>
          <w:szCs w:val="24"/>
        </w:rPr>
        <w:fldChar w:fldCharType="end"/>
      </w:r>
      <w:r>
        <w:rPr>
          <w:rFonts w:ascii="Times New Roman" w:hAnsi="Times New Roman" w:eastAsia="Times New Roman" w:cs="Times New Roman"/>
          <w:szCs w:val="24"/>
        </w:rPr>
        <w:t xml:space="preserve">). В случае использования Поставщиком</w:t>
      </w:r>
      <w:r>
        <w:rPr>
          <w:rFonts w:ascii="Times New Roman" w:hAnsi="Times New Roman" w:eastAsia="Times New Roman" w:cs="Times New Roman"/>
          <w:szCs w:val="24"/>
        </w:rPr>
        <w:t xml:space="preserve">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операторов, инициирует настройку роуминга между операторами систем электронного документооборота Сторон. </w:t>
      </w:r>
      <w:r>
        <w:rPr>
          <w:rFonts w:ascii="Times New Roman" w:hAnsi="Times New Roman" w:cs="Times New Roman"/>
          <w:u w:val="none"/>
        </w:rPr>
      </w:r>
      <w:r>
        <w:rPr>
          <w:rFonts w:ascii="Times New Roman" w:hAnsi="Times New Roman" w:cs="Times New Roman"/>
          <w:u w:val="none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u w:val="none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Условия и сроки поставки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</w:t>
      </w:r>
      <w:r>
        <w:rPr>
          <w:rFonts w:ascii="Times New Roman" w:hAnsi="Times New Roman" w:cs="Times New Roman"/>
        </w:rPr>
        <w:t xml:space="preserve"> Поставка продукции производится </w:t>
      </w:r>
      <w:r>
        <w:rPr>
          <w:rFonts w:ascii="Times New Roman" w:hAnsi="Times New Roman" w:cs="Times New Roman"/>
        </w:rPr>
        <w:t xml:space="preserve">в соо</w:t>
      </w:r>
      <w:r>
        <w:rPr>
          <w:rFonts w:ascii="Times New Roman" w:hAnsi="Times New Roman" w:cs="Times New Roman"/>
        </w:rPr>
        <w:t xml:space="preserve">тветствии со Спецификацией №1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(Приложение №1</w:t>
      </w:r>
      <w:r>
        <w:rPr>
          <w:rFonts w:ascii="Times New Roman" w:hAnsi="Times New Roman" w:cs="Times New Roman"/>
        </w:rPr>
        <w:t xml:space="preserve"> к настоящему Договору).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Поставщик обязуется поставить Покупателю продукцию </w:t>
      </w:r>
      <w:r>
        <w:rPr>
          <w:rFonts w:ascii="Times New Roman" w:hAnsi="Times New Roman" w:cs="Times New Roman"/>
        </w:rPr>
        <w:t xml:space="preserve">в течение 90 календарных дней с даты подписания Договора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Приемка и оценка качества продукции осуществляется в полном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ГОСТ, ТУ и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обязательными требованиями, предъявляемыми к качеству поставляемой продукции.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продукцией </w:t>
      </w:r>
      <w:r>
        <w:rPr>
          <w:rFonts w:ascii="Times New Roman" w:hAnsi="Times New Roman" w:cs="Times New Roman"/>
          <w:sz w:val="24"/>
          <w:szCs w:val="24"/>
        </w:rPr>
        <w:t xml:space="preserve">передаются относящиеся к ней документы, установленные в соответствии с законодательством РФ, оформленные надлежащим образом – сертификат и</w:t>
      </w:r>
      <w:r>
        <w:rPr>
          <w:rFonts w:ascii="Times New Roman" w:hAnsi="Times New Roman" w:cs="Times New Roman"/>
          <w:sz w:val="24"/>
          <w:szCs w:val="24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</w:rPr>
        <w:t xml:space="preserve"> качества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упаковочный лист, </w:t>
      </w:r>
      <w:r>
        <w:rPr>
          <w:rFonts w:ascii="Times New Roman" w:hAnsi="Times New Roman" w:cs="Times New Roman"/>
          <w:sz w:val="24"/>
          <w:szCs w:val="24"/>
        </w:rPr>
        <w:t xml:space="preserve">копии соответствующих сертификатов на поставляемую продукцию.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 Покупатель вправе остановить приемку продукции, до момента их предоставления.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cs="Times New Roman"/>
          <w:sz w:val="24"/>
          <w:szCs w:val="24"/>
        </w:rPr>
        <w:t xml:space="preserve">Продукция должна быть выпуска не ранее 2024 года, ранее не использованной, без следов воздействия влаги и следов вскрыти</w:t>
      </w:r>
      <w:r>
        <w:rPr>
          <w:rFonts w:ascii="Times New Roman" w:hAnsi="Times New Roman" w:cs="Times New Roman"/>
          <w:sz w:val="24"/>
          <w:szCs w:val="24"/>
        </w:rPr>
        <w:t xml:space="preserve">я тары. Поставляемая продукция при обычных условиях ее использования, хранения, транспортировки и утилизации должна быть безопасна для жизни и здоровья, окружающей среды, а также не причинять вред имуществу Покупателя (грузополучателя) и/или третьих лиц.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Продукция </w:t>
      </w:r>
      <w:r>
        <w:rPr>
          <w:rFonts w:ascii="Times New Roman" w:hAnsi="Times New Roman" w:cs="Times New Roman"/>
          <w:sz w:val="24"/>
          <w:szCs w:val="24"/>
        </w:rPr>
        <w:t xml:space="preserve">должна быть поставлена </w:t>
      </w:r>
      <w:r>
        <w:rPr>
          <w:rFonts w:ascii="Times New Roman" w:hAnsi="Times New Roman" w:cs="Times New Roman"/>
          <w:sz w:val="24"/>
          <w:szCs w:val="24"/>
        </w:rPr>
        <w:t xml:space="preserve">в упаковке производителя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Big-Bag </w:t>
      </w:r>
      <w:r>
        <w:rPr>
          <w:rFonts w:ascii="Times New Roman" w:hAnsi="Times New Roman" w:cs="Times New Roman"/>
          <w:sz w:val="24"/>
          <w:szCs w:val="24"/>
        </w:rPr>
        <w:t xml:space="preserve">1м3)</w:t>
      </w:r>
      <w:r>
        <w:rPr>
          <w:rFonts w:ascii="Times New Roman" w:hAnsi="Times New Roman" w:cs="Times New Roman"/>
          <w:sz w:val="24"/>
          <w:szCs w:val="24"/>
        </w:rPr>
        <w:t xml:space="preserve">, не нарушенной, обеспечивающей сохранность от всякого рода повреждений при перевозке любыми видами транспорта, а также предохраняющей поставляемую продукцию от внешних воздействий. Маркировка</w:t>
      </w:r>
      <w:r>
        <w:rPr>
          <w:rFonts w:ascii="Times New Roman" w:hAnsi="Times New Roman" w:cs="Times New Roman"/>
          <w:sz w:val="24"/>
          <w:szCs w:val="24"/>
        </w:rPr>
        <w:t xml:space="preserve"> продукции, транспортная маркировка и упаковка </w:t>
      </w:r>
      <w:r>
        <w:rPr>
          <w:rFonts w:ascii="Times New Roman" w:hAnsi="Times New Roman" w:cs="Times New Roman"/>
          <w:sz w:val="24"/>
          <w:szCs w:val="24"/>
        </w:rPr>
        <w:t xml:space="preserve">должн</w:t>
      </w:r>
      <w:r>
        <w:rPr>
          <w:rFonts w:ascii="Times New Roman" w:hAnsi="Times New Roman" w:cs="Times New Roman"/>
          <w:sz w:val="24"/>
          <w:szCs w:val="24"/>
        </w:rPr>
        <w:t xml:space="preserve">ы</w:t>
      </w:r>
      <w:r>
        <w:rPr>
          <w:rFonts w:ascii="Times New Roman" w:hAnsi="Times New Roman" w:cs="Times New Roman"/>
          <w:sz w:val="24"/>
          <w:szCs w:val="24"/>
        </w:rPr>
        <w:t xml:space="preserve"> соответствовать </w:t>
      </w:r>
      <w:r>
        <w:rPr>
          <w:rFonts w:ascii="Times New Roman" w:hAnsi="Times New Roman" w:cs="Times New Roman"/>
          <w:sz w:val="24"/>
          <w:szCs w:val="24"/>
        </w:rPr>
        <w:t xml:space="preserve">требованиям </w:t>
      </w:r>
      <w:r>
        <w:rPr>
          <w:rFonts w:ascii="Times New Roman" w:hAnsi="Times New Roman" w:cs="Times New Roman"/>
          <w:sz w:val="24"/>
          <w:szCs w:val="24"/>
        </w:rPr>
        <w:t xml:space="preserve">ГОСТ 14192-96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9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В случае поставки продукции, не обусловленной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оговором, либо поставки продукции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</w:t>
      </w:r>
      <w:r>
        <w:rPr>
          <w:rFonts w:ascii="Times New Roman" w:hAnsi="Times New Roman" w:cs="Times New Roman"/>
          <w:sz w:val="24"/>
          <w:szCs w:val="24"/>
        </w:rPr>
        <w:t xml:space="preserve">упатель вправе отказаться от поставленной продукции, приняв её на ответственное хранение и незамедлительно уведомить Поставщика о несоответствии для принятия мер по распоряжению продукцией. Все затраты, связанные с хранением, отправкой (продажей) продукции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возмещает Поставщик.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Обязательства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</w:t>
      </w:r>
      <w:r>
        <w:rPr>
          <w:rFonts w:ascii="Times New Roman" w:hAnsi="Times New Roman" w:cs="Times New Roman"/>
        </w:rPr>
        <w:t xml:space="preserve">.1. Поставщик обязуется: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4.1.1. Поставить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4.1.2. </w:t>
      </w:r>
      <w:r>
        <w:rPr>
          <w:rFonts w:ascii="Times New Roman" w:hAnsi="Times New Roman" w:cs="Times New Roman"/>
        </w:rPr>
        <w:t xml:space="preserve">Известить Покупателя (грузополучателя) в письменной форме не позднее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чем за 3 рабочих дня до поставки продукции, о планируемой дате поставки продукции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Адрес электронной почты для направления уведомлений: </w:t>
      </w:r>
      <w:r>
        <w:rPr>
          <w:rFonts w:ascii="Times New Roman" w:hAnsi="Times New Roman" w:cs="Times New Roman"/>
        </w:rPr>
        <w:t xml:space="preserve">motina-sv</w:t>
      </w:r>
      <w:r>
        <w:rPr>
          <w:rFonts w:ascii="Times New Roman" w:hAnsi="Times New Roman" w:cs="Times New Roman"/>
        </w:rPr>
        <w:t xml:space="preserve">@</w:t>
      </w:r>
      <w:r>
        <w:rPr>
          <w:rFonts w:ascii="Times New Roman" w:hAnsi="Times New Roman" w:cs="Times New Roman"/>
          <w:lang w:val="en-US"/>
        </w:rPr>
        <w:t xml:space="preserve">dgk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  <w:lang w:val="en-US"/>
        </w:rPr>
        <w:t xml:space="preserve">ru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4.1.3. </w:t>
      </w:r>
      <w:r>
        <w:rPr>
          <w:rFonts w:ascii="Times New Roman" w:hAnsi="Times New Roman" w:cs="Times New Roman"/>
        </w:rPr>
        <w:t xml:space="preserve">Передать Покупателю продукцию, которая должна соответствовать требова</w:t>
      </w:r>
      <w:r>
        <w:rPr>
          <w:rFonts w:ascii="Times New Roman" w:hAnsi="Times New Roman" w:cs="Times New Roman"/>
        </w:rPr>
        <w:t xml:space="preserve">ниям, предусмотренным п. </w:t>
      </w:r>
      <w:r>
        <w:rPr>
          <w:rFonts w:ascii="Times New Roman" w:hAnsi="Times New Roman" w:cs="Times New Roman"/>
        </w:rPr>
        <w:t xml:space="preserve">3.</w:t>
      </w:r>
      <w:r>
        <w:rPr>
          <w:rFonts w:ascii="Times New Roman" w:hAnsi="Times New Roman" w:cs="Times New Roman"/>
          <w:lang w:val="en-US"/>
        </w:rPr>
        <w:t xml:space="preserve">3</w:t>
      </w:r>
      <w:r>
        <w:rPr>
          <w:rFonts w:ascii="Times New Roman" w:hAnsi="Times New Roman" w:cs="Times New Roman"/>
        </w:rPr>
        <w:t xml:space="preserve">-3.</w:t>
      </w:r>
      <w:r>
        <w:rPr>
          <w:rFonts w:ascii="Times New Roman" w:hAnsi="Times New Roman" w:cs="Times New Roman"/>
        </w:rPr>
        <w:t xml:space="preserve">5</w:t>
      </w:r>
      <w:r>
        <w:rPr>
          <w:rFonts w:ascii="Times New Roman" w:hAnsi="Times New Roman" w:cs="Times New Roman"/>
        </w:rPr>
        <w:t xml:space="preserve"> настоящего Договора в момент передачи Покупателю, и иметь гарантийный срок не менее </w:t>
      </w:r>
      <w:r>
        <w:rPr>
          <w:rFonts w:ascii="Times New Roman" w:hAnsi="Times New Roman" w:cs="Times New Roman"/>
        </w:rPr>
        <w:t xml:space="preserve">60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шестидесяти</w:t>
      </w:r>
      <w:r>
        <w:rPr>
          <w:rFonts w:ascii="Times New Roman" w:hAnsi="Times New Roman" w:cs="Times New Roman"/>
        </w:rPr>
        <w:t xml:space="preserve">) календарных месяцев с даты подписания Покупателем (грузополучателем) товарной накладной по форме ТОРГ-12. Гарантия распространяется на всю поставляемую продукцию.</w:t>
      </w:r>
      <w:r>
        <w:t xml:space="preserve"> </w:t>
      </w:r>
      <w:r>
        <w:rPr>
          <w:rFonts w:ascii="Times New Roman" w:hAnsi="Times New Roman" w:cs="Times New Roman"/>
        </w:rPr>
        <w:t xml:space="preserve">В течение гарантийного срока Поставщик обязуется произвести замену продукции в случае ее несоответствия заявленному качеству. Транспортные расходы на продукцию, подлежащую замене по гарантии, несет Поставщик.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</w:t>
      </w:r>
      <w:r>
        <w:rPr>
          <w:rFonts w:ascii="Times New Roman" w:hAnsi="Times New Roman" w:cs="Times New Roman"/>
        </w:rPr>
        <w:t xml:space="preserve">эксплуатации </w:t>
      </w:r>
      <w:r>
        <w:rPr>
          <w:rFonts w:ascii="Times New Roman" w:hAnsi="Times New Roman" w:cs="Times New Roman"/>
        </w:rPr>
        <w:t xml:space="preserve">наполнителя </w:t>
      </w:r>
      <w:r>
        <w:rPr>
          <w:rFonts w:ascii="Times New Roman" w:hAnsi="Times New Roman" w:cs="Times New Roman"/>
          <w:lang w:val="en-US"/>
        </w:rPr>
        <w:t xml:space="preserve">DANPAK</w:t>
      </w:r>
      <w:r>
        <w:rPr>
          <w:rFonts w:ascii="Times New Roman" w:hAnsi="Times New Roman" w:cs="Times New Roman"/>
        </w:rPr>
        <w:t xml:space="preserve"> (Данпак) - не менее </w:t>
      </w:r>
      <w:r>
        <w:rPr>
          <w:rFonts w:ascii="Times New Roman" w:hAnsi="Times New Roman" w:cs="Times New Roman"/>
        </w:rPr>
        <w:t xml:space="preserve">2</w:t>
      </w:r>
      <w:r>
        <w:rPr>
          <w:rFonts w:ascii="Times New Roman" w:hAnsi="Times New Roman" w:cs="Times New Roman"/>
        </w:rPr>
        <w:t xml:space="preserve">5 лет</w:t>
      </w:r>
      <w:r>
        <w:rPr>
          <w:rFonts w:ascii="Times New Roman" w:hAnsi="Times New Roman" w:cs="Times New Roman"/>
        </w:rPr>
        <w:t xml:space="preserve"> с даты загрузки продукции в декарбонизатор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</w:t>
      </w:r>
      <w:r>
        <w:rPr>
          <w:rFonts w:ascii="Times New Roman" w:hAnsi="Times New Roman" w:cs="Times New Roman"/>
        </w:rPr>
        <w:t xml:space="preserve"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П</w:t>
      </w:r>
      <w:r>
        <w:rPr>
          <w:rFonts w:ascii="Times New Roman" w:hAnsi="Times New Roman" w:cs="Times New Roman"/>
        </w:rPr>
        <w:t xml:space="preserve">редоставить Покупателю </w:t>
      </w:r>
      <w:r>
        <w:rPr>
          <w:rFonts w:ascii="Times New Roman" w:hAnsi="Times New Roman" w:cs="Times New Roman"/>
        </w:rPr>
        <w:t xml:space="preserve">счет-фактуру</w:t>
      </w:r>
      <w:r>
        <w:rPr>
          <w:rFonts w:ascii="Times New Roman" w:hAnsi="Times New Roman" w:cs="Times New Roman"/>
        </w:rPr>
        <w:t xml:space="preserve"> (УПД)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выставленн</w:t>
      </w:r>
      <w:r>
        <w:rPr>
          <w:rFonts w:ascii="Times New Roman" w:hAnsi="Times New Roman" w:cs="Times New Roman"/>
        </w:rPr>
        <w:t xml:space="preserve">ый</w:t>
      </w:r>
      <w:r>
        <w:rPr>
          <w:rFonts w:ascii="Times New Roman" w:hAnsi="Times New Roman" w:cs="Times New Roman"/>
        </w:rPr>
        <w:t xml:space="preserve"> в сроки и оформленн</w:t>
      </w:r>
      <w:r>
        <w:rPr>
          <w:rFonts w:ascii="Times New Roman" w:hAnsi="Times New Roman" w:cs="Times New Roman"/>
        </w:rPr>
        <w:t xml:space="preserve">ый</w:t>
      </w:r>
      <w:r>
        <w:rPr>
          <w:rFonts w:ascii="Times New Roman" w:hAnsi="Times New Roman" w:cs="Times New Roman"/>
        </w:rPr>
        <w:t xml:space="preserve"> в порядке, установленном законодательством Российской Федерации. В случае нарушения Поставщиком данного требования он обязан произвести замену </w:t>
      </w:r>
      <w:r>
        <w:rPr>
          <w:rFonts w:ascii="Times New Roman" w:hAnsi="Times New Roman" w:cs="Times New Roman"/>
        </w:rPr>
        <w:t xml:space="preserve">счета-фактур</w:t>
      </w:r>
      <w:r>
        <w:rPr>
          <w:rFonts w:ascii="Times New Roman" w:hAnsi="Times New Roman" w:cs="Times New Roman"/>
        </w:rPr>
        <w:t xml:space="preserve">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(УПД) </w:t>
      </w:r>
      <w:r>
        <w:rPr>
          <w:rFonts w:ascii="Times New Roman" w:hAnsi="Times New Roman" w:cs="Times New Roman"/>
        </w:rPr>
        <w:t xml:space="preserve">в течение 3 рабочих дней с даты получения соответствующего требования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4.1.5. В случае</w:t>
      </w:r>
      <w:r>
        <w:t xml:space="preserve"> </w:t>
      </w:r>
      <w:r>
        <w:rPr>
          <w:rFonts w:ascii="Times New Roman" w:hAnsi="Times New Roman" w:cs="Times New Roman"/>
        </w:rPr>
        <w:t xml:space="preserve">каких-либо изменений в цепочке собственников, включая бенефициаров, и (или) исполнительных органах Поставщика, Поставщик обязан предоставить соответствующую информацию не позднее 5 (пяти) календарных дней после таких изменений.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Покупатель обязуется принять и оплатить продукцию в соответствии с условиями настоящего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 В случае</w:t>
      </w:r>
      <w:r>
        <w:t xml:space="preserve"> </w:t>
      </w:r>
      <w:r>
        <w:rPr>
          <w:rFonts w:ascii="Times New Roman" w:hAnsi="Times New Roman" w:cs="Times New Roman"/>
        </w:rPr>
        <w:t xml:space="preserve">изменения Поставщиком грузоотправителя (экспедитора) без письменного заблаговременного уведомлени</w:t>
      </w:r>
      <w:r>
        <w:rPr>
          <w:rFonts w:ascii="Times New Roman" w:hAnsi="Times New Roman" w:cs="Times New Roman"/>
        </w:rPr>
        <w:t xml:space="preserve">я Покупателя или согласия Покупателя на это, последний освобождается от ответственности за нарушение сроков оплаты за поставленную продукцию, а Поставщик несет риск возможных неблагоприятных последствий, связанных с отказом Покупателя от приемки продукции.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4.4</w:t>
      </w:r>
      <w:r>
        <w:rPr>
          <w:szCs w:val="24"/>
        </w:rPr>
        <w:t xml:space="preserve">. Поставщик не вправе произвести замену страны происхождения продукции, за исключением случая, когда в результате такой замены вместо иностранной продукции поставл</w:t>
      </w:r>
      <w:r>
        <w:rPr>
          <w:szCs w:val="24"/>
        </w:rPr>
        <w:t xml:space="preserve">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</w:t>
      </w:r>
      <w:r>
        <w:rPr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4.5</w:t>
      </w:r>
      <w:r>
        <w:rPr>
          <w:szCs w:val="24"/>
        </w:rPr>
        <w:t xml:space="preserve">. Обеспечение</w:t>
      </w:r>
      <w:r>
        <w:rPr>
          <w:szCs w:val="24"/>
        </w:rPr>
        <w:t xml:space="preserve"> исполнения обязательств по договору, внесенное Поставщиком в течение 10 (десяти) календарных дней после официальной публикации протокола по выбору победителя в Единой информационной системе в сфере закупок (www.zakupki.gov.ru), </w:t>
      </w:r>
      <w:r>
        <w:rPr>
          <w:sz w:val="24"/>
          <w:szCs w:val="24"/>
        </w:rPr>
        <w:t xml:space="preserve">в размере 5% (НДС не облагается) от цены Договора (в соответствии с опубликованным протоколом по выбору</w:t>
      </w:r>
      <w:r>
        <w:rPr>
          <w:sz w:val="24"/>
          <w:szCs w:val="24"/>
        </w:rPr>
        <w:t xml:space="preserve"> победителя) </w:t>
      </w:r>
      <w:r>
        <w:rPr>
          <w:sz w:val="24"/>
          <w:szCs w:val="24"/>
        </w:rPr>
        <w:t xml:space="preserve">на расчетный счет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407 028 </w:t>
      </w:r>
      <w:r>
        <w:rPr>
          <w:szCs w:val="24"/>
        </w:rPr>
        <w:t xml:space="preserve">102 700 </w:t>
      </w:r>
      <w:bookmarkStart w:id="0" w:name="_GoBack"/>
      <w:r/>
      <w:bookmarkEnd w:id="0"/>
      <w:r>
        <w:rPr>
          <w:szCs w:val="24"/>
        </w:rPr>
        <w:t xml:space="preserve">000 088 18, ДАЛЬНЕВОСТОЧНЫЙ БАНК</w:t>
      </w:r>
      <w:r>
        <w:rPr>
          <w:szCs w:val="24"/>
        </w:rPr>
        <w:t xml:space="preserve"> ПАО СБЕРБАНК, БИК 040813608, Кор. счет 301 018 106 000 000 006 08, подлежит возврату Поставщику в течение 70 (семьдесят) календарных дней с даты полного испо</w:t>
      </w:r>
      <w:r>
        <w:rPr>
          <w:szCs w:val="24"/>
        </w:rPr>
        <w:t xml:space="preserve">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</w:t>
      </w:r>
      <w:r>
        <w:rPr>
          <w:szCs w:val="24"/>
        </w:rPr>
        <w:t xml:space="preserve">еустойки (пеней и штрафов), установленных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 том случае, если сумма неустойки (пеней и штрафов) установленных Договором и (или) сумма убытков в связи с нена</w:t>
      </w:r>
      <w:r>
        <w:rPr>
          <w:szCs w:val="24"/>
        </w:rPr>
        <w:t xml:space="preserve">длежащим исполнением Поставщиком обязательств по договору не покрывается в полном объеме суммой обеспечительного платежа, то Поставщик обязан оплатить на р/счет Покупателя разницу, в течении 10-ти дней с момента получения претензии с требованием об оплате.</w:t>
      </w:r>
      <w:r>
        <w:rPr>
          <w:szCs w:val="24"/>
        </w:rPr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szCs w:val="24"/>
        </w:rPr>
      </w:r>
      <w:r>
        <w:rPr>
          <w:szCs w:val="24"/>
        </w:rPr>
      </w:r>
    </w:p>
    <w:p>
      <w:pPr>
        <w:pStyle w:val="85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приемки продукции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Продукция принимается</w:t>
      </w:r>
      <w:r>
        <w:rPr>
          <w:rFonts w:ascii="Times New Roman" w:hAnsi="Times New Roman" w:cs="Times New Roman"/>
        </w:rPr>
        <w:t xml:space="preserve"> в соответствии с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№П-7) и «Инструкцией о порядке приемки продукции производст</w:t>
      </w:r>
      <w:r>
        <w:rPr>
          <w:rFonts w:ascii="Times New Roman" w:hAnsi="Times New Roman" w:cs="Times New Roman"/>
        </w:rPr>
        <w:t xml:space="preserve">венно-технического назначения и товаров народного потребления по количеству» (Утв. Постановлением Госарбитража СССР от 15.06.1965 №П-6) в их последних редакциях, в части не урегулированной данным договором и не противоречащей действующему законодательству.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Покупатель обязан проверить количество и качество принятой продукции, проверить соответствие продукции сведениям, указанным в транспортных и сопроводительных документах, а также принять эту продукци</w:t>
      </w:r>
      <w:r>
        <w:rPr>
          <w:rFonts w:ascii="Times New Roman" w:hAnsi="Times New Roman" w:cs="Times New Roman"/>
        </w:rPr>
        <w:t xml:space="preserve">ю</w:t>
      </w:r>
      <w:r>
        <w:rPr>
          <w:rFonts w:ascii="Times New Roman" w:hAnsi="Times New Roman" w:cs="Times New Roman"/>
        </w:rPr>
        <w:t xml:space="preserve">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Приемка продукции производится Покупателем в односторонне</w:t>
      </w:r>
      <w:r>
        <w:rPr>
          <w:rFonts w:ascii="Times New Roman" w:hAnsi="Times New Roman" w:cs="Times New Roman"/>
        </w:rPr>
        <w:t xml:space="preserve">м порядке. Если Покупатель отказывается от переданной Поставщиком продукции, он обязан незамедлительно письменно уведомить Поставщика о выявленных несоответствиях или недостатках продукции и обеспечить сохранность продукции (ответственное хранение). Вызов </w:t>
      </w:r>
      <w:r>
        <w:rPr>
          <w:rFonts w:ascii="Times New Roman" w:hAnsi="Times New Roman" w:cs="Times New Roman"/>
        </w:rPr>
        <w:t xml:space="preserve">представителя Поставщика </w:t>
      </w:r>
      <w:r>
        <w:rPr>
          <w:rFonts w:ascii="Times New Roman" w:hAnsi="Times New Roman" w:cs="Times New Roman"/>
        </w:rPr>
        <w:t xml:space="preserve">для участия в продолжении приемки продукции и составления двустороннего акта обязател</w:t>
      </w:r>
      <w:r>
        <w:rPr>
          <w:rFonts w:ascii="Times New Roman" w:hAnsi="Times New Roman" w:cs="Times New Roman"/>
        </w:rPr>
        <w:t xml:space="preserve">ен. Поставщик обязан вывезти продукцию, принятую Покупателем (получателем) на ответственное хранение, или распорядиться ей в течение 2 суток. Если Поставщик в этот срок не распорядится продукцией, Покупатель вправе реализовать её или возвратить Поставщику.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Необходимые расходы, понесенные Покупателем в связи с принятием продукци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на ответственное хранение, реализацией продукции или е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возвратом Поставщику, подлежат возмещению Поставщиком. При этом вырученное от реализации продукции передается Поставщику за вычетом причитающегося Покупателю.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>
        <w:rPr>
          <w:rFonts w:ascii="Times New Roman" w:hAnsi="Times New Roman" w:cs="Times New Roman"/>
        </w:rPr>
        <w:t xml:space="preserve">Моментом (датой) исполнения Поставщиком обязательства по поставке продукции, а равно моментом п</w:t>
      </w:r>
      <w:r>
        <w:rPr>
          <w:rFonts w:ascii="Times New Roman" w:hAnsi="Times New Roman" w:cs="Times New Roman"/>
        </w:rPr>
        <w:t xml:space="preserve">ерехода права собственности, риска случайной гибели или случайного повреждения на поставляемую по настоящему Договору продукцию, является момент передачи продукции Поставщиком Покупателю (с даты подписания Покупателем (грузополучателем) товарной накладной </w:t>
      </w:r>
      <w:r>
        <w:rPr>
          <w:rFonts w:ascii="Times New Roman" w:hAnsi="Times New Roman" w:cs="Times New Roman"/>
        </w:rPr>
        <w:t xml:space="preserve">по форме ТОРГ-12 </w:t>
      </w:r>
      <w:r>
        <w:rPr>
          <w:rFonts w:ascii="Times New Roman" w:hAnsi="Times New Roman" w:cs="Times New Roman"/>
        </w:rPr>
        <w:t xml:space="preserve">(или УПД)</w:t>
      </w:r>
      <w:r>
        <w:rPr>
          <w:rFonts w:ascii="Times New Roman" w:hAnsi="Times New Roman" w:cs="Times New Roman"/>
        </w:rPr>
        <w:t xml:space="preserve">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Некачественная (некомплектная) продукция считается не поставленной.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Ответственность сторон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</w:t>
      </w:r>
      <w:r>
        <w:rPr>
          <w:rFonts w:ascii="Times New Roman" w:hAnsi="Times New Roman" w:cs="Times New Roman"/>
        </w:rPr>
        <w:t xml:space="preserve">В случае нарушения Поставщиком обязательств по поставке продукции (нарушение срока поставки, недопоставка), Покупатель вправе потребовать уплаты Поставщиком: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неустойки в размере 0,1 (ноль целых и одна десятая) процента от цены несвоевременно поставленной (не поставленной) продукции за каждый день просрочки – в случае, когда нарушение не привело к изменению срока поставки продукции другому Грузополучателю;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- неустойки в размере 0,2 (ноль целых и две десятых) процента от цены несвоевременно поставленной (не поставленной) продукции за каждый день просрочки – в случае, когда нарушение привело к изменению срока поставки продукции другому Грузополучателю.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 </w:t>
      </w:r>
      <w:r>
        <w:rPr>
          <w:rFonts w:ascii="Times New Roman" w:hAnsi="Times New Roman" w:cs="Times New Roman"/>
        </w:rPr>
        <w:t xml:space="preserve">В случае несвоевременного устранения Поставщиком выявленных недостатков продукции, Покупатель вправе потребовать уплаты Поставщиком неустойки в размере 0,1 (ноль целых и одна десятая) процента от стоимости некачественной продукции за каждый день просрочки.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6.3. </w:t>
      </w:r>
      <w:r>
        <w:rPr>
          <w:rFonts w:ascii="Times New Roman" w:hAnsi="Times New Roman" w:cs="Times New Roman"/>
          <w:sz w:val="24"/>
          <w:szCs w:val="24"/>
        </w:rPr>
        <w:t xml:space="preserve">В случае нарушения Покупателем сроков оплаты поставленной продукции, Поставщик вправе потребовать уплаты Покупателем исключительной неустойки в размере 0,1 (ноль целых и одна десятая) процента от несвоевременно оплаченной суммы за каждый день просрочки, на</w:t>
      </w:r>
      <w:r>
        <w:rPr>
          <w:rFonts w:ascii="Times New Roman" w:hAnsi="Times New Roman" w:cs="Times New Roman"/>
          <w:sz w:val="24"/>
          <w:szCs w:val="24"/>
        </w:rPr>
        <w:t xml:space="preserve">чиная с 31 (тридцать первого) календарного дня просрочки (неустойка с 1 по 30 день просрочки не начисляется).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Уплата неустойки не освобождает Стороны от исполнения обязательств по настоящему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6.5. В случае нарушения Поставщиком обязательств по поставке продукции, на срок свыше 60 (шестидесяти) календарных дней, Покупатель и</w:t>
      </w:r>
      <w:r>
        <w:rPr>
          <w:rFonts w:ascii="Times New Roman" w:hAnsi="Times New Roman" w:cs="Times New Roman"/>
        </w:rPr>
        <w:t xml:space="preserve">меет право отказаться от исполнения обязательств по Договору в одностороннем внесудебном порядке, а также потребовать возмещения убытков. При этом Покупатель также вправе возвратить Поставщику продукцию, ранее поставленную по договору, и потребовать возвра</w:t>
      </w:r>
      <w:r>
        <w:rPr>
          <w:rFonts w:ascii="Times New Roman" w:hAnsi="Times New Roman" w:cs="Times New Roman"/>
        </w:rPr>
        <w:t xml:space="preserve">та уплаченных денежных средств.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6.6. Если в результате составления и выставления Поставщиком счетов-фактур (УПД) с нарушением порядка и тр</w:t>
      </w:r>
      <w:r>
        <w:rPr>
          <w:rFonts w:ascii="Times New Roman" w:hAnsi="Times New Roman" w:cs="Times New Roman"/>
        </w:rPr>
        <w:t xml:space="preserve">ебований, установленных законодательством Российской Федерации, Покупатель понес расходы, связанные с начислением налоговыми органами по такому основанию сумм НДС, пеней и налоговых санкций, Поставщик обязан компенсировать Покупателю сумму таких расходов.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Основанием для компенсации являются решения налоговых органов, вынесенные по итогам проведения мероприятий налогового контроля.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Сумма расходов компенсируется Поставщиком в течение 10 (десяти) рабочих дней с даты получения соответствующего письменного требования Покупателя.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Поставщиком сроко</w:t>
      </w:r>
      <w:r>
        <w:rPr>
          <w:rFonts w:ascii="Times New Roman" w:hAnsi="Times New Roman" w:cs="Times New Roman"/>
        </w:rPr>
        <w:t xml:space="preserve">в, предусмотренных пунктом 4.1.4</w:t>
      </w:r>
      <w:r>
        <w:rPr>
          <w:rFonts w:ascii="Times New Roman" w:hAnsi="Times New Roman" w:cs="Times New Roman"/>
        </w:rPr>
        <w:t xml:space="preserve">, Покупатель также имеет право требовать от Поставщика уплаты штрафа в размере 50 000 (пятидесяти тысяч) рублей за каждый случай нарушения.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6.7. В случае поступления продукции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несоответствующей сведениям о стране происхождения продукции, согласованной в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оговоре, Покупатель вправе взыскать с Поставщика штраф в размере 10% от стоимости поставленной продукции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несоответствующей сведениям.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6.8. Ответственность Сторон в иных случаях определяется в соответствии с законодательством Российской Федерации.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Действие обстоятельств непреодолимой силы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 </w:t>
      </w:r>
      <w:r>
        <w:rPr>
          <w:rFonts w:ascii="Times New Roman" w:hAnsi="Times New Roman" w:cs="Times New Roman"/>
        </w:rPr>
        <w:t xml:space="preserve">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Сторона, которая не исполняет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0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разрешения споров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  <w:t xml:space="preserve">. Все споры или разногласия, возникающие между Сторонами при исполнении настояще</w:t>
      </w:r>
      <w:r>
        <w:rPr>
          <w:rFonts w:ascii="Times New Roman" w:hAnsi="Times New Roman" w:cs="Times New Roman"/>
        </w:rPr>
        <w:t xml:space="preserve">го</w:t>
      </w:r>
      <w:r>
        <w:rPr>
          <w:rFonts w:ascii="Times New Roman" w:hAnsi="Times New Roman" w:cs="Times New Roman"/>
        </w:rPr>
        <w:t xml:space="preserve"> Договор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, разрешаются путем переговоров между ними.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</w:t>
      </w:r>
      <w:r>
        <w:rPr>
          <w:rFonts w:ascii="Times New Roman" w:hAnsi="Times New Roman" w:cs="Times New Roman"/>
        </w:rPr>
        <w:t xml:space="preserve">2</w:t>
      </w:r>
      <w:r>
        <w:rPr>
          <w:rFonts w:ascii="Times New Roman" w:hAnsi="Times New Roman" w:cs="Times New Roman"/>
        </w:rPr>
        <w:t xml:space="preserve">. В случае невозможности разрешения разногласий путем переговоров они подлежат рассмотрению </w:t>
      </w:r>
      <w:r>
        <w:rPr>
          <w:rFonts w:ascii="Times New Roman" w:hAnsi="Times New Roman" w:cs="Times New Roman"/>
        </w:rPr>
        <w:t xml:space="preserve">в Арбитражном суде </w:t>
      </w:r>
      <w:r>
        <w:rPr>
          <w:rFonts w:ascii="Times New Roman" w:hAnsi="Times New Roman" w:cs="Times New Roman"/>
        </w:rPr>
        <w:t xml:space="preserve">Хабаровского края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</w:t>
      </w:r>
      <w:r>
        <w:rPr>
          <w:rFonts w:ascii="Times New Roman" w:hAnsi="Times New Roman" w:cs="Times New Roman"/>
        </w:rPr>
        <w:t xml:space="preserve">ебований.  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3"/>
        <w:numPr>
          <w:ilvl w:val="0"/>
          <w:numId w:val="10"/>
        </w:numPr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Антикоррупционная оговорка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color w:val="000000"/>
          <w:szCs w:val="24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1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Каналы связи Линия доверия Группы РусГидро: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873"/>
        <w:numPr>
          <w:ilvl w:val="2"/>
          <w:numId w:val="10"/>
        </w:numPr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418" w:leader="none"/>
          <w:tab w:val="num" w:pos="4690" w:leader="none"/>
        </w:tabs>
        <w:rPr>
          <w:szCs w:val="24"/>
        </w:rPr>
      </w:pPr>
      <w:r>
        <w:rPr>
          <w:szCs w:val="24"/>
        </w:rPr>
        <w:t xml:space="preserve">Электронная почта: </w:t>
      </w:r>
      <w:hyperlink r:id="rId10" w:tooltip="mailto:ld@rushydro.ru" w:history="1">
        <w:r>
          <w:rPr>
            <w:color w:val="0000ff"/>
            <w:szCs w:val="24"/>
            <w:u w:val="single"/>
          </w:rPr>
          <w:t xml:space="preserve">ld@rushydro.ru</w:t>
        </w:r>
      </w:hyperlink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numPr>
          <w:ilvl w:val="2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2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ind w:firstLine="709"/>
        <w:jc w:val="both"/>
        <w:shd w:val="clear" w:color="auto" w:fill="ffffff"/>
        <w:widowControl w:val="off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numPr>
          <w:ilvl w:val="0"/>
          <w:numId w:val="10"/>
        </w:numPr>
        <w:contextualSpacing/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Особые положения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</w:t>
      </w:r>
      <w:r>
        <w:rPr>
          <w:bCs/>
          <w:szCs w:val="24"/>
        </w:rPr>
        <w:t xml:space="preserve">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</w:t>
      </w:r>
      <w:r>
        <w:rPr>
          <w:bCs/>
          <w:szCs w:val="24"/>
        </w:rPr>
        <w:t xml:space="preserve"> имеющие признаки недобросовестности, опред</w:t>
      </w:r>
      <w:r>
        <w:rPr>
          <w:bCs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tooltip="consultantplus://offline/ref=94D5CE8889791A29DE57299515463A9D6134D8237B999C803E6F853513x2A2P" w:history="1">
        <w:r>
          <w:rPr>
            <w:bCs/>
            <w:szCs w:val="24"/>
          </w:rPr>
          <w:t xml:space="preserve">№ 18162/09</w:t>
        </w:r>
      </w:hyperlink>
      <w:r>
        <w:rPr>
          <w:bCs/>
          <w:szCs w:val="24"/>
        </w:rPr>
        <w:t xml:space="preserve"> и от </w:t>
      </w:r>
      <w:r>
        <w:rPr>
          <w:bCs/>
          <w:szCs w:val="24"/>
        </w:rPr>
        <w:t xml:space="preserve">25.05.2010 </w:t>
      </w:r>
      <w:hyperlink r:id="rId12" w:tooltip="consultantplus://offline/ref=94D5CE8889791A29DE57299515463A9D6135D2287D929C803E6F853513x2A2P" w:history="1">
        <w:r>
          <w:rPr>
            <w:bCs/>
            <w:szCs w:val="24"/>
          </w:rPr>
          <w:t xml:space="preserve">№ 15658/09</w:t>
        </w:r>
      </w:hyperlink>
      <w:r>
        <w:rPr>
          <w:bCs/>
          <w:szCs w:val="24"/>
        </w:rPr>
        <w:t xml:space="preserve">, согласно которым при оценке необоснованной налоговой в</w:t>
      </w:r>
      <w:r>
        <w:rPr>
          <w:bCs/>
          <w:szCs w:val="24"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 </w:t>
      </w:r>
      <w:r>
        <w:rPr>
          <w:bCs/>
          <w:szCs w:val="24"/>
        </w:rPr>
        <w:t xml:space="preserve">соответствующие </w:t>
      </w:r>
      <w:hyperlink r:id="rId13" w:tooltip="consultantplus://offline/ref=79440D5123ABA6A25F43346AB59DBAAC7032C8E1556DA64FAED62E167F76889C2B7C475C32EFC59BJ8rDH" w:history="1">
        <w:r>
          <w:rPr>
            <w:bCs/>
            <w:szCs w:val="24"/>
          </w:rPr>
          <w:t xml:space="preserve">Критери</w:t>
        </w:r>
      </w:hyperlink>
      <w:r>
        <w:rPr>
          <w:bCs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а также обеспечить прекращение участия таких организаций в исполнении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В случае нарушения Поставщиком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  <w:szCs w:val="24"/>
        </w:rPr>
        <w:t xml:space="preserve">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указанной в ув</w:t>
      </w:r>
      <w:r>
        <w:rPr>
          <w:bCs/>
          <w:szCs w:val="24"/>
        </w:rPr>
        <w:t xml:space="preserve">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расторжения.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обязан </w:t>
      </w:r>
      <w:r>
        <w:rPr>
          <w:bCs/>
          <w:szCs w:val="24"/>
        </w:rPr>
        <w:t xml:space="preserve">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Штраф, предусмотренный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оплачивается Поставщиком в течение 10 (деся</w:t>
      </w:r>
      <w:r>
        <w:rPr>
          <w:bCs/>
          <w:szCs w:val="24"/>
        </w:rPr>
        <w:t xml:space="preserve">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направления уведомления об отказе от Договора (исполнения Договора),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.3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 При этом Покупатель не будет считаться просрочившим и/ или нарушившим свои обязательства по Договору.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numPr>
          <w:ilvl w:val="1"/>
          <w:numId w:val="10"/>
        </w:numPr>
        <w:contextualSpacing/>
        <w:ind w:left="0" w:firstLine="540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</w:pPr>
      <w:r>
        <w:rPr>
          <w:bCs/>
          <w:szCs w:val="24"/>
        </w:rPr>
        <w:t xml:space="preserve">Независимо от других положений Договора, положения пунктов 10.4., 10.5. Договора продолжают действовать в течение 4 (четырех) лет после его прекращения (расторжения) или исполнения.</w:t>
      </w:r>
      <w:r/>
    </w:p>
    <w:p>
      <w:pPr>
        <w:contextualSpacing/>
        <w:ind w:left="720" w:firstLine="0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</w:pPr>
      <w:r>
        <w:rPr>
          <w:bCs/>
          <w:szCs w:val="24"/>
          <w:highlight w:val="none"/>
        </w:rPr>
      </w:r>
      <w:r>
        <w:rPr>
          <w:bCs/>
          <w:szCs w:val="24"/>
          <w:highlight w:val="none"/>
        </w:rPr>
      </w:r>
    </w:p>
    <w:p>
      <w:pPr>
        <w:pStyle w:val="850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11. </w:t>
      </w:r>
      <w:r>
        <w:rPr>
          <w:rFonts w:ascii="Times New Roman" w:hAnsi="Times New Roman" w:cs="Times New Roman"/>
          <w:b/>
          <w:bCs/>
        </w:rPr>
        <w:t xml:space="preserve">Прочие условия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.1. С момента подписания Сторонами настоящего Договора все предыдущие переговоры и переписка по нему теряют силу.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.2. Насто</w:t>
      </w:r>
      <w:r>
        <w:rPr>
          <w:rFonts w:ascii="Times New Roman" w:hAnsi="Times New Roman" w:cs="Times New Roman"/>
        </w:rPr>
        <w:t xml:space="preserve">ящий Договор вступает в силу</w:t>
      </w:r>
      <w:r>
        <w:rPr>
          <w:rFonts w:ascii="Times New Roman" w:hAnsi="Times New Roman" w:cs="Times New Roman"/>
        </w:rPr>
        <w:t xml:space="preserve"> с даты подписания и действует по </w:t>
      </w:r>
      <w:r>
        <w:rPr>
          <w:rFonts w:ascii="Times New Roman" w:hAnsi="Times New Roman" w:cs="Times New Roman"/>
        </w:rPr>
        <w:t xml:space="preserve">31.05.2025</w:t>
      </w:r>
      <w:r>
        <w:rPr>
          <w:rFonts w:ascii="Times New Roman" w:hAnsi="Times New Roman" w:cs="Times New Roman"/>
        </w:rPr>
        <w:t xml:space="preserve"> года, а в части неисполненных обязательств – до полного их исполнения.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.3. Все приложения, изменения и дополнения к настоящему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оговору являются его неотъемлемой частью, должны быть составлены в письменной </w:t>
      </w:r>
      <w:r>
        <w:rPr>
          <w:rFonts w:ascii="Times New Roman" w:hAnsi="Times New Roman" w:cs="Times New Roman"/>
        </w:rPr>
        <w:t xml:space="preserve">форме и подписаны</w:t>
      </w:r>
      <w:r>
        <w:rPr>
          <w:rFonts w:ascii="Times New Roman" w:hAnsi="Times New Roman" w:cs="Times New Roman"/>
        </w:rPr>
        <w:t xml:space="preserve"> обеими Сторонами.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.4.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.5. В случае изменения у какой-либо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Сторону. При этом заключение дополнительного соглашения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.6. Настоящий Договор составлен в 2 экземплярах, имеющих одинаковую юридическую силу, а также </w:t>
      </w:r>
      <w:r>
        <w:rPr>
          <w:rFonts w:ascii="Times New Roman" w:hAnsi="Times New Roman" w:cs="Times New Roman"/>
        </w:rPr>
        <w:t xml:space="preserve">может быть заключен</w:t>
      </w:r>
      <w:r>
        <w:rPr>
          <w:rFonts w:ascii="Times New Roman" w:hAnsi="Times New Roman" w:cs="Times New Roman"/>
        </w:rPr>
        <w:t xml:space="preserve"> в электронной форме.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11</w:t>
      </w:r>
      <w:r>
        <w:rPr>
          <w:rFonts w:ascii="Times New Roman" w:hAnsi="Times New Roman" w:cs="Times New Roman"/>
        </w:rPr>
        <w:t xml:space="preserve">.7. Документы, переданные при совершении сделки, с использованием электронной почты признаются сторонами, как имеющие юридическую силу при условии последующего направления в 30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дневный срок подлинных документов в подтверждение копии.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0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12. Местонахождение и банковские реквизиты </w:t>
      </w:r>
      <w:r>
        <w:rPr>
          <w:rFonts w:ascii="Times New Roman" w:hAnsi="Times New Roman" w:cs="Times New Roman"/>
          <w:b/>
          <w:bCs/>
        </w:rPr>
        <w:t xml:space="preserve">С</w:t>
      </w:r>
      <w:r>
        <w:rPr>
          <w:rFonts w:ascii="Times New Roman" w:hAnsi="Times New Roman" w:cs="Times New Roman"/>
          <w:b/>
          <w:bCs/>
        </w:rPr>
        <w:t xml:space="preserve">торон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0"/>
        <w:ind w:left="72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682" w:type="dxa"/>
        <w:tblLook w:val="0000" w:firstRow="0" w:lastRow="0" w:firstColumn="0" w:lastColumn="0" w:noHBand="0" w:noVBand="0"/>
      </w:tblPr>
      <w:tblGrid>
        <w:gridCol w:w="4753"/>
        <w:gridCol w:w="4929"/>
      </w:tblGrid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44"/>
            </w:pPr>
            <w:r>
              <w:t xml:space="preserve">Покупатель: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50"/>
              <w:ind w:left="-114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Поставщик: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50"/>
              <w:ind w:left="-114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4753" w:type="dxa"/>
            <w:textDirection w:val="lrTb"/>
            <w:noWrap w:val="false"/>
          </w:tcPr>
          <w:p>
            <w:pPr>
              <w:pStyle w:val="844"/>
            </w:pPr>
            <w:r>
              <w:t xml:space="preserve">АО «ДГК»</w:t>
            </w:r>
            <w:r/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5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3962"/>
        </w:trPr>
        <w:tc>
          <w:tcPr>
            <w:tcW w:w="4753" w:type="dxa"/>
            <w:textDirection w:val="lrTb"/>
            <w:noWrap w:val="false"/>
          </w:tcPr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 Российская Федерация,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680000, Хабаровский край,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Хабаровск, Фрунзе, 49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1434031363, КПП 997650001,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Дальневосточный Банк </w:t>
            </w:r>
            <w:r>
              <w:rPr>
                <w:rFonts w:ascii="Times New Roman" w:hAnsi="Times New Roman" w:cs="Times New Roman"/>
              </w:rPr>
              <w:t xml:space="preserve">ПАО </w:t>
            </w:r>
            <w:r>
              <w:rPr>
                <w:rFonts w:ascii="Times New Roman" w:hAnsi="Times New Roman" w:cs="Times New Roman"/>
              </w:rPr>
              <w:t xml:space="preserve">Сбербанка РФ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(4212) 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0"/>
              <w:ind w:left="317" w:right="14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98"/>
        </w:trPr>
        <w:tc>
          <w:tcPr>
            <w:tcW w:w="4753" w:type="dxa"/>
            <w:textDirection w:val="lrTb"/>
            <w:noWrap w:val="false"/>
          </w:tcPr>
          <w:p>
            <w:pPr>
              <w:pStyle w:val="85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</w:t>
            </w:r>
            <w:r>
              <w:rPr>
                <w:rFonts w:ascii="Times New Roman" w:hAnsi="Times New Roman" w:cs="Times New Roman"/>
              </w:rPr>
              <w:t xml:space="preserve">_ 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  <w:t xml:space="preserve">___________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85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_______________/__________/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50"/>
        <w:ind w:left="36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7" w:h="16840" w:orient="portrait"/>
      <w:pgMar w:top="851" w:right="1134" w:bottom="851" w:left="1418" w:header="720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86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86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3"/>
    <w:next w:val="843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45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45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4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45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45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45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45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3"/>
    <w:next w:val="843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45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60"/>
    <w:uiPriority w:val="99"/>
  </w:style>
  <w:style w:type="character" w:styleId="700">
    <w:name w:val="Footer Char"/>
    <w:basedOn w:val="845"/>
    <w:link w:val="858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58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54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  <w:rPr>
      <w:sz w:val="24"/>
    </w:rPr>
  </w:style>
  <w:style w:type="paragraph" w:styleId="844">
    <w:name w:val="Heading 1"/>
    <w:basedOn w:val="843"/>
    <w:next w:val="843"/>
    <w:link w:val="871"/>
    <w:uiPriority w:val="9"/>
    <w:qFormat/>
    <w:pPr>
      <w:jc w:val="center"/>
      <w:keepNext/>
      <w:outlineLvl w:val="0"/>
    </w:pPr>
    <w:rPr>
      <w:b/>
      <w:szCs w:val="24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 w:customStyle="1">
    <w:name w:val="ConsTitle"/>
    <w:rPr>
      <w:rFonts w:ascii="Arial" w:hAnsi="Arial" w:cs="Arial"/>
      <w:b/>
      <w:bCs/>
      <w:sz w:val="16"/>
      <w:szCs w:val="16"/>
    </w:rPr>
  </w:style>
  <w:style w:type="paragraph" w:styleId="849" w:customStyle="1">
    <w:name w:val="ConsNonformat"/>
    <w:rPr>
      <w:rFonts w:ascii="Courier New" w:hAnsi="Courier New" w:cs="Courier New"/>
    </w:rPr>
  </w:style>
  <w:style w:type="paragraph" w:styleId="850" w:customStyle="1">
    <w:name w:val="ConsNormal"/>
    <w:link w:val="862"/>
    <w:pPr>
      <w:ind w:firstLine="720"/>
    </w:pPr>
    <w:rPr>
      <w:rFonts w:ascii="Arial" w:hAnsi="Arial" w:cs="Arial"/>
      <w:sz w:val="24"/>
      <w:szCs w:val="24"/>
    </w:rPr>
  </w:style>
  <w:style w:type="paragraph" w:styleId="851" w:customStyle="1">
    <w:name w:val="ConsCell"/>
    <w:rPr>
      <w:rFonts w:ascii="Arial" w:hAnsi="Arial" w:cs="Arial"/>
      <w:sz w:val="24"/>
      <w:szCs w:val="24"/>
    </w:rPr>
  </w:style>
  <w:style w:type="paragraph" w:styleId="852">
    <w:name w:val="Body Text Indent"/>
    <w:basedOn w:val="843"/>
    <w:semiHidden/>
    <w:pPr>
      <w:ind w:firstLine="720"/>
      <w:jc w:val="both"/>
    </w:pPr>
    <w:rPr>
      <w:sz w:val="28"/>
    </w:rPr>
  </w:style>
  <w:style w:type="paragraph" w:styleId="853">
    <w:name w:val="Body Text"/>
    <w:basedOn w:val="843"/>
    <w:semiHidden/>
    <w:pPr>
      <w:jc w:val="both"/>
    </w:pPr>
    <w:rPr>
      <w:szCs w:val="24"/>
    </w:rPr>
  </w:style>
  <w:style w:type="paragraph" w:styleId="854">
    <w:name w:val="footnote text"/>
    <w:basedOn w:val="843"/>
    <w:link w:val="866"/>
    <w:uiPriority w:val="99"/>
    <w:rPr>
      <w:sz w:val="20"/>
    </w:rPr>
  </w:style>
  <w:style w:type="character" w:styleId="855">
    <w:name w:val="footnote reference"/>
    <w:semiHidden/>
    <w:rPr>
      <w:vertAlign w:val="superscript"/>
    </w:rPr>
  </w:style>
  <w:style w:type="character" w:styleId="856">
    <w:name w:val="annotation reference"/>
    <w:semiHidden/>
    <w:rPr>
      <w:sz w:val="16"/>
      <w:szCs w:val="16"/>
    </w:rPr>
  </w:style>
  <w:style w:type="paragraph" w:styleId="857">
    <w:name w:val="annotation text"/>
    <w:basedOn w:val="843"/>
    <w:semiHidden/>
    <w:rPr>
      <w:sz w:val="20"/>
    </w:rPr>
  </w:style>
  <w:style w:type="paragraph" w:styleId="858">
    <w:name w:val="Footer"/>
    <w:basedOn w:val="843"/>
    <w:link w:val="870"/>
    <w:uiPriority w:val="99"/>
    <w:pPr>
      <w:tabs>
        <w:tab w:val="center" w:pos="4677" w:leader="none"/>
        <w:tab w:val="right" w:pos="9355" w:leader="none"/>
      </w:tabs>
    </w:pPr>
  </w:style>
  <w:style w:type="character" w:styleId="859">
    <w:name w:val="page number"/>
    <w:basedOn w:val="845"/>
    <w:semiHidden/>
  </w:style>
  <w:style w:type="paragraph" w:styleId="860">
    <w:name w:val="Header"/>
    <w:basedOn w:val="843"/>
    <w:semiHidden/>
    <w:pPr>
      <w:tabs>
        <w:tab w:val="center" w:pos="4677" w:leader="none"/>
        <w:tab w:val="right" w:pos="9355" w:leader="none"/>
      </w:tabs>
    </w:pPr>
  </w:style>
  <w:style w:type="paragraph" w:styleId="861">
    <w:name w:val="Balloon Text"/>
    <w:basedOn w:val="843"/>
    <w:semiHidden/>
    <w:rPr>
      <w:rFonts w:ascii="Tahoma" w:hAnsi="Tahoma" w:cs="Tahoma"/>
      <w:sz w:val="16"/>
      <w:szCs w:val="16"/>
    </w:rPr>
  </w:style>
  <w:style w:type="character" w:styleId="862" w:customStyle="1">
    <w:name w:val="ConsNormal Знак"/>
    <w:link w:val="850"/>
    <w:rPr>
      <w:rFonts w:ascii="Arial" w:hAnsi="Arial" w:cs="Arial"/>
      <w:sz w:val="24"/>
      <w:szCs w:val="24"/>
    </w:rPr>
  </w:style>
  <w:style w:type="paragraph" w:styleId="863">
    <w:name w:val="Normal (Web)"/>
    <w:basedOn w:val="843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864" w:customStyle="1">
    <w:name w:val="Пункт_1"/>
    <w:basedOn w:val="843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865" w:customStyle="1">
    <w:name w:val="Пункт_2"/>
    <w:basedOn w:val="843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866" w:customStyle="1">
    <w:name w:val="Текст сноски Знак"/>
    <w:link w:val="854"/>
    <w:uiPriority w:val="99"/>
  </w:style>
  <w:style w:type="paragraph" w:styleId="867" w:customStyle="1">
    <w:name w:val="Таблица текст"/>
    <w:basedOn w:val="843"/>
    <w:pPr>
      <w:ind w:left="57" w:right="57"/>
      <w:spacing w:before="40" w:after="40"/>
    </w:pPr>
  </w:style>
  <w:style w:type="paragraph" w:styleId="868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869">
    <w:name w:val="Table Grid"/>
    <w:basedOn w:val="846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0" w:customStyle="1">
    <w:name w:val="Нижний колонтитул Знак"/>
    <w:link w:val="858"/>
    <w:uiPriority w:val="99"/>
    <w:rPr>
      <w:sz w:val="24"/>
    </w:rPr>
  </w:style>
  <w:style w:type="character" w:styleId="871" w:customStyle="1">
    <w:name w:val="Заголовок 1 Знак"/>
    <w:basedOn w:val="845"/>
    <w:link w:val="844"/>
    <w:uiPriority w:val="9"/>
    <w:rPr>
      <w:b/>
      <w:sz w:val="24"/>
      <w:szCs w:val="24"/>
    </w:rPr>
  </w:style>
  <w:style w:type="paragraph" w:styleId="872" w:customStyle="1">
    <w:name w:val="Default"/>
    <w:rPr>
      <w:color w:val="000000"/>
      <w:sz w:val="24"/>
      <w:szCs w:val="24"/>
    </w:rPr>
  </w:style>
  <w:style w:type="paragraph" w:styleId="873">
    <w:name w:val="List Paragraph"/>
    <w:basedOn w:val="843"/>
    <w:uiPriority w:val="34"/>
    <w:qFormat/>
    <w:pPr>
      <w:contextualSpacing/>
      <w:ind w:left="720"/>
    </w:pPr>
  </w:style>
  <w:style w:type="paragraph" w:styleId="874" w:customStyle="1">
    <w:name w:val="Знак Знак Знак2 Знак1"/>
    <w:basedOn w:val="84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875">
    <w:name w:val="Hyperlink"/>
    <w:rPr>
      <w:color w:val="0066cc"/>
      <w:u w:val="single"/>
    </w:rPr>
  </w:style>
  <w:style w:type="character" w:styleId="876" w:customStyle="1">
    <w:name w:val="Сноска (2)_"/>
    <w:link w:val="877"/>
    <w:rPr>
      <w:shd w:val="clear" w:color="auto" w:fill="ffffff"/>
    </w:rPr>
  </w:style>
  <w:style w:type="paragraph" w:styleId="877" w:customStyle="1">
    <w:name w:val="Сноска (2)"/>
    <w:basedOn w:val="843"/>
    <w:link w:val="876"/>
    <w:pPr>
      <w:spacing w:before="300" w:after="480" w:line="0" w:lineRule="atLeast"/>
      <w:shd w:val="clear" w:color="auto" w:fill="ffffff"/>
    </w:pPr>
    <w:rPr>
      <w:sz w:val="20"/>
    </w:rPr>
  </w:style>
  <w:style w:type="character" w:styleId="878" w:customStyle="1">
    <w:name w:val="Гиперссылка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ld@rushydro.ru" TargetMode="External"/><Relationship Id="rId11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hyperlink" Target="consultantplus://offline/ref=94D5CE8889791A29DE57299515463A9D6135D2287D929C803E6F853513x2A2P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7D92D-C08D-4EE2-A666-BA8BD4FD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lastModifiedBy>motina_sv</cp:lastModifiedBy>
  <cp:revision>56</cp:revision>
  <dcterms:created xsi:type="dcterms:W3CDTF">2021-06-24T23:18:00Z</dcterms:created>
  <dcterms:modified xsi:type="dcterms:W3CDTF">2024-12-17T06:51:15Z</dcterms:modified>
</cp:coreProperties>
</file>