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38"/>
        <w:shd w:val="clear" w:color="auto" w:fill="auto"/>
      </w:pPr>
      <w:r>
        <w:t xml:space="preserve">1. Общая информация</w:t>
      </w:r>
      <w:r/>
    </w:p>
    <w:tbl>
      <w:tblPr>
        <w:tblStyle w:val="839"/>
        <w:tblW w:w="10472" w:type="dxa"/>
        <w:tblInd w:w="-459" w:type="dxa"/>
        <w:tblLook w:val="04A0" w:firstRow="1" w:lastRow="0" w:firstColumn="1" w:lastColumn="0" w:noHBand="0" w:noVBand="1"/>
      </w:tblPr>
      <w:tblGrid>
        <w:gridCol w:w="1365"/>
        <w:gridCol w:w="2582"/>
        <w:gridCol w:w="6525"/>
      </w:tblGrid>
      <w:tr>
        <w:tblPrEx/>
        <w:trPr>
          <w:trHeight w:val="687"/>
        </w:trPr>
        <w:tc>
          <w:tcPr>
            <w:tcW w:w="1365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82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525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Информация по лоту</w:t>
            </w:r>
            <w:r/>
          </w:p>
        </w:tc>
      </w:tr>
      <w:tr>
        <w:tblPrEx/>
        <w:trPr>
          <w:trHeight w:val="589"/>
        </w:trPr>
        <w:tc>
          <w:tcPr>
            <w:tcW w:w="13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2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sz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ОКПД2 49.41.19.9. Оказание транспортных услуг грузовым транспортом и спец.техникой для ТЭЦ г.Советская Гавань</w:t>
            </w:r>
            <w:r>
              <w:rPr>
                <w:rFonts w:ascii="Liberation Serif" w:hAnsi="Liberation Serif" w:eastAsia="Liberation Serif" w:cs="Liberation Serif"/>
                <w:sz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</w:rPr>
            </w:r>
          </w:p>
        </w:tc>
      </w:tr>
      <w:tr>
        <w:tblPrEx/>
        <w:trPr>
          <w:trHeight w:val="294"/>
        </w:trPr>
        <w:tc>
          <w:tcPr>
            <w:tcW w:w="13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25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80032001-АХР ДОР-2025-ДГК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/>
            <w:tcBorders>
              <w:top w:val="single" w:color="auto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1.3.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82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НМЦ лота</w:t>
            </w:r>
            <w:r/>
          </w:p>
        </w:tc>
        <w:tc>
          <w:tcPr>
            <w:tcW w:w="65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3 668 173,33 </w:t>
            </w:r>
            <w:r>
              <w:rPr>
                <w:rFonts w:ascii="Times New Roman" w:hAnsi="Times New Roman" w:cs="Times New Roman"/>
                <w:lang w:bidi="ru-RU"/>
              </w:rPr>
              <w:t xml:space="preserve">руб.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lang w:bidi="ru-RU"/>
              </w:rPr>
              <w:t xml:space="preserve">без НДС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673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Метод анализа технико-коммерческих предложений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pStyle w:val="673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Обоснование расчета НМЦ: 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4401"/>
        <w:gridCol w:w="1417"/>
        <w:gridCol w:w="1559"/>
        <w:gridCol w:w="818"/>
      </w:tblGrid>
      <w:tr>
        <w:tblPrEx/>
        <w:trPr>
          <w:trHeight w:val="70"/>
        </w:trPr>
        <w:tc>
          <w:tcPr>
            <w:shd w:val="clear" w:color="000000" w:fill="e7e6e6"/>
            <w:tcW w:w="13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4401" w:type="dxa"/>
            <w:textDirection w:val="lrTb"/>
            <w:noWrap w:val="false"/>
          </w:tcPr>
          <w:p>
            <w:pPr>
              <w:ind w:firstLine="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8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1376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Arial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  <w:r>
              <w:rPr>
                <w:rFonts w:ascii="Times New Roman" w:hAnsi="Times New Roman" w:eastAsia="Arial" w:cs="Times New Roman"/>
                <w:lang w:eastAsia="ru-RU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Arial" w:cs="Times New Roman"/>
                <w:lang w:eastAsia="ru-RU"/>
              </w:rPr>
              <w:t xml:space="preserve">Оказание транспортных услуг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44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ТКП №1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721"/>
              <w:gridCol w:w="709"/>
              <w:gridCol w:w="1168"/>
            </w:tblGrid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single" w:color="000000" w:sz="8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грузовой самосвал Г/П:25т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3400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8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939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8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3 192 600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вакуумный ассенизатор 4 куб.м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4000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11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44 000</w:t>
                  </w:r>
                  <w:r/>
                </w:p>
              </w:tc>
            </w:tr>
            <w:tr>
              <w:tblPrEx/>
              <w:trPr>
                <w:trHeight w:val="765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грузовой-бортовой с манипуляторной установкой, Г/П 5т.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4700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15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70 500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автокран, Г/П стрелы 20т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4700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20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94 000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бензовоз , объем бочки 17 куб.м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4600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138 000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седельный тягач с тралом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5100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13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66 300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vMerge w:val="restart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погрузчик, объем ковша 3,0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4700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20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94000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vMerge w:val="restart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экскаватор, объем ковша 1,70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4800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20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96000</w:t>
                  </w:r>
                  <w:r/>
                </w:p>
              </w:tc>
            </w:tr>
            <w:tr>
              <w:tblPrEx/>
              <w:trPr>
                <w:trHeight w:val="69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ffffff" w:fill="ffffff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1429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Итого: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3795400,00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</w:tr>
          </w:tbl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3 795 400,00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</w:rPr>
            </w:r>
          </w:p>
        </w:tc>
        <w:tc>
          <w:tcPr>
            <w:shd w:val="clear" w:color="ffffff" w:fill="ffffff"/>
            <w:tcW w:w="15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Среднее арифметическое значение полученных ТКП: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3 668 173,33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textDirection w:val="lrTb"/>
            <w:noWrap w:val="false"/>
          </w:tcPr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1376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44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ТКП №2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721"/>
              <w:gridCol w:w="709"/>
              <w:gridCol w:w="1168"/>
            </w:tblGrid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single" w:color="000000" w:sz="8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грузовой самосвал Г/П:20т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3200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8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939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8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3 004 800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вакуумный ассенизатор 4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3880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11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42 680</w:t>
                  </w:r>
                  <w:r/>
                </w:p>
              </w:tc>
            </w:tr>
            <w:tr>
              <w:tblPrEx/>
              <w:trPr>
                <w:trHeight w:val="765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грузовой-бортовой с манипуляторной установкой, Г/П 5т.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4600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15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69 000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автокран, Г/П стрелы 20т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4900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20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98 000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погрузчик, объем ковша 3,0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4500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20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90 000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экскаватор, объем ковша 1,60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tcW w:w="72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5000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20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100 000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vMerge w:val="restart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бензовоз , объем бочки 18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tcW w:w="721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4500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single" w:color="000000" w:sz="8" w:space="0"/>
                  </w:tcBorders>
                  <w:tcW w:w="116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135 000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305" w:type="dxa"/>
                  <w:vAlign w:val="center"/>
                  <w:vMerge w:val="restart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седельный тягач с тралом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tcW w:w="721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5200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13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single" w:color="000000" w:sz="8" w:space="0"/>
                  </w:tcBorders>
                  <w:tcW w:w="116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67 600</w:t>
                  </w:r>
                  <w:r/>
                </w:p>
              </w:tc>
            </w:tr>
            <w:tr>
              <w:tblPrEx/>
              <w:trPr>
                <w:trHeight w:val="57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single" w:color="000000" w:sz="8" w:space="0"/>
                  </w:tcBorders>
                  <w:tcW w:w="1305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1429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Итого: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tcW w:w="1168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3607080,00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</w:tr>
          </w:tbl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607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080,00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textDirection w:val="lrTb"/>
            <w:noWrap w:val="false"/>
          </w:tcPr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1376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44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ТКП №3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8"/>
              <w:gridCol w:w="709"/>
              <w:gridCol w:w="709"/>
              <w:gridCol w:w="1276"/>
            </w:tblGrid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single" w:color="000000" w:sz="8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458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грузовой самосвал Г/П:25т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3200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8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939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276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3004800</w:t>
                  </w:r>
                  <w:r/>
                </w:p>
              </w:tc>
            </w:tr>
            <w:tr>
              <w:tblPrEx/>
              <w:trPr>
                <w:trHeight w:val="465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458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вакуумный ассенизатор 4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3840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11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276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42240</w:t>
                  </w:r>
                  <w:r/>
                </w:p>
              </w:tc>
            </w:tr>
            <w:tr>
              <w:tblPrEx/>
              <w:trPr>
                <w:trHeight w:val="765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458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грузовой-бортовой с манипуляторной установкой, Г/П 5т.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4200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15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276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63000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458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автокран, Г/П стрелы 30т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5200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20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276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104000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458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бензовоз , объем бочки 17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4500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8" w:space="0"/>
                  </w:tcBorders>
                  <w:tcW w:w="1276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135000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458" w:type="dxa"/>
                  <w:vAlign w:val="center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погрузчик, объем ковша 3,3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4700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20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single" w:color="000000" w:sz="8" w:space="0"/>
                  </w:tcBorders>
                  <w:tcW w:w="1276" w:type="dxa"/>
                  <w:vAlign w:val="center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94000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458" w:type="dxa"/>
                  <w:vAlign w:val="center"/>
                  <w:vMerge w:val="restart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экскаватор, объем ковша 1,76 куб.м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single" w:color="000000" w:sz="4" w:space="0"/>
                  </w:tcBorders>
                  <w:tcW w:w="70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4700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20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single" w:color="000000" w:sz="8" w:space="0"/>
                  </w:tcBorders>
                  <w:tcW w:w="1276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94000</w:t>
                  </w:r>
                  <w:r/>
                </w:p>
              </w:tc>
            </w:tr>
            <w:tr>
              <w:tblPrEx/>
              <w:trPr>
                <w:trHeight w:val="51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none" w:color="000000" w:sz="4" w:space="0"/>
                  </w:tcBorders>
                  <w:tcW w:w="1458" w:type="dxa"/>
                  <w:vAlign w:val="center"/>
                  <w:vMerge w:val="restart"/>
                  <w:textDirection w:val="lrTb"/>
                  <w:noWrap w:val="false"/>
                </w:tcPr>
                <w:p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седельный тягач с тралом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none" w:color="000000" w:sz="4" w:space="0"/>
                    <w:right w:val="single" w:color="000000" w:sz="4" w:space="0"/>
                  </w:tcBorders>
                  <w:tcW w:w="70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5000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13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single" w:color="000000" w:sz="8" w:space="0"/>
                  </w:tcBorders>
                  <w:tcW w:w="1276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right"/>
                  </w:pPr>
                  <w:r>
                    <w:rPr>
                      <w:rFonts w:ascii="Times New Roman" w:hAnsi="Times New Roman" w:eastAsia="Times New Roman" w:cs="Times New Roman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65 000</w:t>
                  </w:r>
                  <w:r/>
                </w:p>
              </w:tc>
            </w:tr>
            <w:tr>
              <w:tblPrEx/>
              <w:trPr>
                <w:trHeight w:val="480"/>
              </w:trPr>
              <w:tc>
                <w:tcPr>
                  <w:shd w:val="clear" w:color="ffffff" w:fill="ffffff"/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none" w:color="000000" w:sz="4" w:space="0"/>
                  </w:tcBorders>
                  <w:tcW w:w="1458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eastAsia="ru-RU"/>
                    </w:rPr>
                    <w:t xml:space="preserve"> 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gridSpan w:val="2"/>
                  <w:shd w:val="clear" w:color="ffffff" w:fill="ffffff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none" w:color="000000" w:sz="4" w:space="0"/>
                  </w:tcBorders>
                  <w:tcW w:w="141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Итого: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tcW w:w="1276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</w:rPr>
                    <w:t xml:space="preserve">3602040,00</w:t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</w:tr>
          </w:tbl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3 602 040,00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textDirection w:val="lrTb"/>
            <w:noWrap w:val="false"/>
          </w:tcPr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Основной текст (14)_"/>
    <w:basedOn w:val="832"/>
    <w:link w:val="836"/>
    <w:rPr>
      <w:rFonts w:ascii="Times New Roman" w:hAnsi="Times New Roman" w:eastAsia="Times New Roman" w:cs="Times New Roman"/>
      <w:shd w:val="clear" w:color="auto" w:fill="ffffff"/>
    </w:rPr>
  </w:style>
  <w:style w:type="paragraph" w:styleId="836" w:customStyle="1">
    <w:name w:val="Основной текст (14)"/>
    <w:basedOn w:val="831"/>
    <w:link w:val="835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7" w:customStyle="1">
    <w:name w:val="Подпись к таблице (2)_"/>
    <w:basedOn w:val="832"/>
    <w:link w:val="838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38" w:customStyle="1">
    <w:name w:val="Подпись к таблице (2)"/>
    <w:basedOn w:val="831"/>
    <w:link w:val="837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Основной текст (2)_"/>
    <w:basedOn w:val="832"/>
    <w:link w:val="842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1" w:customStyle="1">
    <w:name w:val="Основной текст (2) + 11 pt"/>
    <w:basedOn w:val="840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2" w:customStyle="1">
    <w:name w:val="Основной текст (2)"/>
    <w:basedOn w:val="831"/>
    <w:link w:val="840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43" w:customStyle="1">
    <w:name w:val="Знак Знак Знак2 Знак1 Знак Знак Знак Знак"/>
    <w:basedOn w:val="831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sz w:val="20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Елена Витальевна</dc:creator>
  <cp:revision>25</cp:revision>
  <dcterms:created xsi:type="dcterms:W3CDTF">2021-10-06T01:47:00Z</dcterms:created>
  <dcterms:modified xsi:type="dcterms:W3CDTF">2024-10-07T07:22:43Z</dcterms:modified>
</cp:coreProperties>
</file>