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jc w:val="center"/>
      </w:pPr>
      <w:r>
        <w:t xml:space="preserve">Перечень рекомендуемых мероприятий по улучшению условий труда</w:t>
      </w:r>
      <w:r/>
    </w:p>
    <w:p>
      <w:r/>
      <w:r/>
    </w:p>
    <w:p>
      <w:pPr>
        <w:rPr>
          <w:rStyle w:val="647"/>
          <w:highlight w:val="none"/>
        </w:rPr>
      </w:pPr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647"/>
        </w:rPr>
        <w:t xml:space="preserve"> </w:t>
      </w:r>
      <w:r>
        <w:rPr>
          <w:rStyle w:val="647"/>
        </w:rPr>
        <w:fldChar w:fldCharType="begin"/>
      </w:r>
      <w:r>
        <w:rPr>
          <w:rStyle w:val="647"/>
        </w:rPr>
        <w:instrText xml:space="preserve"> DOCVARIABLE </w:instrText>
      </w:r>
      <w:r>
        <w:rPr>
          <w:rStyle w:val="647"/>
          <w:lang w:val="en-US"/>
        </w:rPr>
        <w:instrText xml:space="preserve">ceh</w:instrText>
      </w:r>
      <w:r>
        <w:rPr>
          <w:rStyle w:val="647"/>
        </w:rPr>
        <w:instrText xml:space="preserve">_</w:instrText>
      </w:r>
      <w:r>
        <w:rPr>
          <w:rStyle w:val="647"/>
          <w:lang w:val="en-US"/>
        </w:rPr>
        <w:instrText xml:space="preserve">info</w:instrText>
      </w:r>
      <w:r>
        <w:rPr>
          <w:rStyle w:val="647"/>
        </w:rPr>
        <w:instrText xml:space="preserve"> \* MERGEFORMAT </w:instrText>
      </w:r>
      <w:r>
        <w:rPr>
          <w:rStyle w:val="647"/>
        </w:rPr>
        <w:fldChar w:fldCharType="separate"/>
      </w:r>
      <w:r>
        <w:rPr>
          <w:rStyle w:val="647"/>
        </w:rPr>
        <w:t xml:space="preserve"> Акционерное общество "Дальневосточная генерирующая компания" структурное подразделение "Артемовская ТЭЦ" </w:t>
      </w:r>
      <w:r>
        <w:rPr>
          <w:rStyle w:val="647"/>
        </w:rPr>
        <w:fldChar w:fldCharType="end"/>
      </w:r>
      <w:r>
        <w:rPr>
          <w:rStyle w:val="647"/>
        </w:rPr>
        <w:t xml:space="preserve"> </w:t>
      </w:r>
      <w:r/>
    </w:p>
    <w:p>
      <w:r>
        <w:rPr>
          <w:rStyle w:val="647"/>
          <w:highlight w:val="none"/>
        </w:rPr>
      </w:r>
      <w:r>
        <w:rPr>
          <w:rStyle w:val="647"/>
          <w:highlight w:val="none"/>
        </w:rPr>
      </w:r>
    </w:p>
    <w:p>
      <w:pPr>
        <w:pStyle w:val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15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bookmarkStart w:id="0" w:name="main_table"/>
            <w:r/>
            <w:bookmarkEnd w:id="0"/>
            <w:r>
              <w:t xml:space="preserve">Наименование структурного подразделения, рабочего места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Наименование мероприятия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Цель мероприятия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Срок</w:t>
            </w:r>
            <w:r>
              <w:rPr>
                <w:lang w:val="en-US"/>
              </w:rPr>
              <w:br/>
            </w:r>
            <w:r>
              <w:t xml:space="preserve">выполнения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Структурные подразделения, привлекаемые для выполнения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Отметка о выполнении</w:t>
            </w:r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1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2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3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4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5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6</w:t>
            </w:r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rPr>
                <w:b/>
                <w:i/>
              </w:rPr>
            </w:pPr>
            <w:r>
              <w:rPr>
                <w:b/>
                <w:i/>
              </w:rPr>
              <w:t xml:space="preserve">Котельный цех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334. Начальник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Обеспечить работника средствами индивидуальной защиты органов слуха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воздействия шума</w:t>
            </w:r>
            <w:r>
              <w:tab/>
              <w:t xml:space="preserve">   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335. Заместитель начальника по эксплуатации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Обеспечить работника средствами индивидуальной защиты органов слуха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воздействия шума</w:t>
            </w:r>
            <w:r>
              <w:tab/>
              <w:t xml:space="preserve">   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336. Заместитель начальника по ремонту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Обеспечить работника средствами индивидуальной защиты органов слуха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воздействия шума</w:t>
            </w:r>
            <w:r>
              <w:tab/>
              <w:t xml:space="preserve">   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343. Ведущий инженер (эксплуатация)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Обеспечить работника средствами индивидуальной защиты органов слуха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воздействия шума</w:t>
            </w:r>
            <w:r>
              <w:tab/>
              <w:t xml:space="preserve">   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bookmarkStart w:id="1" w:name="_GoBack"/>
            <w:r/>
            <w:bookmarkEnd w:id="1"/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344. Ведущий инженер (ремонт)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Обеспечить работника средствами индивидуальной защиты органов слуха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воздействия шума</w:t>
            </w:r>
            <w:r>
              <w:tab/>
              <w:t xml:space="preserve">   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rPr>
                <w:b/>
                <w:i/>
              </w:rPr>
            </w:pPr>
            <w:r>
              <w:rPr>
                <w:b/>
                <w:i/>
              </w:rPr>
              <w:t xml:space="preserve">Турбинный цех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337. Начальник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Обеспечить работника средствами индивидуальной защиты органов слуха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воздействия шума</w:t>
            </w:r>
            <w:r>
              <w:tab/>
              <w:t xml:space="preserve">   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338. Заместитель начальника по эксплуатации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Обеспечить работника средствами индивидуальной защиты органов слуха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воздействия шума</w:t>
            </w:r>
            <w:r>
              <w:tab/>
              <w:t xml:space="preserve">   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339. Заместитель начальника по ремонту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Обеспечить работника средствами индивидуальной защиты органов слуха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воздействия шума</w:t>
            </w:r>
            <w:r>
              <w:tab/>
              <w:t xml:space="preserve">   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342. Техник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345. Ведущий инженер (эксплуатация)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Обеспечить работника средствами индивидуальной защиты органов слуха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воздействия шума</w:t>
            </w:r>
            <w:r>
              <w:tab/>
              <w:t xml:space="preserve">   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346. Ведущий инженер (ремонт)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Обеспечить работника средствами индивидуальной защиты органов слуха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Снижение воздействия шума</w:t>
            </w:r>
            <w:r>
              <w:tab/>
              <w:t xml:space="preserve">   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rPr>
                <w:b/>
                <w:i/>
              </w:rPr>
            </w:pPr>
            <w:r>
              <w:rPr>
                <w:b/>
                <w:i/>
              </w:rPr>
              <w:t xml:space="preserve">Служба обеспечения производства (СОП), группа материально-технического снабжения (ГМТС)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340. Водитель автомобиля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Рекомендации по улучшению условий </w:t>
            </w:r>
            <w:r>
              <w:t xml:space="preserve">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rPr>
                <w:b/>
                <w:i/>
              </w:rPr>
            </w:pPr>
            <w:r>
              <w:rPr>
                <w:b/>
                <w:i/>
              </w:rPr>
              <w:t xml:space="preserve">Цех топливоподачи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341. Инженер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rPr>
                <w:b/>
                <w:i/>
              </w:rPr>
            </w:pPr>
            <w:r>
              <w:rPr>
                <w:b/>
                <w:i/>
              </w:rPr>
              <w:t xml:space="preserve">Группа капитального строительства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347. Ведущий экономист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648"/>
              <w:jc w:val="left"/>
            </w:pPr>
            <w:r>
              <w:t xml:space="preserve">348. Главный специалист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648"/>
            </w:pPr>
            <w:r>
              <w:t xml:space="preserve">Рекомендации по улучшению условий труда: не требуются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</w:tbl>
    <w:p>
      <w:r/>
      <w:r/>
    </w:p>
    <w:p>
      <w:r>
        <w:t xml:space="preserve">Дата составления:</w:t>
      </w:r>
      <w:r>
        <w:rPr>
          <w:rStyle w:val="647"/>
        </w:rPr>
        <w:t xml:space="preserve"> </w:t>
      </w:r>
      <w:r>
        <w:rPr>
          <w:rStyle w:val="647"/>
        </w:rPr>
        <w:fldChar w:fldCharType="begin"/>
      </w:r>
      <w:r>
        <w:rPr>
          <w:rStyle w:val="647"/>
        </w:rPr>
        <w:instrText xml:space="preserve"> DOCVARIABLE </w:instrText>
      </w:r>
      <w:r>
        <w:rPr>
          <w:rStyle w:val="647"/>
          <w:lang w:val="en-US"/>
        </w:rPr>
        <w:instrText xml:space="preserve">fill</w:instrText>
      </w:r>
      <w:r>
        <w:rPr>
          <w:rStyle w:val="647"/>
        </w:rPr>
        <w:instrText xml:space="preserve">_</w:instrText>
      </w:r>
      <w:r>
        <w:rPr>
          <w:rStyle w:val="647"/>
          <w:lang w:val="en-US"/>
        </w:rPr>
        <w:instrText xml:space="preserve">date</w:instrText>
      </w:r>
      <w:r>
        <w:rPr>
          <w:rStyle w:val="647"/>
        </w:rPr>
        <w:instrText xml:space="preserve"> \* MERGEFORMAT </w:instrText>
      </w:r>
      <w:r>
        <w:rPr>
          <w:rStyle w:val="647"/>
        </w:rPr>
        <w:fldChar w:fldCharType="separate"/>
      </w:r>
      <w:r>
        <w:rPr>
          <w:rStyle w:val="647"/>
        </w:rPr>
        <w:t xml:space="preserve">13.09.2024</w:t>
      </w:r>
      <w:r>
        <w:rPr>
          <w:rStyle w:val="647"/>
        </w:rPr>
        <w:fldChar w:fldCharType="end"/>
      </w:r>
      <w:r>
        <w:rPr>
          <w:rStyle w:val="647"/>
          <w:lang w:val="en-US"/>
        </w:rPr>
        <w:t xml:space="preserve"> </w:t>
      </w:r>
      <w:r/>
    </w:p>
    <w:p>
      <w:pPr>
        <w:rPr>
          <w:sz w:val="18"/>
          <w:szCs w:val="18"/>
        </w:rPr>
      </w:pPr>
      <w:r>
        <w:rPr>
          <w:sz w:val="18"/>
          <w:szCs w:val="18"/>
        </w:rPr>
      </w:r>
      <w:r/>
    </w:p>
    <w:p>
      <w:r>
        <w:t xml:space="preserve">Председатель комиссии по проведению специальной оценки условий труда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rPr>
          <w:trHeight w:val="284"/>
        </w:trPr>
        <w:tc>
          <w:tcPr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Директор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bookmarkStart w:id="2" w:name="com_pred"/>
            <w:r/>
            <w:bookmarkEnd w:id="2"/>
            <w:r/>
            <w:r/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Авдеев Евгений Николаевич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/>
            <w:bookmarkStart w:id="3" w:name="s070_1"/>
            <w:r/>
            <w:bookmarkEnd w:id="3"/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</w:tbl>
    <w:p>
      <w:pPr>
        <w:rPr>
          <w:lang w:val="en-US"/>
        </w:rPr>
      </w:pPr>
      <w:r>
        <w:rPr>
          <w:lang w:val="en-US"/>
        </w:rPr>
      </w:r>
      <w:r/>
    </w:p>
    <w:p>
      <w:r>
        <w:t xml:space="preserve">Члены комиссии по проведению специальной оценки условий труда: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rPr>
          <w:trHeight w:val="284"/>
        </w:trPr>
        <w:tc>
          <w:tcPr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Главный инженер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bookmarkStart w:id="4" w:name="com_chlens"/>
            <w:r/>
            <w:bookmarkEnd w:id="4"/>
            <w:r/>
            <w:r/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Гиберт Александр Владимирович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/>
            <w:bookmarkStart w:id="5" w:name="s070_2"/>
            <w:r/>
            <w:bookmarkEnd w:id="5"/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Начальник СПБиОТ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Лисица Наталья Александровна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Ведущий специалист по охране труда СПБиОТ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Усова Марина Эдуардовна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Главный специалист ГУП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Радченко Ольга Александровна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Экономист по труду 1 категории 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Шатунова Лариса Константиновна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Начальник цеха топливоподачи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Жирков Игорь Владимирович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Начальник котельного цеха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Кузнецов Сергей Владимирович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Начальник турбинного цеха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Мещеряков Василий Леонидович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bottom w:val="none" w:color="000000" w:sz="4" w:space="0"/>
            </w:tcBorders>
            <w:tcW w:w="367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Borders>
              <w:bottom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Borders>
              <w:bottom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Borders>
              <w:bottom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3" w:type="dxa"/>
            <w:vMerge w:val="restart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9" w:type="dxa"/>
            <w:vMerge w:val="restart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rPr>
          <w:trHeight w:val="284"/>
        </w:trPr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Начальник электрического цеха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Кирнос Вадим Николаевич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Начальник СОП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Козинин Сергей Александрович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Председатель ППО СП "Артемовская ТЭЦ"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Полещенкова Инна Александровна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Юрисконсульт 1 категории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Ёлгина Виктория Александровна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</w:tbl>
    <w:p>
      <w:pPr>
        <w:rPr>
          <w:lang w:val="en-US"/>
        </w:rPr>
      </w:pPr>
      <w:r>
        <w:rPr>
          <w:lang w:val="en-US"/>
        </w:rPr>
      </w:r>
      <w:r/>
    </w:p>
    <w:p>
      <w:r>
        <w:t xml:space="preserve">Эксперт</w:t>
      </w:r>
      <w:r>
        <w:t xml:space="preserve"> </w:t>
      </w:r>
      <w:r>
        <w:t xml:space="preserve">(</w:t>
      </w:r>
      <w:r>
        <w:t xml:space="preserve">эксперты</w:t>
      </w:r>
      <w:r>
        <w:t xml:space="preserve">) </w:t>
      </w:r>
      <w:r>
        <w:t xml:space="preserve">организации, проводившей специальную оценку условий труда</w:t>
      </w:r>
      <w:r>
        <w:t xml:space="preserve">:</w:t>
      </w:r>
      <w:r/>
    </w:p>
    <w:tbl>
      <w:tblPr>
        <w:tblStyle w:val="640"/>
        <w:tblW w:w="11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52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6068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Четокина Александра Станиславовна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48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48"/>
            </w:pPr>
            <w:r>
              <w:t xml:space="preserve">13.09.2024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52" w:type="dxa"/>
            <w:vAlign w:val="center"/>
            <w:textDirection w:val="lrTb"/>
            <w:noWrap w:val="false"/>
          </w:tcPr>
          <w:p>
            <w:pPr>
              <w:pStyle w:val="648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(№ в реестре)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48"/>
              <w:rPr>
                <w:b/>
                <w:vertAlign w:val="superscript"/>
              </w:rPr>
            </w:pPr>
            <w:r/>
            <w:bookmarkStart w:id="6" w:name="fio_users"/>
            <w:r/>
            <w:bookmarkEnd w:id="6"/>
            <w:r/>
            <w:r/>
          </w:p>
        </w:tc>
        <w:tc>
          <w:tcPr>
            <w:tcBorders>
              <w:top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648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/>
          </w:p>
        </w:tc>
        <w:tc>
          <w:tcPr>
            <w:tcW w:w="284" w:type="dxa"/>
            <w:vAlign w:val="center"/>
            <w:textDirection w:val="lrTb"/>
            <w:noWrap w:val="false"/>
          </w:tcPr>
          <w:p>
            <w:pPr>
              <w:pStyle w:val="648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648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наличии))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48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/>
          </w:p>
        </w:tc>
      </w:tr>
    </w:tbl>
    <w:p>
      <w:pPr>
        <w:rPr>
          <w:lang w:val="en-US"/>
        </w:rPr>
      </w:pPr>
      <w:r>
        <w:rPr>
          <w:lang w:val="en-US"/>
        </w:rPr>
      </w:r>
      <w:r/>
    </w:p>
    <w:sectPr>
      <w:footnotePr/>
      <w:endnotePr/>
      <w:type w:val="nextPage"/>
      <w:pgSz w:w="16838" w:h="11906" w:orient="landscape"/>
      <w:pgMar w:top="1041" w:right="680" w:bottom="94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7"/>
    <w:link w:val="63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7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7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7"/>
    <w:link w:val="649"/>
    <w:uiPriority w:val="99"/>
  </w:style>
  <w:style w:type="character" w:styleId="45">
    <w:name w:val="Footer Char"/>
    <w:basedOn w:val="637"/>
    <w:link w:val="651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1"/>
    <w:uiPriority w:val="99"/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7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7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  <w:rPr>
      <w:sz w:val="24"/>
    </w:rPr>
  </w:style>
  <w:style w:type="paragraph" w:styleId="636">
    <w:name w:val="Heading 1"/>
    <w:basedOn w:val="635"/>
    <w:next w:val="635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table" w:styleId="640">
    <w:name w:val="Table Grid"/>
    <w:basedOn w:val="63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41">
    <w:name w:val="Hyperlink"/>
    <w:basedOn w:val="637"/>
    <w:rPr>
      <w:color w:val="0000ff"/>
      <w:u w:val="single"/>
    </w:rPr>
  </w:style>
  <w:style w:type="paragraph" w:styleId="642" w:customStyle="1">
    <w:name w:val="Готовый"/>
    <w:basedOn w:val="635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643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44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645" w:customStyle="1">
    <w:name w:val="Раздел"/>
    <w:basedOn w:val="635"/>
    <w:link w:val="646"/>
    <w:pPr>
      <w:spacing w:before="60"/>
    </w:pPr>
    <w:rPr>
      <w:b/>
      <w:color w:val="000000"/>
      <w:szCs w:val="24"/>
    </w:rPr>
  </w:style>
  <w:style w:type="character" w:styleId="646" w:customStyle="1">
    <w:name w:val="Раздел Знак"/>
    <w:basedOn w:val="637"/>
    <w:link w:val="645"/>
    <w:rPr>
      <w:b/>
      <w:color w:val="000000"/>
      <w:sz w:val="24"/>
      <w:szCs w:val="24"/>
      <w:lang w:val="ru-RU" w:eastAsia="ru-RU" w:bidi="ar-SA"/>
    </w:rPr>
  </w:style>
  <w:style w:type="character" w:styleId="647" w:customStyle="1">
    <w:name w:val="Поле"/>
    <w:basedOn w:val="637"/>
    <w:rPr>
      <w:rFonts w:ascii="Times New Roman" w:hAnsi="Times New Roman"/>
      <w:sz w:val="24"/>
      <w:u w:val="single"/>
    </w:rPr>
  </w:style>
  <w:style w:type="paragraph" w:styleId="648" w:customStyle="1">
    <w:name w:val="Табличный"/>
    <w:basedOn w:val="635"/>
    <w:pPr>
      <w:jc w:val="center"/>
    </w:pPr>
    <w:rPr>
      <w:sz w:val="20"/>
    </w:rPr>
  </w:style>
  <w:style w:type="paragraph" w:styleId="649">
    <w:name w:val="Header"/>
    <w:basedOn w:val="635"/>
    <w:link w:val="650"/>
    <w:pPr>
      <w:tabs>
        <w:tab w:val="center" w:pos="4677" w:leader="none"/>
        <w:tab w:val="right" w:pos="9355" w:leader="none"/>
      </w:tabs>
    </w:pPr>
  </w:style>
  <w:style w:type="character" w:styleId="650" w:customStyle="1">
    <w:name w:val="Верхний колонтитул Знак"/>
    <w:basedOn w:val="637"/>
    <w:link w:val="649"/>
    <w:rPr>
      <w:sz w:val="24"/>
    </w:rPr>
  </w:style>
  <w:style w:type="paragraph" w:styleId="651">
    <w:name w:val="Footer"/>
    <w:basedOn w:val="635"/>
    <w:link w:val="652"/>
    <w:pPr>
      <w:tabs>
        <w:tab w:val="center" w:pos="4677" w:leader="none"/>
        <w:tab w:val="right" w:pos="9355" w:leader="none"/>
      </w:tabs>
    </w:pPr>
  </w:style>
  <w:style w:type="character" w:styleId="652" w:customStyle="1">
    <w:name w:val="Нижний колонтитул Знак"/>
    <w:basedOn w:val="637"/>
    <w:link w:val="651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Четокина Александра Станиславовна</dc:creator>
  <cp:keywords/>
  <dc:description/>
  <cp:revision>3</cp:revision>
  <dcterms:created xsi:type="dcterms:W3CDTF">2024-10-21T01:37:00Z</dcterms:created>
  <dcterms:modified xsi:type="dcterms:W3CDTF">2024-10-21T04:54:15Z</dcterms:modified>
</cp:coreProperties>
</file>