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highlight w:val="none"/>
        </w:rPr>
      </w:pPr>
      <w:r>
        <w:rPr>
          <w:highlight w:val="none"/>
        </w:rPr>
      </w:r>
      <w:bookmarkStart w:id="0" w:name="_GoBack"/>
      <w:r>
        <w:rPr>
          <w:highlight w:val="none"/>
        </w:rPr>
      </w:r>
      <w:bookmarkEnd w:id="0"/>
      <w:r>
        <w:rPr>
          <w:highlight w:val="none"/>
        </w:rPr>
        <w:t xml:space="preserve">Сводная ведомость результатов </w:t>
      </w:r>
      <w:r>
        <w:rPr>
          <w:highlight w:val="none"/>
        </w:rPr>
        <w:t xml:space="preserve">проведения </w:t>
      </w:r>
      <w:r>
        <w:rPr>
          <w:highlight w:val="none"/>
        </w:rPr>
        <w:t xml:space="preserve">специальной оценки условий труда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Наименование </w:t>
      </w:r>
      <w:r>
        <w:rPr>
          <w:highlight w:val="none"/>
        </w:rPr>
        <w:t xml:space="preserve">организации</w:t>
      </w:r>
      <w:r>
        <w:rPr>
          <w:highlight w:val="none"/>
        </w:rPr>
        <w:t xml:space="preserve">:</w:t>
      </w:r>
      <w:r>
        <w:rPr>
          <w:rStyle w:val="838"/>
          <w:highlight w:val="none"/>
        </w:rPr>
        <w:t xml:space="preserve"> </w:t>
      </w:r>
      <w:r>
        <w:rPr>
          <w:rStyle w:val="838"/>
          <w:highlight w:val="none"/>
        </w:rPr>
        <w:fldChar w:fldCharType="begin"/>
      </w:r>
      <w:r>
        <w:rPr>
          <w:rStyle w:val="838"/>
          <w:highlight w:val="none"/>
        </w:rPr>
        <w:instrText xml:space="preserve"> DOCVARIABLE </w:instrText>
      </w:r>
      <w:r>
        <w:rPr>
          <w:rStyle w:val="838"/>
          <w:highlight w:val="none"/>
          <w:lang w:val="en-US"/>
        </w:rPr>
        <w:instrText xml:space="preserve">ceh</w:instrText>
      </w:r>
      <w:r>
        <w:rPr>
          <w:rStyle w:val="838"/>
          <w:highlight w:val="none"/>
        </w:rPr>
        <w:instrText xml:space="preserve">_</w:instrText>
      </w:r>
      <w:r>
        <w:rPr>
          <w:rStyle w:val="838"/>
          <w:highlight w:val="none"/>
          <w:lang w:val="en-US"/>
        </w:rPr>
        <w:instrText xml:space="preserve">info</w:instrText>
      </w:r>
      <w:r>
        <w:rPr>
          <w:rStyle w:val="838"/>
          <w:highlight w:val="none"/>
        </w:rPr>
        <w:instrText xml:space="preserve"> \* MERGEFORMAT </w:instrText>
      </w:r>
      <w:r>
        <w:rPr>
          <w:rStyle w:val="838"/>
          <w:highlight w:val="none"/>
        </w:rPr>
        <w:fldChar w:fldCharType="separate"/>
      </w:r>
      <w:r>
        <w:rPr>
          <w:rStyle w:val="838"/>
          <w:highlight w:val="none"/>
        </w:rPr>
        <w:t xml:space="preserve">Акционерное общество "Дальневосточная генерирующая компания" Структурное подразделение "ТЭЦ в г. Советская Гавань"</w:t>
      </w:r>
      <w:r>
        <w:rPr>
          <w:rStyle w:val="838"/>
          <w:highlight w:val="none"/>
        </w:rPr>
        <w:fldChar w:fldCharType="end"/>
      </w:r>
      <w:r>
        <w:rPr>
          <w:rStyle w:val="838"/>
          <w:highlight w:val="none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Таблица 1</w:t>
      </w:r>
      <w:r>
        <w:rPr>
          <w:highlight w:val="none"/>
        </w:rPr>
      </w:r>
      <w:r>
        <w:rPr>
          <w:highlight w:val="none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1" w:name="table1"/>
            <w:r>
              <w:rPr>
                <w:highlight w:val="none"/>
              </w:rPr>
            </w:r>
            <w:bookmarkEnd w:id="1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2" w:name="pos1"/>
            <w:r>
              <w:rPr>
                <w:highlight w:val="none"/>
              </w:rPr>
            </w:r>
            <w:bookmarkEnd w:id="2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53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53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3" w:name="pos2"/>
            <w:r>
              <w:rPr>
                <w:highlight w:val="none"/>
              </w:rPr>
            </w:r>
            <w:bookmarkEnd w:id="3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34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115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4" w:name="pos3"/>
            <w:r>
              <w:rPr>
                <w:highlight w:val="none"/>
              </w:rPr>
            </w:r>
            <w:bookmarkEnd w:id="4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5" w:name="pos4"/>
            <w:r>
              <w:rPr>
                <w:highlight w:val="none"/>
              </w:rPr>
            </w:r>
            <w:bookmarkEnd w:id="5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6" w:name="pos5"/>
            <w:r>
              <w:rPr>
                <w:highlight w:val="none"/>
              </w:rPr>
            </w:r>
            <w:bookmarkEnd w:id="6"/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Таблица 2</w:t>
      </w:r>
      <w:r>
        <w:rPr>
          <w:highlight w:val="none"/>
        </w:rPr>
      </w:r>
      <w:r>
        <w:rPr>
          <w:highlight w:val="non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18"/>
        <w:gridCol w:w="468"/>
        <w:gridCol w:w="503"/>
        <w:gridCol w:w="434"/>
        <w:gridCol w:w="469"/>
        <w:gridCol w:w="468"/>
        <w:gridCol w:w="469"/>
        <w:gridCol w:w="469"/>
        <w:gridCol w:w="468"/>
        <w:gridCol w:w="469"/>
        <w:gridCol w:w="468"/>
        <w:gridCol w:w="469"/>
        <w:gridCol w:w="468"/>
        <w:gridCol w:w="469"/>
        <w:gridCol w:w="931"/>
        <w:gridCol w:w="559"/>
        <w:gridCol w:w="698"/>
        <w:gridCol w:w="559"/>
        <w:gridCol w:w="559"/>
        <w:gridCol w:w="559"/>
        <w:gridCol w:w="559"/>
        <w:gridCol w:w="559"/>
        <w:gridCol w:w="495"/>
      </w:tblGrid>
      <w:tr>
        <w:tblPrEx/>
        <w:trPr>
          <w:cantSplit/>
          <w:trHeight w:val="245"/>
        </w:trPr>
        <w:tc>
          <w:tcPr>
            <w:shd w:val="clear" w:color="auto" w:fill="auto"/>
            <w:tcW w:w="9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highlight w:val="none"/>
              </w:rPr>
            </w:pPr>
            <w:r>
              <w:rPr>
                <w:color w:val="000000"/>
                <w:sz w:val="20"/>
                <w:highlight w:val="none"/>
              </w:rPr>
              <w:t xml:space="preserve">Инд</w:t>
            </w:r>
            <w:r>
              <w:rPr>
                <w:color w:val="000000"/>
                <w:sz w:val="20"/>
                <w:highlight w:val="none"/>
              </w:rPr>
              <w:t xml:space="preserve">и</w:t>
            </w:r>
            <w:r>
              <w:rPr>
                <w:color w:val="000000"/>
                <w:sz w:val="20"/>
                <w:highlight w:val="none"/>
              </w:rPr>
              <w:t xml:space="preserve">ви</w:t>
            </w:r>
            <w:r>
              <w:rPr>
                <w:color w:val="000000"/>
                <w:sz w:val="20"/>
                <w:highlight w:val="none"/>
              </w:rPr>
              <w:t xml:space="preserve">дуал</w:t>
            </w:r>
            <w:r>
              <w:rPr>
                <w:color w:val="000000"/>
                <w:sz w:val="20"/>
                <w:highlight w:val="none"/>
              </w:rPr>
              <w:t xml:space="preserve">ь</w:t>
            </w:r>
            <w:r>
              <w:rPr>
                <w:color w:val="000000"/>
                <w:sz w:val="20"/>
                <w:highlight w:val="none"/>
              </w:rPr>
              <w:t xml:space="preserve">ный номер рабоч</w:t>
            </w:r>
            <w:r>
              <w:rPr>
                <w:color w:val="000000"/>
                <w:sz w:val="20"/>
                <w:highlight w:val="none"/>
              </w:rPr>
              <w:t xml:space="preserve">е</w:t>
            </w:r>
            <w:r>
              <w:rPr>
                <w:color w:val="000000"/>
                <w:sz w:val="20"/>
                <w:highlight w:val="none"/>
              </w:rPr>
              <w:t xml:space="preserve">го ме</w:t>
            </w:r>
            <w:r>
              <w:rPr>
                <w:color w:val="000000"/>
                <w:sz w:val="20"/>
                <w:highlight w:val="none"/>
              </w:rPr>
              <w:t xml:space="preserve">с</w:t>
            </w:r>
            <w:r>
              <w:rPr>
                <w:color w:val="000000"/>
                <w:sz w:val="20"/>
                <w:highlight w:val="none"/>
              </w:rPr>
              <w:t xml:space="preserve">та</w:t>
            </w: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none"/>
              </w:rPr>
            </w:pPr>
            <w:r>
              <w:rPr>
                <w:color w:val="000000"/>
                <w:sz w:val="20"/>
                <w:highlight w:val="none"/>
              </w:rPr>
              <w:t xml:space="preserve">Профессия/</w:t>
            </w:r>
            <w:r>
              <w:rPr>
                <w:color w:val="000000"/>
                <w:sz w:val="20"/>
                <w:highlight w:val="none"/>
              </w:rPr>
              <w:br/>
              <w:t xml:space="preserve">должность/</w:t>
            </w:r>
            <w:r>
              <w:rPr>
                <w:color w:val="000000"/>
                <w:sz w:val="20"/>
                <w:highlight w:val="none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  <w:highlight w:val="none"/>
              </w:rPr>
              <w:t xml:space="preserve">т</w:t>
            </w:r>
            <w:r>
              <w:rPr>
                <w:color w:val="000000"/>
                <w:sz w:val="20"/>
                <w:highlight w:val="none"/>
              </w:rPr>
              <w:t xml:space="preserve">ника </w:t>
            </w:r>
            <w:r>
              <w:rPr>
                <w:color w:val="000000"/>
                <w:sz w:val="20"/>
                <w:highlight w:val="none"/>
              </w:rPr>
            </w:r>
            <w:r>
              <w:rPr>
                <w:color w:val="000000"/>
                <w:sz w:val="20"/>
                <w:highlight w:val="none"/>
              </w:rPr>
            </w:r>
          </w:p>
          <w:p>
            <w:pPr>
              <w:jc w:val="center"/>
              <w:rPr>
                <w:color w:val="000000"/>
                <w:sz w:val="20"/>
                <w:highlight w:val="none"/>
              </w:rPr>
            </w:pPr>
            <w:r>
              <w:rPr>
                <w:color w:val="000000"/>
                <w:sz w:val="20"/>
                <w:highlight w:val="none"/>
              </w:rPr>
            </w:r>
            <w:r>
              <w:rPr>
                <w:color w:val="000000"/>
                <w:sz w:val="20"/>
                <w:highlight w:val="none"/>
              </w:rPr>
            </w:r>
            <w:r>
              <w:rPr>
                <w:color w:val="000000"/>
                <w:sz w:val="20"/>
                <w:highlight w:val="none"/>
              </w:rPr>
            </w:r>
          </w:p>
        </w:tc>
        <w:tc>
          <w:tcPr>
            <w:gridSpan w:val="14"/>
            <w:shd w:val="clear" w:color="auto" w:fill="auto"/>
            <w:tcW w:w="7026" w:type="dxa"/>
            <w:textDirection w:val="lrTb"/>
            <w:noWrap w:val="false"/>
          </w:tcPr>
          <w:p>
            <w:pPr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Классы</w:t>
            </w:r>
            <w:r>
              <w:rPr>
                <w:sz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highlight w:val="none"/>
              </w:rPr>
              <w:t xml:space="preserve">(подклассы)</w:t>
            </w:r>
            <w:r>
              <w:rPr>
                <w:sz w:val="20"/>
                <w:highlight w:val="none"/>
              </w:rPr>
              <w:t xml:space="preserve"> условий труда</w:t>
            </w:r>
            <w:r>
              <w:rPr>
                <w:sz w:val="20"/>
                <w:highlight w:val="none"/>
              </w:rPr>
            </w:r>
            <w:r>
              <w:rPr>
                <w:sz w:val="20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Итог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с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л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го прим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е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е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ния СИЗ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  <w:highlight w:val="none"/>
              </w:rPr>
              <w:t xml:space="preserve">ы (да/нет)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Лечебно</w:t>
            </w:r>
            <w:r>
              <w:rPr>
                <w:sz w:val="16"/>
                <w:szCs w:val="16"/>
                <w:highlight w:val="none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5"/>
                <w:szCs w:val="15"/>
                <w:highlight w:val="none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sz w:val="16"/>
                <w:szCs w:val="16"/>
                <w:highlight w:val="none"/>
              </w:rPr>
              <w:t xml:space="preserve">(да/нет)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Х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имический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Б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А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Ш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ум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И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нфразвук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У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воздушный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В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В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И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П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П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араметры световой среды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Т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  <w:t xml:space="preserve">Н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а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пряже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вого пр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о</w:t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цесса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69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59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95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</w:t>
            </w:r>
            <w:bookmarkStart w:id="7" w:name="table2"/>
            <w:r>
              <w:rPr>
                <w:highlight w:val="none"/>
              </w:rPr>
            </w:r>
            <w:bookmarkEnd w:id="7"/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8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13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14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Топливно-транспортный цех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Начальник смены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Моторист автоматизированной топливоподачи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топливоподачи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насосных установок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обслуживанию оборудования электростанций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Грузчик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бульдозера (бульдозер BEEZONE D-32 гар. № 1, 0118 ХР 27, г/в 2020; бульдозер ЧЕТРА Т-15, 4490 ХР 27, г/в 2020)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8/210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бульдозера (бульдозер BEEZONE D-32 гар. № 2, 8447 ХН 27, г/в 2020; бульдозер ЧЕТРА Т-15, 4490 ХР 27, г/в 2020)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оборудования топливоподачи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оборудования топливоподачи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Котлотурбинный цех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Старший машинист котлотурбинного цеха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Машинист-обходчик по турбинному оборудованию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14/210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парогазотурбинного оборудования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парогазотурбинного оборудования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оборудования котельных и пылеприготовительных цехов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насосных установок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компрессорных установок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Начальник цеха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Заместителя начальника цеха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Заместитель начальника цеха (по ремонту)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Мастер по ремонту оборудования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Машинист крана (крановщик)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Сварщик-оператор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Химический цех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26/210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обслуживанию оборудования электростанций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27/210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Слесарь-ремонтник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28/210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Электрогазосварщик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29/210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Мастер по ремонту оборудования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Аппаратчик химводоочистки электростанции 3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Аппаратчик химводоочистки электростанции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Лаборант химического анализа 3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Химический цех / химическая лаборатория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Лаборант химического анализа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ЦТАИиАСУТП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34/210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Электрослесарь по обслуживанию автоматики и средств измерений электростанций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ЦТАИиАСУТП / Участок техобслуживания и ремонта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35/210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Электрослесарь по ремонту и обслуживанию автоматики и средств измерений электростанций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36/210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контрольно-измерительным приборам и автоматике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Электрический цех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37/210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Начальник смены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38/210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Старший электромонтер по обслуживанию электрооборудования электростанций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39/210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Электромонтер по обслуживанию электрооборудования электростанций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Электрический цех / Участок по ремону электрооборудования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40/210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Электрослесарь по ремонту электрооборудования электростанций 4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Топливно-транспортный цех/ Автотранспортный участок</w:t>
            </w:r>
            <w:r>
              <w:rPr>
                <w:b/>
                <w:sz w:val="18"/>
                <w:szCs w:val="18"/>
                <w:highlight w:val="none"/>
              </w:rPr>
            </w:r>
            <w:r>
              <w:rPr>
                <w:b/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(Автокран SANY STC250T5-4R, гос.№ О317НР27, г/в 2024)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(МАЗ-53371, гос. № О076НР27, г/в 1987; ГАЗ-66, гос. № </w:t>
            </w:r>
            <w:r>
              <w:rPr>
                <w:sz w:val="18"/>
                <w:szCs w:val="18"/>
                <w:highlight w:val="none"/>
              </w:rPr>
              <w:t xml:space="preserve">О021НР27, г/в 1987; ГАЗ-53 вакуумная машина, гос. № О095НР27, г/в 1987)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(МАЗ 650108, гос. № О281НР27, г/в 2024; </w:t>
            </w:r>
            <w:r>
              <w:rPr>
                <w:sz w:val="18"/>
                <w:szCs w:val="18"/>
                <w:highlight w:val="none"/>
              </w:rPr>
              <w:t xml:space="preserve">МАЗ 650108, гос. № О572СМ27, г/в 2024</w:t>
            </w:r>
            <w:r>
              <w:rPr>
                <w:sz w:val="18"/>
                <w:szCs w:val="18"/>
                <w:highlight w:val="none"/>
              </w:rPr>
              <w:t xml:space="preserve">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44/210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(Toyota Surf, гос. № О005НР27, г/в 1998)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45/210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(УАЗ 362233, гос. № О451НР27, г/в 2024 топливозаправочный автомобиль)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46/210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(ПАЗ 4234-04 (автобус), гос. № Р112АУ27, г/в 2019; Автобус ГАЗ-А65-R-32,гос. № О553МВ27, г/в 2018)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47/210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(КАМАЗ 6520, гос. № Р556РУ27, г/в 2022; КАМАЗ 6520, гос. № Р575РУ27, г/в 2022)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48/210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(КАМАЗ МД-65111, гос. № Р284ВР27, г/в 2020)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49/210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(КАМАЗ 5511, гос. № О066НР27, г/в 1981; КАМАЗ 5511, гос. №  О094НР27, г/в 1980)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50/210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(Передвижная мастерская на шасси ГАЗ-С42А43 «Садко NEXT» с КМУ ИМ 20, гос. № Р740РУ27, г/в 2023)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51/210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погрузчика (фронтальный погрузчик КИРОВЕЦ к-708 УДМ, 4489 ХР 27, г/в 2020)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52/210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Водитель автомобиля (автомобиль КАМАЗ 43253 КО-520 К, Р 332 КС 27, г/в 2020; автомобиль КАМАЗ 65117 КМА, Р 323 ВР 27, г/в 2019)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9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53/210 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26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Слесарь по ремонту дорожно-строительных машин и тракторов 5 разряда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03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3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6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931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3.2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559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auto" w:fill="auto"/>
            <w:tcW w:w="49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нет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</w:tbl>
    <w:p>
      <w:pPr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  <w:lang w:val="en-US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5</cp:revision>
  <dcterms:created xsi:type="dcterms:W3CDTF">2025-12-11T00:10:00Z</dcterms:created>
  <dcterms:modified xsi:type="dcterms:W3CDTF">2026-01-16T06:15:03Z</dcterms:modified>
</cp:coreProperties>
</file>