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left="0" w:right="1" w:firstLine="0"/>
        <w:jc w:val="left"/>
        <w:spacing w:after="0" w:afterAutospacing="0" w:line="240" w:lineRule="auto"/>
        <w:tabs>
          <w:tab w:val="left" w:pos="4110" w:leader="none"/>
        </w:tabs>
        <w:rPr>
          <w:rFonts w:ascii="Times New Roman" w:hAnsi="Times New Roman" w:eastAsia="Times New Roman" w:cs="Times New Roman"/>
          <w:bCs/>
          <w:i/>
          <w:color w:val="212121"/>
          <w:sz w:val="28"/>
          <w:szCs w:val="28"/>
          <w:highlight w:val="white"/>
          <w:u w:val="none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Для </w:t>
      </w:r>
      <w:r>
        <w:rPr>
          <w:rFonts w:ascii="Times New Roman" w:hAnsi="Times New Roman" w:eastAsia="Times New Roman" w:cs="Times New Roman"/>
          <w:i/>
          <w:iCs/>
          <w:color w:val="212121"/>
          <w:sz w:val="28"/>
          <w:szCs w:val="28"/>
          <w:highlight w:val="white"/>
          <w:u w:val="none"/>
        </w:rPr>
        <w:t xml:space="preserve">потребителей, указанным в п. 1.3. Правил</w:t>
      </w:r>
      <w:r>
        <w:rPr>
          <w:rFonts w:ascii="Times New Roman" w:hAnsi="Times New Roman" w:eastAsia="Times New Roman" w:cs="Times New Roman"/>
          <w:bCs/>
          <w:i/>
          <w:color w:val="212121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bCs/>
          <w:i/>
          <w:color w:val="212121"/>
          <w:sz w:val="28"/>
          <w:szCs w:val="28"/>
          <w:highlight w:val="white"/>
          <w:u w:val="none"/>
        </w:rPr>
      </w:r>
    </w:p>
    <w:p>
      <w:pPr>
        <w:contextualSpacing w:val="0"/>
        <w:ind w:left="0" w:right="1" w:firstLine="0"/>
        <w:jc w:val="left"/>
        <w:spacing w:after="0" w:afterAutospacing="0" w:line="240" w:lineRule="auto"/>
        <w:tabs>
          <w:tab w:val="left" w:pos="4110" w:leader="none"/>
        </w:tabs>
        <w:rPr>
          <w:rFonts w:ascii="Times New Roman" w:hAnsi="Times New Roman" w:eastAsia="Times New Roman" w:cs="Times New Roman"/>
          <w:b w:val="0"/>
          <w:bCs/>
          <w:i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212121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i/>
          <w:iCs/>
          <w:color w:val="212121"/>
          <w:sz w:val="28"/>
          <w:szCs w:val="28"/>
          <w:highlight w:val="white"/>
          <w:u w:val="none"/>
          <w:lang w:eastAsia="ru-RU"/>
        </w:rPr>
        <w:t xml:space="preserve">обеспечения готовности</w:t>
      </w:r>
      <w:r>
        <w:rPr>
          <w:rFonts w:ascii="Times New Roman" w:hAnsi="Times New Roman" w:eastAsia="Times New Roman" w:cs="Times New Roman"/>
          <w:i/>
          <w:iCs/>
          <w:color w:val="212121"/>
          <w:sz w:val="28"/>
          <w:szCs w:val="28"/>
          <w:highlight w:val="none"/>
          <w:u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212121"/>
          <w:sz w:val="28"/>
          <w:szCs w:val="28"/>
          <w:highlight w:val="none"/>
          <w:u w:val="none"/>
          <w:lang w:eastAsia="ru-RU"/>
        </w:rPr>
        <w:t xml:space="preserve">к отопите</w:t>
      </w:r>
      <w:r>
        <w:rPr>
          <w:rFonts w:ascii="Times New Roman" w:hAnsi="Times New Roman" w:eastAsia="Times New Roman" w:cs="Times New Roman"/>
          <w:i/>
          <w:iCs/>
          <w:color w:val="212121"/>
          <w:sz w:val="28"/>
          <w:szCs w:val="28"/>
          <w:highlight w:val="none"/>
          <w:u w:val="none"/>
          <w:lang w:eastAsia="ru-RU"/>
        </w:rPr>
        <w:t xml:space="preserve">льному периоду</w:t>
      </w:r>
      <w:r>
        <w:rPr>
          <w:rFonts w:ascii="Times New Roman" w:hAnsi="Times New Roman" w:eastAsia="Times New Roman" w:cs="Times New Roman"/>
          <w:b w:val="0"/>
          <w:bCs/>
          <w:i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 w:val="0"/>
          <w:bCs/>
          <w:i/>
          <w:sz w:val="26"/>
          <w:szCs w:val="26"/>
          <w:lang w:eastAsia="ru-RU"/>
        </w:rPr>
      </w:r>
    </w:p>
    <w:p>
      <w:pPr>
        <w:ind w:firstLine="0"/>
        <w:jc w:val="both"/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6"/>
          <w:szCs w:val="26"/>
          <w:lang w:eastAsia="ru-RU"/>
        </w:rPr>
        <w:t xml:space="preserve">                                                   </w:t>
      </w:r>
      <w:r>
        <w:t xml:space="preserve">                                                             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  <w:u w:val="none"/>
        </w:rPr>
        <w:t xml:space="preserve">Приложение 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r>
    </w:p>
    <w:p>
      <w:pPr>
        <w:contextualSpacing/>
        <w:ind w:firstLine="0"/>
        <w:jc w:val="right"/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                                         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  Руководителю предприятия/организации</w:t>
      </w:r>
      <w:r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</w:r>
    </w:p>
    <w:p>
      <w:pPr>
        <w:contextualSpacing/>
        <w:ind w:firstLine="0"/>
        <w:jc w:val="right"/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</w:r>
    </w:p>
    <w:p>
      <w:pPr>
        <w:ind w:firstLine="0"/>
        <w:jc w:val="center"/>
        <w:spacing w:line="322" w:lineRule="auto"/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Уважаемый потребитель!</w:t>
      </w:r>
      <w:r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</w:r>
    </w:p>
    <w:p>
      <w:pPr>
        <w:contextualSpacing/>
        <w:ind w:firstLine="0"/>
        <w:jc w:val="both"/>
        <w:spacing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ab/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С 1 марта 2025 года вступают в силу Правила обеспечения готовности к отопительному периоду, утвержденные П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риказом Минэнерго России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от 13 ноября 2024 г. N 2234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(далее Правила).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Подпункт 1.3. Пункта 1 Правил устанавливает обязательные требования по обеспечению готовности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к ОЗП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для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Потребителей тепловой энергии, теплопотребляющие установки которых подключены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к системе теплоснабжения и которые приобретают тепловую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энергию/теплоноситель для использования на принадлежащих им на праве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собственности или ином законном основании теплопотребляющих установках, в том числе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владельцы встроенных и встроенно-пристроенных нежилых помещений в многоквартирных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домах, чьи теплопотребляющие установки подключены (технологически присоединены) к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системе теплоснабжения по отдельному тепловому вводу.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0"/>
        <w:jc w:val="both"/>
        <w:spacing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ab/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Указанные потребители обязаны выполнить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мероприятия по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 подготовке оборудования индивидуальных тепловых пунктов и внутренних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 систем теплопотребления к отопительному периоду.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В соответствии с Правилами Вы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 можете разработать 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утвердить собственный План подготовки к ОЗП.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708"/>
        <w:jc w:val="both"/>
        <w:spacing w:line="288" w:lineRule="auto"/>
        <w:rPr>
          <w:rFonts w:ascii="Times New Roman" w:hAnsi="Times New Roman" w:cs="Times New Roman"/>
          <w:bCs w:val="0"/>
          <w:i w:val="0"/>
          <w:sz w:val="26"/>
          <w:szCs w:val="26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При этом, сроки выполнения работ и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мероприятий, требующих отключения горячего водоснабжения, заполнения теплопотребляющих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установок и тепловых сетей сетевой водой после выполнения ремонтных работ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должны быть синхронизированы с Планами подготовки к отопительному периоду лиц,  указанных в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подпункте 1.2 пункта 1 Правил.</w:t>
      </w:r>
      <w:r>
        <w:rPr>
          <w:rFonts w:ascii="Times New Roman" w:hAnsi="Times New Roman" w:cs="Times New Roman"/>
          <w:bCs w:val="0"/>
          <w:i w:val="0"/>
          <w:sz w:val="26"/>
          <w:szCs w:val="26"/>
          <w:highlight w:val="none"/>
          <w14:ligatures w14:val="none"/>
        </w:rPr>
      </w:r>
      <w:r>
        <w:rPr>
          <w:rFonts w:ascii="Times New Roman" w:hAnsi="Times New Roman" w:cs="Times New Roman"/>
          <w:bCs w:val="0"/>
          <w:i w:val="0"/>
          <w:sz w:val="26"/>
          <w:szCs w:val="26"/>
          <w:highlight w:val="none"/>
          <w14:ligatures w14:val="none"/>
        </w:rPr>
      </w:r>
    </w:p>
    <w:p>
      <w:pPr>
        <w:contextualSpacing/>
        <w:ind w:firstLine="708"/>
        <w:jc w:val="both"/>
        <w:spacing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По факту выполнения мероприятий по подготовке к ОЗП Вам необходимо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получить подписанный представителем теплоснабжающей организации и уполномоченным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представителем Потребителя Акт проверки технической готовности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теплопотребляющей установки объекта к отопительному периоду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, а так же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подготовить и представить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К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ом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иссии по проведению оценки обеспечения готовности к отопительному периоду Опросный лист и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документы, подтверждающие выполнение требований пункта 11 Правил.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 О сроках предоставления указанных документов Вы будете уведомлены Комиссией в сроки, установленные Правилами.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708"/>
        <w:jc w:val="both"/>
        <w:spacing w:line="288" w:lineRule="auto"/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Обращаем Ваше внимание, что на величину индекса готовности объектов Потребителя к ОЗП влияет наличие задолженности за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потребленную тепловую энергию на дату проверки. В связи с этим, просим Вас принять меры по недопущению ДЗ на дату проведения оценки готовности. </w:t>
      </w:r>
      <w:r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</w:r>
    </w:p>
    <w:p>
      <w:pPr>
        <w:contextualSpacing/>
        <w:ind w:left="0" w:right="0" w:firstLine="708"/>
        <w:jc w:val="both"/>
        <w:spacing w:after="283" w:afterAutospacing="0" w:line="350" w:lineRule="auto"/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  <w:t xml:space="preserve">Контакты для обращений по возникающим вопросам:</w:t>
      </w:r>
      <w:r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</w:r>
    </w:p>
    <w:p>
      <w:pPr>
        <w:pStyle w:val="852"/>
        <w:numPr>
          <w:ilvl w:val="0"/>
          <w:numId w:val="1"/>
        </w:numPr>
        <w:contextualSpacing w:val="0"/>
        <w:ind w:left="0" w:right="0" w:firstLine="567"/>
        <w:jc w:val="both"/>
        <w:spacing w:after="0" w:line="276" w:lineRule="auto"/>
        <w:rPr>
          <w:rFonts w:ascii="Times New Roman" w:hAnsi="Times New Roman"/>
          <w:color w:val="auto"/>
          <w:sz w:val="26"/>
          <w:szCs w:val="26"/>
          <w:highlight w:val="whit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СП «Хабаровские тепловые сети», г. Хабаровск, ул. Флегонтова, 13а, 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контактные телефоны: </w:t>
      </w:r>
      <w:r>
        <w:rPr>
          <w:rFonts w:ascii="Times New Roman" w:hAnsi="Times New Roman"/>
          <w:color w:val="auto"/>
          <w:sz w:val="26"/>
          <w:szCs w:val="26"/>
          <w:highlight w:val="white"/>
          <w14:ligatures w14:val="none"/>
        </w:rPr>
      </w:r>
      <w:r>
        <w:rPr>
          <w:rFonts w:ascii="Times New Roman" w:hAnsi="Times New Roman"/>
          <w:color w:val="auto"/>
          <w:sz w:val="26"/>
          <w:szCs w:val="26"/>
          <w:highlight w:val="white"/>
          <w14:ligatures w14:val="none"/>
        </w:rPr>
      </w:r>
    </w:p>
    <w:p>
      <w:pPr>
        <w:pStyle w:val="852"/>
        <w:numPr>
          <w:ilvl w:val="0"/>
          <w:numId w:val="4"/>
        </w:numPr>
        <w:contextualSpacing w:val="0"/>
        <w:ind w:right="0"/>
        <w:jc w:val="both"/>
        <w:spacing w:after="0" w:line="276" w:lineRule="auto"/>
        <w:rPr>
          <w:rFonts w:ascii="Times New Roman" w:hAnsi="Times New Roman"/>
          <w:color w:val="auto"/>
          <w:sz w:val="26"/>
          <w:szCs w:val="26"/>
          <w:highlight w:val="whit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Центральный сетевой район: 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+7(4212) 32-59-72;</w:t>
      </w:r>
      <w:r>
        <w:rPr>
          <w:rFonts w:ascii="Times New Roman" w:hAnsi="Times New Roman"/>
          <w:color w:val="auto"/>
          <w:sz w:val="26"/>
          <w:szCs w:val="26"/>
          <w:highlight w:val="white"/>
          <w14:ligatures w14:val="none"/>
        </w:rPr>
      </w:r>
      <w:r>
        <w:rPr>
          <w:rFonts w:ascii="Times New Roman" w:hAnsi="Times New Roman"/>
          <w:color w:val="auto"/>
          <w:sz w:val="26"/>
          <w:szCs w:val="26"/>
          <w:highlight w:val="white"/>
          <w14:ligatures w14:val="none"/>
        </w:rPr>
      </w:r>
    </w:p>
    <w:p>
      <w:pPr>
        <w:pStyle w:val="852"/>
        <w:numPr>
          <w:ilvl w:val="0"/>
          <w:numId w:val="4"/>
        </w:numPr>
        <w:contextualSpacing w:val="0"/>
        <w:ind w:right="0"/>
        <w:jc w:val="both"/>
        <w:spacing w:after="0" w:line="276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Южный сетевой район: +7(4212) 53-61-09, 26-56-88;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</w:p>
    <w:p>
      <w:pPr>
        <w:pStyle w:val="852"/>
        <w:numPr>
          <w:ilvl w:val="0"/>
          <w:numId w:val="4"/>
        </w:numPr>
        <w:contextualSpacing w:val="0"/>
        <w:ind w:right="0"/>
        <w:jc w:val="both"/>
        <w:spacing w:after="0" w:line="276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Восточный сетевой район: +7(4212) 26-56-77, 26-56-78, 26-56-79;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</w:p>
    <w:p>
      <w:pPr>
        <w:pStyle w:val="852"/>
        <w:numPr>
          <w:ilvl w:val="0"/>
          <w:numId w:val="4"/>
        </w:numPr>
        <w:contextualSpacing w:val="0"/>
        <w:ind w:right="0"/>
        <w:jc w:val="both"/>
        <w:spacing w:after="0" w:line="276" w:lineRule="auto"/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Северный сетевой район: +7(4212) 26-56-73, 26-56-74</w:t>
      </w:r>
      <w:r>
        <w:t xml:space="preserve">.</w:t>
      </w:r>
      <w:r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r>
    </w:p>
    <w:p>
      <w:pPr>
        <w:pStyle w:val="852"/>
        <w:numPr>
          <w:ilvl w:val="0"/>
          <w:numId w:val="1"/>
        </w:numPr>
        <w:contextualSpacing w:val="0"/>
        <w:ind w:left="0" w:right="0" w:firstLine="567"/>
        <w:jc w:val="both"/>
        <w:spacing w:after="0" w:line="276" w:lineRule="auto"/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СП «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Нерюнгринская ГРЭС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», г. Нерюнгри, ул. Кравченко, 10, 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 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контактный телефон: +7(41147) 9-53-21 Дудкина Людмила Евгеньевна.</w:t>
      </w:r>
      <w:r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r>
    </w:p>
    <w:p>
      <w:pPr>
        <w:pStyle w:val="852"/>
        <w:numPr>
          <w:ilvl w:val="0"/>
          <w:numId w:val="1"/>
        </w:numPr>
        <w:contextualSpacing w:val="0"/>
        <w:ind w:left="0" w:right="0" w:firstLine="567"/>
        <w:jc w:val="both"/>
        <w:spacing w:after="0" w:line="276" w:lineRule="auto"/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СП «ТЭЦ в г. Советская Гавань», г. Советская Гавань, ул. Пионерская, 5б,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контактный телефон: +7(42138) 6-43-42 Гончарова Александра Алексеевна.</w:t>
      </w:r>
      <w:r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r>
    </w:p>
    <w:p>
      <w:pPr>
        <w:pStyle w:val="852"/>
        <w:numPr>
          <w:ilvl w:val="0"/>
          <w:numId w:val="1"/>
        </w:numPr>
        <w:contextualSpacing w:val="0"/>
        <w:ind w:left="0" w:right="0" w:firstLine="567"/>
        <w:jc w:val="both"/>
        <w:spacing w:after="0" w:line="276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СП «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Комсомольские тепловые сети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», г. Комсомольск-на-Амуре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,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 ул. Пендрие, 6, контактные телефоны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: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</w:p>
    <w:p>
      <w:pPr>
        <w:pStyle w:val="852"/>
        <w:numPr>
          <w:ilvl w:val="0"/>
          <w:numId w:val="2"/>
        </w:numPr>
        <w:contextualSpacing w:val="0"/>
        <w:ind w:left="0" w:right="0" w:firstLine="1417"/>
        <w:jc w:val="both"/>
        <w:spacing w:after="0" w:line="276" w:lineRule="auto"/>
        <w:rPr>
          <w:rFonts w:ascii="Times New Roman" w:hAnsi="Times New Roman"/>
          <w:color w:val="auto"/>
          <w:sz w:val="26"/>
          <w:szCs w:val="26"/>
          <w:highlight w:val="whit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по вопросам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 дебиторской задолженности: +7(4217) 23-32-77, +7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(4217) 23-32-41, +7(4217) 23-32-76;</w:t>
      </w:r>
      <w:r>
        <w:rPr>
          <w:rFonts w:ascii="Times New Roman" w:hAnsi="Times New Roman"/>
          <w:color w:val="auto"/>
          <w:sz w:val="26"/>
          <w:szCs w:val="26"/>
          <w:highlight w:val="white"/>
          <w14:ligatures w14:val="none"/>
        </w:rPr>
      </w:r>
      <w:r>
        <w:rPr>
          <w:rFonts w:ascii="Times New Roman" w:hAnsi="Times New Roman"/>
          <w:color w:val="auto"/>
          <w:sz w:val="26"/>
          <w:szCs w:val="26"/>
          <w:highlight w:val="white"/>
          <w14:ligatures w14:val="none"/>
        </w:rPr>
      </w:r>
    </w:p>
    <w:p>
      <w:pPr>
        <w:pStyle w:val="852"/>
        <w:numPr>
          <w:ilvl w:val="0"/>
          <w:numId w:val="3"/>
        </w:numPr>
        <w:contextualSpacing w:val="0"/>
        <w:ind w:left="0" w:right="0" w:firstLine="1417"/>
        <w:jc w:val="both"/>
        <w:spacing w:after="0" w:line="276" w:lineRule="auto"/>
        <w:rPr>
          <w:rFonts w:ascii="Times New Roman" w:hAnsi="Times New Roman"/>
          <w:color w:val="auto"/>
          <w:sz w:val="26"/>
          <w:szCs w:val="26"/>
          <w:highlight w:val="whit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по вопросам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 подготовки к отопительному периоду: 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Северный эксплуатационный район: 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+7(4217) 54-71-97, 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Дземгинский эксплуатационный район: 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+7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(4217) 25-38-39, 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Центральный эксплуатационный район: 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+7(4217) 23-32-12,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Амурский эксплуатационный район: 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+7(42142)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 2-93-77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.</w:t>
      </w:r>
      <w:r>
        <w:rPr>
          <w:rFonts w:ascii="Times New Roman" w:hAnsi="Times New Roman"/>
          <w:color w:val="auto"/>
          <w:sz w:val="26"/>
          <w:szCs w:val="26"/>
          <w:highlight w:val="white"/>
          <w14:ligatures w14:val="none"/>
        </w:rPr>
      </w:r>
      <w:r>
        <w:rPr>
          <w:rFonts w:ascii="Times New Roman" w:hAnsi="Times New Roman"/>
          <w:color w:val="auto"/>
          <w:sz w:val="26"/>
          <w:szCs w:val="26"/>
          <w:highlight w:val="white"/>
          <w14:ligatures w14:val="none"/>
        </w:rPr>
      </w:r>
    </w:p>
    <w:p>
      <w:pPr>
        <w:pStyle w:val="852"/>
        <w:numPr>
          <w:ilvl w:val="0"/>
          <w:numId w:val="1"/>
        </w:numPr>
        <w:contextualSpacing w:val="0"/>
        <w:ind w:left="0" w:right="0" w:firstLine="567"/>
        <w:jc w:val="both"/>
        <w:spacing w:after="0" w:line="276" w:lineRule="auto"/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СП «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Приморские тепловые сети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», г. Владивосток, ул. Западная, 29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,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электронная почта: priemnaya-pts@dgk.ru</w:t>
      </w:r>
      <w:r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r>
    </w:p>
    <w:p>
      <w:pPr>
        <w:pStyle w:val="852"/>
        <w:numPr>
          <w:ilvl w:val="0"/>
          <w:numId w:val="1"/>
        </w:numPr>
        <w:contextualSpacing w:val="0"/>
        <w:ind w:left="0" w:right="0" w:firstLine="567"/>
        <w:jc w:val="both"/>
        <w:spacing w:after="0" w:line="276" w:lineRule="auto"/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СП «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Биробиджанская ТЭЦ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», г. Биробиджан, ул. Шалом-Алейхема, 60,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 контактный телефон: </w:t>
      </w:r>
      <w:r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r>
    </w:p>
    <w:p>
      <w:pPr>
        <w:pStyle w:val="852"/>
        <w:numPr>
          <w:ilvl w:val="0"/>
          <w:numId w:val="2"/>
        </w:numPr>
        <w:contextualSpacing w:val="0"/>
        <w:ind w:left="0" w:right="0" w:firstLine="1417"/>
        <w:jc w:val="both"/>
        <w:spacing w:after="0" w:line="276" w:lineRule="auto"/>
        <w:rPr>
          <w:rFonts w:ascii="Times New Roman" w:hAnsi="Times New Roman"/>
          <w:color w:val="auto"/>
          <w:sz w:val="26"/>
          <w:szCs w:val="26"/>
          <w:highlight w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по вопросам дебиторской задолженности: +7(42622) 9 27-29, 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+7(42622) 9-27-00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;</w:t>
      </w:r>
      <w:r/>
    </w:p>
    <w:p>
      <w:pPr>
        <w:pStyle w:val="852"/>
        <w:numPr>
          <w:ilvl w:val="0"/>
          <w:numId w:val="2"/>
        </w:numPr>
        <w:contextualSpacing w:val="0"/>
        <w:ind w:left="0" w:right="0" w:firstLine="1417"/>
        <w:jc w:val="both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по вопросам подготовки к отопительному пе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highlight w:val="none"/>
        </w:rPr>
        <w:t xml:space="preserve">риоду: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Цех теплоснабжения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highlight w:val="none"/>
        </w:rPr>
        <w:t xml:space="preserve">: +7(42622) 9-27-19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852"/>
        <w:numPr>
          <w:ilvl w:val="0"/>
          <w:numId w:val="1"/>
        </w:numPr>
        <w:contextualSpacing w:val="0"/>
        <w:ind w:left="0" w:right="0" w:firstLine="567"/>
        <w:jc w:val="both"/>
        <w:spacing w:after="0" w:line="276" w:lineRule="auto"/>
        <w:rPr>
          <w:rFonts w:ascii="Times New Roman" w:hAnsi="Times New Roman"/>
          <w:color w:val="auto"/>
          <w:sz w:val="26"/>
          <w:szCs w:val="26"/>
          <w:highlight w:val="whit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СП «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Амурские тепловые сети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», г. Благовещенск, ул. Загородная, 177,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 контактный телефон: 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+7(4162) 39-83-45, </w:t>
      </w:r>
      <w:r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  <w:t xml:space="preserve">пгт. Прогресс, ул. Бурейская, 1, 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контактный телефон:</w:t>
      </w:r>
      <w:r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  <w:t xml:space="preserve"> +7 (41647) 44-024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.</w:t>
      </w:r>
      <w:r>
        <w:rPr>
          <w:rFonts w:ascii="Times New Roman" w:hAnsi="Times New Roman"/>
          <w:color w:val="auto"/>
          <w:sz w:val="26"/>
          <w:szCs w:val="26"/>
          <w:highlight w:val="white"/>
          <w14:ligatures w14:val="none"/>
        </w:rPr>
      </w:r>
      <w:r>
        <w:rPr>
          <w:rFonts w:ascii="Times New Roman" w:hAnsi="Times New Roman"/>
          <w:color w:val="auto"/>
          <w:sz w:val="26"/>
          <w:szCs w:val="26"/>
          <w:highlight w:val="white"/>
          <w14:ligatures w14:val="none"/>
        </w:rPr>
      </w:r>
    </w:p>
    <w:p>
      <w:pPr>
        <w:pStyle w:val="852"/>
        <w:numPr>
          <w:ilvl w:val="0"/>
          <w:numId w:val="1"/>
        </w:numPr>
        <w:contextualSpacing w:val="0"/>
        <w:ind w:left="0" w:right="0" w:firstLine="567"/>
        <w:jc w:val="both"/>
        <w:spacing w:after="0" w:line="276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СП «Николаевская ТЭЦ», г. Николаевск-на-Амуре, ул. Невельского, 24, контактный телефон:</w:t>
      </w:r>
      <w:r>
        <w:rPr>
          <w:rFonts w:ascii="Times New Roman" w:hAnsi="Times New Roman" w:eastAsia="Times New Roman" w:cs="Times New Roman"/>
          <w:color w:val="212121"/>
          <w:sz w:val="26"/>
          <w:szCs w:val="26"/>
          <w:u w:val="none"/>
        </w:rPr>
        <w:t xml:space="preserve">+7 (42135) 64-200</w:t>
      </w:r>
      <w:r>
        <w:rPr>
          <w:rFonts w:ascii="Times New Roman" w:hAnsi="Times New Roman" w:eastAsia="Times New Roman" w:cs="Times New Roman"/>
          <w:color w:val="212121"/>
          <w:sz w:val="26"/>
          <w:szCs w:val="26"/>
          <w:u w:val="none"/>
        </w:rPr>
        <w:t xml:space="preserve"> доб. 36-169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highlight w:val="none"/>
          <w14:ligatures w14:val="none"/>
        </w:rPr>
        <w:t xml:space="preserve">, Шибанов Андрей Вячеславович.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</w:p>
    <w:sectPr>
      <w:footnotePr/>
      <w:endnotePr/>
      <w:type w:val="nextPage"/>
      <w:pgSz w:w="11906" w:h="16838" w:orient="portrait"/>
      <w:pgMar w:top="851" w:right="709" w:bottom="680" w:left="155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Times New Roman" w:hAnsi="Times New Roman" w:eastAsia="Times New Roman" w:cs="Times New Roman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48"/>
    <w:next w:val="848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48"/>
    <w:next w:val="848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48"/>
    <w:next w:val="848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basedOn w:val="8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4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5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6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7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8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9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1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2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3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4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5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6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8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2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qFormat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No Spacing"/>
    <w:basedOn w:val="848"/>
    <w:uiPriority w:val="1"/>
    <w:qFormat/>
    <w:pPr>
      <w:spacing w:after="0" w:line="240" w:lineRule="auto"/>
    </w:pPr>
  </w:style>
  <w:style w:type="paragraph" w:styleId="852">
    <w:name w:val="List Paragraph"/>
    <w:basedOn w:val="848"/>
    <w:uiPriority w:val="34"/>
    <w:qFormat/>
    <w:pPr>
      <w:contextualSpacing/>
      <w:ind w:left="720"/>
    </w:pPr>
  </w:style>
  <w:style w:type="character" w:styleId="853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arutyunyan_vv</cp:lastModifiedBy>
  <cp:revision>11</cp:revision>
  <dcterms:modified xsi:type="dcterms:W3CDTF">2025-04-03T07:20:19Z</dcterms:modified>
</cp:coreProperties>
</file>