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862"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Приложение № </w:t>
      </w:r>
      <w:r w:rsidR="00A8488A">
        <w:rPr>
          <w:rFonts w:ascii="Times New Roman" w:eastAsia="Lucida Sans Unicode" w:hAnsi="Times New Roman" w:cs="Times New Roman"/>
          <w:b/>
          <w:bCs/>
          <w:kern w:val="1"/>
          <w:sz w:val="24"/>
          <w:szCs w:val="24"/>
        </w:rPr>
        <w:t>3</w:t>
      </w:r>
      <w:bookmarkStart w:id="0" w:name="_GoBack"/>
      <w:bookmarkEnd w:id="0"/>
      <w:r>
        <w:rPr>
          <w:rFonts w:ascii="Times New Roman" w:eastAsia="Lucida Sans Unicode" w:hAnsi="Times New Roman" w:cs="Times New Roman"/>
          <w:b/>
          <w:bCs/>
          <w:kern w:val="1"/>
          <w:sz w:val="24"/>
          <w:szCs w:val="24"/>
        </w:rPr>
        <w:t>.1</w:t>
      </w:r>
    </w:p>
    <w:p w:rsidR="00994862" w:rsidRPr="00AE2D4D"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к договору </w:t>
      </w:r>
      <w:r>
        <w:rPr>
          <w:rFonts w:ascii="Times New Roman" w:eastAsia="Lucida Sans Unicode" w:hAnsi="Times New Roman" w:cs="Times New Roman"/>
          <w:b/>
          <w:bCs/>
          <w:kern w:val="1"/>
          <w:sz w:val="24"/>
          <w:szCs w:val="24"/>
        </w:rPr>
        <w:t>поставки № ______</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81</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от __________20</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г.</w:t>
      </w:r>
    </w:p>
    <w:p w:rsidR="00994862" w:rsidRDefault="00994862"/>
    <w:p w:rsidR="00994862" w:rsidRPr="00994862" w:rsidRDefault="00994862" w:rsidP="00994862">
      <w:pPr>
        <w:spacing w:after="0" w:line="240" w:lineRule="auto"/>
        <w:jc w:val="center"/>
        <w:rPr>
          <w:rFonts w:ascii="Times New Roman" w:eastAsia="Times New Roman" w:hAnsi="Times New Roman" w:cs="Times New Roman"/>
          <w:b/>
          <w:spacing w:val="40"/>
          <w:sz w:val="28"/>
          <w:szCs w:val="28"/>
          <w:lang w:eastAsia="ru-RU"/>
        </w:rPr>
      </w:pPr>
      <w:r w:rsidRPr="00994862">
        <w:rPr>
          <w:rFonts w:ascii="Times New Roman" w:eastAsia="Times New Roman" w:hAnsi="Times New Roman" w:cs="Times New Roman"/>
          <w:b/>
          <w:spacing w:val="40"/>
          <w:sz w:val="28"/>
          <w:szCs w:val="28"/>
          <w:lang w:eastAsia="ru-RU"/>
        </w:rPr>
        <w:t>НЕЗАВИСИМАЯ ГАРАНТИЯ,</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предоставляемая в качестве обеспечения исполнения договора,</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заключаемого при осуществлении конкурентной закупки товаров, работ,</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услуг в электронной форме, участниками которой могут быть только</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субъекты малого и среднего предпринимательства</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4960" w:type="dxa"/>
        <w:jc w:val="right"/>
        <w:tblCellMar>
          <w:left w:w="0" w:type="dxa"/>
          <w:right w:w="0" w:type="dxa"/>
        </w:tblCellMar>
        <w:tblLook w:val="01E0" w:firstRow="1" w:lastRow="1" w:firstColumn="1" w:lastColumn="1" w:noHBand="0" w:noVBand="0"/>
      </w:tblPr>
      <w:tblGrid>
        <w:gridCol w:w="3402"/>
        <w:gridCol w:w="1558"/>
      </w:tblGrid>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Дата выдачи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независимой гарантии</w:t>
            </w:r>
            <w:r w:rsidRPr="00994862">
              <w:rPr>
                <w:rFonts w:ascii="Times New Roman" w:eastAsia="Times New Roman" w:hAnsi="Times New Roman" w:cs="Times New Roman"/>
                <w:sz w:val="24"/>
                <w:szCs w:val="24"/>
                <w:vertAlign w:val="superscript"/>
                <w:lang w:eastAsia="ru-RU"/>
              </w:rPr>
              <w:t>1</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гаранте, принципале, бенефициаре</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Коды</w:t>
            </w: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 гаранта</w:t>
            </w: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БИК</w:t>
            </w:r>
            <w:r w:rsidRPr="00994862">
              <w:rPr>
                <w:rFonts w:ascii="Times New Roman" w:eastAsia="Times New Roman" w:hAnsi="Times New Roman" w:cs="Times New Roman"/>
                <w:sz w:val="24"/>
                <w:szCs w:val="24"/>
                <w:vertAlign w:val="superscript"/>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Идентификационный код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vertAlign w:val="superscript"/>
                <w:lang w:val="en-US"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принципала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r w:rsidRPr="00994862">
              <w:rPr>
                <w:rFonts w:ascii="Times New Roman" w:eastAsia="Times New Roman" w:hAnsi="Times New Roman" w:cs="Times New Roman"/>
                <w:sz w:val="24"/>
                <w:szCs w:val="24"/>
                <w:vertAlign w:val="superscript"/>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r w:rsidRPr="00994862">
              <w:rPr>
                <w:rFonts w:ascii="Times New Roman" w:eastAsia="Times New Roman" w:hAnsi="Times New Roman" w:cs="Times New Roman"/>
                <w:sz w:val="24"/>
                <w:szCs w:val="24"/>
                <w:vertAlign w:val="superscript"/>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принципала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бенефициара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бенефициара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закупке, для обеспечения договора, заключаемого</w:t>
      </w: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при осуществлении которой, предоставляется независимая гарантия</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извещения об осуществлении конкурентной закупки</w:t>
            </w:r>
            <w:r w:rsidRPr="00994862">
              <w:rPr>
                <w:rFonts w:ascii="Times New Roman" w:eastAsia="Times New Roman" w:hAnsi="Times New Roman" w:cs="Times New Roman"/>
                <w:sz w:val="24"/>
                <w:szCs w:val="24"/>
                <w:vertAlign w:val="superscript"/>
                <w:lang w:eastAsia="ru-RU"/>
              </w:rPr>
              <w:t>1</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
          <w:szCs w:val="2"/>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Предмет договора</w:t>
            </w:r>
            <w:r w:rsidRPr="00994862">
              <w:rPr>
                <w:rFonts w:ascii="Times New Roman" w:eastAsia="Times New Roman" w:hAnsi="Times New Roman" w:cs="Times New Roman"/>
                <w:sz w:val="24"/>
                <w:szCs w:val="24"/>
                <w:vertAlign w:val="superscript"/>
                <w:lang w:eastAsia="ru-RU"/>
              </w:rPr>
              <w:t>4</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lastRenderedPageBreak/>
        <w:t>Условия независимой гарантии</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Сумма независимой гарантии, подлежащая уплате гарантом бенефициару (далее — сумма независимой гарантии)</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Наименование валюты</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Срок вступления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гарантии в силу</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Срок действия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гарантии</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0"/>
          <w:szCs w:val="20"/>
          <w:lang w:eastAsia="ru-RU"/>
        </w:rPr>
      </w:pP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2. Настоящая независимая гарантия не может быть отозвана гарантом.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sidRPr="00994862">
        <w:rPr>
          <w:rFonts w:ascii="Times New Roman" w:eastAsia="Times New Roman" w:hAnsi="Times New Roman" w:cs="Times New Roman"/>
          <w:sz w:val="23"/>
          <w:szCs w:val="23"/>
          <w:lang w:eastAsia="ru-RU"/>
        </w:rPr>
        <w:b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rsidR="00994862" w:rsidRPr="00994862" w:rsidTr="00994862">
        <w:trPr>
          <w:trHeight w:val="155"/>
        </w:trPr>
        <w:tc>
          <w:tcPr>
            <w:tcW w:w="1082"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по адресу:</w:t>
            </w:r>
          </w:p>
        </w:tc>
        <w:tc>
          <w:tcPr>
            <w:tcW w:w="816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6</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 xml:space="preserve">6. Требование в форме электронного документа должно быть направлено (в случае если </w:t>
      </w:r>
      <w:proofErr w:type="spellStart"/>
      <w:r w:rsidRPr="00994862">
        <w:rPr>
          <w:rFonts w:ascii="Times New Roman" w:eastAsia="Times New Roman" w:hAnsi="Times New Roman" w:cs="Times New Roman"/>
          <w:sz w:val="23"/>
          <w:szCs w:val="23"/>
          <w:lang w:eastAsia="ru-RU"/>
        </w:rPr>
        <w:t>бенефи</w:t>
      </w:r>
      <w:proofErr w:type="spellEnd"/>
      <w:r>
        <w:rPr>
          <w:rFonts w:ascii="Times New Roman" w:eastAsia="Times New Roman" w:hAnsi="Times New Roman" w:cs="Times New Roman"/>
          <w:sz w:val="23"/>
          <w:szCs w:val="23"/>
          <w:lang w:eastAsia="ru-RU"/>
        </w:rPr>
        <w:t>-</w:t>
      </w:r>
      <w:r w:rsidRPr="00994862">
        <w:rPr>
          <w:rFonts w:ascii="Times New Roman" w:eastAsia="Times New Roman" w:hAnsi="Times New Roman" w:cs="Times New Roman"/>
          <w:sz w:val="23"/>
          <w:szCs w:val="23"/>
          <w:lang w:eastAsia="ru-RU"/>
        </w:rPr>
        <w:br/>
      </w:r>
    </w:p>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rsidR="00994862" w:rsidRPr="00994862" w:rsidTr="00994862">
        <w:trPr>
          <w:trHeight w:val="155"/>
        </w:trPr>
        <w:tc>
          <w:tcPr>
            <w:tcW w:w="6547"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proofErr w:type="spellStart"/>
            <w:r w:rsidRPr="00994862">
              <w:rPr>
                <w:rFonts w:ascii="Times New Roman" w:eastAsia="Times New Roman" w:hAnsi="Times New Roman" w:cs="Times New Roman"/>
                <w:sz w:val="23"/>
                <w:szCs w:val="23"/>
                <w:lang w:eastAsia="ru-RU"/>
              </w:rPr>
              <w:t>циар</w:t>
            </w:r>
            <w:proofErr w:type="spellEnd"/>
            <w:r w:rsidRPr="00994862">
              <w:rPr>
                <w:rFonts w:ascii="Times New Roman" w:eastAsia="Times New Roman" w:hAnsi="Times New Roman" w:cs="Times New Roman"/>
                <w:sz w:val="23"/>
                <w:szCs w:val="23"/>
                <w:lang w:eastAsia="ru-RU"/>
              </w:rPr>
              <w:t xml:space="preserve"> направляет требование гаранту в форме электронного документа)</w:t>
            </w:r>
          </w:p>
        </w:tc>
        <w:tc>
          <w:tcPr>
            <w:tcW w:w="268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7</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7. В случае направления требования бенефициар обязан одновременно с таким требованием направить гаранту:</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а) расчет суммы, включаемой в требование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б) документ, содержащий указание на нарушения принципалом обязательств, предусмотренных договором;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8. 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lastRenderedPageBreak/>
        <w:t>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994862" w:rsidRPr="00994862" w:rsidRDefault="00994862" w:rsidP="00994862">
      <w:pPr>
        <w:spacing w:after="0" w:line="240" w:lineRule="auto"/>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sidRPr="00994862">
        <w:rPr>
          <w:rFonts w:ascii="Times New Roman" w:eastAsia="Times New Roman" w:hAnsi="Times New Roman" w:cs="Times New Roman"/>
          <w:sz w:val="23"/>
          <w:szCs w:val="23"/>
          <w:lang w:eastAsia="ru-RU"/>
        </w:rPr>
        <w:br/>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17. Дополнительные условия</w:t>
      </w:r>
      <w:r w:rsidRPr="00994862">
        <w:rPr>
          <w:rFonts w:ascii="Times New Roman" w:eastAsia="Times New Roman" w:hAnsi="Times New Roman" w:cs="Times New Roman"/>
          <w:sz w:val="23"/>
          <w:szCs w:val="23"/>
          <w:vertAlign w:val="superscript"/>
          <w:lang w:eastAsia="ru-RU"/>
        </w:rPr>
        <w:t>1, 8</w:t>
      </w:r>
      <w:r w:rsidRPr="00994862">
        <w:rPr>
          <w:rFonts w:ascii="Times New Roman" w:eastAsia="Times New Roman" w:hAnsi="Times New Roman" w:cs="Times New Roman"/>
          <w:sz w:val="23"/>
          <w:szCs w:val="23"/>
          <w:lang w:eastAsia="ru-RU"/>
        </w:rPr>
        <w:t>.</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Уполномоченное</w:t>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rsidR="00994862" w:rsidRPr="00994862" w:rsidTr="00993D3C">
        <w:trPr>
          <w:trHeight w:val="240"/>
        </w:trPr>
        <w:tc>
          <w:tcPr>
            <w:tcW w:w="2113"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лицо гаранта</w:t>
            </w:r>
          </w:p>
        </w:tc>
        <w:tc>
          <w:tcPr>
            <w:tcW w:w="28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701"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25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c>
          <w:tcPr>
            <w:tcW w:w="2113" w:type="dxa"/>
            <w:shd w:val="clear" w:color="auto" w:fill="auto"/>
            <w:tcMar>
              <w:left w:w="0" w:type="dxa"/>
              <w:right w:w="0" w:type="dxa"/>
            </w:tcMar>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2835"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(должность)</w:t>
            </w: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1701"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(подпись)</w:t>
            </w: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325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(расшифровка подписи)</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rsidR="00994862" w:rsidRPr="00994862" w:rsidTr="00993D3C">
        <w:trPr>
          <w:trHeight w:val="240"/>
        </w:trPr>
        <w:tc>
          <w:tcPr>
            <w:tcW w:w="140"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413"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84"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19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6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20</w:t>
            </w:r>
          </w:p>
        </w:tc>
        <w:tc>
          <w:tcPr>
            <w:tcW w:w="406" w:type="dxa"/>
            <w:tcBorders>
              <w:bottom w:val="single" w:sz="4" w:space="0" w:color="auto"/>
            </w:tcBorders>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29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2834" w:type="dxa"/>
        <w:jc w:val="right"/>
        <w:tblCellMar>
          <w:left w:w="0" w:type="dxa"/>
          <w:right w:w="0" w:type="dxa"/>
        </w:tblCellMar>
        <w:tblLook w:val="01E0" w:firstRow="1" w:lastRow="1" w:firstColumn="1" w:lastColumn="1" w:noHBand="0" w:noVBand="0"/>
      </w:tblPr>
      <w:tblGrid>
        <w:gridCol w:w="1701"/>
        <w:gridCol w:w="1133"/>
      </w:tblGrid>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Лист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Всего листов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_____________________________________</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1</w:t>
      </w:r>
      <w:r w:rsidRPr="00994862">
        <w:rPr>
          <w:rFonts w:ascii="Times New Roman" w:eastAsia="Times New Roman" w:hAnsi="Times New Roman" w:cs="Times New Roman"/>
          <w:sz w:val="16"/>
          <w:szCs w:val="16"/>
          <w:lang w:eastAsia="ru-RU"/>
        </w:rPr>
        <w:t xml:space="preserve"> Указывается при наличии.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2</w:t>
      </w:r>
      <w:r w:rsidRPr="00994862">
        <w:rPr>
          <w:rFonts w:ascii="Times New Roman" w:eastAsia="Times New Roman" w:hAnsi="Times New Roman" w:cs="Times New Roman"/>
          <w:sz w:val="16"/>
          <w:szCs w:val="16"/>
          <w:lang w:eastAsia="ru-RU"/>
        </w:rPr>
        <w:t xml:space="preserve">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lastRenderedPageBreak/>
        <w:t>3</w:t>
      </w:r>
      <w:r w:rsidRPr="00994862">
        <w:rPr>
          <w:rFonts w:ascii="Times New Roman" w:eastAsia="Times New Roman" w:hAnsi="Times New Roman" w:cs="Times New Roman"/>
          <w:sz w:val="16"/>
          <w:szCs w:val="16"/>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4</w:t>
      </w:r>
      <w:r w:rsidRPr="00994862">
        <w:rPr>
          <w:rFonts w:ascii="Times New Roman" w:eastAsia="Times New Roman" w:hAnsi="Times New Roman" w:cs="Times New Roman"/>
          <w:sz w:val="16"/>
          <w:szCs w:val="16"/>
          <w:lang w:eastAsia="ru-RU"/>
        </w:rPr>
        <w:t xml:space="preserve"> Указывается в соответствии с извещением об осуществлении конкурентной закупки.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5</w:t>
      </w:r>
      <w:r w:rsidRPr="00994862">
        <w:rPr>
          <w:rFonts w:ascii="Times New Roman" w:eastAsia="Times New Roman" w:hAnsi="Times New Roman" w:cs="Times New Roman"/>
          <w:sz w:val="16"/>
          <w:szCs w:val="16"/>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6</w:t>
      </w:r>
      <w:r w:rsidRPr="00994862">
        <w:rPr>
          <w:rFonts w:ascii="Times New Roman" w:eastAsia="Times New Roman" w:hAnsi="Times New Roman" w:cs="Times New Roman"/>
          <w:sz w:val="16"/>
          <w:szCs w:val="16"/>
          <w:lang w:eastAsia="ru-RU"/>
        </w:rPr>
        <w:t xml:space="preserve"> Указывается почтовый адрес.</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7</w:t>
      </w:r>
      <w:r w:rsidRPr="00994862">
        <w:rPr>
          <w:rFonts w:ascii="Times New Roman" w:eastAsia="Times New Roman" w:hAnsi="Times New Roman" w:cs="Times New Roman"/>
          <w:sz w:val="16"/>
          <w:szCs w:val="16"/>
          <w:lang w:eastAsia="ru-RU"/>
        </w:rPr>
        <w:t xml:space="preserve"> Указываются адрес электронной почты и (или) наименование информационной системы.</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 xml:space="preserve">8 </w:t>
      </w:r>
      <w:r w:rsidRPr="00994862">
        <w:rPr>
          <w:rFonts w:ascii="Times New Roman" w:eastAsia="Times New Roman" w:hAnsi="Times New Roman" w:cs="Times New Roman"/>
          <w:sz w:val="16"/>
          <w:szCs w:val="16"/>
          <w:lang w:eastAsia="ru-RU"/>
        </w:rPr>
        <w:t>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005DA4" w:rsidRPr="00994862" w:rsidRDefault="00005DA4" w:rsidP="00994862"/>
    <w:sectPr w:rsidR="00005DA4" w:rsidRPr="00994862" w:rsidSect="00994862">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926"/>
    <w:rsid w:val="00005DA4"/>
    <w:rsid w:val="00994862"/>
    <w:rsid w:val="00A8488A"/>
    <w:rsid w:val="00E73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9A40"/>
  <w15:chartTrackingRefBased/>
  <w15:docId w15:val="{FE1B4136-8334-40DC-8058-DD1EEE40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86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1386</Words>
  <Characters>7901</Characters>
  <Application>Microsoft Office Word</Application>
  <DocSecurity>0</DocSecurity>
  <Lines>65</Lines>
  <Paragraphs>18</Paragraphs>
  <ScaleCrop>false</ScaleCrop>
  <Company>DVGK</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Коркина Светлана Владимировна</dc:creator>
  <cp:keywords/>
  <dc:description/>
  <cp:lastModifiedBy>Илясов Анатолий Дмитриевич</cp:lastModifiedBy>
  <cp:revision>3</cp:revision>
  <dcterms:created xsi:type="dcterms:W3CDTF">2023-08-04T05:26:00Z</dcterms:created>
  <dcterms:modified xsi:type="dcterms:W3CDTF">2023-09-28T00:23:00Z</dcterms:modified>
</cp:coreProperties>
</file>