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284" w:firstLine="284"/>
        <w:jc w:val="center"/>
        <w:tabs>
          <w:tab w:val="left" w:pos="0" w:leader="none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180340" distL="114300" distR="114300" simplePos="0" relativeHeight="251659264" behindDoc="0" locked="0" layoutInCell="1" allowOverlap="1">
                <wp:simplePos x="0" y="0"/>
                <wp:positionH relativeFrom="margin">
                  <wp:posOffset>2494915</wp:posOffset>
                </wp:positionH>
                <wp:positionV relativeFrom="paragraph">
                  <wp:posOffset>110490</wp:posOffset>
                </wp:positionV>
                <wp:extent cx="1115060" cy="514350"/>
                <wp:effectExtent l="0" t="0" r="8890" b="0"/>
                <wp:wrapTopAndBottom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11506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margin;margin-left:196.45pt;mso-position-horizontal:absolute;mso-position-vertical-relative:text;margin-top:8.70pt;mso-position-vertical:absolute;width:87.80pt;height:40.50pt;mso-wrap-distance-left:9.00pt;mso-wrap-distance-top:0.00pt;mso-wrap-distance-right:9.00pt;mso-wrap-distance-bottom:14.20pt;" stroked="f">
                <v:path textboxrect="0,0,0,0"/>
                <w10:wrap type="topAndBottom"/>
                <v:imagedata r:id="rId11" o:title=""/>
              </v:shape>
            </w:pict>
          </mc:Fallback>
        </mc:AlternateContent>
      </w:r>
      <w:r>
        <w:rPr>
          <w:b/>
          <w:bCs/>
          <w:sz w:val="22"/>
          <w:szCs w:val="22"/>
        </w:rPr>
        <w:t xml:space="preserve">Акционерное общество «Дальневосточная генерирующая компания»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4395" w:hanging="11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«УТВЕРЖДАЮ»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4395" w:hanging="11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Заместитель председателя закупочной комиссии А</w:t>
      </w:r>
      <w:r>
        <w:rPr>
          <w:sz w:val="22"/>
          <w:szCs w:val="22"/>
        </w:rPr>
        <w:t xml:space="preserve">О «ДГК» 1 уровня – заместитель Г</w:t>
      </w:r>
      <w:r>
        <w:rPr>
          <w:sz w:val="22"/>
          <w:szCs w:val="22"/>
        </w:rPr>
        <w:t xml:space="preserve">енерального директора по управлению ресурсами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АО «ДГК»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4395" w:hanging="11"/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4395" w:hanging="11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_________________Д.А. Богонатов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4395" w:hanging="11"/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4395" w:hanging="11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</w:t>
      </w:r>
      <w:r>
        <w:rPr>
          <w:sz w:val="22"/>
          <w:szCs w:val="22"/>
        </w:rPr>
        <w:t xml:space="preserve"> 20</w:t>
      </w:r>
      <w:r>
        <w:rPr>
          <w:sz w:val="22"/>
          <w:szCs w:val="22"/>
        </w:rPr>
        <w:t xml:space="preserve">26 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5103" w:firstLine="0"/>
        <w:jc w:val="left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after="24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Состав экспертной группы 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spacing w:line="240" w:lineRule="auto"/>
        <w:rPr>
          <w:sz w:val="22"/>
          <w:szCs w:val="22"/>
          <w14:ligatures w14:val="none"/>
        </w:rPr>
      </w:pPr>
      <w:r>
        <w:rPr>
          <w:bCs/>
          <w:sz w:val="22"/>
          <w:szCs w:val="22"/>
        </w:rPr>
        <w:t xml:space="preserve">Конкурс </w:t>
      </w:r>
      <w:r>
        <w:rPr>
          <w:bCs/>
          <w:sz w:val="22"/>
          <w:szCs w:val="22"/>
        </w:rPr>
        <w:t xml:space="preserve">в электронной форме</w:t>
      </w:r>
      <w:r>
        <w:rPr>
          <w:bCs/>
          <w:sz w:val="22"/>
          <w:szCs w:val="22"/>
        </w:rPr>
        <w:t xml:space="preserve"> на </w:t>
      </w:r>
      <w:r>
        <w:rPr>
          <w:bCs/>
          <w:sz w:val="22"/>
          <w:szCs w:val="22"/>
        </w:rPr>
        <w:t xml:space="preserve">право</w:t>
      </w:r>
      <w:r>
        <w:rPr>
          <w:bCs/>
          <w:sz w:val="22"/>
          <w:szCs w:val="22"/>
        </w:rPr>
        <w:t xml:space="preserve"> заключения договор</w:t>
      </w:r>
      <w:r>
        <w:rPr>
          <w:bCs/>
          <w:sz w:val="22"/>
          <w:szCs w:val="22"/>
        </w:rPr>
        <w:t xml:space="preserve">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«</w:t>
      </w:r>
      <w:r>
        <w:rPr>
          <w:sz w:val="22"/>
          <w:szCs w:val="22"/>
        </w:rPr>
      </w:r>
      <w:hyperlink r:id="rId12" w:tooltip="http://nbt.rushydro.ru/Planning/Program/View/395014?returnUrl=%2FPlanning%2FProgram%2FIndex_all%3Fnotnull%3DTrue%26page%3D1%26pageSize%3D50%26Filter.Index%3D22123008%26Filter.LotYears%3D2026%26Filter.UserOrganizationType%3D10%26Filter.ExtendedFilterOpened%3DFalse%26Filter.UserOrganizationType%3D10%26Filter.tabIndex%3D0" w:history="1">
        <w:r>
          <w:rPr>
            <w:sz w:val="22"/>
            <w:szCs w:val="22"/>
          </w:rPr>
          <w:t xml:space="preserve">ОКПД2 43.99.90.190 Выполнение строительно-монтажных работ (включая поставку оборудования и материалов) по объекту «Реконструкция системы пылеприготовления на котлоагрегате ТПЕ-214 СЗХЛ (Еп-670-13,8-545КТ) ст. № 2 Нерюнгринской ГРЭС в пос. Серебряный Бор Ре</w:t>
        </w:r>
        <w:r>
          <w:rPr>
            <w:sz w:val="22"/>
            <w:szCs w:val="22"/>
          </w:rPr>
          <w:t xml:space="preserve">спублика Саха (Якутия)»</w:t>
        </w:r>
        <w:r>
          <w:rPr>
            <w:rFonts w:ascii="Times New Roman" w:hAnsi="Times New Roman" w:eastAsia="Times New Roman" w:cs="Times New Roman"/>
            <w:sz w:val="20"/>
            <w:szCs w:val="20"/>
          </w:rPr>
          <w:t xml:space="preserve"> в рамках реализации инвестиционного проекта Q_505-НГ-163</w:t>
        </w:r>
      </w:hyperlink>
      <w:r>
        <w:rPr>
          <w:sz w:val="22"/>
          <w:szCs w:val="22"/>
        </w:rPr>
        <w:t xml:space="preserve">», Лот №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22123008-ТПИР ОБСЛ-2026-ДГК-НерГРЭС</w:t>
      </w:r>
      <w:r>
        <w:rPr>
          <w:sz w:val="22"/>
          <w:szCs w:val="22"/>
        </w:rPr>
        <w:t xml:space="preserve">»</w:t>
      </w:r>
      <w:r>
        <w:rPr>
          <w:sz w:val="22"/>
          <w:szCs w:val="22"/>
          <w14:ligatures w14:val="none"/>
        </w:rPr>
      </w:r>
    </w:p>
    <w:p>
      <w:pPr>
        <w:jc w:val="center"/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9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91"/>
        <w:gridCol w:w="3006"/>
        <w:gridCol w:w="5003"/>
        <w:gridCol w:w="1479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spacing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№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6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spacing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ФИО эксперта</w:t>
            </w:r>
            <w:bookmarkStart w:id="0" w:name="_GoBack"/>
            <w:r/>
            <w:bookmarkEnd w:id="0"/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3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spacing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Должность, место работы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spacing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Направления оценки заявок *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6" w:type="dxa"/>
            <w:textDirection w:val="lrTb"/>
            <w:noWrap w:val="false"/>
          </w:tcPr>
          <w:p>
            <w:pPr>
              <w:ind w:firstLine="33"/>
              <w:jc w:val="center"/>
              <w:spacing w:line="240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Муравьева С</w:t>
            </w:r>
            <w:r>
              <w:rPr>
                <w:sz w:val="22"/>
                <w:szCs w:val="22"/>
              </w:rPr>
              <w:t xml:space="preserve">.Б.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3" w:type="dxa"/>
            <w:textDirection w:val="lrTb"/>
            <w:noWrap w:val="false"/>
          </w:tcPr>
          <w:p>
            <w:pPr>
              <w:ind w:right="200" w:firstLine="33"/>
              <w:jc w:val="center"/>
              <w:spacing w:line="240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Начальник отдела проведения закупок работ и услуг АО «ДГК»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Куратор экспертной группы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6" w:type="dxa"/>
            <w:vAlign w:val="center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Можерина И.А.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3" w:type="dxa"/>
            <w:vAlign w:val="center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t xml:space="preserve">у</w:t>
            </w:r>
            <w:r>
              <w:rPr>
                <w:rFonts w:ascii="Times New Roman" w:hAnsi="Times New Roman" w:cs="Times New Roman"/>
              </w:rPr>
              <w:t xml:space="preserve">правлени</w:t>
            </w:r>
            <w:r>
              <w:rPr>
                <w:rFonts w:ascii="Times New Roman" w:hAnsi="Times New Roman" w:cs="Times New Roman"/>
              </w:rPr>
              <w:t xml:space="preserve">я</w:t>
            </w:r>
            <w:r>
              <w:rPr>
                <w:rFonts w:ascii="Times New Roman" w:hAnsi="Times New Roman" w:cs="Times New Roman"/>
              </w:rPr>
              <w:t xml:space="preserve"> инвестиционной деятельности</w:t>
            </w:r>
            <w:r>
              <w:rPr>
                <w:rFonts w:ascii="Times New Roman" w:hAnsi="Times New Roman" w:cs="Times New Roman"/>
              </w:rPr>
              <w:t xml:space="preserve"> АО «ДГК»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Тех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6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spacing w:line="240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Лобанов А.Г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3" w:type="dxa"/>
            <w:vAlign w:val="center"/>
            <w:textDirection w:val="lrTb"/>
            <w:noWrap w:val="false"/>
          </w:tcPr>
          <w:p>
            <w:pPr>
              <w:ind w:right="-108" w:firstLine="33"/>
              <w:jc w:val="center"/>
              <w:spacing w:line="240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Начальник сме</w:t>
            </w:r>
            <w:r>
              <w:rPr>
                <w:sz w:val="22"/>
                <w:szCs w:val="22"/>
              </w:rPr>
              <w:t xml:space="preserve">тно-договорного отдела АО «ДГК»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Цена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6" w:type="dxa"/>
            <w:vAlign w:val="center"/>
            <w:textDirection w:val="lrTb"/>
            <w:noWrap w:val="false"/>
          </w:tcPr>
          <w:p>
            <w:pPr>
              <w:ind w:right="-108" w:firstLine="33"/>
              <w:jc w:val="center"/>
              <w:spacing w:line="240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Быстрова А.Н. 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3" w:type="dxa"/>
            <w:vAlign w:val="center"/>
            <w:textDirection w:val="lrTb"/>
            <w:noWrap w:val="false"/>
          </w:tcPr>
          <w:p>
            <w:pPr>
              <w:ind w:right="-108" w:firstLine="33"/>
              <w:jc w:val="center"/>
              <w:spacing w:line="240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Главный специалист отдела правово</w:t>
            </w:r>
            <w:r>
              <w:rPr>
                <w:sz w:val="22"/>
                <w:szCs w:val="22"/>
              </w:rPr>
              <w:t xml:space="preserve">го сопровождения и договорной</w:t>
            </w:r>
            <w:r>
              <w:rPr>
                <w:sz w:val="22"/>
                <w:szCs w:val="22"/>
              </w:rPr>
              <w:t xml:space="preserve"> работы АО «ДГК»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Юр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6" w:type="dxa"/>
            <w:textDirection w:val="lrTb"/>
            <w:noWrap w:val="false"/>
          </w:tcPr>
          <w:p>
            <w:pPr>
              <w:ind w:right="-108" w:firstLine="33"/>
              <w:jc w:val="center"/>
              <w:spacing w:line="240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Храпатая Ю.С.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3" w:type="dxa"/>
            <w:textDirection w:val="lrTb"/>
            <w:noWrap w:val="false"/>
          </w:tcPr>
          <w:p>
            <w:pPr>
              <w:ind w:right="200" w:firstLine="33"/>
              <w:jc w:val="center"/>
              <w:spacing w:line="240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Главный специалист</w:t>
            </w:r>
            <w:r>
              <w:rPr>
                <w:sz w:val="22"/>
                <w:szCs w:val="22"/>
              </w:rPr>
              <w:t xml:space="preserve"> отдела проведения</w:t>
            </w:r>
            <w:r>
              <w:rPr>
                <w:sz w:val="22"/>
                <w:szCs w:val="22"/>
              </w:rPr>
              <w:t xml:space="preserve"> закупок работ и услуг АО «ДГК»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 xml:space="preserve">Орг</w:t>
            </w:r>
            <w:r>
              <w:rPr>
                <w:b/>
                <w:bCs/>
                <w:sz w:val="22"/>
                <w:szCs w:val="22"/>
                <w:highlight w:val="yellow"/>
              </w:rPr>
            </w:r>
            <w:r>
              <w:rPr>
                <w:b/>
                <w:bCs/>
                <w:sz w:val="22"/>
                <w:szCs w:val="22"/>
                <w:highlight w:val="yellow"/>
              </w:rPr>
            </w:r>
          </w:p>
        </w:tc>
      </w:tr>
    </w:tbl>
    <w:p>
      <w:pPr>
        <w:ind w:hanging="142"/>
        <w:spacing w:before="240" w:after="12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* Направления оценки заявок: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1007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25"/>
        <w:gridCol w:w="8511"/>
      </w:tblGrid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ind w:firstLine="0"/>
              <w:spacing w:before="120" w:line="240" w:lineRule="auto"/>
              <w:tabs>
                <w:tab w:val="left" w:pos="2977" w:leader="none"/>
                <w:tab w:val="left" w:pos="3544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Орг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ind w:firstLine="0"/>
              <w:spacing w:before="120" w:line="240" w:lineRule="auto"/>
              <w:tabs>
                <w:tab w:val="left" w:pos="2977" w:leader="none"/>
                <w:tab w:val="left" w:pos="35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1" w:type="dxa"/>
            <w:textDirection w:val="lrTb"/>
            <w:noWrap w:val="false"/>
          </w:tcPr>
          <w:p>
            <w:pPr>
              <w:ind w:firstLine="0"/>
              <w:spacing w:before="120" w:line="240" w:lineRule="auto"/>
              <w:tabs>
                <w:tab w:val="left" w:pos="2977" w:leader="none"/>
                <w:tab w:val="left" w:pos="3544" w:leader="none"/>
              </w:tabs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при проведении конкурентной закупки «среди любых участников»:</w:t>
            </w:r>
            <w:r>
              <w:rPr>
                <w:sz w:val="22"/>
                <w:szCs w:val="22"/>
                <w:u w:val="single"/>
              </w:rPr>
            </w:r>
            <w:r>
              <w:rPr>
                <w:sz w:val="22"/>
                <w:szCs w:val="22"/>
                <w:u w:val="single"/>
              </w:rPr>
            </w:r>
          </w:p>
          <w:p>
            <w:pPr>
              <w:ind w:firstLine="0"/>
              <w:spacing w:before="120" w:after="240" w:line="240" w:lineRule="auto"/>
              <w:tabs>
                <w:tab w:val="left" w:pos="2977" w:leader="none"/>
                <w:tab w:val="left" w:pos="35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наличия в составе заявки и оценка правильности оформления Письма </w:t>
            </w:r>
            <w:r>
              <w:rPr>
                <w:sz w:val="22"/>
                <w:szCs w:val="22"/>
              </w:rPr>
              <w:t xml:space="preserve">о подаче оферты (в том числе на наличие разночтений между сведениями, указанным в данном письме и на ЭТП, в части цены заявки); наличие у Участника статуса «аккредитован», либо статуса «аккредитация не требуется»; отсутствие сведений об Участнике в перечне</w:t>
            </w:r>
            <w:r>
              <w:rPr>
                <w:sz w:val="22"/>
                <w:szCs w:val="22"/>
              </w:rPr>
              <w:t xml:space="preserve">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№851; в случае установления требования об обязательном привлечении к исполнению Договора субподря</w:t>
            </w:r>
            <w:r>
              <w:rPr>
                <w:sz w:val="22"/>
                <w:szCs w:val="22"/>
              </w:rPr>
              <w:t xml:space="preserve">дчиков (соисполнителей) из числа субъектов МСП, проверка субподрядчиков (соисполнителей), указанных Участником в Плане распределения поставки продукции, на наличие информации о таком субподрядчике (соисполнителе) в Реестре МСП (https://rmsp.nalog.ru/index.</w:t>
            </w:r>
            <w:hyperlink r:id="rId13" w:tooltip="https://rmsp.nalog.ru/index.html" w:history="1">
              <w:r>
                <w:rPr>
                  <w:rStyle w:val="886"/>
                  <w:sz w:val="22"/>
                  <w:szCs w:val="22"/>
                </w:rPr>
                <w:t xml:space="preserve">html</w:t>
              </w:r>
            </w:hyperlink>
            <w:r>
              <w:rPr>
                <w:sz w:val="22"/>
                <w:szCs w:val="22"/>
              </w:rPr>
              <w:t xml:space="preserve">), а в отношении физических лиц, не являющихся индивидуальными предпринимателями и применяющих сп</w:t>
            </w:r>
            <w:r>
              <w:rPr>
                <w:sz w:val="22"/>
                <w:szCs w:val="22"/>
              </w:rPr>
              <w:t xml:space="preserve">ециальный налоговый режим «Налог на профессиональный доход», на наличие информации на официальном сайте федерального органа исполнительной власти, уполномоченного по контролю и надзору в области налогов и сборов, о применении ими такого налогового режима (</w:t>
            </w:r>
            <w:hyperlink r:id="rId14" w:tooltip="https://npd.nalog.ru/check-status/" w:history="1">
              <w:r>
                <w:rPr>
                  <w:rStyle w:val="886"/>
                  <w:sz w:val="22"/>
                  <w:szCs w:val="22"/>
                </w:rPr>
                <w:t xml:space="preserve">https://npd.nalog.ru/check-status/</w:t>
              </w:r>
            </w:hyperlink>
            <w:r>
              <w:rPr>
                <w:sz w:val="22"/>
                <w:szCs w:val="22"/>
              </w:rPr>
              <w:t xml:space="preserve">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spacing w:before="120" w:line="240" w:lineRule="auto"/>
              <w:tabs>
                <w:tab w:val="left" w:pos="2977" w:leader="none"/>
                <w:tab w:val="left" w:pos="3544" w:leader="none"/>
              </w:tabs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при проведении конкурентной закупки «только среди субъектов МСП»:</w:t>
            </w:r>
            <w:r>
              <w:rPr>
                <w:sz w:val="22"/>
                <w:szCs w:val="22"/>
                <w:u w:val="single"/>
              </w:rPr>
            </w:r>
            <w:r>
              <w:rPr>
                <w:sz w:val="22"/>
                <w:szCs w:val="22"/>
                <w:u w:val="single"/>
              </w:rPr>
            </w:r>
          </w:p>
          <w:p>
            <w:pPr>
              <w:ind w:firstLine="0"/>
              <w:spacing w:before="120" w:after="240" w:line="240" w:lineRule="auto"/>
              <w:tabs>
                <w:tab w:val="left" w:pos="2977" w:leader="none"/>
                <w:tab w:val="left" w:pos="35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наличия в составе заявки и</w:t>
            </w:r>
            <w:r>
              <w:rPr>
                <w:sz w:val="22"/>
                <w:szCs w:val="22"/>
              </w:rPr>
              <w:t xml:space="preserve"> оценка правильности оформления Письма о подаче оферты, а также наличия обеспечения обязательств Участника, связанного с подачей заявки, в виде независимой гарантии – в случае отсутствия внесенных Участником денежных средств на специальный банковский счет </w:t>
            </w:r>
            <w:r>
              <w:rPr>
                <w:i/>
                <w:iCs/>
                <w:sz w:val="22"/>
                <w:szCs w:val="22"/>
              </w:rPr>
              <w:t xml:space="preserve">(применяется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  <w:t xml:space="preserve">; наличие у Участника статуса «аккредитован», либо статуса «аккредитация не требуется»; отсутствие сведений об Уча</w:t>
            </w:r>
            <w:r>
              <w:rPr>
                <w:sz w:val="22"/>
                <w:szCs w:val="22"/>
              </w:rPr>
              <w:t xml:space="preserve">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№851; наличие информации об Участнике в Реестре МСП (https://rmsp.nalog.ru/index.</w:t>
            </w:r>
            <w:hyperlink r:id="rId15" w:tooltip="https://rmsp.nalog.ru/index.html" w:history="1">
              <w:r>
                <w:rPr>
                  <w:rStyle w:val="886"/>
                  <w:sz w:val="22"/>
                  <w:szCs w:val="22"/>
                </w:rPr>
                <w:t xml:space="preserve">html</w:t>
              </w:r>
            </w:hyperlink>
            <w:r>
              <w:rPr>
                <w:sz w:val="22"/>
                <w:szCs w:val="22"/>
              </w:rPr>
              <w:t xml:space="preserve">), а в отношении физических лиц, не являющихся индивидуальными предпринимателями и применяющих</w:t>
            </w:r>
            <w:r>
              <w:rPr>
                <w:sz w:val="22"/>
                <w:szCs w:val="22"/>
              </w:rPr>
              <w:t xml:space="preserve"> специальный налоговый режим «Налог на профессиональный доход», наличие информации на официальном сайте федерального органа исполнительной власти, уполномоченного по контролю и надзору в области налогов и сборов, о применении ими такого налогового режима (</w:t>
            </w:r>
            <w:hyperlink r:id="rId16" w:tooltip="https://npd.nalog.ru/check-status/" w:history="1">
              <w:r>
                <w:rPr>
                  <w:rStyle w:val="886"/>
                  <w:sz w:val="22"/>
                  <w:szCs w:val="22"/>
                </w:rPr>
                <w:t xml:space="preserve">https://npd.nalog.ru/check-status/</w:t>
              </w:r>
            </w:hyperlink>
            <w:r>
              <w:rPr>
                <w:sz w:val="22"/>
                <w:szCs w:val="22"/>
              </w:rPr>
              <w:t xml:space="preserve">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spacing w:before="120" w:line="240" w:lineRule="auto"/>
              <w:tabs>
                <w:tab w:val="left" w:pos="2977" w:leader="none"/>
                <w:tab w:val="left" w:pos="3544" w:leader="none"/>
              </w:tabs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при проведении состязательного отбора «среди любых участников»:</w:t>
            </w:r>
            <w:r>
              <w:rPr>
                <w:sz w:val="22"/>
                <w:szCs w:val="22"/>
                <w:u w:val="single"/>
              </w:rPr>
            </w:r>
            <w:r>
              <w:rPr>
                <w:sz w:val="22"/>
                <w:szCs w:val="22"/>
                <w:u w:val="single"/>
              </w:rPr>
            </w:r>
          </w:p>
          <w:p>
            <w:pPr>
              <w:ind w:firstLine="0"/>
              <w:spacing w:before="120" w:after="240" w:line="240" w:lineRule="auto"/>
              <w:tabs>
                <w:tab w:val="left" w:pos="2977" w:leader="none"/>
                <w:tab w:val="left" w:pos="35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наличия в составе заявки и оценка правильности оформления Письма о подаче оферты (в том числе на наличие разночтений между сведениями, указанным в данном письме и на ЭТП, в части цены заявки); наличие у Участника статуса «аккреди</w:t>
            </w:r>
            <w:r>
              <w:rPr>
                <w:sz w:val="22"/>
                <w:szCs w:val="22"/>
              </w:rPr>
              <w:t xml:space="preserve">тован», либо статуса «аккредитация не требуется»; отсутствие сведений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№851;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spacing w:before="120" w:line="240" w:lineRule="auto"/>
              <w:tabs>
                <w:tab w:val="left" w:pos="2977" w:leader="none"/>
                <w:tab w:val="left" w:pos="3544" w:leader="none"/>
              </w:tabs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при проведении состязательного отбора «только среди субъектов МСП»:</w:t>
            </w:r>
            <w:r>
              <w:rPr>
                <w:sz w:val="22"/>
                <w:szCs w:val="22"/>
                <w:u w:val="single"/>
              </w:rPr>
            </w:r>
            <w:r>
              <w:rPr>
                <w:sz w:val="22"/>
                <w:szCs w:val="22"/>
                <w:u w:val="single"/>
              </w:rPr>
            </w:r>
          </w:p>
          <w:p>
            <w:pPr>
              <w:ind w:firstLine="0"/>
              <w:spacing w:before="120" w:line="240" w:lineRule="auto"/>
              <w:tabs>
                <w:tab w:val="left" w:pos="2977" w:leader="none"/>
                <w:tab w:val="left" w:pos="35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наличия в составе заявки и оценка правильности оформления Письма о подаче оферты (в том числе на наличие разночтений между сведениями, у</w:t>
            </w:r>
            <w:r>
              <w:rPr>
                <w:sz w:val="22"/>
                <w:szCs w:val="22"/>
              </w:rPr>
              <w:t xml:space="preserve">казанным в данном письме и на ЭТП, в части цены заявки), а также наличия обеспечения обязательств Участника, связанного с подачей заявки, в виде банковской гарантии – в случае отсутствия внесенных Участником денежных средств на специальный банковский счет </w:t>
            </w:r>
            <w:r>
              <w:rPr>
                <w:i/>
                <w:iCs/>
                <w:sz w:val="22"/>
                <w:szCs w:val="22"/>
              </w:rPr>
              <w:t xml:space="preserve">(применяется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  <w:t xml:space="preserve">; наличие у Участника статуса «аккредитован», либо статуса «аккредитация не требуется»; отсутствие сведений об Уча</w:t>
            </w:r>
            <w:r>
              <w:rPr>
                <w:sz w:val="22"/>
                <w:szCs w:val="22"/>
              </w:rPr>
              <w:t xml:space="preserve">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№851; наличие информации об Участнике в Реестре МСП (https://rmsp.nalog.ru/index.</w:t>
            </w:r>
            <w:hyperlink r:id="rId17" w:tooltip="https://rmsp.nalog.ru/index.html" w:history="1">
              <w:r>
                <w:rPr>
                  <w:rStyle w:val="886"/>
                  <w:sz w:val="22"/>
                  <w:szCs w:val="22"/>
                </w:rPr>
                <w:t xml:space="preserve">html</w:t>
              </w:r>
            </w:hyperlink>
            <w:r>
              <w:rPr>
                <w:sz w:val="22"/>
                <w:szCs w:val="22"/>
              </w:rPr>
              <w:t xml:space="preserve">), а в отношении физических лиц, не являющихся индивидуальными предпринимателями и применяющих</w:t>
            </w:r>
            <w:r>
              <w:rPr>
                <w:sz w:val="22"/>
                <w:szCs w:val="22"/>
              </w:rPr>
              <w:t xml:space="preserve"> специальный налоговый режим «Налог на профессиональный доход», наличие информации на официальном сайте федерального органа исполнительной власти, уполномоченного по контролю и надзору в области налогов и сборов, о применении ими такого налогового режима (</w:t>
            </w:r>
            <w:hyperlink r:id="rId18" w:tooltip="https://npd.nalog.ru/check-status/" w:history="1">
              <w:r>
                <w:rPr>
                  <w:rStyle w:val="886"/>
                  <w:sz w:val="22"/>
                  <w:szCs w:val="22"/>
                </w:rPr>
                <w:t xml:space="preserve">https://npd.nalog.ru/check-status/</w:t>
              </w:r>
            </w:hyperlink>
            <w:r>
              <w:rPr>
                <w:sz w:val="22"/>
                <w:szCs w:val="22"/>
              </w:rPr>
              <w:t xml:space="preserve">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ind w:firstLine="0"/>
              <w:spacing w:before="120" w:line="240" w:lineRule="auto"/>
              <w:tabs>
                <w:tab w:val="left" w:pos="2977" w:leader="none"/>
                <w:tab w:val="left" w:pos="3544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Тех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ind w:firstLine="0"/>
              <w:spacing w:before="120" w:line="240" w:lineRule="auto"/>
              <w:tabs>
                <w:tab w:val="left" w:pos="2977" w:leader="none"/>
                <w:tab w:val="left" w:pos="35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1" w:type="dxa"/>
            <w:textDirection w:val="lrTb"/>
            <w:noWrap w:val="false"/>
          </w:tcPr>
          <w:p>
            <w:pPr>
              <w:ind w:firstLine="0"/>
              <w:spacing w:before="120" w:line="240" w:lineRule="auto"/>
              <w:tabs>
                <w:tab w:val="left" w:pos="2977" w:leader="none"/>
                <w:tab w:val="left" w:pos="3544" w:leader="none"/>
              </w:tabs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при проведении конкурентной закупки «среди любых участников» / состязательного отбора «среди любых участников» / состязательного отбора «только среди субъектов МСП»:</w:t>
            </w:r>
            <w:r>
              <w:rPr>
                <w:sz w:val="22"/>
                <w:szCs w:val="22"/>
                <w:u w:val="single"/>
              </w:rPr>
            </w:r>
            <w:r>
              <w:rPr>
                <w:sz w:val="22"/>
                <w:szCs w:val="22"/>
                <w:u w:val="single"/>
              </w:rPr>
            </w:r>
          </w:p>
          <w:p>
            <w:pPr>
              <w:ind w:firstLine="0"/>
              <w:spacing w:before="120" w:line="240" w:lineRule="auto"/>
              <w:tabs>
                <w:tab w:val="left" w:pos="2977" w:leader="none"/>
                <w:tab w:val="left" w:pos="35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</w:t>
            </w:r>
            <w:r>
              <w:rPr>
                <w:sz w:val="22"/>
                <w:szCs w:val="22"/>
              </w:rPr>
              <w:t xml:space="preserve">т.ч</w:t>
            </w:r>
            <w:r>
              <w:rPr>
                <w:sz w:val="22"/>
                <w:szCs w:val="22"/>
              </w:rPr>
              <w:t xml:space="preserve">. в части наличия должных печатей, подписей формы заверения, языка</w:t>
            </w:r>
            <w:r>
              <w:rPr>
                <w:sz w:val="22"/>
                <w:szCs w:val="22"/>
              </w:rPr>
              <w:t xml:space="preserve"> и валюты заявки); оценка технических предложений и квалификационных данных участника,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spacing w:before="240" w:line="240" w:lineRule="auto"/>
              <w:tabs>
                <w:tab w:val="left" w:pos="2977" w:leader="none"/>
                <w:tab w:val="left" w:pos="3544" w:leader="none"/>
              </w:tabs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при проведении конкурентной закупки «только среди субъектов МСП»:</w:t>
            </w:r>
            <w:r>
              <w:rPr>
                <w:sz w:val="22"/>
                <w:szCs w:val="22"/>
                <w:u w:val="single"/>
              </w:rPr>
            </w:r>
            <w:r>
              <w:rPr>
                <w:sz w:val="22"/>
                <w:szCs w:val="22"/>
                <w:u w:val="single"/>
              </w:rPr>
            </w:r>
          </w:p>
          <w:p>
            <w:pPr>
              <w:ind w:firstLine="0"/>
              <w:spacing w:before="120" w:line="240" w:lineRule="auto"/>
              <w:tabs>
                <w:tab w:val="left" w:pos="2977" w:leader="none"/>
                <w:tab w:val="left" w:pos="35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</w:t>
            </w:r>
            <w:r>
              <w:rPr>
                <w:sz w:val="22"/>
                <w:szCs w:val="22"/>
              </w:rPr>
              <w:t xml:space="preserve">т.ч</w:t>
            </w:r>
            <w:r>
              <w:rPr>
                <w:sz w:val="22"/>
                <w:szCs w:val="22"/>
              </w:rPr>
              <w:t xml:space="preserve">. в части наличия должных печатей, подписей формы заверения, языка и валюты заявки); оценка технических предложений, Участника на соответствие специальным </w:t>
            </w:r>
            <w:r>
              <w:rPr>
                <w:sz w:val="22"/>
                <w:szCs w:val="22"/>
              </w:rPr>
              <w:t xml:space="preserve">требованиям Документации о закупке (в том числе посредством общедоступных электронных сервисов, в том числе г</w:t>
            </w:r>
            <w:r>
              <w:rPr>
                <w:sz w:val="22"/>
                <w:szCs w:val="22"/>
              </w:rPr>
              <w:t xml:space="preserve">осударственных органов, если это предусмотрено Документацией о закупке), и квалификационных данных Участника (в рамках оценки заявок по соответствующим критериям оценки) данных Участника, а также, при необходимости, технических условий исполнения Договора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ind w:firstLine="0"/>
              <w:spacing w:before="120" w:line="240" w:lineRule="auto"/>
              <w:tabs>
                <w:tab w:val="left" w:pos="2977" w:leader="none"/>
                <w:tab w:val="left" w:pos="3544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ind w:firstLine="0"/>
              <w:spacing w:before="120" w:line="240" w:lineRule="auto"/>
              <w:tabs>
                <w:tab w:val="left" w:pos="2977" w:leader="none"/>
                <w:tab w:val="left" w:pos="35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1" w:type="dxa"/>
            <w:textDirection w:val="lrTb"/>
            <w:noWrap w:val="false"/>
          </w:tcPr>
          <w:p>
            <w:pPr>
              <w:ind w:firstLine="0"/>
              <w:spacing w:before="120" w:line="240" w:lineRule="auto"/>
              <w:tabs>
                <w:tab w:val="left" w:pos="2977" w:leader="none"/>
                <w:tab w:val="left" w:pos="35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</w:t>
            </w:r>
            <w:r>
              <w:rPr>
                <w:sz w:val="22"/>
                <w:szCs w:val="22"/>
              </w:rPr>
              <w:t xml:space="preserve">т.ч</w:t>
            </w:r>
            <w:r>
              <w:rPr>
                <w:sz w:val="22"/>
                <w:szCs w:val="22"/>
              </w:rPr>
              <w:t xml:space="preserve">. в части наличия должных печатей, подписей формы заверения, языка и</w:t>
            </w:r>
            <w:r>
              <w:rPr>
                <w:sz w:val="22"/>
                <w:szCs w:val="22"/>
              </w:rPr>
              <w:t xml:space="preserve"> валюты заявки); оценка юридических аспектов заявки, в том числе оценка правомочности подписанта доверенности (при необходимости) на основании выписки из ЕГРЮЛ (выписка из ЕГРЮЛ доступна на официальном сервисе ФНС России https://egrul.nalog.ru/index.html);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073"/>
        </w:trPr>
        <w:tc>
          <w:tcPr>
            <w:tcW w:w="1134" w:type="dxa"/>
            <w:textDirection w:val="lrTb"/>
            <w:noWrap w:val="false"/>
          </w:tcPr>
          <w:p>
            <w:pPr>
              <w:ind w:firstLine="0"/>
              <w:spacing w:before="120" w:line="240" w:lineRule="auto"/>
              <w:tabs>
                <w:tab w:val="left" w:pos="2977" w:leader="none"/>
                <w:tab w:val="left" w:pos="3544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Цена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ind w:firstLine="0"/>
              <w:spacing w:before="120" w:line="240" w:lineRule="auto"/>
              <w:tabs>
                <w:tab w:val="left" w:pos="2977" w:leader="none"/>
                <w:tab w:val="left" w:pos="35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1" w:type="dxa"/>
            <w:textDirection w:val="lrTb"/>
            <w:noWrap w:val="false"/>
          </w:tcPr>
          <w:p>
            <w:pPr>
              <w:ind w:firstLine="0"/>
              <w:spacing w:before="120" w:line="240" w:lineRule="auto"/>
              <w:tabs>
                <w:tab w:val="left" w:pos="2977" w:leader="none"/>
                <w:tab w:val="left" w:pos="35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</w:t>
            </w:r>
            <w:r>
              <w:rPr>
                <w:sz w:val="22"/>
                <w:szCs w:val="22"/>
              </w:rPr>
              <w:t xml:space="preserve">т.ч</w:t>
            </w:r>
            <w:r>
              <w:rPr>
                <w:sz w:val="22"/>
                <w:szCs w:val="22"/>
              </w:rPr>
              <w:t xml:space="preserve">. в части наличия должных печатей, подписей формы заверения, языка и валюты заявки); при проведении закупки с использованием ЭТП: проверка отсутствия противоречий (в части стоимости заявки (цены Дог</w:t>
            </w:r>
            <w:r>
              <w:rPr>
                <w:sz w:val="22"/>
                <w:szCs w:val="22"/>
              </w:rPr>
              <w:t xml:space="preserve">овора)) между Письмом о подаче оферты и сведениями, указанными Участником в структурированных формах на ЭТП; оценка Коммерческого предложения Участника, а также (при наличии) прилагаемой к нему подтверждающей документации (включая спецификацию) на предмет: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0"/>
                <w:numId w:val="1"/>
              </w:numPr>
              <w:ind w:left="318" w:firstLine="0"/>
              <w:spacing w:before="120" w:line="240" w:lineRule="auto"/>
              <w:tabs>
                <w:tab w:val="left" w:pos="2977" w:leader="none"/>
                <w:tab w:val="left" w:pos="35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непревышения</w:t>
            </w:r>
            <w:r>
              <w:rPr>
                <w:sz w:val="22"/>
                <w:szCs w:val="22"/>
              </w:rPr>
              <w:t xml:space="preserve"> ценового предложения участника установленного размера НМЦ;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0"/>
                <w:numId w:val="1"/>
              </w:numPr>
              <w:ind w:left="318" w:firstLine="0"/>
              <w:spacing w:before="120" w:line="240" w:lineRule="auto"/>
              <w:tabs>
                <w:tab w:val="left" w:pos="2977" w:leader="none"/>
                <w:tab w:val="left" w:pos="35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возможности применения приоритета в соответствии с Постановлением Правительства Российской Федерации от 16.09.2016 № 925 и документацией о закупке.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ind w:firstLine="0"/>
              <w:spacing w:before="120" w:line="240" w:lineRule="auto"/>
              <w:tabs>
                <w:tab w:val="left" w:pos="2977" w:leader="none"/>
                <w:tab w:val="left" w:pos="3544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Фин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ind w:firstLine="0"/>
              <w:spacing w:before="120" w:line="240" w:lineRule="auto"/>
              <w:tabs>
                <w:tab w:val="left" w:pos="2977" w:leader="none"/>
                <w:tab w:val="left" w:pos="35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1" w:type="dxa"/>
            <w:textDirection w:val="lrTb"/>
            <w:noWrap w:val="false"/>
          </w:tcPr>
          <w:p>
            <w:pPr>
              <w:ind w:firstLine="0"/>
              <w:spacing w:before="120" w:line="240" w:lineRule="auto"/>
              <w:tabs>
                <w:tab w:val="left" w:pos="2977" w:leader="none"/>
                <w:tab w:val="left" w:pos="3544" w:leader="none"/>
              </w:tabs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при проведении конкурентной закупки «только среди субъектов МСП» / состязательного отбора «только среди субъектов МСП»:</w:t>
            </w:r>
            <w:r>
              <w:rPr>
                <w:sz w:val="22"/>
                <w:szCs w:val="22"/>
                <w:u w:val="single"/>
              </w:rPr>
            </w:r>
            <w:r>
              <w:rPr>
                <w:sz w:val="22"/>
                <w:szCs w:val="22"/>
                <w:u w:val="single"/>
              </w:rPr>
            </w:r>
          </w:p>
          <w:p>
            <w:pPr>
              <w:ind w:firstLine="0"/>
              <w:spacing w:before="120" w:line="240" w:lineRule="auto"/>
              <w:tabs>
                <w:tab w:val="left" w:pos="2977" w:leader="none"/>
                <w:tab w:val="left" w:pos="35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независимой гарантии / банковской гарантии (финансовая экспертиза проводится по инициативе эксперта по направлениям </w:t>
            </w:r>
            <w:r>
              <w:rPr>
                <w:sz w:val="22"/>
                <w:szCs w:val="22"/>
              </w:rPr>
              <w:t xml:space="preserve">Орг</w:t>
            </w:r>
            <w:r>
              <w:rPr>
                <w:sz w:val="22"/>
                <w:szCs w:val="22"/>
              </w:rPr>
              <w:t xml:space="preserve">, в случае наличия в заявке независимой гарантии / банковской гарантии), в том числе правильность оформления рассматриваемых документов (наличие должных печатей, подписей, формы заверения).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0"/>
        <w:keepLines/>
        <w:keepNext/>
        <w:spacing w:line="240" w:lineRule="auto"/>
        <w:tabs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t xml:space="preserve">Главный специалист ОПЗРиУ АО «ДГК»                                                                     Ю.С. Храпатая</w:t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568" w:right="567" w:bottom="567" w:left="1134" w:header="680" w:footer="68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Segoe U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tabs>
        <w:tab w:val="left" w:pos="7200" w:leader="none"/>
        <w:tab w:val="right" w:pos="10080" w:leader="none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 xml:space="preserve">стр.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из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  <w:r>
      <w:rPr>
        <w:sz w:val="20"/>
        <w:szCs w:val="20"/>
      </w:rPr>
    </w:r>
    <w:r>
      <w:rPr>
        <w:sz w:val="20"/>
        <w:szCs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</w:pPr>
    <w:r>
      <w:tab/>
    </w:r>
    <w:r>
      <w:tab/>
      <w:t xml:space="preserve">стр. </w:t>
    </w:r>
    <w:r>
      <w:fldChar w:fldCharType="begin"/>
    </w:r>
    <w:r>
      <w:instrText xml:space="preserve"> PAGE </w:instrText>
    </w:r>
    <w:r>
      <w:fldChar w:fldCharType="separate"/>
    </w:r>
    <w:r>
      <w:t xml:space="preserve">27</w:t>
    </w:r>
    <w:r>
      <w:fldChar w:fldCharType="end"/>
    </w:r>
    <w:r>
      <w:t xml:space="preserve"> из </w:t>
    </w:r>
    <w:r>
      <w:fldChar w:fldCharType="begin"/>
    </w:r>
    <w:r>
      <w:instrText xml:space="preserve"> NUMPAGES </w:instrText>
    </w:r>
    <w:r>
      <w:fldChar w:fldCharType="separate"/>
    </w:r>
    <w:r>
      <w:t xml:space="preserve">3</w:t>
    </w:r>
    <w: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>
    <w:name w:val="Heading 1"/>
    <w:basedOn w:val="876"/>
    <w:next w:val="876"/>
    <w:link w:val="70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4">
    <w:name w:val="Heading 1 Char"/>
    <w:basedOn w:val="877"/>
    <w:link w:val="703"/>
    <w:uiPriority w:val="9"/>
    <w:rPr>
      <w:rFonts w:ascii="Arial" w:hAnsi="Arial" w:eastAsia="Arial" w:cs="Arial"/>
      <w:sz w:val="40"/>
      <w:szCs w:val="40"/>
    </w:rPr>
  </w:style>
  <w:style w:type="paragraph" w:styleId="705">
    <w:name w:val="Heading 2"/>
    <w:basedOn w:val="876"/>
    <w:next w:val="876"/>
    <w:link w:val="7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6">
    <w:name w:val="Heading 2 Char"/>
    <w:basedOn w:val="877"/>
    <w:link w:val="705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76"/>
    <w:next w:val="876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basedOn w:val="877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76"/>
    <w:next w:val="876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77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6"/>
    <w:next w:val="876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77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6"/>
    <w:next w:val="876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7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6"/>
    <w:next w:val="876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77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6"/>
    <w:next w:val="876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77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6"/>
    <w:next w:val="876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77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List Paragraph"/>
    <w:basedOn w:val="876"/>
    <w:uiPriority w:val="34"/>
    <w:qFormat/>
    <w:pPr>
      <w:contextualSpacing/>
      <w:ind w:left="720"/>
    </w:pPr>
  </w:style>
  <w:style w:type="paragraph" w:styleId="722">
    <w:name w:val="Title"/>
    <w:basedOn w:val="876"/>
    <w:next w:val="876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basedOn w:val="877"/>
    <w:link w:val="722"/>
    <w:uiPriority w:val="10"/>
    <w:rPr>
      <w:sz w:val="48"/>
      <w:szCs w:val="48"/>
    </w:rPr>
  </w:style>
  <w:style w:type="paragraph" w:styleId="724">
    <w:name w:val="Subtitle"/>
    <w:basedOn w:val="876"/>
    <w:next w:val="876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basedOn w:val="877"/>
    <w:link w:val="724"/>
    <w:uiPriority w:val="11"/>
    <w:rPr>
      <w:sz w:val="24"/>
      <w:szCs w:val="24"/>
    </w:rPr>
  </w:style>
  <w:style w:type="paragraph" w:styleId="726">
    <w:name w:val="Quote"/>
    <w:basedOn w:val="876"/>
    <w:next w:val="876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76"/>
    <w:next w:val="876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paragraph" w:styleId="730">
    <w:name w:val="Header"/>
    <w:basedOn w:val="876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Header Char"/>
    <w:basedOn w:val="877"/>
    <w:link w:val="730"/>
    <w:uiPriority w:val="99"/>
  </w:style>
  <w:style w:type="character" w:styleId="732">
    <w:name w:val="Footer Char"/>
    <w:basedOn w:val="877"/>
    <w:link w:val="880"/>
    <w:uiPriority w:val="99"/>
  </w:style>
  <w:style w:type="paragraph" w:styleId="733">
    <w:name w:val="Caption"/>
    <w:basedOn w:val="876"/>
    <w:next w:val="876"/>
    <w:link w:val="7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4">
    <w:name w:val="Caption Char"/>
    <w:basedOn w:val="733"/>
    <w:link w:val="880"/>
    <w:uiPriority w:val="99"/>
  </w:style>
  <w:style w:type="table" w:styleId="735">
    <w:name w:val="Table Grid"/>
    <w:basedOn w:val="87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5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6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7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8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9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0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2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3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4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5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6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7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9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0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1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2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3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4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1">
    <w:name w:val="Footnote Text Char"/>
    <w:link w:val="883"/>
    <w:uiPriority w:val="99"/>
    <w:rPr>
      <w:sz w:val="18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7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qFormat/>
    <w:pPr>
      <w:ind w:firstLine="567"/>
      <w:jc w:val="both"/>
      <w:spacing w:after="0" w:line="36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77" w:default="1">
    <w:name w:val="Default Paragraph Font"/>
    <w:uiPriority w:val="1"/>
    <w:semiHidden/>
    <w:unhideWhenUsed/>
  </w:style>
  <w:style w:type="table" w:styleId="8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uiPriority w:val="99"/>
    <w:semiHidden/>
    <w:unhideWhenUsed/>
  </w:style>
  <w:style w:type="paragraph" w:styleId="880">
    <w:name w:val="Footer"/>
    <w:basedOn w:val="876"/>
    <w:link w:val="881"/>
    <w:uiPriority w:val="99"/>
    <w:pPr>
      <w:ind w:firstLine="0"/>
      <w:spacing w:line="240" w:lineRule="auto"/>
      <w:tabs>
        <w:tab w:val="center" w:pos="4253" w:leader="none"/>
        <w:tab w:val="right" w:pos="9356" w:leader="none"/>
      </w:tabs>
    </w:pPr>
    <w:rPr>
      <w:sz w:val="20"/>
      <w:szCs w:val="20"/>
    </w:rPr>
  </w:style>
  <w:style w:type="character" w:styleId="881" w:customStyle="1">
    <w:name w:val="Нижний колонтитул Знак"/>
    <w:basedOn w:val="877"/>
    <w:link w:val="880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82">
    <w:name w:val="footnote reference"/>
    <w:uiPriority w:val="99"/>
    <w:rPr>
      <w:rFonts w:cs="Times New Roman"/>
      <w:vertAlign w:val="superscript"/>
    </w:rPr>
  </w:style>
  <w:style w:type="paragraph" w:styleId="883">
    <w:name w:val="footnote text"/>
    <w:basedOn w:val="876"/>
    <w:link w:val="884"/>
    <w:uiPriority w:val="99"/>
    <w:pPr>
      <w:spacing w:line="240" w:lineRule="auto"/>
    </w:pPr>
    <w:rPr>
      <w:sz w:val="20"/>
      <w:szCs w:val="20"/>
    </w:rPr>
  </w:style>
  <w:style w:type="character" w:styleId="884" w:customStyle="1">
    <w:name w:val="Текст сноски Знак"/>
    <w:basedOn w:val="877"/>
    <w:link w:val="88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85" w:customStyle="1">
    <w:name w:val="комментарий"/>
    <w:rPr>
      <w:rFonts w:cs="Times New Roman"/>
      <w:b/>
      <w:bCs/>
      <w:i/>
      <w:iCs/>
      <w:shd w:val="clear" w:color="auto" w:fill="auto"/>
    </w:rPr>
  </w:style>
  <w:style w:type="character" w:styleId="886">
    <w:name w:val="Hyperlink"/>
    <w:basedOn w:val="877"/>
    <w:uiPriority w:val="99"/>
    <w:unhideWhenUsed/>
    <w:rPr>
      <w:color w:val="0563c1" w:themeColor="hyperlink"/>
      <w:u w:val="single"/>
    </w:rPr>
  </w:style>
  <w:style w:type="paragraph" w:styleId="887">
    <w:name w:val="Balloon Text"/>
    <w:basedOn w:val="876"/>
    <w:link w:val="888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888" w:customStyle="1">
    <w:name w:val="Текст выноски Знак"/>
    <w:basedOn w:val="877"/>
    <w:link w:val="88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89">
    <w:name w:val="No Spacing"/>
    <w:uiPriority w:val="1"/>
    <w:qFormat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Calibri"/>
    </w:rPr>
  </w:style>
  <w:style w:type="paragraph" w:styleId="890" w:customStyle="1">
    <w:name w:val="[РГ] Текст"/>
    <w:qFormat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Relationship Id="rId12" Type="http://schemas.openxmlformats.org/officeDocument/2006/relationships/hyperlink" Target="http://nbt.rushydro.ru/Planning/Program/View/395014?returnUrl=%2FPlanning%2FProgram%2FIndex_all%3Fnotnull%3DTrue%26page%3D1%26pageSize%3D50%26Filter.Index%3D22123008%26Filter.LotYears%3D2026%26Filter.UserOrganizationType%3D10%26Filter.ExtendedFilterOpened%3DFalse%26Filter.UserOrganizationType%3D10%26Filter.tabIndex%3D0" TargetMode="External"/><Relationship Id="rId13" Type="http://schemas.openxmlformats.org/officeDocument/2006/relationships/hyperlink" Target="https://rmsp.nalog.ru/index.html" TargetMode="External"/><Relationship Id="rId14" Type="http://schemas.openxmlformats.org/officeDocument/2006/relationships/hyperlink" Target="https://npd.nalog.ru/check-status/" TargetMode="External"/><Relationship Id="rId15" Type="http://schemas.openxmlformats.org/officeDocument/2006/relationships/hyperlink" Target="https://rmsp.nalog.ru/index.html" TargetMode="External"/><Relationship Id="rId16" Type="http://schemas.openxmlformats.org/officeDocument/2006/relationships/hyperlink" Target="https://npd.nalog.ru/check-status/" TargetMode="External"/><Relationship Id="rId17" Type="http://schemas.openxmlformats.org/officeDocument/2006/relationships/hyperlink" Target="https://rmsp.nalog.ru/index.html" TargetMode="External"/><Relationship Id="rId18" Type="http://schemas.openxmlformats.org/officeDocument/2006/relationships/hyperlink" Target="https://npd.nalog.ru/check-status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DVGK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Храпатая Юлия Сергеевна</dc:creator>
  <cp:keywords/>
  <dc:description/>
  <cp:lastModifiedBy>khrapataya-ys</cp:lastModifiedBy>
  <cp:revision>22</cp:revision>
  <dcterms:created xsi:type="dcterms:W3CDTF">2020-04-11T08:41:00Z</dcterms:created>
  <dcterms:modified xsi:type="dcterms:W3CDTF">2026-03-18T01:32:20Z</dcterms:modified>
</cp:coreProperties>
</file>