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header13.xml" ContentType="application/vnd.openxmlformats-officedocument.wordprocessingml.header+xml"/>
  <Override PartName="/word/footer10.xml" ContentType="application/vnd.openxmlformats-officedocument.wordprocessingml.footer+xml"/>
  <Override PartName="/word/footer2.xml" ContentType="application/vnd.openxmlformats-officedocument.wordprocessingml.footer+xml"/>
  <Override PartName="/word/header12.xml" ContentType="application/vnd.openxmlformats-officedocument.wordprocessingml.header+xml"/>
  <Override PartName="/word/settings.xml" ContentType="application/vnd.openxmlformats-officedocument.wordprocessingml.settings+xml"/>
  <Override PartName="/word/header9.xml" ContentType="application/vnd.openxmlformats-officedocument.wordprocessingml.header+xml"/>
  <Override PartName="/word/header11.xml" ContentType="application/vnd.openxmlformats-officedocument.wordprocessingml.header+xml"/>
  <Override PartName="/word/header8.xml" ContentType="application/vnd.openxmlformats-officedocument.wordprocessingml.header+xml"/>
  <Override PartName="/word/header10.xml" ContentType="application/vnd.openxmlformats-officedocument.wordprocessingml.header+xml"/>
  <Override PartName="/word/header7.xml" ContentType="application/vnd.openxmlformats-officedocument.wordprocessingml.header+xml"/>
  <Override PartName="/word/header2.xml" ContentType="application/vnd.openxmlformats-officedocument.wordprocessingml.header+xml"/>
  <Override PartName="/word/footer9.xml" ContentType="application/vnd.openxmlformats-officedocument.wordprocessingml.footer+xml"/>
  <Override PartName="/word/footer17.xml" ContentType="application/vnd.openxmlformats-officedocument.wordprocessingml.footer+xml"/>
  <Override PartName="/word/footnotes.xml" ContentType="application/vnd.openxmlformats-officedocument.wordprocessingml.footnotes+xml"/>
  <Override PartName="/word/footer13.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media/image1.wmf" ContentType="image/x-wmf"/>
  <Override PartName="/word/media/image2.wmf" ContentType="image/x-wmf"/>
  <Override PartName="/word/media/image3.wmf" ContentType="image/x-wmf"/>
  <Override PartName="/word/media/image4.png" ContentType="image/png"/>
  <Override PartName="/word/media/image5.wmf" ContentType="image/x-wmf"/>
  <Override PartName="/word/media/image6.wmf" ContentType="image/x-wmf"/>
  <Override PartName="/word/header15.xml" ContentType="application/vnd.openxmlformats-officedocument.wordprocessingml.header+xml"/>
  <Override PartName="/word/header14.xml" ContentType="application/vnd.openxmlformats-officedocument.wordprocessingml.header+xml"/>
  <Override PartName="/word/footer12.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1.xml" ContentType="application/vnd.openxmlformats-officedocument.wordprocessingml.header+xml"/>
  <Override PartName="/word/_rels/document.xml.rels" ContentType="application/vnd.openxmlformats-package.relationships+xml"/>
  <Override PartName="/word/footer8.xml" ContentType="application/vnd.openxmlformats-officedocument.wordprocessingml.footer+xml"/>
  <Override PartName="/word/footer16.xml" ContentType="application/vnd.openxmlformats-officedocument.wordprocessingml.footer+xml"/>
  <Override PartName="/word/fontTable.xml" ContentType="application/vnd.openxmlformats-officedocument.wordprocessingml.fontTable+xml"/>
  <Override PartName="/word/footer14.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3.xml" ContentType="application/vnd.openxmlformats-officedocument.wordprocessingml.footer+xml"/>
  <Override PartName="/word/footer11.xml" ContentType="application/vnd.openxmlformats-officedocument.wordprocessingml.footer+xml"/>
  <Override PartName="/word/document.xml" ContentType="application/vnd.openxmlformats-officedocument.wordprocessingml.document.main+xml"/>
  <Override PartName="/word/header6.xml" ContentType="application/vnd.openxmlformats-officedocument.wordprocessingml.header+xml"/>
  <Override PartName="/word/footer7.xml" ContentType="application/vnd.openxmlformats-officedocument.wordprocessingml.footer+xml"/>
  <Override PartName="/word/footer15.xml" ContentType="application/vnd.openxmlformats-officedocument.wordprocessingml.footer+xml"/>
  <Override PartName="/word/numbering.xml" ContentType="application/vnd.openxmlformats-officedocument.wordprocessingml.numbering+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0"/>
        <w:ind w:hanging="0" w:left="5386" w:right="0"/>
        <w:rPr>
          <w:b/>
          <w:sz w:val="24"/>
          <w:szCs w:val="24"/>
        </w:rPr>
      </w:pPr>
      <w:r>
        <w:rPr>
          <w:b/>
          <w:sz w:val="24"/>
          <w:szCs w:val="24"/>
        </w:rPr>
        <w:t>«УТВЕРЖДАЮ»</w:t>
      </w:r>
    </w:p>
    <w:p>
      <w:pPr>
        <w:pStyle w:val="Normal"/>
        <w:widowControl w:val="false"/>
        <w:spacing w:before="0" w:after="0"/>
        <w:ind w:hanging="0" w:left="5387" w:right="0"/>
        <w:rPr>
          <w:sz w:val="24"/>
          <w:szCs w:val="24"/>
        </w:rPr>
      </w:pPr>
      <w:r>
        <w:rPr>
          <w:sz w:val="24"/>
          <w:szCs w:val="24"/>
        </w:rPr>
        <w:t>Председатель закупочной комиссии 1-го уровня – Заместитель генерального директора по управлению ресурсами АО «ДГК»</w:t>
      </w:r>
    </w:p>
    <w:p>
      <w:pPr>
        <w:pStyle w:val="Normal"/>
        <w:widowControl w:val="false"/>
        <w:spacing w:before="0" w:after="0"/>
        <w:ind w:hanging="0" w:left="5103" w:right="0"/>
        <w:rPr>
          <w:sz w:val="24"/>
          <w:szCs w:val="24"/>
        </w:rPr>
      </w:pPr>
      <w:r>
        <w:rPr>
          <w:sz w:val="24"/>
          <w:szCs w:val="24"/>
        </w:rPr>
      </w:r>
    </w:p>
    <w:p>
      <w:pPr>
        <w:pStyle w:val="Normal"/>
        <w:widowControl w:val="false"/>
        <w:spacing w:before="0" w:after="0"/>
        <w:ind w:firstLine="284" w:left="5103" w:right="0"/>
        <w:rPr>
          <w:sz w:val="24"/>
          <w:szCs w:val="24"/>
        </w:rPr>
      </w:pPr>
      <w:r>
        <w:rPr>
          <w:sz w:val="24"/>
          <w:szCs w:val="24"/>
        </w:rPr>
        <w:t>__________________Д.А. Богонатов</w:t>
      </w:r>
    </w:p>
    <w:p>
      <w:pPr>
        <w:pStyle w:val="Normal"/>
        <w:widowControl w:val="false"/>
        <w:spacing w:lineRule="auto" w:line="276" w:before="0" w:after="0"/>
        <w:ind w:firstLine="5387" w:left="0" w:right="0"/>
        <w:rPr>
          <w:sz w:val="24"/>
          <w:szCs w:val="24"/>
        </w:rPr>
      </w:pPr>
      <w:r>
        <w:rPr>
          <w:sz w:val="24"/>
          <w:szCs w:val="24"/>
        </w:rPr>
        <w:t xml:space="preserve">«___»_______________ 2026 г. </w:t>
      </w:r>
    </w:p>
    <w:p>
      <w:pPr>
        <w:pStyle w:val="Style21"/>
        <w:keepNext w:val="true"/>
        <w:ind w:hanging="0" w:left="4536" w:right="0"/>
        <w:rPr/>
      </w:pPr>
      <w:r>
        <w:rPr/>
      </w:r>
    </w:p>
    <w:p>
      <w:pPr>
        <w:pStyle w:val="Style21"/>
        <w:rPr/>
      </w:pPr>
      <w:r>
        <w:rPr/>
      </w:r>
    </w:p>
    <w:p>
      <w:pPr>
        <w:pStyle w:val="Style21"/>
        <w:rPr/>
      </w:pPr>
      <w:r>
        <w:rPr/>
      </w:r>
    </w:p>
    <w:p>
      <w:pPr>
        <w:pStyle w:val="Style21"/>
        <w:rPr/>
      </w:pPr>
      <w:r>
        <w:rPr/>
      </w:r>
    </w:p>
    <w:p>
      <w:pPr>
        <w:pStyle w:val="Style21"/>
        <w:rPr/>
      </w:pPr>
      <w:r>
        <w:rPr/>
      </w:r>
    </w:p>
    <w:p>
      <w:pPr>
        <w:pStyle w:val="Style21"/>
        <w:rPr/>
      </w:pPr>
      <w:r>
        <w:rPr/>
      </w:r>
    </w:p>
    <w:p>
      <w:pPr>
        <w:pStyle w:val="Style21"/>
        <w:keepNext w:val="true"/>
        <w:numPr>
          <w:ilvl w:val="0"/>
          <w:numId w:val="0"/>
        </w:numPr>
        <w:ind w:hanging="0" w:left="0"/>
        <w:jc w:val="center"/>
        <w:outlineLvl w:val="2"/>
        <w:rPr>
          <w:b/>
          <w:bCs/>
          <w:caps/>
        </w:rPr>
      </w:pPr>
      <w:r>
        <w:rPr>
          <w:b/>
          <w:bCs/>
          <w:caps/>
        </w:rPr>
        <w:t>Документация о закупке</w:t>
      </w:r>
    </w:p>
    <w:p>
      <w:pPr>
        <w:pStyle w:val="Style21"/>
        <w:keepNext w:val="true"/>
        <w:spacing w:before="240" w:after="0"/>
        <w:jc w:val="center"/>
        <w:rPr>
          <w:rStyle w:val="Style3"/>
        </w:rPr>
      </w:pPr>
      <w:r>
        <w:rPr/>
        <w:t>Конкурс в электронной форме,</w:t>
        <w:br/>
        <w:t>участниками которого могут быть только субъекты МСП,</w:t>
        <w:br/>
        <w:t>на право заключения договора на </w:t>
      </w:r>
    </w:p>
    <w:p>
      <w:pPr>
        <w:pStyle w:val="Style21"/>
        <w:spacing w:before="240" w:after="0"/>
        <w:jc w:val="center"/>
        <w:rPr/>
      </w:pPr>
      <w:r>
        <w:rPr>
          <w:rStyle w:val="Style3"/>
          <w:b/>
          <w:bCs/>
          <w:shd w:fill="auto" w:val="clear"/>
        </w:rPr>
        <w:t>ОКПД2 33.19.10.000 Выполнение работ по техническому перевооружение РОУ (редукционно-охладительная установка) Биробиджанской ТЭЦ в рамках инвестиционного проекта F_505-ХТСКб-2.Биробиджанской ТЭЦ г. Биробиджан (ПП: 1.2-ТПиР4-2025-БирТЭЦ) (ИП: F_505-ХТСКб-2)</w:t>
      </w:r>
    </w:p>
    <w:p>
      <w:pPr>
        <w:sectPr>
          <w:footerReference w:type="default" r:id="rId2"/>
          <w:type w:val="nextPage"/>
          <w:pgSz w:w="11906" w:h="16838"/>
          <w:pgMar w:left="1134" w:right="850" w:gutter="0" w:header="0" w:top="851" w:footer="567" w:bottom="851"/>
          <w:pgNumType w:fmt="decimal"/>
          <w:formProt w:val="false"/>
          <w:textDirection w:val="lrTb"/>
          <w:docGrid w:type="default" w:linePitch="360" w:charSpace="0"/>
        </w:sectPr>
        <w:pStyle w:val="Style21"/>
        <w:keepNext w:val="true"/>
        <w:spacing w:before="240" w:after="0"/>
        <w:jc w:val="center"/>
        <w:rPr/>
      </w:pPr>
      <w:r>
        <w:rPr>
          <w:shd w:fill="auto" w:val="clear"/>
        </w:rPr>
        <w:t>(Лот № </w:t>
      </w:r>
      <w:r>
        <w:rPr>
          <w:rStyle w:val="Style3"/>
          <w:shd w:fill="auto" w:val="clear"/>
        </w:rPr>
        <w:t>22133002-ТПИР ОБСЛ-2027-ДГК-БирТЭЦ</w:t>
      </w:r>
      <w:r>
        <w:rPr>
          <w:shd w:fill="auto" w:val="clear"/>
        </w:rPr>
        <w:t>)</w:t>
      </w:r>
    </w:p>
    <w:p>
      <w:pPr>
        <w:pStyle w:val="Style20"/>
        <w:numPr>
          <w:ilvl w:val="0"/>
          <w:numId w:val="0"/>
        </w:numPr>
        <w:ind w:hanging="0" w:left="0"/>
        <w:outlineLvl w:val="2"/>
        <w:rPr/>
      </w:pPr>
      <w:r>
        <w:rPr/>
        <w:t>Содержание</w:t>
      </w:r>
    </w:p>
    <w:sdt>
      <w:sdtPr>
        <w:docPartObj>
          <w:docPartGallery w:val="Table of Contents"/>
          <w:docPartUnique w:val="true"/>
        </w:docPartObj>
      </w:sdtPr>
      <w:sdtContent>
        <w:p>
          <w:pPr>
            <w:pStyle w:val="TOC1"/>
            <w:ind w:hanging="0" w:left="0" w:right="0"/>
            <w:rPr>
              <w:rFonts w:ascii="Calibri" w:hAnsi="Calibri" w:eastAsia="Arial"/>
              <w:b w:val="false"/>
              <w:caps w:val="false"/>
              <w:smallCaps w:val="false"/>
              <w:sz w:val="24"/>
              <w:szCs w:val="24"/>
              <w:lang w:eastAsia="ru-RU"/>
            </w:rPr>
          </w:pPr>
          <w:r>
            <w:fldChar w:fldCharType="begin"/>
          </w:r>
          <w:r>
            <w:rPr>
              <w:rStyle w:val="Style12"/>
            </w:rPr>
            <w:instrText xml:space="preserve"> TOC \t "[РГ] Раздел,1,[РГ] Подраздел,2" \h</w:instrText>
          </w:r>
          <w:r>
            <w:rPr>
              <w:rStyle w:val="Style12"/>
            </w:rPr>
            <w:fldChar w:fldCharType="separate"/>
          </w:r>
          <w:hyperlink w:anchor="_Toc228876833" w:tgtFrame="#_Toc228876833">
            <w:r>
              <w:rPr>
                <w:webHidden/>
              </w:rPr>
              <w:fldChar w:fldCharType="begin"/>
            </w:r>
            <w:r>
              <w:rPr>
                <w:webHidden/>
              </w:rPr>
              <w:instrText xml:space="preserve">PAGEREF _Toc228876833 \h</w:instrText>
            </w:r>
            <w:r>
              <w:rPr>
                <w:webHidden/>
              </w:rPr>
              <w:fldChar w:fldCharType="separate"/>
            </w:r>
            <w:r>
              <w:rPr>
                <w:rStyle w:val="Style12"/>
              </w:rPr>
              <w:t>Сокращения</w:t>
              <w:tab/>
              <w:t>5</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834" w:tgtFrame="#_Toc228876834">
            <w:r>
              <w:rPr>
                <w:webHidden/>
              </w:rPr>
              <w:fldChar w:fldCharType="begin"/>
            </w:r>
            <w:r>
              <w:rPr>
                <w:webHidden/>
              </w:rPr>
              <w:instrText xml:space="preserve">PAGEREF _Toc228876834 \h</w:instrText>
            </w:r>
            <w:r>
              <w:rPr>
                <w:webHidden/>
              </w:rPr>
              <w:fldChar w:fldCharType="separate"/>
            </w:r>
            <w:r>
              <w:rPr>
                <w:rStyle w:val="Style12"/>
              </w:rPr>
              <w:t>Термины и определения</w:t>
              <w:tab/>
              <w:t>7</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835" w:tgtFrame="#_Toc228876835">
            <w:r>
              <w:rPr>
                <w:rStyle w:val="Style12"/>
              </w:rPr>
              <w:t>1.</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_Toc228876835 \h</w:instrText>
            </w:r>
            <w:r>
              <w:rPr>
                <w:webHidden/>
              </w:rPr>
              <w:fldChar w:fldCharType="separate"/>
            </w:r>
            <w:r>
              <w:rPr>
                <w:rStyle w:val="Style12"/>
              </w:rPr>
              <w:t>Основные сведения о закупке</w:t>
              <w:tab/>
              <w:t>11</w:t>
            </w:r>
            <w:r>
              <w:rPr>
                <w:webHidden/>
              </w:rPr>
              <w:fldChar w:fldCharType="end"/>
            </w:r>
          </w:hyperlink>
        </w:p>
        <w:p>
          <w:pPr>
            <w:pStyle w:val="TOC2"/>
            <w:ind w:hanging="0" w:left="0" w:right="0"/>
            <w:rPr>
              <w:rFonts w:ascii="Calibri" w:hAnsi="Calibri" w:eastAsia="Arial"/>
              <w:sz w:val="24"/>
              <w:szCs w:val="24"/>
              <w:lang w:eastAsia="ru-RU"/>
            </w:rPr>
          </w:pPr>
          <w:hyperlink w:anchor="_Toc228876836" w:tgtFrame="#_Toc228876836">
            <w:r>
              <w:rPr>
                <w:rStyle w:val="Style12"/>
              </w:rPr>
              <w:t>1.1</w:t>
            </w:r>
            <w:r>
              <w:rPr>
                <w:rStyle w:val="Style12"/>
                <w:rFonts w:eastAsia="Arial" w:ascii="Calibri" w:hAnsi="Calibri"/>
                <w:sz w:val="24"/>
                <w:szCs w:val="24"/>
                <w:lang w:eastAsia="ru-RU"/>
              </w:rPr>
              <w:tab/>
            </w:r>
            <w:r>
              <w:rPr>
                <w:webHidden/>
              </w:rPr>
              <w:fldChar w:fldCharType="begin"/>
            </w:r>
            <w:r>
              <w:rPr>
                <w:webHidden/>
              </w:rPr>
              <w:instrText xml:space="preserve">PAGEREF _Toc228876836 \h</w:instrText>
            </w:r>
            <w:r>
              <w:rPr>
                <w:webHidden/>
              </w:rPr>
              <w:fldChar w:fldCharType="separate"/>
            </w:r>
            <w:r>
              <w:rPr>
                <w:rStyle w:val="Style12"/>
              </w:rPr>
              <w:t>Статус настоящего раздела</w:t>
              <w:tab/>
              <w:t>11</w:t>
            </w:r>
            <w:r>
              <w:rPr>
                <w:webHidden/>
              </w:rPr>
              <w:fldChar w:fldCharType="end"/>
            </w:r>
          </w:hyperlink>
        </w:p>
        <w:p>
          <w:pPr>
            <w:pStyle w:val="TOC2"/>
            <w:ind w:hanging="0" w:left="0" w:right="0"/>
            <w:rPr>
              <w:rFonts w:ascii="Calibri" w:hAnsi="Calibri" w:eastAsia="Arial"/>
              <w:sz w:val="24"/>
              <w:szCs w:val="24"/>
              <w:lang w:eastAsia="ru-RU"/>
            </w:rPr>
          </w:pPr>
          <w:hyperlink w:anchor="_Toc228876837" w:tgtFrame="#_Toc228876837">
            <w:r>
              <w:rPr>
                <w:rStyle w:val="Style12"/>
              </w:rPr>
              <w:t>1.2</w:t>
            </w:r>
            <w:r>
              <w:rPr>
                <w:rStyle w:val="Style12"/>
                <w:rFonts w:eastAsia="Arial" w:ascii="Calibri" w:hAnsi="Calibri"/>
                <w:sz w:val="24"/>
                <w:szCs w:val="24"/>
                <w:lang w:eastAsia="ru-RU"/>
              </w:rPr>
              <w:tab/>
            </w:r>
            <w:r>
              <w:rPr>
                <w:webHidden/>
              </w:rPr>
              <w:fldChar w:fldCharType="begin"/>
            </w:r>
            <w:r>
              <w:rPr>
                <w:webHidden/>
              </w:rPr>
              <w:instrText xml:space="preserve">PAGEREF _Toc228876837 \h</w:instrText>
            </w:r>
            <w:r>
              <w:rPr>
                <w:webHidden/>
              </w:rPr>
              <w:fldChar w:fldCharType="separate"/>
            </w:r>
            <w:r>
              <w:rPr>
                <w:rStyle w:val="Style12"/>
              </w:rPr>
              <w:t>Информация о проводимой закупке</w:t>
              <w:tab/>
              <w:t>11</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838" w:tgtFrame="#_Toc228876838">
            <w:r>
              <w:rPr>
                <w:rStyle w:val="Style12"/>
              </w:rPr>
              <w:t>2.</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_Toc228876838 \h</w:instrText>
            </w:r>
            <w:r>
              <w:rPr>
                <w:webHidden/>
              </w:rPr>
              <w:fldChar w:fldCharType="separate"/>
            </w:r>
            <w:r>
              <w:rPr>
                <w:rStyle w:val="Style12"/>
              </w:rPr>
              <w:t>Общие положения</w:t>
              <w:tab/>
              <w:t>17</w:t>
            </w:r>
            <w:r>
              <w:rPr>
                <w:webHidden/>
              </w:rPr>
              <w:fldChar w:fldCharType="end"/>
            </w:r>
          </w:hyperlink>
        </w:p>
        <w:p>
          <w:pPr>
            <w:pStyle w:val="TOC2"/>
            <w:ind w:hanging="0" w:left="0" w:right="0"/>
            <w:rPr>
              <w:rFonts w:ascii="Calibri" w:hAnsi="Calibri" w:eastAsia="Arial"/>
              <w:sz w:val="24"/>
              <w:szCs w:val="24"/>
              <w:lang w:eastAsia="ru-RU"/>
            </w:rPr>
          </w:pPr>
          <w:hyperlink w:anchor="_Toc228876839" w:tgtFrame="#_Toc228876839">
            <w:r>
              <w:rPr>
                <w:rStyle w:val="Style12"/>
              </w:rPr>
              <w:t>2.1</w:t>
            </w:r>
            <w:r>
              <w:rPr>
                <w:rStyle w:val="Style12"/>
                <w:rFonts w:eastAsia="Arial" w:ascii="Calibri" w:hAnsi="Calibri"/>
                <w:sz w:val="24"/>
                <w:szCs w:val="24"/>
                <w:lang w:eastAsia="ru-RU"/>
              </w:rPr>
              <w:tab/>
            </w:r>
            <w:r>
              <w:rPr>
                <w:webHidden/>
              </w:rPr>
              <w:fldChar w:fldCharType="begin"/>
            </w:r>
            <w:r>
              <w:rPr>
                <w:webHidden/>
              </w:rPr>
              <w:instrText xml:space="preserve">PAGEREF _Toc228876839 \h</w:instrText>
            </w:r>
            <w:r>
              <w:rPr>
                <w:webHidden/>
              </w:rPr>
              <w:fldChar w:fldCharType="separate"/>
            </w:r>
            <w:r>
              <w:rPr>
                <w:rStyle w:val="Style12"/>
              </w:rPr>
              <w:t>Общие сведения о закупке</w:t>
              <w:tab/>
              <w:t>17</w:t>
            </w:r>
            <w:r>
              <w:rPr>
                <w:webHidden/>
              </w:rPr>
              <w:fldChar w:fldCharType="end"/>
            </w:r>
          </w:hyperlink>
        </w:p>
        <w:p>
          <w:pPr>
            <w:pStyle w:val="TOC2"/>
            <w:ind w:hanging="0" w:left="0" w:right="0"/>
            <w:rPr>
              <w:rFonts w:ascii="Calibri" w:hAnsi="Calibri" w:eastAsia="Arial"/>
              <w:sz w:val="24"/>
              <w:szCs w:val="24"/>
              <w:lang w:eastAsia="ru-RU"/>
            </w:rPr>
          </w:pPr>
          <w:hyperlink w:anchor="_Toc228876840" w:tgtFrame="#_Toc228876840">
            <w:r>
              <w:rPr>
                <w:rStyle w:val="Style12"/>
              </w:rPr>
              <w:t>2.2</w:t>
            </w:r>
            <w:r>
              <w:rPr>
                <w:rStyle w:val="Style12"/>
                <w:rFonts w:eastAsia="Arial" w:ascii="Calibri" w:hAnsi="Calibri"/>
                <w:sz w:val="24"/>
                <w:szCs w:val="24"/>
                <w:lang w:eastAsia="ru-RU"/>
              </w:rPr>
              <w:tab/>
            </w:r>
            <w:r>
              <w:rPr>
                <w:webHidden/>
              </w:rPr>
              <w:fldChar w:fldCharType="begin"/>
            </w:r>
            <w:r>
              <w:rPr>
                <w:webHidden/>
              </w:rPr>
              <w:instrText xml:space="preserve">PAGEREF _Toc228876840 \h</w:instrText>
            </w:r>
            <w:r>
              <w:rPr>
                <w:webHidden/>
              </w:rPr>
              <w:fldChar w:fldCharType="separate"/>
            </w:r>
            <w:r>
              <w:rPr>
                <w:rStyle w:val="Style12"/>
              </w:rPr>
              <w:t>Правовой статус документов</w:t>
              <w:tab/>
              <w:t>17</w:t>
            </w:r>
            <w:r>
              <w:rPr>
                <w:webHidden/>
              </w:rPr>
              <w:fldChar w:fldCharType="end"/>
            </w:r>
          </w:hyperlink>
        </w:p>
        <w:p>
          <w:pPr>
            <w:pStyle w:val="TOC2"/>
            <w:ind w:hanging="0" w:left="0" w:right="0"/>
            <w:rPr>
              <w:rFonts w:ascii="Calibri" w:hAnsi="Calibri" w:eastAsia="Arial"/>
              <w:sz w:val="24"/>
              <w:szCs w:val="24"/>
              <w:lang w:eastAsia="ru-RU"/>
            </w:rPr>
          </w:pPr>
          <w:hyperlink w:anchor="_Toc228876841" w:tgtFrame="#_Toc228876841">
            <w:r>
              <w:rPr>
                <w:rStyle w:val="Style12"/>
              </w:rPr>
              <w:t>2.3</w:t>
            </w:r>
            <w:r>
              <w:rPr>
                <w:rStyle w:val="Style12"/>
                <w:rFonts w:eastAsia="Arial" w:ascii="Calibri" w:hAnsi="Calibri"/>
                <w:sz w:val="24"/>
                <w:szCs w:val="24"/>
                <w:lang w:eastAsia="ru-RU"/>
              </w:rPr>
              <w:tab/>
            </w:r>
            <w:r>
              <w:rPr>
                <w:webHidden/>
              </w:rPr>
              <w:fldChar w:fldCharType="begin"/>
            </w:r>
            <w:r>
              <w:rPr>
                <w:webHidden/>
              </w:rPr>
              <w:instrText xml:space="preserve">PAGEREF _Toc228876841 \h</w:instrText>
            </w:r>
            <w:r>
              <w:rPr>
                <w:webHidden/>
              </w:rPr>
              <w:fldChar w:fldCharType="separate"/>
            </w:r>
            <w:r>
              <w:rPr>
                <w:rStyle w:val="Style12"/>
              </w:rPr>
              <w:t>Обжалование</w:t>
              <w:tab/>
              <w:t>18</w:t>
            </w:r>
            <w:r>
              <w:rPr>
                <w:webHidden/>
              </w:rPr>
              <w:fldChar w:fldCharType="end"/>
            </w:r>
          </w:hyperlink>
        </w:p>
        <w:p>
          <w:pPr>
            <w:pStyle w:val="TOC2"/>
            <w:ind w:hanging="0" w:left="0" w:right="0"/>
            <w:rPr>
              <w:rFonts w:ascii="Calibri" w:hAnsi="Calibri" w:eastAsia="Arial"/>
              <w:sz w:val="24"/>
              <w:szCs w:val="24"/>
              <w:lang w:eastAsia="ru-RU"/>
            </w:rPr>
          </w:pPr>
          <w:hyperlink w:anchor="_Toc228876842" w:tgtFrame="#_Toc228876842">
            <w:r>
              <w:rPr>
                <w:rStyle w:val="Style12"/>
              </w:rPr>
              <w:t>2.4</w:t>
            </w:r>
            <w:r>
              <w:rPr>
                <w:rStyle w:val="Style12"/>
                <w:rFonts w:eastAsia="Arial" w:ascii="Calibri" w:hAnsi="Calibri"/>
                <w:sz w:val="24"/>
                <w:szCs w:val="24"/>
                <w:lang w:eastAsia="ru-RU"/>
              </w:rPr>
              <w:tab/>
            </w:r>
            <w:r>
              <w:rPr>
                <w:webHidden/>
              </w:rPr>
              <w:fldChar w:fldCharType="begin"/>
            </w:r>
            <w:r>
              <w:rPr>
                <w:webHidden/>
              </w:rPr>
              <w:instrText xml:space="preserve">PAGEREF _Toc228876842 \h</w:instrText>
            </w:r>
            <w:r>
              <w:rPr>
                <w:webHidden/>
              </w:rPr>
              <w:fldChar w:fldCharType="separate"/>
            </w:r>
            <w:r>
              <w:rPr>
                <w:rStyle w:val="Style12"/>
              </w:rPr>
              <w:t>Особые положения при проведении закупки с использованием ЭП</w:t>
              <w:tab/>
              <w:t>19</w:t>
            </w:r>
            <w:r>
              <w:rPr>
                <w:webHidden/>
              </w:rPr>
              <w:fldChar w:fldCharType="end"/>
            </w:r>
          </w:hyperlink>
        </w:p>
        <w:p>
          <w:pPr>
            <w:pStyle w:val="TOC2"/>
            <w:ind w:hanging="0" w:left="0" w:right="0"/>
            <w:rPr>
              <w:rFonts w:ascii="Calibri" w:hAnsi="Calibri" w:eastAsia="Arial"/>
              <w:sz w:val="24"/>
              <w:szCs w:val="24"/>
              <w:lang w:eastAsia="ru-RU"/>
            </w:rPr>
          </w:pPr>
          <w:hyperlink w:anchor="_Toc228876843" w:tgtFrame="#_Toc228876843">
            <w:r>
              <w:rPr>
                <w:rStyle w:val="Style12"/>
              </w:rPr>
              <w:t>2.5</w:t>
            </w:r>
            <w:r>
              <w:rPr>
                <w:rStyle w:val="Style12"/>
                <w:rFonts w:eastAsia="Arial" w:ascii="Calibri" w:hAnsi="Calibri"/>
                <w:sz w:val="24"/>
                <w:szCs w:val="24"/>
                <w:lang w:eastAsia="ru-RU"/>
              </w:rPr>
              <w:tab/>
            </w:r>
            <w:r>
              <w:rPr>
                <w:webHidden/>
              </w:rPr>
              <w:fldChar w:fldCharType="begin"/>
            </w:r>
            <w:r>
              <w:rPr>
                <w:webHidden/>
              </w:rPr>
              <w:instrText xml:space="preserve">PAGEREF _Toc228876843 \h</w:instrText>
            </w:r>
            <w:r>
              <w:rPr>
                <w:webHidden/>
              </w:rPr>
              <w:fldChar w:fldCharType="separate"/>
            </w:r>
            <w:r>
              <w:rPr>
                <w:rStyle w:val="Style12"/>
              </w:rPr>
              <w:t>Прочие положения</w:t>
              <w:tab/>
              <w:t>19</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844" w:tgtFrame="#_Toc228876844">
            <w:r>
              <w:rPr>
                <w:rStyle w:val="Style12"/>
              </w:rPr>
              <w:t>3.</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_Toc228876844 \h</w:instrText>
            </w:r>
            <w:r>
              <w:rPr>
                <w:webHidden/>
              </w:rPr>
              <w:fldChar w:fldCharType="separate"/>
            </w:r>
            <w:r>
              <w:rPr>
                <w:rStyle w:val="Style12"/>
              </w:rPr>
              <w:t>Требования к Участникам</w:t>
              <w:tab/>
              <w:t>21</w:t>
            </w:r>
            <w:r>
              <w:rPr>
                <w:webHidden/>
              </w:rPr>
              <w:fldChar w:fldCharType="end"/>
            </w:r>
          </w:hyperlink>
        </w:p>
        <w:p>
          <w:pPr>
            <w:pStyle w:val="TOC2"/>
            <w:ind w:hanging="0" w:left="0" w:right="0"/>
            <w:rPr>
              <w:rFonts w:ascii="Calibri" w:hAnsi="Calibri" w:eastAsia="Arial"/>
              <w:sz w:val="24"/>
              <w:szCs w:val="24"/>
              <w:lang w:eastAsia="ru-RU"/>
            </w:rPr>
          </w:pPr>
          <w:hyperlink w:anchor="_Toc228876845" w:tgtFrame="#_Toc228876845">
            <w:r>
              <w:rPr>
                <w:rStyle w:val="Style12"/>
              </w:rPr>
              <w:t>3.1</w:t>
            </w:r>
            <w:r>
              <w:rPr>
                <w:rStyle w:val="Style12"/>
                <w:rFonts w:eastAsia="Arial" w:ascii="Calibri" w:hAnsi="Calibri"/>
                <w:sz w:val="24"/>
                <w:szCs w:val="24"/>
                <w:lang w:eastAsia="ru-RU"/>
              </w:rPr>
              <w:tab/>
            </w:r>
            <w:r>
              <w:rPr>
                <w:webHidden/>
              </w:rPr>
              <w:fldChar w:fldCharType="begin"/>
            </w:r>
            <w:r>
              <w:rPr>
                <w:webHidden/>
              </w:rPr>
              <w:instrText xml:space="preserve">PAGEREF _Toc228876845 \h</w:instrText>
            </w:r>
            <w:r>
              <w:rPr>
                <w:webHidden/>
              </w:rPr>
              <w:fldChar w:fldCharType="separate"/>
            </w:r>
            <w:r>
              <w:rPr>
                <w:rStyle w:val="Style12"/>
              </w:rPr>
              <w:t>Общие требования к Участникам</w:t>
              <w:tab/>
              <w:t>21</w:t>
            </w:r>
            <w:r>
              <w:rPr>
                <w:webHidden/>
              </w:rPr>
              <w:fldChar w:fldCharType="end"/>
            </w:r>
          </w:hyperlink>
        </w:p>
        <w:p>
          <w:pPr>
            <w:pStyle w:val="TOC2"/>
            <w:ind w:hanging="0" w:left="0" w:right="0"/>
            <w:rPr>
              <w:rFonts w:ascii="Calibri" w:hAnsi="Calibri" w:eastAsia="Arial"/>
              <w:sz w:val="24"/>
              <w:szCs w:val="24"/>
              <w:lang w:eastAsia="ru-RU"/>
            </w:rPr>
          </w:pPr>
          <w:hyperlink w:anchor="_Toc228876846" w:tgtFrame="#_Toc228876846">
            <w:r>
              <w:rPr>
                <w:rStyle w:val="Style12"/>
              </w:rPr>
              <w:t>3.2</w:t>
            </w:r>
            <w:r>
              <w:rPr>
                <w:rStyle w:val="Style12"/>
                <w:rFonts w:eastAsia="Arial" w:ascii="Calibri" w:hAnsi="Calibri"/>
                <w:sz w:val="24"/>
                <w:szCs w:val="24"/>
                <w:lang w:eastAsia="ru-RU"/>
              </w:rPr>
              <w:tab/>
            </w:r>
            <w:r>
              <w:rPr>
                <w:webHidden/>
              </w:rPr>
              <w:fldChar w:fldCharType="begin"/>
            </w:r>
            <w:r>
              <w:rPr>
                <w:webHidden/>
              </w:rPr>
              <w:instrText xml:space="preserve">PAGEREF _Toc228876846 \h</w:instrText>
            </w:r>
            <w:r>
              <w:rPr>
                <w:webHidden/>
              </w:rPr>
              <w:fldChar w:fldCharType="separate"/>
            </w:r>
            <w:r>
              <w:rPr>
                <w:rStyle w:val="Style12"/>
              </w:rPr>
              <w:t>Генеральные подрядчики</w:t>
              <w:tab/>
              <w:t>21</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847" w:tgtFrame="#_Toc228876847">
            <w:r>
              <w:rPr>
                <w:rStyle w:val="Style12"/>
              </w:rPr>
              <w:t>4.</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_Toc228876847 \h</w:instrText>
            </w:r>
            <w:r>
              <w:rPr>
                <w:webHidden/>
              </w:rPr>
              <w:fldChar w:fldCharType="separate"/>
            </w:r>
            <w:r>
              <w:rPr>
                <w:rStyle w:val="Style12"/>
              </w:rPr>
              <w:t>Порядок проведения закупки</w:t>
              <w:tab/>
              <w:t>23</w:t>
            </w:r>
            <w:r>
              <w:rPr>
                <w:webHidden/>
              </w:rPr>
              <w:fldChar w:fldCharType="end"/>
            </w:r>
          </w:hyperlink>
        </w:p>
        <w:p>
          <w:pPr>
            <w:pStyle w:val="TOC2"/>
            <w:ind w:hanging="0" w:left="0" w:right="0"/>
            <w:rPr>
              <w:rFonts w:ascii="Calibri" w:hAnsi="Calibri" w:eastAsia="Arial"/>
              <w:sz w:val="24"/>
              <w:szCs w:val="24"/>
              <w:lang w:eastAsia="ru-RU"/>
            </w:rPr>
          </w:pPr>
          <w:hyperlink w:anchor="_Toc228876848" w:tgtFrame="#_Toc228876848">
            <w:r>
              <w:rPr>
                <w:rStyle w:val="Style12"/>
              </w:rPr>
              <w:t>4.1</w:t>
            </w:r>
            <w:r>
              <w:rPr>
                <w:rStyle w:val="Style12"/>
                <w:rFonts w:eastAsia="Arial" w:ascii="Calibri" w:hAnsi="Calibri"/>
                <w:sz w:val="24"/>
                <w:szCs w:val="24"/>
                <w:lang w:eastAsia="ru-RU"/>
              </w:rPr>
              <w:tab/>
            </w:r>
            <w:r>
              <w:rPr>
                <w:webHidden/>
              </w:rPr>
              <w:fldChar w:fldCharType="begin"/>
            </w:r>
            <w:r>
              <w:rPr>
                <w:webHidden/>
              </w:rPr>
              <w:instrText xml:space="preserve">PAGEREF _Toc228876848 \h</w:instrText>
            </w:r>
            <w:r>
              <w:rPr>
                <w:webHidden/>
              </w:rPr>
              <w:fldChar w:fldCharType="separate"/>
            </w:r>
            <w:r>
              <w:rPr>
                <w:rStyle w:val="Style12"/>
              </w:rPr>
              <w:t>Общий порядок проведения закупки</w:t>
              <w:tab/>
              <w:t>23</w:t>
            </w:r>
            <w:r>
              <w:rPr>
                <w:webHidden/>
              </w:rPr>
              <w:fldChar w:fldCharType="end"/>
            </w:r>
          </w:hyperlink>
        </w:p>
        <w:p>
          <w:pPr>
            <w:pStyle w:val="TOC2"/>
            <w:ind w:hanging="0" w:left="0" w:right="0"/>
            <w:rPr>
              <w:rFonts w:ascii="Calibri" w:hAnsi="Calibri" w:eastAsia="Arial"/>
              <w:sz w:val="24"/>
              <w:szCs w:val="24"/>
              <w:lang w:eastAsia="ru-RU"/>
            </w:rPr>
          </w:pPr>
          <w:hyperlink w:anchor="_Toc228876849" w:tgtFrame="#_Toc228876849">
            <w:r>
              <w:rPr>
                <w:rStyle w:val="Style12"/>
              </w:rPr>
              <w:t>4.2</w:t>
            </w:r>
            <w:r>
              <w:rPr>
                <w:rStyle w:val="Style12"/>
                <w:rFonts w:eastAsia="Arial" w:ascii="Calibri" w:hAnsi="Calibri"/>
                <w:sz w:val="24"/>
                <w:szCs w:val="24"/>
                <w:lang w:eastAsia="ru-RU"/>
              </w:rPr>
              <w:tab/>
            </w:r>
            <w:r>
              <w:rPr>
                <w:webHidden/>
              </w:rPr>
              <w:fldChar w:fldCharType="begin"/>
            </w:r>
            <w:r>
              <w:rPr>
                <w:webHidden/>
              </w:rPr>
              <w:instrText xml:space="preserve">PAGEREF _Toc228876849 \h</w:instrText>
            </w:r>
            <w:r>
              <w:rPr>
                <w:webHidden/>
              </w:rPr>
              <w:fldChar w:fldCharType="separate"/>
            </w:r>
            <w:r>
              <w:rPr>
                <w:rStyle w:val="Style12"/>
              </w:rPr>
              <w:t>Официальное размещение Извещения и Документации о закупке</w:t>
              <w:tab/>
              <w:t>24</w:t>
            </w:r>
            <w:r>
              <w:rPr>
                <w:webHidden/>
              </w:rPr>
              <w:fldChar w:fldCharType="end"/>
            </w:r>
          </w:hyperlink>
        </w:p>
        <w:p>
          <w:pPr>
            <w:pStyle w:val="TOC2"/>
            <w:ind w:hanging="0" w:left="0" w:right="0"/>
            <w:rPr>
              <w:rFonts w:ascii="Calibri" w:hAnsi="Calibri" w:eastAsia="Arial"/>
              <w:sz w:val="24"/>
              <w:szCs w:val="24"/>
              <w:lang w:eastAsia="ru-RU"/>
            </w:rPr>
          </w:pPr>
          <w:hyperlink w:anchor="_Toc228876851" w:tgtFrame="#_Toc228876851">
            <w:r>
              <w:rPr>
                <w:rStyle w:val="Style12"/>
              </w:rPr>
              <w:t>4.3</w:t>
            </w:r>
            <w:r>
              <w:rPr>
                <w:rStyle w:val="Style12"/>
                <w:rFonts w:eastAsia="Arial" w:ascii="Calibri" w:hAnsi="Calibri"/>
                <w:sz w:val="24"/>
                <w:szCs w:val="24"/>
                <w:lang w:eastAsia="ru-RU"/>
              </w:rPr>
              <w:tab/>
            </w:r>
            <w:r>
              <w:rPr>
                <w:webHidden/>
              </w:rPr>
              <w:fldChar w:fldCharType="begin"/>
            </w:r>
            <w:r>
              <w:rPr>
                <w:webHidden/>
              </w:rPr>
              <w:instrText xml:space="preserve">PAGEREF _Toc228876851 \h</w:instrText>
            </w:r>
            <w:r>
              <w:rPr>
                <w:webHidden/>
              </w:rPr>
              <w:fldChar w:fldCharType="separate"/>
            </w:r>
            <w:r>
              <w:rPr>
                <w:rStyle w:val="Style12"/>
              </w:rPr>
              <w:t>Подготовка заявки</w:t>
              <w:tab/>
              <w:t>24</w:t>
            </w:r>
            <w:r>
              <w:rPr>
                <w:webHidden/>
              </w:rPr>
              <w:fldChar w:fldCharType="end"/>
            </w:r>
          </w:hyperlink>
        </w:p>
        <w:p>
          <w:pPr>
            <w:pStyle w:val="TOC2"/>
            <w:ind w:hanging="0" w:left="0" w:right="0"/>
            <w:rPr>
              <w:rFonts w:ascii="Calibri" w:hAnsi="Calibri" w:eastAsia="Arial"/>
              <w:sz w:val="24"/>
              <w:szCs w:val="24"/>
              <w:lang w:eastAsia="ru-RU"/>
            </w:rPr>
          </w:pPr>
          <w:hyperlink w:anchor="_Toc228876852" w:tgtFrame="#_Toc228876852">
            <w:r>
              <w:rPr>
                <w:rStyle w:val="Style12"/>
              </w:rPr>
              <w:t>4.4</w:t>
            </w:r>
            <w:r>
              <w:rPr>
                <w:rStyle w:val="Style12"/>
                <w:rFonts w:eastAsia="Arial" w:ascii="Calibri" w:hAnsi="Calibri"/>
                <w:sz w:val="24"/>
                <w:szCs w:val="24"/>
                <w:lang w:eastAsia="ru-RU"/>
              </w:rPr>
              <w:tab/>
            </w:r>
            <w:r>
              <w:rPr>
                <w:webHidden/>
              </w:rPr>
              <w:fldChar w:fldCharType="begin"/>
            </w:r>
            <w:r>
              <w:rPr>
                <w:webHidden/>
              </w:rPr>
              <w:instrText xml:space="preserve">PAGEREF _Toc228876852 \h</w:instrText>
            </w:r>
            <w:r>
              <w:rPr>
                <w:webHidden/>
              </w:rPr>
              <w:fldChar w:fldCharType="separate"/>
            </w:r>
            <w:r>
              <w:rPr>
                <w:rStyle w:val="Style12"/>
              </w:rPr>
              <w:t>Разъяснение Документации о закупке</w:t>
              <w:tab/>
              <w:t>27</w:t>
            </w:r>
            <w:r>
              <w:rPr>
                <w:webHidden/>
              </w:rPr>
              <w:fldChar w:fldCharType="end"/>
            </w:r>
          </w:hyperlink>
        </w:p>
        <w:p>
          <w:pPr>
            <w:pStyle w:val="TOC2"/>
            <w:ind w:hanging="0" w:left="0" w:right="0"/>
            <w:rPr>
              <w:rFonts w:ascii="Calibri" w:hAnsi="Calibri" w:eastAsia="Arial"/>
              <w:sz w:val="24"/>
              <w:szCs w:val="24"/>
              <w:lang w:eastAsia="ru-RU"/>
            </w:rPr>
          </w:pPr>
          <w:hyperlink w:anchor="_Toc228876853" w:tgtFrame="#_Toc228876853">
            <w:r>
              <w:rPr>
                <w:rStyle w:val="Style12"/>
              </w:rPr>
              <w:t>4.5</w:t>
            </w:r>
            <w:r>
              <w:rPr>
                <w:rStyle w:val="Style12"/>
                <w:rFonts w:eastAsia="Arial" w:ascii="Calibri" w:hAnsi="Calibri"/>
                <w:sz w:val="24"/>
                <w:szCs w:val="24"/>
                <w:lang w:eastAsia="ru-RU"/>
              </w:rPr>
              <w:tab/>
            </w:r>
            <w:r>
              <w:rPr>
                <w:webHidden/>
              </w:rPr>
              <w:fldChar w:fldCharType="begin"/>
            </w:r>
            <w:r>
              <w:rPr>
                <w:webHidden/>
              </w:rPr>
              <w:instrText xml:space="preserve">PAGEREF _Toc228876853 \h</w:instrText>
            </w:r>
            <w:r>
              <w:rPr>
                <w:webHidden/>
              </w:rPr>
              <w:fldChar w:fldCharType="separate"/>
            </w:r>
            <w:r>
              <w:rPr>
                <w:rStyle w:val="Style12"/>
              </w:rPr>
              <w:t>Изменения Извещения и (или) Документации о закупке</w:t>
              <w:tab/>
              <w:t>28</w:t>
            </w:r>
            <w:r>
              <w:rPr>
                <w:webHidden/>
              </w:rPr>
              <w:fldChar w:fldCharType="end"/>
            </w:r>
          </w:hyperlink>
        </w:p>
        <w:p>
          <w:pPr>
            <w:pStyle w:val="TOC2"/>
            <w:ind w:hanging="0" w:left="0" w:right="0"/>
            <w:rPr>
              <w:rFonts w:ascii="Calibri" w:hAnsi="Calibri" w:eastAsia="Arial"/>
              <w:sz w:val="24"/>
              <w:szCs w:val="24"/>
              <w:lang w:eastAsia="ru-RU"/>
            </w:rPr>
          </w:pPr>
          <w:hyperlink w:anchor="_Toc228876854" w:tgtFrame="#_Toc228876854">
            <w:r>
              <w:rPr>
                <w:rStyle w:val="Style12"/>
              </w:rPr>
              <w:t>4.6</w:t>
            </w:r>
            <w:r>
              <w:rPr>
                <w:rStyle w:val="Style12"/>
                <w:rFonts w:eastAsia="Arial" w:ascii="Calibri" w:hAnsi="Calibri"/>
                <w:sz w:val="24"/>
                <w:szCs w:val="24"/>
                <w:lang w:eastAsia="ru-RU"/>
              </w:rPr>
              <w:tab/>
            </w:r>
            <w:r>
              <w:rPr>
                <w:webHidden/>
              </w:rPr>
              <w:fldChar w:fldCharType="begin"/>
            </w:r>
            <w:r>
              <w:rPr>
                <w:webHidden/>
              </w:rPr>
              <w:instrText xml:space="preserve">PAGEREF _Toc228876854 \h</w:instrText>
            </w:r>
            <w:r>
              <w:rPr>
                <w:webHidden/>
              </w:rPr>
              <w:fldChar w:fldCharType="separate"/>
            </w:r>
            <w:r>
              <w:rPr>
                <w:rStyle w:val="Style12"/>
              </w:rPr>
              <w:t>Подача заявок и их прием</w:t>
              <w:tab/>
              <w:t>28</w:t>
            </w:r>
            <w:r>
              <w:rPr>
                <w:webHidden/>
              </w:rPr>
              <w:fldChar w:fldCharType="end"/>
            </w:r>
          </w:hyperlink>
        </w:p>
        <w:p>
          <w:pPr>
            <w:pStyle w:val="TOC2"/>
            <w:ind w:hanging="0" w:left="0" w:right="0"/>
            <w:rPr>
              <w:rFonts w:ascii="Calibri" w:hAnsi="Calibri" w:eastAsia="Arial"/>
              <w:sz w:val="24"/>
              <w:szCs w:val="24"/>
              <w:lang w:eastAsia="ru-RU"/>
            </w:rPr>
          </w:pPr>
          <w:hyperlink w:anchor="_Toc228876855" w:tgtFrame="#_Toc228876855">
            <w:r>
              <w:rPr>
                <w:rStyle w:val="Style12"/>
              </w:rPr>
              <w:t>4.7</w:t>
            </w:r>
            <w:r>
              <w:rPr>
                <w:rStyle w:val="Style12"/>
                <w:rFonts w:eastAsia="Arial" w:ascii="Calibri" w:hAnsi="Calibri"/>
                <w:sz w:val="24"/>
                <w:szCs w:val="24"/>
                <w:lang w:eastAsia="ru-RU"/>
              </w:rPr>
              <w:tab/>
            </w:r>
            <w:r>
              <w:rPr>
                <w:webHidden/>
              </w:rPr>
              <w:fldChar w:fldCharType="begin"/>
            </w:r>
            <w:r>
              <w:rPr>
                <w:webHidden/>
              </w:rPr>
              <w:instrText xml:space="preserve">PAGEREF _Toc228876855 \h</w:instrText>
            </w:r>
            <w:r>
              <w:rPr>
                <w:webHidden/>
              </w:rPr>
              <w:fldChar w:fldCharType="separate"/>
            </w:r>
            <w:r>
              <w:rPr>
                <w:rStyle w:val="Style12"/>
              </w:rPr>
              <w:t>Изменение и отзыв заявок</w:t>
              <w:tab/>
              <w:t>29</w:t>
            </w:r>
            <w:r>
              <w:rPr>
                <w:webHidden/>
              </w:rPr>
              <w:fldChar w:fldCharType="end"/>
            </w:r>
          </w:hyperlink>
        </w:p>
        <w:p>
          <w:pPr>
            <w:pStyle w:val="TOC2"/>
            <w:ind w:hanging="0" w:left="0" w:right="0"/>
            <w:rPr>
              <w:rFonts w:ascii="Calibri" w:hAnsi="Calibri" w:eastAsia="Arial"/>
              <w:sz w:val="24"/>
              <w:szCs w:val="24"/>
              <w:lang w:eastAsia="ru-RU"/>
            </w:rPr>
          </w:pPr>
          <w:hyperlink w:anchor="_Toc228876856" w:tgtFrame="#_Toc228876856">
            <w:r>
              <w:rPr>
                <w:rStyle w:val="Style12"/>
              </w:rPr>
              <w:t>4.8</w:t>
            </w:r>
            <w:r>
              <w:rPr>
                <w:rStyle w:val="Style12"/>
                <w:rFonts w:eastAsia="Arial" w:ascii="Calibri" w:hAnsi="Calibri"/>
                <w:sz w:val="24"/>
                <w:szCs w:val="24"/>
                <w:lang w:eastAsia="ru-RU"/>
              </w:rPr>
              <w:tab/>
            </w:r>
            <w:r>
              <w:rPr>
                <w:webHidden/>
              </w:rPr>
              <w:fldChar w:fldCharType="begin"/>
            </w:r>
            <w:r>
              <w:rPr>
                <w:webHidden/>
              </w:rPr>
              <w:instrText xml:space="preserve">PAGEREF _Toc228876856 \h</w:instrText>
            </w:r>
            <w:r>
              <w:rPr>
                <w:webHidden/>
              </w:rPr>
              <w:fldChar w:fldCharType="separate"/>
            </w:r>
            <w:r>
              <w:rPr>
                <w:rStyle w:val="Style12"/>
              </w:rPr>
              <w:t>Открытие доступа к первым частям заявок</w:t>
              <w:tab/>
              <w:t>29</w:t>
            </w:r>
            <w:r>
              <w:rPr>
                <w:webHidden/>
              </w:rPr>
              <w:fldChar w:fldCharType="end"/>
            </w:r>
          </w:hyperlink>
        </w:p>
        <w:p>
          <w:pPr>
            <w:pStyle w:val="TOC2"/>
            <w:ind w:hanging="0" w:left="0" w:right="0"/>
            <w:rPr>
              <w:rFonts w:ascii="Calibri" w:hAnsi="Calibri" w:eastAsia="Arial"/>
              <w:sz w:val="24"/>
              <w:szCs w:val="24"/>
              <w:lang w:eastAsia="ru-RU"/>
            </w:rPr>
          </w:pPr>
          <w:hyperlink w:anchor="_Toc228876860" w:tgtFrame="#_Toc228876860">
            <w:r>
              <w:rPr>
                <w:rStyle w:val="Style12"/>
              </w:rPr>
              <w:t>4.9</w:t>
            </w:r>
            <w:r>
              <w:rPr>
                <w:rStyle w:val="Style12"/>
                <w:rFonts w:eastAsia="Arial" w:ascii="Calibri" w:hAnsi="Calibri"/>
                <w:sz w:val="24"/>
                <w:szCs w:val="24"/>
                <w:lang w:eastAsia="ru-RU"/>
              </w:rPr>
              <w:tab/>
            </w:r>
            <w:r>
              <w:rPr>
                <w:webHidden/>
              </w:rPr>
              <w:fldChar w:fldCharType="begin"/>
            </w:r>
            <w:r>
              <w:rPr>
                <w:webHidden/>
              </w:rPr>
              <w:instrText xml:space="preserve">PAGEREF _Toc228876860 \h</w:instrText>
            </w:r>
            <w:r>
              <w:rPr>
                <w:webHidden/>
              </w:rPr>
              <w:fldChar w:fldCharType="separate"/>
            </w:r>
            <w:r>
              <w:rPr>
                <w:rStyle w:val="Style12"/>
              </w:rPr>
              <w:t>Рассмотрение первых частей заявок / окончательных предложений (отборочная стадия)</w:t>
              <w:tab/>
              <w:tab/>
              <w:t>30</w:t>
            </w:r>
            <w:r>
              <w:rPr>
                <w:webHidden/>
              </w:rPr>
              <w:fldChar w:fldCharType="end"/>
            </w:r>
          </w:hyperlink>
        </w:p>
        <w:p>
          <w:pPr>
            <w:pStyle w:val="TOC2"/>
            <w:ind w:hanging="0" w:left="0" w:right="0"/>
            <w:rPr>
              <w:rFonts w:ascii="Calibri" w:hAnsi="Calibri" w:eastAsia="Arial"/>
              <w:sz w:val="24"/>
              <w:szCs w:val="24"/>
              <w:lang w:eastAsia="ru-RU"/>
            </w:rPr>
          </w:pPr>
          <w:hyperlink w:anchor="_Toc228876861" w:tgtFrame="#_Toc228876861">
            <w:r>
              <w:rPr>
                <w:rStyle w:val="Style12"/>
              </w:rPr>
              <w:t>4.10</w:t>
            </w:r>
            <w:r>
              <w:rPr>
                <w:rStyle w:val="Style12"/>
                <w:rFonts w:eastAsia="Arial" w:ascii="Calibri" w:hAnsi="Calibri"/>
                <w:sz w:val="24"/>
                <w:szCs w:val="24"/>
                <w:lang w:eastAsia="ru-RU"/>
              </w:rPr>
              <w:tab/>
            </w:r>
            <w:r>
              <w:rPr>
                <w:webHidden/>
              </w:rPr>
              <w:fldChar w:fldCharType="begin"/>
            </w:r>
            <w:r>
              <w:rPr>
                <w:webHidden/>
              </w:rPr>
              <w:instrText xml:space="preserve">PAGEREF _Toc228876861 \h</w:instrText>
            </w:r>
            <w:r>
              <w:rPr>
                <w:webHidden/>
              </w:rPr>
              <w:fldChar w:fldCharType="separate"/>
            </w:r>
            <w:r>
              <w:rPr>
                <w:rStyle w:val="Style12"/>
              </w:rPr>
              <w:t>Открытие доступа ко вторым частям заявок и ценовым предложениям</w:t>
              <w:tab/>
              <w:t>31</w:t>
            </w:r>
            <w:r>
              <w:rPr>
                <w:webHidden/>
              </w:rPr>
              <w:fldChar w:fldCharType="end"/>
            </w:r>
          </w:hyperlink>
        </w:p>
        <w:p>
          <w:pPr>
            <w:pStyle w:val="TOC2"/>
            <w:ind w:hanging="0" w:left="0" w:right="0"/>
            <w:rPr>
              <w:rFonts w:ascii="Calibri" w:hAnsi="Calibri" w:eastAsia="Arial"/>
              <w:sz w:val="24"/>
              <w:szCs w:val="24"/>
              <w:lang w:eastAsia="ru-RU"/>
            </w:rPr>
          </w:pPr>
          <w:hyperlink w:anchor="_Toc228876862" w:tgtFrame="#_Toc228876862">
            <w:r>
              <w:rPr>
                <w:rStyle w:val="Style12"/>
              </w:rPr>
              <w:t>4.11</w:t>
            </w:r>
            <w:r>
              <w:rPr>
                <w:rStyle w:val="Style12"/>
                <w:rFonts w:eastAsia="Arial" w:ascii="Calibri" w:hAnsi="Calibri"/>
                <w:sz w:val="24"/>
                <w:szCs w:val="24"/>
                <w:lang w:eastAsia="ru-RU"/>
              </w:rPr>
              <w:tab/>
            </w:r>
            <w:r>
              <w:rPr>
                <w:webHidden/>
              </w:rPr>
              <w:fldChar w:fldCharType="begin"/>
            </w:r>
            <w:r>
              <w:rPr>
                <w:webHidden/>
              </w:rPr>
              <w:instrText xml:space="preserve">PAGEREF _Toc228876862 \h</w:instrText>
            </w:r>
            <w:r>
              <w:rPr>
                <w:webHidden/>
              </w:rPr>
              <w:fldChar w:fldCharType="separate"/>
            </w:r>
            <w:r>
              <w:rPr>
                <w:rStyle w:val="Style12"/>
              </w:rPr>
              <w:t>Рассмотрение вторых частей заявок (отборочная стадия), в том числе (при необходимости) проведение аккредитации, и ценовых предложений</w:t>
              <w:tab/>
              <w:t>31</w:t>
            </w:r>
            <w:r>
              <w:rPr>
                <w:webHidden/>
              </w:rPr>
              <w:fldChar w:fldCharType="end"/>
            </w:r>
          </w:hyperlink>
        </w:p>
        <w:p>
          <w:pPr>
            <w:pStyle w:val="TOC2"/>
            <w:ind w:hanging="0" w:left="0" w:right="0"/>
            <w:rPr>
              <w:rFonts w:ascii="Calibri" w:hAnsi="Calibri" w:eastAsia="Arial"/>
              <w:sz w:val="24"/>
              <w:szCs w:val="24"/>
              <w:lang w:eastAsia="ru-RU"/>
            </w:rPr>
          </w:pPr>
          <w:hyperlink w:anchor="_Toc228876863" w:tgtFrame="#_Toc228876863">
            <w:r>
              <w:rPr>
                <w:rStyle w:val="Style12"/>
              </w:rPr>
              <w:t>4.12</w:t>
            </w:r>
            <w:r>
              <w:rPr>
                <w:rStyle w:val="Style12"/>
                <w:rFonts w:eastAsia="Arial" w:ascii="Calibri" w:hAnsi="Calibri"/>
                <w:sz w:val="24"/>
                <w:szCs w:val="24"/>
                <w:lang w:eastAsia="ru-RU"/>
              </w:rPr>
              <w:tab/>
            </w:r>
            <w:r>
              <w:rPr>
                <w:webHidden/>
              </w:rPr>
              <w:fldChar w:fldCharType="begin"/>
            </w:r>
            <w:r>
              <w:rPr>
                <w:webHidden/>
              </w:rPr>
              <w:instrText xml:space="preserve">PAGEREF _Toc228876863 \h</w:instrText>
            </w:r>
            <w:r>
              <w:rPr>
                <w:webHidden/>
              </w:rPr>
              <w:fldChar w:fldCharType="separate"/>
            </w:r>
            <w:r>
              <w:rPr>
                <w:rStyle w:val="Style12"/>
              </w:rPr>
              <w:t>Дополнительные запросы разъяснений заявок</w:t>
              <w:tab/>
              <w:t>33</w:t>
            </w:r>
            <w:r>
              <w:rPr>
                <w:webHidden/>
              </w:rPr>
              <w:fldChar w:fldCharType="end"/>
            </w:r>
          </w:hyperlink>
        </w:p>
        <w:p>
          <w:pPr>
            <w:pStyle w:val="TOC2"/>
            <w:ind w:hanging="0" w:left="0" w:right="0"/>
            <w:rPr>
              <w:rFonts w:ascii="Calibri" w:hAnsi="Calibri" w:eastAsia="Arial"/>
              <w:sz w:val="24"/>
              <w:szCs w:val="24"/>
              <w:lang w:eastAsia="ru-RU"/>
            </w:rPr>
          </w:pPr>
          <w:hyperlink w:anchor="_Toc228876866" w:tgtFrame="#_Toc228876866">
            <w:r>
              <w:rPr>
                <w:rStyle w:val="Style12"/>
              </w:rPr>
              <w:t>4.13</w:t>
            </w:r>
            <w:r>
              <w:rPr>
                <w:rStyle w:val="Style12"/>
                <w:rFonts w:eastAsia="Arial" w:ascii="Calibri" w:hAnsi="Calibri"/>
                <w:sz w:val="24"/>
                <w:szCs w:val="24"/>
                <w:lang w:eastAsia="ru-RU"/>
              </w:rPr>
              <w:tab/>
            </w:r>
            <w:r>
              <w:rPr>
                <w:webHidden/>
              </w:rPr>
              <w:fldChar w:fldCharType="begin"/>
            </w:r>
            <w:r>
              <w:rPr>
                <w:webHidden/>
              </w:rPr>
              <w:instrText xml:space="preserve">PAGEREF _Toc228876866 \h</w:instrText>
            </w:r>
            <w:r>
              <w:rPr>
                <w:webHidden/>
              </w:rPr>
              <w:fldChar w:fldCharType="separate"/>
            </w:r>
            <w:r>
              <w:rPr>
                <w:rStyle w:val="Style12"/>
              </w:rPr>
              <w:t>Оценка и сопоставление заявок</w:t>
              <w:tab/>
              <w:t>34</w:t>
            </w:r>
            <w:r>
              <w:rPr>
                <w:webHidden/>
              </w:rPr>
              <w:fldChar w:fldCharType="end"/>
            </w:r>
          </w:hyperlink>
        </w:p>
        <w:p>
          <w:pPr>
            <w:pStyle w:val="TOC2"/>
            <w:ind w:hanging="0" w:left="0" w:right="0"/>
            <w:rPr>
              <w:rFonts w:ascii="Calibri" w:hAnsi="Calibri" w:eastAsia="Arial"/>
              <w:sz w:val="24"/>
              <w:szCs w:val="24"/>
              <w:lang w:eastAsia="ru-RU"/>
            </w:rPr>
          </w:pPr>
          <w:hyperlink w:anchor="_Toc228876867" w:tgtFrame="#_Toc228876867">
            <w:r>
              <w:rPr>
                <w:rStyle w:val="Style12"/>
              </w:rPr>
              <w:t>4.14</w:t>
            </w:r>
            <w:r>
              <w:rPr>
                <w:rStyle w:val="Style12"/>
                <w:rFonts w:eastAsia="Arial" w:ascii="Calibri" w:hAnsi="Calibri"/>
                <w:sz w:val="24"/>
                <w:szCs w:val="24"/>
                <w:lang w:eastAsia="ru-RU"/>
              </w:rPr>
              <w:tab/>
            </w:r>
            <w:r>
              <w:rPr>
                <w:webHidden/>
              </w:rPr>
              <w:fldChar w:fldCharType="begin"/>
            </w:r>
            <w:r>
              <w:rPr>
                <w:webHidden/>
              </w:rPr>
              <w:instrText xml:space="preserve">PAGEREF _Toc228876867 \h</w:instrText>
            </w:r>
            <w:r>
              <w:rPr>
                <w:webHidden/>
              </w:rPr>
              <w:fldChar w:fldCharType="separate"/>
            </w:r>
            <w:r>
              <w:rPr>
                <w:rStyle w:val="Style12"/>
              </w:rPr>
              <w:t>Применение законодательства о национальном режиме</w:t>
              <w:tab/>
              <w:t>35</w:t>
            </w:r>
            <w:r>
              <w:rPr>
                <w:webHidden/>
              </w:rPr>
              <w:fldChar w:fldCharType="end"/>
            </w:r>
          </w:hyperlink>
        </w:p>
        <w:p>
          <w:pPr>
            <w:pStyle w:val="TOC2"/>
            <w:ind w:hanging="0" w:left="0" w:right="0"/>
            <w:rPr>
              <w:rFonts w:ascii="Calibri" w:hAnsi="Calibri" w:eastAsia="Arial"/>
              <w:sz w:val="24"/>
              <w:szCs w:val="24"/>
              <w:lang w:eastAsia="ru-RU"/>
            </w:rPr>
          </w:pPr>
          <w:hyperlink w:anchor="_Toc228876869" w:tgtFrame="#_Toc228876869">
            <w:r>
              <w:rPr>
                <w:rStyle w:val="Style12"/>
              </w:rPr>
              <w:t>4.15</w:t>
            </w:r>
            <w:r>
              <w:rPr>
                <w:rStyle w:val="Style12"/>
                <w:rFonts w:eastAsia="Arial" w:ascii="Calibri" w:hAnsi="Calibri"/>
                <w:sz w:val="24"/>
                <w:szCs w:val="24"/>
                <w:lang w:eastAsia="ru-RU"/>
              </w:rPr>
              <w:tab/>
            </w:r>
            <w:r>
              <w:rPr>
                <w:webHidden/>
              </w:rPr>
              <w:fldChar w:fldCharType="begin"/>
            </w:r>
            <w:r>
              <w:rPr>
                <w:webHidden/>
              </w:rPr>
              <w:instrText xml:space="preserve">PAGEREF _Toc228876869 \h</w:instrText>
            </w:r>
            <w:r>
              <w:rPr>
                <w:webHidden/>
              </w:rPr>
              <w:fldChar w:fldCharType="separate"/>
            </w:r>
            <w:r>
              <w:rPr>
                <w:rStyle w:val="Style12"/>
              </w:rPr>
              <w:t>Подведение итогов закупки (определение Победителя)</w:t>
              <w:tab/>
              <w:t>37</w:t>
            </w:r>
            <w:r>
              <w:rPr>
                <w:webHidden/>
              </w:rPr>
              <w:fldChar w:fldCharType="end"/>
            </w:r>
          </w:hyperlink>
        </w:p>
        <w:p>
          <w:pPr>
            <w:pStyle w:val="TOC2"/>
            <w:ind w:hanging="0" w:left="0" w:right="0"/>
            <w:rPr>
              <w:rFonts w:ascii="Calibri" w:hAnsi="Calibri" w:eastAsia="Arial"/>
              <w:sz w:val="24"/>
              <w:szCs w:val="24"/>
              <w:lang w:eastAsia="ru-RU"/>
            </w:rPr>
          </w:pPr>
          <w:hyperlink w:anchor="_Toc228876870" w:tgtFrame="#_Toc228876870">
            <w:r>
              <w:rPr>
                <w:rStyle w:val="Style12"/>
              </w:rPr>
              <w:t>4.16</w:t>
            </w:r>
            <w:r>
              <w:rPr>
                <w:rStyle w:val="Style12"/>
                <w:rFonts w:eastAsia="Arial" w:ascii="Calibri" w:hAnsi="Calibri"/>
                <w:sz w:val="24"/>
                <w:szCs w:val="24"/>
                <w:lang w:eastAsia="ru-RU"/>
              </w:rPr>
              <w:tab/>
            </w:r>
            <w:r>
              <w:rPr>
                <w:webHidden/>
              </w:rPr>
              <w:fldChar w:fldCharType="begin"/>
            </w:r>
            <w:r>
              <w:rPr>
                <w:webHidden/>
              </w:rPr>
              <w:instrText xml:space="preserve">PAGEREF _Toc228876870 \h</w:instrText>
            </w:r>
            <w:r>
              <w:rPr>
                <w:webHidden/>
              </w:rPr>
              <w:fldChar w:fldCharType="separate"/>
            </w:r>
            <w:r>
              <w:rPr>
                <w:rStyle w:val="Style12"/>
              </w:rPr>
              <w:t>Признание закупки несостоявшейся</w:t>
              <w:tab/>
              <w:t>39</w:t>
            </w:r>
            <w:r>
              <w:rPr>
                <w:webHidden/>
              </w:rPr>
              <w:fldChar w:fldCharType="end"/>
            </w:r>
          </w:hyperlink>
        </w:p>
        <w:p>
          <w:pPr>
            <w:pStyle w:val="TOC2"/>
            <w:ind w:hanging="0" w:left="0" w:right="0"/>
            <w:rPr>
              <w:rFonts w:ascii="Calibri" w:hAnsi="Calibri" w:eastAsia="Arial"/>
              <w:sz w:val="24"/>
              <w:szCs w:val="24"/>
              <w:lang w:eastAsia="ru-RU"/>
            </w:rPr>
          </w:pPr>
          <w:hyperlink w:anchor="_Toc228876871" w:tgtFrame="#_Toc228876871">
            <w:r>
              <w:rPr>
                <w:rStyle w:val="Style12"/>
              </w:rPr>
              <w:t>4.17</w:t>
            </w:r>
            <w:r>
              <w:rPr>
                <w:rStyle w:val="Style12"/>
                <w:rFonts w:eastAsia="Arial" w:ascii="Calibri" w:hAnsi="Calibri"/>
                <w:sz w:val="24"/>
                <w:szCs w:val="24"/>
                <w:lang w:eastAsia="ru-RU"/>
              </w:rPr>
              <w:tab/>
            </w:r>
            <w:r>
              <w:rPr>
                <w:webHidden/>
              </w:rPr>
              <w:fldChar w:fldCharType="begin"/>
            </w:r>
            <w:r>
              <w:rPr>
                <w:webHidden/>
              </w:rPr>
              <w:instrText xml:space="preserve">PAGEREF _Toc228876871 \h</w:instrText>
            </w:r>
            <w:r>
              <w:rPr>
                <w:webHidden/>
              </w:rPr>
              <w:fldChar w:fldCharType="separate"/>
            </w:r>
            <w:r>
              <w:rPr>
                <w:rStyle w:val="Style12"/>
              </w:rPr>
              <w:t>Отказ от проведения закупки (отмена закупки)</w:t>
              <w:tab/>
              <w:t>41</w:t>
            </w:r>
            <w:r>
              <w:rPr>
                <w:webHidden/>
              </w:rPr>
              <w:fldChar w:fldCharType="end"/>
            </w:r>
          </w:hyperlink>
        </w:p>
        <w:p>
          <w:pPr>
            <w:pStyle w:val="TOC2"/>
            <w:ind w:hanging="0" w:left="0" w:right="0"/>
            <w:rPr>
              <w:rFonts w:ascii="Calibri" w:hAnsi="Calibri" w:eastAsia="Arial"/>
              <w:sz w:val="24"/>
              <w:szCs w:val="24"/>
              <w:lang w:eastAsia="ru-RU"/>
            </w:rPr>
          </w:pPr>
          <w:hyperlink w:anchor="_Toc228876872" w:tgtFrame="#_Toc228876872">
            <w:r>
              <w:rPr>
                <w:rStyle w:val="Style12"/>
              </w:rPr>
              <w:t>4.18</w:t>
            </w:r>
            <w:r>
              <w:rPr>
                <w:rStyle w:val="Style12"/>
                <w:rFonts w:eastAsia="Arial" w:ascii="Calibri" w:hAnsi="Calibri"/>
                <w:sz w:val="24"/>
                <w:szCs w:val="24"/>
                <w:lang w:eastAsia="ru-RU"/>
              </w:rPr>
              <w:tab/>
            </w:r>
            <w:r>
              <w:rPr>
                <w:webHidden/>
              </w:rPr>
              <w:fldChar w:fldCharType="begin"/>
            </w:r>
            <w:r>
              <w:rPr>
                <w:webHidden/>
              </w:rPr>
              <w:instrText xml:space="preserve">PAGEREF _Toc228876872 \h</w:instrText>
            </w:r>
            <w:r>
              <w:rPr>
                <w:webHidden/>
              </w:rPr>
              <w:fldChar w:fldCharType="separate"/>
            </w:r>
            <w:r>
              <w:rPr>
                <w:rStyle w:val="Style12"/>
              </w:rPr>
              <w:t>Особенности проведения закупки с необходимостью обеспечения заявки</w:t>
              <w:tab/>
              <w:t>41</w:t>
            </w:r>
            <w:r>
              <w:rPr>
                <w:webHidden/>
              </w:rPr>
              <w:fldChar w:fldCharType="end"/>
            </w:r>
          </w:hyperlink>
        </w:p>
        <w:p>
          <w:pPr>
            <w:pStyle w:val="TOC2"/>
            <w:ind w:hanging="0" w:left="0" w:right="0"/>
            <w:rPr>
              <w:rFonts w:ascii="Calibri" w:hAnsi="Calibri" w:eastAsia="Arial"/>
              <w:sz w:val="24"/>
              <w:szCs w:val="24"/>
              <w:lang w:eastAsia="ru-RU"/>
            </w:rPr>
          </w:pPr>
          <w:hyperlink w:anchor="_Toc228876873" w:tgtFrame="#_Toc228876873">
            <w:r>
              <w:rPr>
                <w:rStyle w:val="Style12"/>
              </w:rPr>
              <w:t>4.19</w:t>
            </w:r>
            <w:r>
              <w:rPr>
                <w:rStyle w:val="Style12"/>
                <w:rFonts w:eastAsia="Arial" w:ascii="Calibri" w:hAnsi="Calibri"/>
                <w:sz w:val="24"/>
                <w:szCs w:val="24"/>
                <w:lang w:eastAsia="ru-RU"/>
              </w:rPr>
              <w:tab/>
            </w:r>
            <w:r>
              <w:rPr>
                <w:webHidden/>
              </w:rPr>
              <w:fldChar w:fldCharType="begin"/>
            </w:r>
            <w:r>
              <w:rPr>
                <w:webHidden/>
              </w:rPr>
              <w:instrText xml:space="preserve">PAGEREF _Toc228876873 \h</w:instrText>
            </w:r>
            <w:r>
              <w:rPr>
                <w:webHidden/>
              </w:rPr>
              <w:fldChar w:fldCharType="separate"/>
            </w:r>
            <w:r>
              <w:rPr>
                <w:rStyle w:val="Style12"/>
              </w:rPr>
              <w:t>Особенности проведения многолотовой закупки</w:t>
              <w:tab/>
              <w:t>44</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875" w:tgtFrame="#_Toc228876875">
            <w:r>
              <w:rPr>
                <w:rStyle w:val="Style12"/>
              </w:rPr>
              <w:t>5.</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_Toc228876875 \h</w:instrText>
            </w:r>
            <w:r>
              <w:rPr>
                <w:webHidden/>
              </w:rPr>
              <w:fldChar w:fldCharType="separate"/>
            </w:r>
            <w:r>
              <w:rPr>
                <w:rStyle w:val="Style12"/>
              </w:rPr>
              <w:t>Порядок заключения Договора</w:t>
              <w:tab/>
              <w:t>46</w:t>
            </w:r>
            <w:r>
              <w:rPr>
                <w:webHidden/>
              </w:rPr>
              <w:fldChar w:fldCharType="end"/>
            </w:r>
          </w:hyperlink>
        </w:p>
        <w:p>
          <w:pPr>
            <w:pStyle w:val="TOC2"/>
            <w:ind w:hanging="0" w:left="0" w:right="0"/>
            <w:rPr>
              <w:rFonts w:ascii="Calibri" w:hAnsi="Calibri" w:eastAsia="Arial"/>
              <w:sz w:val="24"/>
              <w:szCs w:val="24"/>
              <w:lang w:eastAsia="ru-RU"/>
            </w:rPr>
          </w:pPr>
          <w:hyperlink w:anchor="_Toc228876876" w:tgtFrame="#_Toc228876876">
            <w:r>
              <w:rPr>
                <w:rStyle w:val="Style12"/>
              </w:rPr>
              <w:t>5.1</w:t>
            </w:r>
            <w:r>
              <w:rPr>
                <w:rStyle w:val="Style12"/>
                <w:rFonts w:eastAsia="Arial" w:ascii="Calibri" w:hAnsi="Calibri"/>
                <w:sz w:val="24"/>
                <w:szCs w:val="24"/>
                <w:lang w:eastAsia="ru-RU"/>
              </w:rPr>
              <w:tab/>
            </w:r>
            <w:r>
              <w:rPr>
                <w:webHidden/>
              </w:rPr>
              <w:fldChar w:fldCharType="begin"/>
            </w:r>
            <w:r>
              <w:rPr>
                <w:webHidden/>
              </w:rPr>
              <w:instrText xml:space="preserve">PAGEREF _Toc228876876 \h</w:instrText>
            </w:r>
            <w:r>
              <w:rPr>
                <w:webHidden/>
              </w:rPr>
              <w:fldChar w:fldCharType="separate"/>
            </w:r>
            <w:r>
              <w:rPr>
                <w:rStyle w:val="Style12"/>
              </w:rPr>
              <w:t>Общие положения</w:t>
              <w:tab/>
              <w:t>46</w:t>
            </w:r>
            <w:r>
              <w:rPr>
                <w:webHidden/>
              </w:rPr>
              <w:fldChar w:fldCharType="end"/>
            </w:r>
          </w:hyperlink>
        </w:p>
        <w:p>
          <w:pPr>
            <w:pStyle w:val="TOC2"/>
            <w:ind w:hanging="0" w:left="0" w:right="0"/>
            <w:rPr>
              <w:rFonts w:ascii="Calibri" w:hAnsi="Calibri" w:eastAsia="Arial"/>
              <w:sz w:val="24"/>
              <w:szCs w:val="24"/>
              <w:lang w:eastAsia="ru-RU"/>
            </w:rPr>
          </w:pPr>
          <w:hyperlink w:anchor="_Toc228876877" w:tgtFrame="#_Toc228876877">
            <w:r>
              <w:rPr>
                <w:rStyle w:val="Style12"/>
              </w:rPr>
              <w:t>5.2</w:t>
            </w:r>
            <w:r>
              <w:rPr>
                <w:rStyle w:val="Style12"/>
                <w:rFonts w:eastAsia="Arial" w:ascii="Calibri" w:hAnsi="Calibri"/>
                <w:sz w:val="24"/>
                <w:szCs w:val="24"/>
                <w:lang w:eastAsia="ru-RU"/>
              </w:rPr>
              <w:tab/>
            </w:r>
            <w:r>
              <w:rPr>
                <w:webHidden/>
              </w:rPr>
              <w:fldChar w:fldCharType="begin"/>
            </w:r>
            <w:r>
              <w:rPr>
                <w:webHidden/>
              </w:rPr>
              <w:instrText xml:space="preserve">PAGEREF _Toc228876877 \h</w:instrText>
            </w:r>
            <w:r>
              <w:rPr>
                <w:webHidden/>
              </w:rPr>
              <w:fldChar w:fldCharType="separate"/>
            </w:r>
            <w:r>
              <w:rPr>
                <w:rStyle w:val="Style12"/>
              </w:rPr>
              <w:t>Заключение Договора</w:t>
              <w:tab/>
              <w:t>46</w:t>
            </w:r>
            <w:r>
              <w:rPr>
                <w:webHidden/>
              </w:rPr>
              <w:fldChar w:fldCharType="end"/>
            </w:r>
          </w:hyperlink>
        </w:p>
        <w:p>
          <w:pPr>
            <w:pStyle w:val="TOC2"/>
            <w:ind w:hanging="0" w:left="0" w:right="0"/>
            <w:rPr>
              <w:rFonts w:ascii="Calibri" w:hAnsi="Calibri" w:eastAsia="Arial"/>
              <w:sz w:val="24"/>
              <w:szCs w:val="24"/>
              <w:lang w:eastAsia="ru-RU"/>
            </w:rPr>
          </w:pPr>
          <w:hyperlink w:anchor="_Toc228876878" w:tgtFrame="#_Toc228876878">
            <w:r>
              <w:rPr>
                <w:rStyle w:val="Style12"/>
              </w:rPr>
              <w:t>5.3</w:t>
            </w:r>
            <w:r>
              <w:rPr>
                <w:rStyle w:val="Style12"/>
                <w:rFonts w:eastAsia="Arial" w:ascii="Calibri" w:hAnsi="Calibri"/>
                <w:sz w:val="24"/>
                <w:szCs w:val="24"/>
                <w:lang w:eastAsia="ru-RU"/>
              </w:rPr>
              <w:tab/>
            </w:r>
            <w:r>
              <w:rPr>
                <w:webHidden/>
              </w:rPr>
              <w:fldChar w:fldCharType="begin"/>
            </w:r>
            <w:r>
              <w:rPr>
                <w:webHidden/>
              </w:rPr>
              <w:instrText xml:space="preserve">PAGEREF _Toc228876878 \h</w:instrText>
            </w:r>
            <w:r>
              <w:rPr>
                <w:webHidden/>
              </w:rPr>
              <w:fldChar w:fldCharType="separate"/>
            </w:r>
            <w:r>
              <w:rPr>
                <w:rStyle w:val="Style12"/>
              </w:rPr>
              <w:t>Уклонение Победителя от заключения Договора</w:t>
              <w:tab/>
              <w:t>48</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879" w:tgtFrame="#_Toc228876879">
            <w:r>
              <w:rPr>
                <w:rStyle w:val="Style12"/>
              </w:rPr>
              <w:t>6.</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_Toc228876879 \h</w:instrText>
            </w:r>
            <w:r>
              <w:rPr>
                <w:webHidden/>
              </w:rPr>
              <w:fldChar w:fldCharType="separate"/>
            </w:r>
            <w:r>
              <w:rPr>
                <w:rStyle w:val="Style12"/>
              </w:rPr>
              <w:t>Приложение № 1 – Технические требования</w:t>
              <w:tab/>
              <w:t>50</w:t>
            </w:r>
            <w:r>
              <w:rPr>
                <w:webHidden/>
              </w:rPr>
              <w:fldChar w:fldCharType="end"/>
            </w:r>
          </w:hyperlink>
        </w:p>
        <w:p>
          <w:pPr>
            <w:pStyle w:val="TOC2"/>
            <w:ind w:hanging="0" w:left="0" w:right="0"/>
            <w:rPr>
              <w:rFonts w:ascii="Calibri" w:hAnsi="Calibri" w:eastAsia="Arial"/>
              <w:sz w:val="24"/>
              <w:szCs w:val="24"/>
              <w:lang w:eastAsia="ru-RU"/>
            </w:rPr>
          </w:pPr>
          <w:hyperlink w:anchor="_Toc228876880" w:tgtFrame="#_Toc228876880">
            <w:r>
              <w:rPr>
                <w:rStyle w:val="Style12"/>
              </w:rPr>
              <w:t>6.1</w:t>
            </w:r>
            <w:r>
              <w:rPr>
                <w:rStyle w:val="Style12"/>
                <w:rFonts w:eastAsia="Arial" w:ascii="Calibri" w:hAnsi="Calibri"/>
                <w:sz w:val="24"/>
                <w:szCs w:val="24"/>
                <w:lang w:eastAsia="ru-RU"/>
              </w:rPr>
              <w:tab/>
            </w:r>
            <w:r>
              <w:rPr>
                <w:webHidden/>
              </w:rPr>
              <w:fldChar w:fldCharType="begin"/>
            </w:r>
            <w:r>
              <w:rPr>
                <w:webHidden/>
              </w:rPr>
              <w:instrText xml:space="preserve">PAGEREF _Toc228876880 \h</w:instrText>
            </w:r>
            <w:r>
              <w:rPr>
                <w:webHidden/>
              </w:rPr>
              <w:fldChar w:fldCharType="separate"/>
            </w:r>
            <w:r>
              <w:rPr>
                <w:rStyle w:val="Style12"/>
              </w:rPr>
              <w:t>Пояснения к Техническим требованиям</w:t>
              <w:tab/>
              <w:t>50</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881" w:tgtFrame="#_Toc228876881">
            <w:r>
              <w:rPr>
                <w:rStyle w:val="Style12"/>
              </w:rPr>
              <w:t>7.</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_Toc228876881 \h</w:instrText>
            </w:r>
            <w:r>
              <w:rPr>
                <w:webHidden/>
              </w:rPr>
              <w:fldChar w:fldCharType="separate"/>
            </w:r>
            <w:r>
              <w:rPr>
                <w:rStyle w:val="Style12"/>
              </w:rPr>
              <w:t>Приложение № 2 – Проект договора</w:t>
              <w:tab/>
              <w:t>51</w:t>
            </w:r>
            <w:r>
              <w:rPr>
                <w:webHidden/>
              </w:rPr>
              <w:fldChar w:fldCharType="end"/>
            </w:r>
          </w:hyperlink>
        </w:p>
        <w:p>
          <w:pPr>
            <w:pStyle w:val="TOC2"/>
            <w:ind w:hanging="0" w:left="0" w:right="0"/>
            <w:rPr>
              <w:rFonts w:ascii="Calibri" w:hAnsi="Calibri" w:eastAsia="Arial"/>
              <w:sz w:val="24"/>
              <w:szCs w:val="24"/>
              <w:lang w:eastAsia="ru-RU"/>
            </w:rPr>
          </w:pPr>
          <w:hyperlink w:anchor="_Toc228876882" w:tgtFrame="#_Toc228876882">
            <w:r>
              <w:rPr>
                <w:rStyle w:val="Style12"/>
              </w:rPr>
              <w:t>7.1</w:t>
            </w:r>
            <w:r>
              <w:rPr>
                <w:rStyle w:val="Style12"/>
                <w:rFonts w:eastAsia="Arial" w:ascii="Calibri" w:hAnsi="Calibri"/>
                <w:sz w:val="24"/>
                <w:szCs w:val="24"/>
                <w:lang w:eastAsia="ru-RU"/>
              </w:rPr>
              <w:tab/>
            </w:r>
            <w:r>
              <w:rPr>
                <w:webHidden/>
              </w:rPr>
              <w:fldChar w:fldCharType="begin"/>
            </w:r>
            <w:r>
              <w:rPr>
                <w:webHidden/>
              </w:rPr>
              <w:instrText xml:space="preserve">PAGEREF _Toc228876882 \h</w:instrText>
            </w:r>
            <w:r>
              <w:rPr>
                <w:webHidden/>
              </w:rPr>
              <w:fldChar w:fldCharType="separate"/>
            </w:r>
            <w:r>
              <w:rPr>
                <w:rStyle w:val="Style12"/>
              </w:rPr>
              <w:t>Пояснения к Проекту договора</w:t>
              <w:tab/>
              <w:t>51</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883" w:tgtFrame="#_Toc228876883">
            <w:r>
              <w:rPr>
                <w:rStyle w:val="Style12"/>
              </w:rPr>
              <w:t>8.</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_Toc228876883 \h</w:instrText>
            </w:r>
            <w:r>
              <w:rPr>
                <w:webHidden/>
              </w:rPr>
              <w:fldChar w:fldCharType="separate"/>
            </w:r>
            <w:r>
              <w:rPr>
                <w:rStyle w:val="Style12"/>
              </w:rPr>
              <w:t>Приложение № 3 – Требования к Участникам</w:t>
              <w:tab/>
              <w:t>52</w:t>
            </w:r>
            <w:r>
              <w:rPr>
                <w:webHidden/>
              </w:rPr>
              <w:fldChar w:fldCharType="end"/>
            </w:r>
          </w:hyperlink>
        </w:p>
        <w:p>
          <w:pPr>
            <w:pStyle w:val="TOC2"/>
            <w:ind w:hanging="0" w:left="0" w:right="0"/>
            <w:rPr>
              <w:rFonts w:ascii="Calibri" w:hAnsi="Calibri" w:eastAsia="Arial"/>
              <w:sz w:val="24"/>
              <w:szCs w:val="24"/>
              <w:lang w:eastAsia="ru-RU"/>
            </w:rPr>
          </w:pPr>
          <w:hyperlink w:anchor="_Toc228876884" w:tgtFrame="#_Toc228876884">
            <w:r>
              <w:rPr>
                <w:rStyle w:val="Style12"/>
              </w:rPr>
              <w:t>8.1</w:t>
            </w:r>
            <w:r>
              <w:rPr>
                <w:rStyle w:val="Style12"/>
                <w:rFonts w:eastAsia="Arial" w:ascii="Calibri" w:hAnsi="Calibri"/>
                <w:sz w:val="24"/>
                <w:szCs w:val="24"/>
                <w:lang w:eastAsia="ru-RU"/>
              </w:rPr>
              <w:tab/>
            </w:r>
            <w:r>
              <w:rPr>
                <w:webHidden/>
              </w:rPr>
              <w:fldChar w:fldCharType="begin"/>
            </w:r>
            <w:r>
              <w:rPr>
                <w:webHidden/>
              </w:rPr>
              <w:instrText xml:space="preserve">PAGEREF _Toc228876884 \h</w:instrText>
            </w:r>
            <w:r>
              <w:rPr>
                <w:webHidden/>
              </w:rPr>
              <w:fldChar w:fldCharType="separate"/>
            </w:r>
            <w:r>
              <w:rPr>
                <w:rStyle w:val="Style12"/>
              </w:rPr>
              <w:t>Пояснения к требованиям к Участникам</w:t>
              <w:tab/>
              <w:t>52</w:t>
            </w:r>
            <w:r>
              <w:rPr>
                <w:webHidden/>
              </w:rPr>
              <w:fldChar w:fldCharType="end"/>
            </w:r>
          </w:hyperlink>
        </w:p>
        <w:p>
          <w:pPr>
            <w:pStyle w:val="TOC2"/>
            <w:ind w:hanging="0" w:left="0" w:right="0"/>
            <w:rPr>
              <w:rFonts w:ascii="Calibri" w:hAnsi="Calibri" w:eastAsia="Arial"/>
              <w:sz w:val="24"/>
              <w:szCs w:val="24"/>
              <w:lang w:eastAsia="ru-RU"/>
            </w:rPr>
          </w:pPr>
          <w:hyperlink w:anchor="_Toc228876885" w:tgtFrame="#_Toc228876885">
            <w:r>
              <w:rPr>
                <w:rStyle w:val="Style12"/>
              </w:rPr>
              <w:t>8.2</w:t>
            </w:r>
            <w:r>
              <w:rPr>
                <w:rStyle w:val="Style12"/>
                <w:rFonts w:eastAsia="Arial" w:ascii="Calibri" w:hAnsi="Calibri"/>
                <w:sz w:val="24"/>
                <w:szCs w:val="24"/>
                <w:lang w:eastAsia="ru-RU"/>
              </w:rPr>
              <w:tab/>
            </w:r>
            <w:r>
              <w:rPr>
                <w:webHidden/>
              </w:rPr>
              <w:fldChar w:fldCharType="begin"/>
            </w:r>
            <w:r>
              <w:rPr>
                <w:webHidden/>
              </w:rPr>
              <w:instrText xml:space="preserve">PAGEREF _Toc228876885 \h</w:instrText>
            </w:r>
            <w:r>
              <w:rPr>
                <w:webHidden/>
              </w:rPr>
              <w:fldChar w:fldCharType="separate"/>
            </w:r>
            <w:r>
              <w:rPr>
                <w:rStyle w:val="Style12"/>
              </w:rPr>
              <w:t>Обязательные требования</w:t>
              <w:tab/>
              <w:t>52</w:t>
            </w:r>
            <w:r>
              <w:rPr>
                <w:webHidden/>
              </w:rPr>
              <w:fldChar w:fldCharType="end"/>
            </w:r>
          </w:hyperlink>
        </w:p>
        <w:p>
          <w:pPr>
            <w:pStyle w:val="TOC2"/>
            <w:ind w:hanging="0" w:left="0" w:right="0"/>
            <w:rPr>
              <w:rFonts w:ascii="Calibri" w:hAnsi="Calibri" w:eastAsia="Arial"/>
              <w:sz w:val="24"/>
              <w:szCs w:val="24"/>
              <w:lang w:eastAsia="ru-RU"/>
            </w:rPr>
          </w:pPr>
          <w:hyperlink w:anchor="_Toc228876886" w:tgtFrame="#_Toc228876886">
            <w:r>
              <w:rPr>
                <w:rStyle w:val="Style12"/>
              </w:rPr>
              <w:t>8.3</w:t>
            </w:r>
            <w:r>
              <w:rPr>
                <w:rStyle w:val="Style12"/>
                <w:rFonts w:eastAsia="Arial" w:ascii="Calibri" w:hAnsi="Calibri"/>
                <w:sz w:val="24"/>
                <w:szCs w:val="24"/>
                <w:lang w:eastAsia="ru-RU"/>
              </w:rPr>
              <w:tab/>
            </w:r>
            <w:r>
              <w:rPr>
                <w:webHidden/>
              </w:rPr>
              <w:fldChar w:fldCharType="begin"/>
            </w:r>
            <w:r>
              <w:rPr>
                <w:webHidden/>
              </w:rPr>
              <w:instrText xml:space="preserve">PAGEREF _Toc228876886 \h</w:instrText>
            </w:r>
            <w:r>
              <w:rPr>
                <w:webHidden/>
              </w:rPr>
              <w:fldChar w:fldCharType="separate"/>
            </w:r>
            <w:r>
              <w:rPr>
                <w:rStyle w:val="Style12"/>
              </w:rPr>
              <w:t>Специальные требования</w:t>
              <w:tab/>
              <w:t>55</w:t>
            </w:r>
            <w:r>
              <w:rPr>
                <w:webHidden/>
              </w:rPr>
              <w:fldChar w:fldCharType="end"/>
            </w:r>
          </w:hyperlink>
        </w:p>
        <w:p>
          <w:pPr>
            <w:pStyle w:val="TOC2"/>
            <w:ind w:hanging="0" w:left="0" w:right="0"/>
            <w:rPr>
              <w:rFonts w:ascii="Calibri" w:hAnsi="Calibri" w:eastAsia="Arial"/>
              <w:sz w:val="24"/>
              <w:szCs w:val="24"/>
              <w:lang w:eastAsia="ru-RU"/>
            </w:rPr>
          </w:pPr>
          <w:hyperlink w:anchor="_Toc228876887" w:tgtFrame="#_Toc228876887">
            <w:r>
              <w:rPr>
                <w:rStyle w:val="Style12"/>
              </w:rPr>
              <w:t>8.4</w:t>
            </w:r>
            <w:r>
              <w:rPr>
                <w:rStyle w:val="Style12"/>
                <w:rFonts w:eastAsia="Arial" w:ascii="Calibri" w:hAnsi="Calibri"/>
                <w:sz w:val="24"/>
                <w:szCs w:val="24"/>
                <w:lang w:eastAsia="ru-RU"/>
              </w:rPr>
              <w:tab/>
            </w:r>
            <w:r>
              <w:rPr>
                <w:webHidden/>
              </w:rPr>
              <w:fldChar w:fldCharType="begin"/>
            </w:r>
            <w:r>
              <w:rPr>
                <w:webHidden/>
              </w:rPr>
              <w:instrText xml:space="preserve">PAGEREF _Toc228876887 \h</w:instrText>
            </w:r>
            <w:r>
              <w:rPr>
                <w:webHidden/>
              </w:rPr>
              <w:fldChar w:fldCharType="separate"/>
            </w:r>
            <w:r>
              <w:rPr>
                <w:rStyle w:val="Style12"/>
              </w:rPr>
              <w:t>Дополнительные требования к Генеральным подрядчикам</w:t>
              <w:tab/>
              <w:t>56</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888" w:tgtFrame="#_Toc228876888">
            <w:r>
              <w:rPr>
                <w:rStyle w:val="Style12"/>
              </w:rPr>
              <w:t>9.</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_Toc228876888 \h</w:instrText>
            </w:r>
            <w:r>
              <w:rPr>
                <w:webHidden/>
              </w:rPr>
              <w:fldChar w:fldCharType="separate"/>
            </w:r>
            <w:r>
              <w:rPr>
                <w:rStyle w:val="Style12"/>
              </w:rPr>
              <w:t>Приложение № 4 – Образцы форм документов, включаемых в состав заявки</w:t>
              <w:tab/>
              <w:t>58</w:t>
            </w:r>
            <w:r>
              <w:rPr>
                <w:webHidden/>
              </w:rPr>
              <w:fldChar w:fldCharType="end"/>
            </w:r>
          </w:hyperlink>
        </w:p>
        <w:p>
          <w:pPr>
            <w:pStyle w:val="TOC2"/>
            <w:ind w:hanging="0" w:left="0" w:right="0"/>
            <w:rPr>
              <w:rFonts w:ascii="Calibri" w:hAnsi="Calibri" w:eastAsia="Arial"/>
              <w:sz w:val="24"/>
              <w:szCs w:val="24"/>
              <w:lang w:eastAsia="ru-RU"/>
            </w:rPr>
          </w:pPr>
          <w:hyperlink w:anchor="_Toc228876889" w:tgtFrame="#_Toc228876889">
            <w:r>
              <w:rPr>
                <w:rStyle w:val="Style12"/>
              </w:rPr>
              <w:t>9.1</w:t>
            </w:r>
            <w:r>
              <w:rPr>
                <w:rStyle w:val="Style12"/>
                <w:rFonts w:eastAsia="Arial" w:ascii="Calibri" w:hAnsi="Calibri"/>
                <w:sz w:val="24"/>
                <w:szCs w:val="24"/>
                <w:lang w:eastAsia="ru-RU"/>
              </w:rPr>
              <w:tab/>
            </w:r>
            <w:r>
              <w:rPr>
                <w:webHidden/>
              </w:rPr>
              <w:fldChar w:fldCharType="begin"/>
            </w:r>
            <w:r>
              <w:rPr>
                <w:webHidden/>
              </w:rPr>
              <w:instrText xml:space="preserve">PAGEREF _Toc228876889 \h</w:instrText>
            </w:r>
            <w:r>
              <w:rPr>
                <w:webHidden/>
              </w:rPr>
              <w:fldChar w:fldCharType="separate"/>
            </w:r>
            <w:r>
              <w:rPr>
                <w:rStyle w:val="Style12"/>
              </w:rPr>
              <w:t>Пояснения к Образцам форм документов, включаемых в состав заявки</w:t>
              <w:tab/>
              <w:t>58</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890" w:tgtFrame="#_Toc228876890">
            <w:r>
              <w:rPr>
                <w:rStyle w:val="Style12"/>
              </w:rPr>
              <w:t>10.</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_Toc228876890 \h</w:instrText>
            </w:r>
            <w:r>
              <w:rPr>
                <w:webHidden/>
              </w:rPr>
              <w:fldChar w:fldCharType="separate"/>
            </w:r>
            <w:r>
              <w:rPr>
                <w:rStyle w:val="Style12"/>
              </w:rPr>
              <w:t>Приложение № 5 – Образцы форм документов, предоставляемых Победителем</w:t>
              <w:tab/>
              <w:t>59</w:t>
            </w:r>
            <w:r>
              <w:rPr>
                <w:webHidden/>
              </w:rPr>
              <w:fldChar w:fldCharType="end"/>
            </w:r>
          </w:hyperlink>
        </w:p>
        <w:p>
          <w:pPr>
            <w:pStyle w:val="TOC2"/>
            <w:ind w:hanging="0" w:left="0" w:right="0"/>
            <w:rPr>
              <w:rFonts w:ascii="Calibri" w:hAnsi="Calibri" w:eastAsia="Arial"/>
              <w:sz w:val="24"/>
              <w:szCs w:val="24"/>
              <w:lang w:eastAsia="ru-RU"/>
            </w:rPr>
          </w:pPr>
          <w:hyperlink w:anchor="_Toc228876891" w:tgtFrame="#_Toc228876891">
            <w:r>
              <w:rPr>
                <w:rStyle w:val="Style12"/>
              </w:rPr>
              <w:t>10.1</w:t>
            </w:r>
            <w:r>
              <w:rPr>
                <w:rStyle w:val="Style12"/>
                <w:rFonts w:eastAsia="Arial" w:ascii="Calibri" w:hAnsi="Calibri"/>
                <w:sz w:val="24"/>
                <w:szCs w:val="24"/>
                <w:lang w:eastAsia="ru-RU"/>
              </w:rPr>
              <w:tab/>
            </w:r>
            <w:r>
              <w:rPr>
                <w:webHidden/>
              </w:rPr>
              <w:fldChar w:fldCharType="begin"/>
            </w:r>
            <w:r>
              <w:rPr>
                <w:webHidden/>
              </w:rPr>
              <w:instrText xml:space="preserve">PAGEREF _Toc228876891 \h</w:instrText>
            </w:r>
            <w:r>
              <w:rPr>
                <w:webHidden/>
              </w:rPr>
              <w:fldChar w:fldCharType="separate"/>
            </w:r>
            <w:r>
              <w:rPr>
                <w:rStyle w:val="Style12"/>
              </w:rPr>
              <w:t>Пояснения к Образцам форм документов, предоставляемых Победителем</w:t>
              <w:tab/>
              <w:t>59</w:t>
            </w:r>
            <w:r>
              <w:rPr>
                <w:webHidden/>
              </w:rPr>
              <w:fldChar w:fldCharType="end"/>
            </w:r>
          </w:hyperlink>
        </w:p>
        <w:p>
          <w:pPr>
            <w:pStyle w:val="TOC2"/>
            <w:ind w:hanging="0" w:left="0" w:right="0"/>
            <w:rPr>
              <w:rFonts w:ascii="Calibri" w:hAnsi="Calibri" w:eastAsia="Arial"/>
              <w:sz w:val="24"/>
              <w:szCs w:val="24"/>
              <w:lang w:eastAsia="ru-RU"/>
            </w:rPr>
          </w:pPr>
          <w:hyperlink w:anchor="_Toc228876892" w:tgtFrame="#_Toc228876892">
            <w:r>
              <w:rPr>
                <w:rStyle w:val="Style12"/>
              </w:rPr>
              <w:t>10.2</w:t>
            </w:r>
            <w:r>
              <w:rPr>
                <w:rStyle w:val="Style12"/>
                <w:rFonts w:eastAsia="Arial" w:ascii="Calibri" w:hAnsi="Calibri"/>
                <w:sz w:val="24"/>
                <w:szCs w:val="24"/>
                <w:lang w:eastAsia="ru-RU"/>
              </w:rPr>
              <w:tab/>
            </w:r>
            <w:r>
              <w:rPr>
                <w:webHidden/>
              </w:rPr>
              <w:fldChar w:fldCharType="begin"/>
            </w:r>
            <w:r>
              <w:rPr>
                <w:webHidden/>
              </w:rPr>
              <w:instrText xml:space="preserve">PAGEREF _Toc228876892 \h</w:instrText>
            </w:r>
            <w:r>
              <w:rPr>
                <w:webHidden/>
              </w:rPr>
              <w:fldChar w:fldCharType="separate"/>
            </w:r>
            <w:r>
              <w:rPr>
                <w:rStyle w:val="Style12"/>
              </w:rPr>
              <w:t>Форма справки «Сведения о цепочке собственников, включая бенефициаров (в том числе конечных)»</w:t>
              <w:tab/>
              <w:t>59</w:t>
            </w:r>
            <w:r>
              <w:rPr>
                <w:webHidden/>
              </w:rPr>
              <w:fldChar w:fldCharType="end"/>
            </w:r>
          </w:hyperlink>
        </w:p>
        <w:p>
          <w:pPr>
            <w:pStyle w:val="TOC2"/>
            <w:ind w:hanging="0" w:left="0" w:right="0"/>
            <w:rPr>
              <w:rFonts w:ascii="Calibri" w:hAnsi="Calibri" w:eastAsia="Arial"/>
              <w:sz w:val="24"/>
              <w:szCs w:val="24"/>
              <w:lang w:eastAsia="ru-RU"/>
            </w:rPr>
          </w:pPr>
          <w:hyperlink w:anchor="_Toc228876893" w:tgtFrame="#_Toc228876893">
            <w:r>
              <w:rPr>
                <w:rStyle w:val="Style12"/>
              </w:rPr>
              <w:t>10.3</w:t>
            </w:r>
            <w:r>
              <w:rPr>
                <w:rStyle w:val="Style12"/>
                <w:rFonts w:eastAsia="Arial" w:ascii="Calibri" w:hAnsi="Calibri"/>
                <w:sz w:val="24"/>
                <w:szCs w:val="24"/>
                <w:lang w:eastAsia="ru-RU"/>
              </w:rPr>
              <w:tab/>
            </w:r>
            <w:r>
              <w:rPr>
                <w:webHidden/>
              </w:rPr>
              <w:fldChar w:fldCharType="begin"/>
            </w:r>
            <w:r>
              <w:rPr>
                <w:webHidden/>
              </w:rPr>
              <w:instrText xml:space="preserve">PAGEREF _Toc228876893 \h</w:instrText>
            </w:r>
            <w:r>
              <w:rPr>
                <w:webHidden/>
              </w:rPr>
              <w:fldChar w:fldCharType="separate"/>
            </w:r>
            <w:r>
              <w:rPr>
                <w:rStyle w:val="Style12"/>
              </w:rPr>
              <w:t>Форма «Заверение об обстоятельствах»</w:t>
              <w:tab/>
              <w:t>59</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894" w:tgtFrame="#_Toc228876894">
            <w:r>
              <w:rPr>
                <w:rStyle w:val="Style12"/>
              </w:rPr>
              <w:t>11.</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_Toc228876894 \h</w:instrText>
            </w:r>
            <w:r>
              <w:rPr>
                <w:webHidden/>
              </w:rPr>
              <w:fldChar w:fldCharType="separate"/>
            </w:r>
            <w:r>
              <w:rPr>
                <w:rStyle w:val="Style12"/>
              </w:rPr>
              <w:t>Приложение № 6 – Состав заявки</w:t>
              <w:tab/>
              <w:t>61</w:t>
            </w:r>
            <w:r>
              <w:rPr>
                <w:webHidden/>
              </w:rPr>
              <w:fldChar w:fldCharType="end"/>
            </w:r>
          </w:hyperlink>
        </w:p>
        <w:p>
          <w:pPr>
            <w:pStyle w:val="TOC2"/>
            <w:ind w:hanging="0" w:left="0" w:right="0"/>
            <w:rPr>
              <w:rFonts w:ascii="Calibri" w:hAnsi="Calibri" w:eastAsia="Arial"/>
              <w:sz w:val="24"/>
              <w:szCs w:val="24"/>
              <w:lang w:eastAsia="ru-RU"/>
            </w:rPr>
          </w:pPr>
          <w:hyperlink w:anchor="_Toc228876895" w:tgtFrame="#_Toc228876895">
            <w:r>
              <w:rPr>
                <w:rStyle w:val="Style12"/>
              </w:rPr>
              <w:t>11.1</w:t>
            </w:r>
            <w:r>
              <w:rPr>
                <w:rStyle w:val="Style12"/>
                <w:rFonts w:eastAsia="Arial" w:ascii="Calibri" w:hAnsi="Calibri"/>
                <w:sz w:val="24"/>
                <w:szCs w:val="24"/>
                <w:lang w:eastAsia="ru-RU"/>
              </w:rPr>
              <w:tab/>
            </w:r>
            <w:r>
              <w:rPr>
                <w:webHidden/>
              </w:rPr>
              <w:fldChar w:fldCharType="begin"/>
            </w:r>
            <w:r>
              <w:rPr>
                <w:webHidden/>
              </w:rPr>
              <w:instrText xml:space="preserve">PAGEREF _Toc228876895 \h</w:instrText>
            </w:r>
            <w:r>
              <w:rPr>
                <w:webHidden/>
              </w:rPr>
              <w:fldChar w:fldCharType="separate"/>
            </w:r>
            <w:r>
              <w:rPr>
                <w:rStyle w:val="Style12"/>
              </w:rPr>
              <w:t>Состав заявки</w:t>
              <w:tab/>
              <w:t>61</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896" w:tgtFrame="#_Toc228876896">
            <w:r>
              <w:rPr>
                <w:rStyle w:val="Style12"/>
              </w:rPr>
              <w:t>12.</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_Toc228876896 \h</w:instrText>
            </w:r>
            <w:r>
              <w:rPr>
                <w:webHidden/>
              </w:rPr>
              <w:fldChar w:fldCharType="separate"/>
            </w:r>
            <w:r>
              <w:rPr>
                <w:rStyle w:val="Style12"/>
              </w:rPr>
              <w:t>Приложение № 7 – Отборочные критерии рассмотрения заявок</w:t>
              <w:tab/>
              <w:t>64</w:t>
            </w:r>
            <w:r>
              <w:rPr>
                <w:webHidden/>
              </w:rPr>
              <w:fldChar w:fldCharType="end"/>
            </w:r>
          </w:hyperlink>
        </w:p>
        <w:p>
          <w:pPr>
            <w:pStyle w:val="TOC2"/>
            <w:ind w:hanging="0" w:left="0" w:right="0"/>
            <w:rPr>
              <w:rFonts w:ascii="Calibri" w:hAnsi="Calibri" w:eastAsia="Arial"/>
              <w:sz w:val="24"/>
              <w:szCs w:val="24"/>
              <w:lang w:eastAsia="ru-RU"/>
            </w:rPr>
          </w:pPr>
          <w:hyperlink w:anchor="_Toc228876897" w:tgtFrame="#_Toc228876897">
            <w:r>
              <w:rPr>
                <w:rStyle w:val="Style12"/>
              </w:rPr>
              <w:t>12.1</w:t>
            </w:r>
            <w:r>
              <w:rPr>
                <w:rStyle w:val="Style12"/>
                <w:rFonts w:eastAsia="Arial" w:ascii="Calibri" w:hAnsi="Calibri"/>
                <w:sz w:val="24"/>
                <w:szCs w:val="24"/>
                <w:lang w:eastAsia="ru-RU"/>
              </w:rPr>
              <w:tab/>
            </w:r>
            <w:r>
              <w:rPr>
                <w:webHidden/>
              </w:rPr>
              <w:fldChar w:fldCharType="begin"/>
            </w:r>
            <w:r>
              <w:rPr>
                <w:webHidden/>
              </w:rPr>
              <w:instrText xml:space="preserve">PAGEREF _Toc228876897 \h</w:instrText>
            </w:r>
            <w:r>
              <w:rPr>
                <w:webHidden/>
              </w:rPr>
              <w:fldChar w:fldCharType="separate"/>
            </w:r>
            <w:r>
              <w:rPr>
                <w:rStyle w:val="Style12"/>
              </w:rPr>
              <w:t>Отборочные критерии рассмотрения первых частей заявок (первых частей заявок, содержащихся в окончательных предложениях)</w:t>
              <w:tab/>
              <w:t>64</w:t>
            </w:r>
            <w:r>
              <w:rPr>
                <w:webHidden/>
              </w:rPr>
              <w:fldChar w:fldCharType="end"/>
            </w:r>
          </w:hyperlink>
        </w:p>
        <w:p>
          <w:pPr>
            <w:pStyle w:val="TOC2"/>
            <w:ind w:hanging="0" w:left="0" w:right="0"/>
            <w:rPr>
              <w:rFonts w:ascii="Calibri" w:hAnsi="Calibri" w:eastAsia="Arial"/>
              <w:sz w:val="24"/>
              <w:szCs w:val="24"/>
              <w:lang w:eastAsia="ru-RU"/>
            </w:rPr>
          </w:pPr>
          <w:hyperlink w:anchor="_Toc228876899" w:tgtFrame="#_Toc228876899">
            <w:r>
              <w:rPr>
                <w:rStyle w:val="Style12"/>
              </w:rPr>
              <w:t>12.3</w:t>
            </w:r>
            <w:r>
              <w:rPr>
                <w:rStyle w:val="Style12"/>
                <w:rFonts w:eastAsia="Arial" w:ascii="Calibri" w:hAnsi="Calibri"/>
                <w:sz w:val="24"/>
                <w:szCs w:val="24"/>
                <w:lang w:eastAsia="ru-RU"/>
              </w:rPr>
              <w:tab/>
            </w:r>
            <w:r>
              <w:rPr>
                <w:webHidden/>
              </w:rPr>
              <w:fldChar w:fldCharType="begin"/>
            </w:r>
            <w:r>
              <w:rPr>
                <w:webHidden/>
              </w:rPr>
              <w:instrText xml:space="preserve">PAGEREF _Toc228876899 \h</w:instrText>
            </w:r>
            <w:r>
              <w:rPr>
                <w:webHidden/>
              </w:rPr>
              <w:fldChar w:fldCharType="separate"/>
            </w:r>
            <w:r>
              <w:rPr>
                <w:rStyle w:val="Style12"/>
              </w:rPr>
              <w:t>Отборочные критерии рассмотрения вторых частей заявок</w:t>
              <w:tab/>
              <w:t>65</w:t>
            </w:r>
            <w:r>
              <w:rPr>
                <w:webHidden/>
              </w:rPr>
              <w:fldChar w:fldCharType="end"/>
            </w:r>
          </w:hyperlink>
        </w:p>
        <w:p>
          <w:pPr>
            <w:pStyle w:val="TOC2"/>
            <w:ind w:hanging="0" w:left="0" w:right="0"/>
            <w:rPr>
              <w:rFonts w:ascii="Calibri" w:hAnsi="Calibri" w:eastAsia="Arial"/>
              <w:sz w:val="24"/>
              <w:szCs w:val="24"/>
              <w:lang w:eastAsia="ru-RU"/>
            </w:rPr>
          </w:pPr>
          <w:hyperlink w:anchor="_Toc228876900" w:tgtFrame="#_Toc228876900">
            <w:r>
              <w:rPr>
                <w:rStyle w:val="Style12"/>
              </w:rPr>
              <w:t>12.4</w:t>
            </w:r>
            <w:r>
              <w:rPr>
                <w:rStyle w:val="Style12"/>
                <w:rFonts w:eastAsia="Arial" w:ascii="Calibri" w:hAnsi="Calibri"/>
                <w:sz w:val="24"/>
                <w:szCs w:val="24"/>
                <w:lang w:eastAsia="ru-RU"/>
              </w:rPr>
              <w:tab/>
            </w:r>
            <w:r>
              <w:rPr>
                <w:webHidden/>
              </w:rPr>
              <w:fldChar w:fldCharType="begin"/>
            </w:r>
            <w:r>
              <w:rPr>
                <w:webHidden/>
              </w:rPr>
              <w:instrText xml:space="preserve">PAGEREF _Toc228876900 \h</w:instrText>
            </w:r>
            <w:r>
              <w:rPr>
                <w:webHidden/>
              </w:rPr>
              <w:fldChar w:fldCharType="separate"/>
            </w:r>
            <w:r>
              <w:rPr>
                <w:rStyle w:val="Style12"/>
              </w:rPr>
              <w:t>Отборочные критерии рассмотрения ценовых предложений (дополнительных ценовых предложений)</w:t>
              <w:tab/>
              <w:t>67</w:t>
            </w:r>
            <w:r>
              <w:rPr>
                <w:webHidden/>
              </w:rPr>
              <w:fldChar w:fldCharType="end"/>
            </w:r>
          </w:hyperlink>
        </w:p>
        <w:p>
          <w:pPr>
            <w:pStyle w:val="TOC2"/>
            <w:ind w:hanging="0" w:left="0" w:right="0"/>
            <w:rPr>
              <w:rFonts w:ascii="Calibri" w:hAnsi="Calibri" w:eastAsia="Arial"/>
              <w:sz w:val="24"/>
              <w:szCs w:val="24"/>
              <w:lang w:eastAsia="ru-RU"/>
            </w:rPr>
          </w:pPr>
          <w:hyperlink w:anchor="_Toc228876901" w:tgtFrame="#_Toc228876901">
            <w:r>
              <w:rPr>
                <w:rStyle w:val="Style12"/>
              </w:rPr>
              <w:t>12.5</w:t>
            </w:r>
            <w:r>
              <w:rPr>
                <w:rStyle w:val="Style12"/>
                <w:rFonts w:eastAsia="Arial" w:ascii="Calibri" w:hAnsi="Calibri"/>
                <w:sz w:val="24"/>
                <w:szCs w:val="24"/>
                <w:lang w:eastAsia="ru-RU"/>
              </w:rPr>
              <w:tab/>
            </w:r>
            <w:r>
              <w:rPr>
                <w:webHidden/>
              </w:rPr>
              <w:fldChar w:fldCharType="begin"/>
            </w:r>
            <w:r>
              <w:rPr>
                <w:webHidden/>
              </w:rPr>
              <w:instrText xml:space="preserve">PAGEREF _Toc228876901 \h</w:instrText>
            </w:r>
            <w:r>
              <w:rPr>
                <w:webHidden/>
              </w:rPr>
              <w:fldChar w:fldCharType="separate"/>
            </w:r>
            <w:r>
              <w:rPr>
                <w:rStyle w:val="Style12"/>
              </w:rPr>
              <w:t>Дополнительные критерии проверки заявок на соответствие условиям Документации о закупке</w:t>
              <w:tab/>
              <w:t>69</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902" w:tgtFrame="#_Toc228876902">
            <w:r>
              <w:rPr>
                <w:rStyle w:val="Style12"/>
              </w:rPr>
              <w:t>13.</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_Toc228876902 \h</w:instrText>
            </w:r>
            <w:r>
              <w:rPr>
                <w:webHidden/>
              </w:rPr>
              <w:fldChar w:fldCharType="separate"/>
            </w:r>
            <w:r>
              <w:rPr>
                <w:rStyle w:val="Style12"/>
              </w:rPr>
              <w:t>Приложение № 8 – Порядок и критерии оценки и сопоставления заявок</w:t>
              <w:tab/>
              <w:t>71</w:t>
            </w:r>
            <w:r>
              <w:rPr>
                <w:webHidden/>
              </w:rPr>
              <w:fldChar w:fldCharType="end"/>
            </w:r>
          </w:hyperlink>
        </w:p>
        <w:p>
          <w:pPr>
            <w:pStyle w:val="TOC2"/>
            <w:ind w:hanging="0" w:left="0" w:right="0"/>
            <w:rPr>
              <w:rFonts w:ascii="Calibri" w:hAnsi="Calibri" w:eastAsia="Arial"/>
              <w:sz w:val="24"/>
              <w:szCs w:val="24"/>
              <w:lang w:eastAsia="ru-RU"/>
            </w:rPr>
          </w:pPr>
          <w:hyperlink w:anchor="_Toc228876903" w:tgtFrame="#_Toc228876903">
            <w:r>
              <w:rPr>
                <w:rStyle w:val="Style12"/>
              </w:rPr>
              <w:t>13.1</w:t>
            </w:r>
            <w:r>
              <w:rPr>
                <w:rStyle w:val="Style12"/>
                <w:rFonts w:eastAsia="Arial" w:ascii="Calibri" w:hAnsi="Calibri"/>
                <w:sz w:val="24"/>
                <w:szCs w:val="24"/>
                <w:lang w:eastAsia="ru-RU"/>
              </w:rPr>
              <w:tab/>
            </w:r>
            <w:r>
              <w:rPr>
                <w:webHidden/>
              </w:rPr>
              <w:fldChar w:fldCharType="begin"/>
            </w:r>
            <w:r>
              <w:rPr>
                <w:webHidden/>
              </w:rPr>
              <w:instrText xml:space="preserve">PAGEREF _Toc228876903 \h</w:instrText>
            </w:r>
            <w:r>
              <w:rPr>
                <w:webHidden/>
              </w:rPr>
              <w:fldChar w:fldCharType="separate"/>
            </w:r>
            <w:r>
              <w:rPr>
                <w:rStyle w:val="Style12"/>
              </w:rPr>
              <w:t>Порядок и критерии оценки и сопоставления заявок</w:t>
              <w:tab/>
              <w:t>71</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904" w:tgtFrame="#_Toc228876904">
            <w:r>
              <w:rPr>
                <w:rStyle w:val="Style12"/>
              </w:rPr>
              <w:t>14.</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_Toc228876904 \h</w:instrText>
            </w:r>
            <w:r>
              <w:rPr>
                <w:webHidden/>
              </w:rPr>
              <w:fldChar w:fldCharType="separate"/>
            </w:r>
            <w:r>
              <w:rPr>
                <w:rStyle w:val="Style12"/>
              </w:rPr>
              <w:t>Приложение № 9 – Обоснование НМЦ</w:t>
              <w:tab/>
              <w:t>75</w:t>
            </w:r>
            <w:r>
              <w:rPr>
                <w:webHidden/>
              </w:rPr>
              <w:fldChar w:fldCharType="end"/>
            </w:r>
          </w:hyperlink>
        </w:p>
        <w:p>
          <w:pPr>
            <w:pStyle w:val="TOC2"/>
            <w:ind w:hanging="0" w:left="0" w:right="0"/>
            <w:rPr>
              <w:rFonts w:ascii="Calibri" w:hAnsi="Calibri" w:eastAsia="Arial"/>
              <w:sz w:val="24"/>
              <w:szCs w:val="24"/>
              <w:lang w:eastAsia="ru-RU"/>
            </w:rPr>
          </w:pPr>
          <w:hyperlink w:anchor="_Toc228876905" w:tgtFrame="#_Toc228876905">
            <w:r>
              <w:rPr>
                <w:rStyle w:val="Style12"/>
              </w:rPr>
              <w:t>14.1</w:t>
            </w:r>
            <w:r>
              <w:rPr>
                <w:rStyle w:val="Style12"/>
                <w:rFonts w:eastAsia="Arial" w:ascii="Calibri" w:hAnsi="Calibri"/>
                <w:sz w:val="24"/>
                <w:szCs w:val="24"/>
                <w:lang w:eastAsia="ru-RU"/>
              </w:rPr>
              <w:tab/>
            </w:r>
            <w:r>
              <w:rPr>
                <w:webHidden/>
              </w:rPr>
              <w:fldChar w:fldCharType="begin"/>
            </w:r>
            <w:r>
              <w:rPr>
                <w:webHidden/>
              </w:rPr>
              <w:instrText xml:space="preserve">PAGEREF _Toc228876905 \h</w:instrText>
            </w:r>
            <w:r>
              <w:rPr>
                <w:webHidden/>
              </w:rPr>
              <w:fldChar w:fldCharType="separate"/>
            </w:r>
            <w:r>
              <w:rPr>
                <w:rStyle w:val="Style12"/>
              </w:rPr>
              <w:t>Пояснения к Обоснованию НМЦ</w:t>
              <w:tab/>
              <w:t>75</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906" w:tgtFrame="#_Toc228876906">
            <w:r>
              <w:rPr>
                <w:rStyle w:val="Style12"/>
              </w:rPr>
              <w:t>15.</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_Toc228876906 \h</w:instrText>
            </w:r>
            <w:r>
              <w:rPr>
                <w:webHidden/>
              </w:rPr>
              <w:fldChar w:fldCharType="separate"/>
            </w:r>
            <w:r>
              <w:rPr>
                <w:rStyle w:val="Style12"/>
              </w:rPr>
              <w:t>Приложение № 10 – Форма Заявки на аккредитацию</w:t>
              <w:tab/>
              <w:t>76</w:t>
            </w:r>
            <w:r>
              <w:rPr>
                <w:webHidden/>
              </w:rPr>
              <w:fldChar w:fldCharType="end"/>
            </w:r>
          </w:hyperlink>
        </w:p>
        <w:p>
          <w:pPr>
            <w:pStyle w:val="TOC2"/>
            <w:ind w:hanging="0" w:left="0" w:right="0"/>
            <w:rPr>
              <w:rFonts w:ascii="Calibri" w:hAnsi="Calibri" w:eastAsia="Arial"/>
              <w:sz w:val="24"/>
              <w:szCs w:val="24"/>
              <w:lang w:eastAsia="ru-RU"/>
            </w:rPr>
          </w:pPr>
          <w:hyperlink w:anchor="_Toc228876907" w:tgtFrame="#_Toc228876907">
            <w:r>
              <w:rPr>
                <w:rStyle w:val="Style12"/>
              </w:rPr>
              <w:t>15.1</w:t>
            </w:r>
            <w:r>
              <w:rPr>
                <w:rStyle w:val="Style12"/>
                <w:rFonts w:eastAsia="Arial" w:ascii="Calibri" w:hAnsi="Calibri"/>
                <w:sz w:val="24"/>
                <w:szCs w:val="24"/>
                <w:lang w:eastAsia="ru-RU"/>
              </w:rPr>
              <w:tab/>
            </w:r>
            <w:r>
              <w:rPr>
                <w:webHidden/>
              </w:rPr>
              <w:fldChar w:fldCharType="begin"/>
            </w:r>
            <w:r>
              <w:rPr>
                <w:webHidden/>
              </w:rPr>
              <w:instrText xml:space="preserve">PAGEREF _Toc228876907 \h</w:instrText>
            </w:r>
            <w:r>
              <w:rPr>
                <w:webHidden/>
              </w:rPr>
              <w:fldChar w:fldCharType="separate"/>
            </w:r>
            <w:r>
              <w:rPr>
                <w:rStyle w:val="Style12"/>
              </w:rPr>
              <w:t>Пояснения к форме Заявки на аккредитацию</w:t>
              <w:tab/>
              <w:t>76</w:t>
            </w:r>
            <w:r>
              <w:rPr>
                <w:webHidden/>
              </w:rPr>
              <w:fldChar w:fldCharType="end"/>
            </w:r>
          </w:hyperlink>
        </w:p>
        <w:p>
          <w:pPr>
            <w:pStyle w:val="TOC1"/>
            <w:ind w:hanging="0" w:left="0" w:right="0"/>
            <w:rPr>
              <w:rFonts w:ascii="Calibri" w:hAnsi="Calibri" w:eastAsia="Arial"/>
              <w:b w:val="false"/>
              <w:caps w:val="false"/>
              <w:smallCaps w:val="false"/>
              <w:sz w:val="24"/>
              <w:szCs w:val="24"/>
              <w:lang w:eastAsia="ru-RU"/>
            </w:rPr>
          </w:pPr>
          <w:hyperlink w:anchor="_Toc228876908" w:tgtFrame="#_Toc228876908">
            <w:r>
              <w:rPr>
                <w:rStyle w:val="Style12"/>
              </w:rPr>
              <w:t>16.</w:t>
            </w:r>
            <w:r>
              <w:rPr>
                <w:rStyle w:val="Style12"/>
                <w:rFonts w:eastAsia="Arial" w:ascii="Calibri" w:hAnsi="Calibri"/>
                <w:b w:val="false"/>
                <w:caps w:val="false"/>
                <w:smallCaps w:val="false"/>
                <w:sz w:val="24"/>
                <w:szCs w:val="24"/>
                <w:lang w:eastAsia="ru-RU"/>
              </w:rPr>
              <w:tab/>
            </w:r>
            <w:r>
              <w:rPr>
                <w:webHidden/>
              </w:rPr>
              <w:fldChar w:fldCharType="begin"/>
            </w:r>
            <w:r>
              <w:rPr>
                <w:webHidden/>
              </w:rPr>
              <w:instrText xml:space="preserve">PAGEREF _Toc228876908 \h</w:instrText>
            </w:r>
            <w:r>
              <w:rPr>
                <w:webHidden/>
              </w:rPr>
              <w:fldChar w:fldCharType="separate"/>
            </w:r>
            <w:r>
              <w:rPr>
                <w:rStyle w:val="Style12"/>
              </w:rPr>
              <w:t>Приложение № 11 – форма Данных бухгалтерской (финансовой) отчетности</w:t>
              <w:tab/>
              <w:t>77</w:t>
            </w:r>
            <w:r>
              <w:rPr>
                <w:webHidden/>
              </w:rPr>
              <w:fldChar w:fldCharType="end"/>
            </w:r>
          </w:hyperlink>
        </w:p>
        <w:p>
          <w:pPr>
            <w:pStyle w:val="TOC2"/>
            <w:ind w:hanging="0" w:left="0" w:right="0"/>
            <w:rPr>
              <w:rFonts w:ascii="Calibri" w:hAnsi="Calibri" w:eastAsia="Arial"/>
              <w:sz w:val="24"/>
              <w:szCs w:val="24"/>
              <w:lang w:eastAsia="ru-RU"/>
            </w:rPr>
          </w:pPr>
          <w:hyperlink w:anchor="_Toc228876909" w:tgtFrame="#_Toc228876909">
            <w:r>
              <w:rPr>
                <w:rStyle w:val="Style12"/>
              </w:rPr>
              <w:t>16.1</w:t>
            </w:r>
            <w:r>
              <w:rPr>
                <w:rStyle w:val="Style12"/>
                <w:rFonts w:eastAsia="Arial" w:ascii="Calibri" w:hAnsi="Calibri"/>
                <w:sz w:val="24"/>
                <w:szCs w:val="24"/>
                <w:lang w:eastAsia="ru-RU"/>
              </w:rPr>
              <w:tab/>
            </w:r>
            <w:r>
              <w:rPr>
                <w:webHidden/>
              </w:rPr>
              <w:fldChar w:fldCharType="begin"/>
            </w:r>
            <w:r>
              <w:rPr>
                <w:webHidden/>
              </w:rPr>
              <w:instrText xml:space="preserve">PAGEREF _Toc228876909 \h</w:instrText>
            </w:r>
            <w:r>
              <w:rPr>
                <w:webHidden/>
              </w:rPr>
              <w:fldChar w:fldCharType="separate"/>
            </w:r>
            <w:r>
              <w:rPr>
                <w:rStyle w:val="Style12"/>
              </w:rPr>
              <w:t>Пояснения к форме Данных бухгалтерской (финансовой) отчетности</w:t>
              <w:tab/>
              <w:t>77</w:t>
            </w:r>
            <w:r>
              <w:rPr>
                <w:webHidden/>
              </w:rPr>
              <w:fldChar w:fldCharType="end"/>
            </w:r>
          </w:hyperlink>
          <w:r>
            <w:rPr>
              <w:rStyle w:val="Style12"/>
            </w:rPr>
            <w:fldChar w:fldCharType="end"/>
          </w:r>
        </w:p>
      </w:sdtContent>
    </w:sdt>
    <w:p>
      <w:pPr>
        <w:pStyle w:val="Style21"/>
        <w:jc w:val="both"/>
        <w:rPr/>
      </w:pPr>
      <w:r>
        <w:rPr/>
      </w:r>
    </w:p>
    <w:p>
      <w:pPr>
        <w:pStyle w:val="Style21"/>
        <w:keepNext w:val="true"/>
        <w:spacing w:before="60" w:after="0"/>
        <w:rPr>
          <w:rStyle w:val="Style9"/>
        </w:rPr>
      </w:pPr>
      <w:r>
        <w:rPr>
          <w:rStyle w:val="Style9"/>
        </w:rPr>
        <w:t xml:space="preserve">[Примечание (дополнительные удобства работы с Документацией о закупке; Microsoft Word | </w:t>
      </w:r>
      <w:r>
        <w:rPr>
          <w:rStyle w:val="Style9"/>
          <w:color w:val="4472C4"/>
        </w:rPr>
        <w:t>AlterOffice AText – отмечены отличая для данного текстового редактора</w:t>
      </w:r>
      <w:r>
        <w:rPr>
          <w:rStyle w:val="Style9"/>
        </w:rPr>
        <w:t>):</w:t>
      </w:r>
    </w:p>
    <w:p>
      <w:pPr>
        <w:pStyle w:val="Style21"/>
        <w:numPr>
          <w:ilvl w:val="0"/>
          <w:numId w:val="8"/>
        </w:numPr>
        <w:spacing w:before="60" w:after="0"/>
        <w:ind w:hanging="284" w:left="284" w:right="0"/>
        <w:rPr>
          <w:rStyle w:val="Style9"/>
        </w:rPr>
      </w:pPr>
      <w:r>
        <w:rPr>
          <w:rStyle w:val="Style9"/>
        </w:rPr>
        <w:t xml:space="preserve">для навигации рекомендуется использовать боковое меню – включается на вкладке «Вид» в разделе «Отображение» опцией «Область навигации» | </w:t>
      </w:r>
      <w:r>
        <w:rPr>
          <w:rStyle w:val="Style9"/>
          <w:color w:val="4472C4"/>
        </w:rPr>
        <w:t>включается на вкладке «Вид» опцией «Навигатор»</w:t>
      </w:r>
      <w:r>
        <w:rPr>
          <w:rStyle w:val="Style9"/>
        </w:rPr>
        <w:t>;</w:t>
      </w:r>
    </w:p>
    <w:p>
      <w:pPr>
        <w:pStyle w:val="Style21"/>
        <w:numPr>
          <w:ilvl w:val="0"/>
          <w:numId w:val="8"/>
        </w:numPr>
        <w:spacing w:before="0" w:after="0"/>
        <w:ind w:hanging="284" w:left="284" w:right="0"/>
        <w:rPr>
          <w:rStyle w:val="Style9"/>
        </w:rPr>
      </w:pPr>
      <w:r>
        <w:rPr>
          <w:rStyle w:val="Style9"/>
        </w:rPr>
        <w:t>переход по перекрестным и другим ссылкам осуществляется левым кликом мыши с</w:t>
      </w:r>
      <w:r>
        <w:rPr>
          <w:rStyle w:val="Style9"/>
          <w:lang w:val="en-US"/>
        </w:rPr>
        <w:t> </w:t>
      </w:r>
      <w:r>
        <w:rPr>
          <w:rStyle w:val="Style9"/>
        </w:rPr>
        <w:t xml:space="preserve">зажатой клавишей Ctrl, обратный возврат на место в тексте, с которого был сделан переход, осуществляется нажатием стрелки влево (←) с зажатой левой клавишей Alt </w:t>
      </w:r>
      <w:r>
        <w:rPr>
          <w:rStyle w:val="Style9"/>
          <w:color w:val="4472C4"/>
        </w:rPr>
        <w:t>(обратный переход функционально не реализован в AlterOffice AText, пользуйтесь функциональностью «Навигатор»)</w:t>
      </w:r>
      <w:r>
        <w:rPr>
          <w:rStyle w:val="Style9"/>
        </w:rPr>
        <w:t>;</w:t>
      </w:r>
    </w:p>
    <w:p>
      <w:pPr>
        <w:pStyle w:val="Style21"/>
        <w:numPr>
          <w:ilvl w:val="0"/>
          <w:numId w:val="8"/>
        </w:numPr>
        <w:spacing w:before="0" w:after="0"/>
        <w:ind w:hanging="284" w:left="284" w:right="0"/>
        <w:rPr>
          <w:rStyle w:val="Style9"/>
        </w:rPr>
      </w:pPr>
      <w:r>
        <w:rPr>
          <w:rStyle w:val="Style9"/>
        </w:rPr>
        <w:t>открытие внедренного в текст документа (файла) осуществляется по двойному клику левой клавиши мыши по соответствующей иконке документа (файла) в</w:t>
      </w:r>
      <w:r>
        <w:rPr>
          <w:rStyle w:val="Style9"/>
          <w:lang w:val="en-US"/>
        </w:rPr>
        <w:t> </w:t>
      </w:r>
      <w:r>
        <w:rPr>
          <w:rStyle w:val="Style9"/>
        </w:rPr>
        <w:t>тексте;</w:t>
      </w:r>
    </w:p>
    <w:p>
      <w:pPr>
        <w:pStyle w:val="Style21"/>
        <w:numPr>
          <w:ilvl w:val="0"/>
          <w:numId w:val="8"/>
        </w:numPr>
        <w:spacing w:before="0" w:after="0"/>
        <w:ind w:hanging="284" w:left="284" w:right="0"/>
        <w:rPr>
          <w:rStyle w:val="Style9"/>
        </w:rPr>
      </w:pPr>
      <w:r>
        <w:rPr>
          <w:rStyle w:val="Style9"/>
          <w:color w:val="4472C4"/>
        </w:rPr>
        <w:t>отключение затенения серыми блоками по тексту объектов, в том числе некоторых неразрывных пробелов и перекрестных ссылок: Ctrl + F8 (только для AlterOffice AText)</w:t>
      </w:r>
      <w:r>
        <w:rPr>
          <w:rStyle w:val="Style9"/>
        </w:rPr>
        <w:t>.]</w:t>
      </w:r>
    </w:p>
    <w:p>
      <w:pPr>
        <w:pStyle w:val="Style20"/>
        <w:numPr>
          <w:ilvl w:val="0"/>
          <w:numId w:val="0"/>
        </w:numPr>
        <w:ind w:hanging="0" w:left="0"/>
        <w:outlineLvl w:val="0"/>
        <w:rPr/>
      </w:pPr>
      <w:bookmarkStart w:id="0" w:name="_Toc228876833"/>
      <w:r>
        <w:rPr/>
        <w:t>Сокращения</w:t>
      </w:r>
      <w:bookmarkEnd w:id="0"/>
    </w:p>
    <w:p>
      <w:pPr>
        <w:pStyle w:val="Style21"/>
        <w:ind w:firstLine="567" w:left="0" w:right="0"/>
        <w:rPr/>
      </w:pPr>
      <w:r>
        <w:rPr>
          <w:b/>
          <w:bCs/>
        </w:rPr>
        <w:t>ГК РФ</w:t>
      </w:r>
      <w:r>
        <w:rPr/>
        <w:t xml:space="preserve"> – Гражданской кодекс Российской Федерации.</w:t>
      </w:r>
    </w:p>
    <w:p>
      <w:pPr>
        <w:pStyle w:val="Style21"/>
        <w:ind w:firstLine="567" w:left="0" w:right="0"/>
        <w:rPr/>
      </w:pPr>
      <w:r>
        <w:rPr>
          <w:b/>
          <w:bCs/>
        </w:rPr>
        <w:t>Декларация ПИРААП</w:t>
      </w:r>
      <w:r>
        <w:rPr/>
        <w:t xml:space="preserve"> – декларация о подтверждении использования при изготовлении продукции российского алюминия и (или) его полуфабрикатов с указанием их доли в общем объеме используемого алюминия и (или) его полуфабрикатов в натуральном выражении.</w:t>
      </w:r>
    </w:p>
    <w:p>
      <w:pPr>
        <w:pStyle w:val="Style21"/>
        <w:ind w:firstLine="567" w:left="0" w:right="0"/>
        <w:rPr/>
      </w:pPr>
      <w:r>
        <w:rPr>
          <w:b/>
          <w:bCs/>
        </w:rPr>
        <w:t>ЕАЭС</w:t>
      </w:r>
      <w:r>
        <w:rPr/>
        <w:t xml:space="preserve"> – Евразийский экономический союз.</w:t>
      </w:r>
    </w:p>
    <w:p>
      <w:pPr>
        <w:pStyle w:val="Style21"/>
        <w:ind w:firstLine="567" w:left="0" w:right="0"/>
        <w:rPr/>
      </w:pPr>
      <w:r>
        <w:rPr>
          <w:b/>
          <w:bCs/>
        </w:rPr>
        <w:t>ЕГРИП</w:t>
      </w:r>
      <w:r>
        <w:rPr/>
        <w:t xml:space="preserve"> – Единый государственный реестр индивидуальных предпринимателей.</w:t>
      </w:r>
    </w:p>
    <w:p>
      <w:pPr>
        <w:pStyle w:val="Style21"/>
        <w:ind w:firstLine="567" w:left="0" w:right="0"/>
        <w:rPr/>
      </w:pPr>
      <w:r>
        <w:rPr>
          <w:b/>
          <w:bCs/>
        </w:rPr>
        <w:t>ЕГРЮЛ</w:t>
      </w:r>
      <w:r>
        <w:rPr/>
        <w:t xml:space="preserve"> – Единый государственный реестр юридических лиц.</w:t>
      </w:r>
    </w:p>
    <w:p>
      <w:pPr>
        <w:pStyle w:val="Style21"/>
        <w:ind w:firstLine="567" w:left="0" w:right="0"/>
        <w:rPr/>
      </w:pPr>
      <w:r>
        <w:rPr>
          <w:b/>
          <w:bCs/>
        </w:rPr>
        <w:t>ЕИС</w:t>
      </w:r>
      <w:r>
        <w:rPr/>
        <w:t xml:space="preserve"> – Единая информационная система в сфере закупок.</w:t>
      </w:r>
    </w:p>
    <w:p>
      <w:pPr>
        <w:pStyle w:val="Style21"/>
        <w:ind w:firstLine="567" w:left="0" w:right="0"/>
        <w:rPr/>
      </w:pPr>
      <w:r>
        <w:rPr>
          <w:b/>
          <w:bCs/>
        </w:rPr>
        <w:t>Закон 44-ФЗ</w:t>
      </w:r>
      <w:r>
        <w:rPr/>
        <w:t xml:space="preserve"> – Федеральный закон от 05.04.2013 № 44-ФЗ «О контрактной системе в сфере закупок товаров, работ, услуг для обеспечения государственных и муниципальных нужд».</w:t>
      </w:r>
    </w:p>
    <w:p>
      <w:pPr>
        <w:pStyle w:val="Style21"/>
        <w:ind w:firstLine="567" w:left="0" w:right="0"/>
        <w:rPr/>
      </w:pPr>
      <w:r>
        <w:rPr>
          <w:b/>
          <w:bCs/>
        </w:rPr>
        <w:t>Закон 98-ФЗ</w:t>
      </w:r>
      <w:r>
        <w:rPr/>
        <w:t xml:space="preserve"> – Федеральный закон от 29 июля 2004 года № 98-ФЗ «О коммерческой тайне».</w:t>
      </w:r>
    </w:p>
    <w:p>
      <w:pPr>
        <w:pStyle w:val="Style21"/>
        <w:ind w:firstLine="567" w:left="0" w:right="0"/>
        <w:rPr/>
      </w:pPr>
      <w:r>
        <w:rPr>
          <w:b/>
          <w:bCs/>
        </w:rPr>
        <w:t>Закон 209-ФЗ</w:t>
      </w:r>
      <w:r>
        <w:rPr/>
        <w:t xml:space="preserve"> – Федеральный закон от 24.07.2007 № 209-ФЗ «О развитии малого и среднего предпринимательства в Российской Федерации».</w:t>
      </w:r>
    </w:p>
    <w:p>
      <w:pPr>
        <w:pStyle w:val="Style21"/>
        <w:ind w:firstLine="567" w:left="0" w:right="0"/>
        <w:rPr/>
      </w:pPr>
      <w:r>
        <w:rPr>
          <w:b/>
          <w:bCs/>
        </w:rPr>
        <w:t>Закон 223-ФЗ</w:t>
      </w:r>
      <w:r>
        <w:rPr/>
        <w:t xml:space="preserve"> – Федеральный закон от 18.07.2011 № 223-ФЗ «О закупках товаров, работ, услуг отдельными видами юридических лиц».</w:t>
      </w:r>
    </w:p>
    <w:p>
      <w:pPr>
        <w:pStyle w:val="Style21"/>
        <w:ind w:firstLine="567" w:left="0" w:right="0"/>
        <w:rPr/>
      </w:pPr>
      <w:r>
        <w:rPr>
          <w:b/>
          <w:bCs/>
        </w:rPr>
        <w:t>Закон 255-ФЗ</w:t>
      </w:r>
      <w:r>
        <w:rPr/>
        <w:t xml:space="preserve"> – Федеральный закон от 14.07.2022 № 255-ФЗ «О контроле за деятельностью лиц, находящихся под иностранным влиянием».</w:t>
      </w:r>
    </w:p>
    <w:p>
      <w:pPr>
        <w:pStyle w:val="Style21"/>
        <w:ind w:firstLine="567" w:left="0" w:right="0"/>
        <w:rPr/>
      </w:pPr>
      <w:r>
        <w:rPr>
          <w:b/>
          <w:bCs/>
        </w:rPr>
        <w:t>Закон 422-ФЗ</w:t>
      </w:r>
      <w:r>
        <w:rPr/>
        <w:t xml:space="preserve"> – Федеральный закон от 27.11.2018 № 422-ФЗ «О проведении эксперимента по установлению специального налогового режима «Налог на профессиональный доход».</w:t>
      </w:r>
    </w:p>
    <w:p>
      <w:pPr>
        <w:pStyle w:val="Style21"/>
        <w:ind w:firstLine="567" w:left="0" w:right="0"/>
        <w:rPr/>
      </w:pPr>
      <w:r>
        <w:rPr>
          <w:b/>
          <w:bCs/>
        </w:rPr>
        <w:t>Законодательство</w:t>
      </w:r>
      <w:r>
        <w:rPr/>
        <w:t xml:space="preserve"> – законодательство Российской Федерации (если в тексте настоящей Документации о закупке прямо не указано иное).</w:t>
      </w:r>
    </w:p>
    <w:p>
      <w:pPr>
        <w:pStyle w:val="Style21"/>
        <w:ind w:firstLine="567" w:left="0" w:right="0"/>
        <w:rPr/>
      </w:pPr>
      <w:r>
        <w:rPr>
          <w:b/>
          <w:bCs/>
        </w:rPr>
        <w:t>Извещение</w:t>
      </w:r>
      <w:r>
        <w:rPr/>
        <w:t xml:space="preserve"> – извещение о проведении настоящей закупки.</w:t>
      </w:r>
    </w:p>
    <w:p>
      <w:pPr>
        <w:pStyle w:val="Style21"/>
        <w:ind w:firstLine="567" w:left="0" w:right="0"/>
        <w:rPr/>
      </w:pPr>
      <w:r>
        <w:rPr>
          <w:b/>
          <w:bCs/>
        </w:rPr>
        <w:t>ИНН</w:t>
      </w:r>
      <w:r>
        <w:rPr/>
        <w:t xml:space="preserve"> – идентификационный номер налогоплательщика.</w:t>
      </w:r>
    </w:p>
    <w:p>
      <w:pPr>
        <w:pStyle w:val="Style21"/>
        <w:ind w:firstLine="567" w:left="0" w:right="0"/>
        <w:rPr/>
      </w:pPr>
      <w:r>
        <w:rPr>
          <w:b/>
          <w:bCs/>
        </w:rPr>
        <w:t>ИФНС</w:t>
      </w:r>
      <w:r>
        <w:rPr/>
        <w:t xml:space="preserve"> – инспекция Федеральной налоговой службы Российской Федерации.</w:t>
      </w:r>
    </w:p>
    <w:p>
      <w:pPr>
        <w:pStyle w:val="Style21"/>
        <w:ind w:firstLine="567" w:left="0" w:right="0"/>
        <w:rPr/>
      </w:pPr>
      <w:r>
        <w:rPr>
          <w:b/>
          <w:bCs/>
        </w:rPr>
        <w:t>МТР</w:t>
      </w:r>
      <w:r>
        <w:rPr/>
        <w:t xml:space="preserve"> – материально-технические ресурсы.</w:t>
      </w:r>
    </w:p>
    <w:p>
      <w:pPr>
        <w:pStyle w:val="Style21"/>
        <w:ind w:firstLine="567" w:left="0" w:right="0"/>
        <w:rPr/>
      </w:pPr>
      <w:r>
        <w:rPr>
          <w:b/>
          <w:bCs/>
        </w:rPr>
        <w:t>НДС</w:t>
      </w:r>
      <w:r>
        <w:rPr/>
        <w:t xml:space="preserve"> – налог на добавленную стоимость.</w:t>
      </w:r>
    </w:p>
    <w:p>
      <w:pPr>
        <w:pStyle w:val="Style21"/>
        <w:ind w:firstLine="567" w:left="0" w:right="0"/>
        <w:rPr/>
      </w:pPr>
      <w:r>
        <w:rPr>
          <w:b/>
          <w:bCs/>
        </w:rPr>
        <w:t>НМЦ</w:t>
      </w:r>
      <w:r>
        <w:rPr/>
        <w:t xml:space="preserve"> – начальная (максимальная) цена договора.</w:t>
      </w:r>
    </w:p>
    <w:p>
      <w:pPr>
        <w:pStyle w:val="Style21"/>
        <w:ind w:firstLine="567" w:left="0" w:right="0"/>
        <w:rPr/>
      </w:pPr>
      <w:r>
        <w:rPr>
          <w:b/>
          <w:bCs/>
        </w:rPr>
        <w:t>Оператор ЭП</w:t>
      </w:r>
      <w:r>
        <w:rPr/>
        <w:t xml:space="preserve"> – оператор электронной площадки.</w:t>
      </w:r>
    </w:p>
    <w:p>
      <w:pPr>
        <w:pStyle w:val="Style21"/>
        <w:ind w:firstLine="567" w:left="0" w:right="0"/>
        <w:rPr/>
      </w:pPr>
      <w:r>
        <w:rPr>
          <w:b/>
          <w:bCs/>
        </w:rPr>
        <w:t>Официальный сайт</w:t>
      </w:r>
      <w:r>
        <w:rPr/>
        <w:t xml:space="preserve"> – официальный сайт Единой информационной системы в сфере закупок, расположенный в сети Интернет по </w:t>
      </w:r>
      <w:r>
        <w:rPr>
          <w:lang w:val="en-US"/>
        </w:rPr>
        <w:t>URL</w:t>
      </w:r>
      <w:r>
        <w:rPr/>
        <w:t>-адресу https://zakupki.gov.ru/.</w:t>
      </w:r>
    </w:p>
    <w:p>
      <w:pPr>
        <w:pStyle w:val="Style21"/>
        <w:ind w:firstLine="567" w:left="0" w:right="0"/>
        <w:rPr/>
      </w:pPr>
      <w:r>
        <w:rPr>
          <w:b/>
          <w:bCs/>
        </w:rPr>
        <w:t>Положение о закупке</w:t>
      </w:r>
      <w:r>
        <w:rPr/>
        <w:t xml:space="preserve"> – Единое Положение о закупке продукции для нужд Группы РусГидро.</w:t>
      </w:r>
    </w:p>
    <w:p>
      <w:pPr>
        <w:pStyle w:val="Style21"/>
        <w:ind w:firstLine="567" w:left="0" w:right="0"/>
        <w:rPr/>
      </w:pPr>
      <w:r>
        <w:rPr>
          <w:b/>
          <w:bCs/>
        </w:rPr>
        <w:t>Положение об аккредитации</w:t>
      </w:r>
      <w:r>
        <w:rPr/>
        <w:t xml:space="preserve"> – Единое Положение об аккредитации поставщиков продукции в Группе РусГидро, размещенное на Официальном сайте (в составе Положения о закупке).</w:t>
      </w:r>
    </w:p>
    <w:p>
      <w:pPr>
        <w:pStyle w:val="Style21"/>
        <w:ind w:firstLine="567" w:left="0" w:right="0"/>
        <w:rPr/>
      </w:pPr>
      <w:r>
        <w:rPr>
          <w:b/>
          <w:bCs/>
        </w:rPr>
        <w:t>ПП 325</w:t>
      </w:r>
      <w:r>
        <w:rPr/>
        <w:t xml:space="preserve"> – постановление Правительства Российской Федерации от 23.03.2017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pPr>
        <w:pStyle w:val="Style21"/>
        <w:ind w:firstLine="567" w:left="0" w:right="0"/>
        <w:rPr/>
      </w:pPr>
      <w:r>
        <w:rPr>
          <w:b/>
          <w:bCs/>
        </w:rPr>
        <w:t>ПП 719</w:t>
      </w:r>
      <w:r>
        <w:rPr/>
        <w:t xml:space="preserve"> – постановление Правительства Российской Федерации от 17.07. 2014 № 719 «О подтверждении производства российской промышленной продукции».</w:t>
      </w:r>
    </w:p>
    <w:p>
      <w:pPr>
        <w:pStyle w:val="Style21"/>
        <w:ind w:firstLine="567" w:left="0" w:right="0"/>
        <w:rPr/>
      </w:pPr>
      <w:r>
        <w:rPr/>
      </w:r>
    </w:p>
    <w:p>
      <w:pPr>
        <w:pStyle w:val="Style21"/>
        <w:ind w:firstLine="567" w:left="0" w:right="0"/>
        <w:rPr/>
      </w:pPr>
      <w:r>
        <w:rPr>
          <w:b/>
          <w:bCs/>
        </w:rPr>
        <w:t>ПП 1352</w:t>
      </w:r>
      <w:r>
        <w:rPr/>
        <w:t xml:space="preserve"> – постановление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pPr>
        <w:pStyle w:val="Style21"/>
        <w:ind w:firstLine="567" w:left="0" w:right="0"/>
        <w:rPr/>
      </w:pPr>
      <w:r>
        <w:rPr>
          <w:b/>
          <w:bCs/>
        </w:rPr>
        <w:t>ПП 1875</w:t>
      </w:r>
      <w:r>
        <w:rPr/>
        <w:t xml:space="preserve"> – постановление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pStyle w:val="Style21"/>
        <w:ind w:firstLine="567" w:left="0" w:right="0"/>
        <w:rPr/>
      </w:pPr>
      <w:r>
        <w:rPr>
          <w:b/>
          <w:bCs/>
        </w:rPr>
        <w:t>Реестр МСП</w:t>
      </w:r>
      <w:r>
        <w:rPr/>
        <w:t xml:space="preserve"> – единый реестр субъектов малого и среднего предпринимательства, ведение которого осуществляется в соответствии с Законом 209-ФЗ.</w:t>
      </w:r>
    </w:p>
    <w:p>
      <w:pPr>
        <w:pStyle w:val="Style21"/>
        <w:ind w:firstLine="567" w:left="0" w:right="0"/>
        <w:rPr/>
      </w:pPr>
      <w:r>
        <w:rPr>
          <w:b/>
          <w:bCs/>
        </w:rPr>
        <w:t>Стороны</w:t>
      </w:r>
      <w:r>
        <w:rPr/>
        <w:t xml:space="preserve"> – Организатор, Заказчик и Участники, являющиеся сторонами данной закупки (при совместном упоминании).</w:t>
      </w:r>
    </w:p>
    <w:p>
      <w:pPr>
        <w:pStyle w:val="Style21"/>
        <w:ind w:firstLine="567" w:left="0" w:right="0"/>
        <w:rPr/>
      </w:pPr>
      <w:r>
        <w:rPr>
          <w:b/>
          <w:bCs/>
        </w:rPr>
        <w:t>Субъект МСП</w:t>
      </w:r>
      <w:r>
        <w:rPr/>
        <w:t xml:space="preserve"> – субъект малого и среднего предпринимательства.</w:t>
      </w:r>
    </w:p>
    <w:p>
      <w:pPr>
        <w:pStyle w:val="Style21"/>
        <w:ind w:firstLine="567" w:left="0" w:right="0"/>
        <w:rPr/>
      </w:pPr>
      <w:r>
        <w:rPr>
          <w:b/>
          <w:bCs/>
        </w:rPr>
        <w:t>ЭП</w:t>
      </w:r>
      <w:r>
        <w:rPr/>
        <w:t xml:space="preserve"> – электронная площадка.</w:t>
      </w:r>
    </w:p>
    <w:p>
      <w:pPr>
        <w:pStyle w:val="Style20"/>
        <w:numPr>
          <w:ilvl w:val="0"/>
          <w:numId w:val="0"/>
        </w:numPr>
        <w:ind w:hanging="0" w:left="0"/>
        <w:outlineLvl w:val="0"/>
        <w:rPr/>
      </w:pPr>
      <w:bookmarkStart w:id="1" w:name="_Toc228876834"/>
      <w:r>
        <w:rPr/>
        <w:t>Термины и определения</w:t>
      </w:r>
      <w:bookmarkEnd w:id="1"/>
    </w:p>
    <w:p>
      <w:pPr>
        <w:pStyle w:val="Style21"/>
        <w:ind w:firstLine="567" w:left="0" w:right="0"/>
        <w:rPr/>
      </w:pPr>
      <w:r>
        <w:rPr>
          <w:b/>
          <w:bCs/>
        </w:rPr>
        <w:t>Аккредитация</w:t>
      </w:r>
      <w:r>
        <w:rPr/>
        <w:t xml:space="preserve"> – процедура проверки заявителей (потенциальных поставщиков) на соответствие требованиям в отношении их правоспособности, благонадежности и деловой репутации, с целью включения их в Реестр аккредитации для обеспечения (в этой части) допуска к участию в закупках, проводимых в Группе РусГидро. Аккредитация проводится с целью защиты интересов Заказчика от действий недобросовестных лиц и неблагонадежных поставщиков продукции при проведении закупочных процедур и выборе Победителя и является проявлением коммерческой осмотрительности Заказчика при заключении договора (-ов) по результатам закупки. Порядок проведения данной процедуры представлен в Положении об аккредитации.</w:t>
      </w:r>
    </w:p>
    <w:p>
      <w:pPr>
        <w:pStyle w:val="Style21"/>
        <w:ind w:firstLine="567" w:left="0" w:right="0"/>
        <w:rPr/>
      </w:pPr>
      <w:r>
        <w:rPr>
          <w:b/>
          <w:bCs/>
        </w:rPr>
        <w:t>Актуализация статуса (аккредитации)</w:t>
      </w:r>
      <w:r>
        <w:rPr/>
        <w:t xml:space="preserve"> – процедура повторной проверки определенного (конкретного)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с продлением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21"/>
        <w:ind w:firstLine="567" w:left="0" w:right="0"/>
        <w:rPr/>
      </w:pPr>
      <w:r>
        <w:rPr>
          <w:b/>
          <w:bCs/>
        </w:rPr>
        <w:t>Вторая часть заявки</w:t>
      </w:r>
      <w:r>
        <w:rPr/>
        <w:t xml:space="preserve"> – комплект документов, входящих в состав заявки и содержащих сведения об Участнике и информацию о его соответствии требованиям Документации о закупке, копии документов, подтверждающих соответствие поставляемой продукции, требованиям Документации о закупке, установленным в соответствии с законодательством (в случае установления таких требований в Документации о закупке), а также информацию и документы, необходимые для осуществления оценки заявки в отношении Участника (в случае установления в Документации о закупке соответствующих критериев и порядка оценки) (без указания сведений о ценовом предложении Участника).</w:t>
      </w:r>
    </w:p>
    <w:p>
      <w:pPr>
        <w:pStyle w:val="Style21"/>
        <w:ind w:firstLine="567" w:left="0" w:right="0"/>
        <w:rPr/>
      </w:pPr>
      <w:r>
        <w:rPr>
          <w:b/>
          <w:bCs/>
        </w:rPr>
        <w:t>Генеральный подрядчик</w:t>
      </w:r>
      <w:r>
        <w:rPr/>
        <w:t xml:space="preserve"> – подрядчик, привлекающий к исполнению своих обязательств по договору с Заказчиком третьих лиц (субподрядчиков). Под генеральным подрядчиком и субподрядчиками понимаются соответственно также генеральный исполнитель и соисполнители, генеральный поставщик и субпоставщики, в зависимости от предмета закупки.</w:t>
      </w:r>
    </w:p>
    <w:p>
      <w:pPr>
        <w:pStyle w:val="Style21"/>
        <w:ind w:firstLine="567" w:left="0" w:right="0"/>
        <w:rPr/>
      </w:pPr>
      <w:r>
        <w:rPr>
          <w:b/>
          <w:bCs/>
        </w:rPr>
        <w:t>Документация о закупке</w:t>
      </w:r>
      <w:r>
        <w:rPr/>
        <w:t xml:space="preserve"> – комплект документов, содержащий всю необходимую согласно законодательству информацию о закупке и условиях ее проведения.</w:t>
      </w:r>
    </w:p>
    <w:p>
      <w:pPr>
        <w:pStyle w:val="Style21"/>
        <w:ind w:firstLine="567" w:left="0" w:right="0"/>
        <w:rPr/>
      </w:pPr>
      <w:r>
        <w:rPr>
          <w:b/>
          <w:bCs/>
        </w:rPr>
        <w:t>Единая информационная система в сфере закупок</w:t>
      </w:r>
      <w:r>
        <w:rPr/>
        <w:t xml:space="preserve">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в установленном законодательством порядке с использованием сети Интернет посредствам Официального сайта Единой информационной системы в сфере закупок.</w:t>
      </w:r>
    </w:p>
    <w:p>
      <w:pPr>
        <w:pStyle w:val="Style21"/>
        <w:ind w:firstLine="567" w:left="0" w:right="0"/>
        <w:rPr/>
      </w:pPr>
      <w:r>
        <w:rPr>
          <w:b/>
          <w:bCs/>
        </w:rPr>
        <w:t>Единый реестр субъектов малого и среднего предпринимательства</w:t>
      </w:r>
      <w:r>
        <w:rPr/>
        <w:t xml:space="preserve"> – реестр, являющийся официальным источником сведений о юридических лицах и об индивидуальных предпринимателях, отнесенных по законодательству к таковым, и размещенный в сети Интернет на официальном сайте федерального органа исполнительной власти Российской Федерации, осуществляющего функции по контролю и надзору за соблюдением законодательства о налогах и сборах.</w:t>
      </w:r>
    </w:p>
    <w:p>
      <w:pPr>
        <w:pStyle w:val="Style21"/>
        <w:ind w:firstLine="567" w:left="0" w:right="0"/>
        <w:rPr/>
      </w:pPr>
      <w:r>
        <w:rPr>
          <w:b/>
          <w:bCs/>
        </w:rPr>
        <w:t>Заказчик</w:t>
      </w:r>
      <w:r>
        <w:rPr/>
        <w:t xml:space="preserve"> – юридическое лицо, в интересах и за счет средств, которого осуществляется закупка.</w:t>
      </w:r>
    </w:p>
    <w:p>
      <w:pPr>
        <w:pStyle w:val="Style21"/>
        <w:ind w:firstLine="567" w:left="0" w:right="0"/>
        <w:rPr/>
      </w:pPr>
      <w:r>
        <w:rPr>
          <w:b/>
          <w:bCs/>
        </w:rPr>
        <w:t>Закупка</w:t>
      </w:r>
      <w:r>
        <w:rPr/>
        <w:t xml:space="preserve"> – последовательность действий, осуществляемая в соответствии с требованиями законодательства, Положением о закупке, иными локальными нормативными документами (актами) Заказчика, а для конкурентной закупки (и неконкурентной, проводимой способом состязательный отбор) дополнительно – правилами, установленными Извещением и Документацией о закупке, в результате которой производится выбор поставщика с целью заключения договора на приобретение продукции.</w:t>
      </w:r>
    </w:p>
    <w:p>
      <w:pPr>
        <w:pStyle w:val="Style21"/>
        <w:ind w:firstLine="567" w:left="0" w:right="0"/>
        <w:rPr/>
      </w:pPr>
      <w:r>
        <w:rPr>
          <w:b/>
          <w:bCs/>
        </w:rPr>
        <w:t>Закупочная комиссия</w:t>
      </w:r>
      <w:r>
        <w:rPr/>
        <w:t xml:space="preserve"> – коллегиальный орган, принимающий решения о ходе проведения соответствующей закупки (в том числе по выбору ее победителя).</w:t>
      </w:r>
    </w:p>
    <w:p>
      <w:pPr>
        <w:pStyle w:val="Style21"/>
        <w:ind w:firstLine="567" w:left="0" w:right="0"/>
        <w:rPr/>
      </w:pPr>
      <w:r>
        <w:rPr>
          <w:b/>
          <w:bCs/>
        </w:rPr>
        <w:t>Заявка (заявка на участие в закупке)</w:t>
      </w:r>
      <w:r>
        <w:rPr/>
        <w:t xml:space="preserve"> – документ (комплект документов), содержащий предложения Участника, 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 определенных Заказчиком: для конкурентных закупок – в Извещении и (или) Документацией о закупке.</w:t>
      </w:r>
    </w:p>
    <w:p>
      <w:pPr>
        <w:pStyle w:val="Style21"/>
        <w:ind w:firstLine="567" w:left="0" w:right="0"/>
        <w:rPr/>
      </w:pPr>
      <w:r>
        <w:rPr>
          <w:b/>
          <w:bCs/>
        </w:rPr>
        <w:t>Заявка на аккредитацию</w:t>
      </w:r>
      <w:r>
        <w:rPr/>
        <w:t xml:space="preserve"> – сведения, которые Заявитель предоставляет в установленном Положением об аккредитации порядке для прохождения аккредитации.</w:t>
      </w:r>
    </w:p>
    <w:p>
      <w:pPr>
        <w:pStyle w:val="Style21"/>
        <w:ind w:firstLine="567" w:left="0" w:right="0"/>
        <w:rPr/>
      </w:pPr>
      <w:r>
        <w:rPr>
          <w:b/>
          <w:bCs/>
        </w:rPr>
        <w:t>Извещение о закупке (Извещение)</w:t>
      </w:r>
      <w:r>
        <w:rPr/>
        <w:t xml:space="preserve"> – документ, предназначенный для потенциальных Участников, публикация (размещение) которого означает официальное объявление о начале закупки (информация в объеме, определенном частью 9 статьи 4 Закона 223-ФЗ и Положением о закупке); под данным документом и соответственно его размещением также подразумевается заполнение и создание на Официальном сайте (ЕИС) и (или) ЭП соответствующей страницы на указанных ресурсах с информацией об объявленной закупке.</w:t>
      </w:r>
    </w:p>
    <w:p>
      <w:pPr>
        <w:pStyle w:val="Style21"/>
        <w:ind w:firstLine="567" w:left="0" w:right="0"/>
        <w:rPr/>
      </w:pPr>
      <w:r>
        <w:rPr>
          <w:b/>
          <w:bCs/>
        </w:rPr>
        <w:t>Интеллектуальные системы управления электросетевым хозяйством</w:t>
      </w:r>
      <w:r>
        <w:rPr/>
        <w:t xml:space="preserve"> – системы удаленного мониторинга и диагностики, интеллектуальные системы учета электрической энергии (мощности), автоматизированные системы управления технологическими процессами подстанций, автоматизированные системы технологического управления центров управления сетями.</w:t>
      </w:r>
    </w:p>
    <w:p>
      <w:pPr>
        <w:pStyle w:val="Style21"/>
        <w:ind w:firstLine="567" w:left="0" w:right="0"/>
        <w:rPr/>
      </w:pPr>
      <w:r>
        <w:rPr>
          <w:b/>
          <w:bCs/>
        </w:rPr>
        <w:t>Лот</w:t>
      </w:r>
      <w:r>
        <w:rPr/>
        <w:t xml:space="preserve"> – продукция, на которую в рамках закупки допускаются подача отдельного предложения и заключение отдельного договора.</w:t>
      </w:r>
    </w:p>
    <w:p>
      <w:pPr>
        <w:pStyle w:val="Style21"/>
        <w:ind w:firstLine="567" w:left="0" w:right="0"/>
        <w:rPr/>
      </w:pPr>
      <w:r>
        <w:rPr>
          <w:b/>
          <w:bCs/>
        </w:rPr>
        <w:t>Мониторинг аккредитованных поставщиков</w:t>
      </w:r>
      <w:r>
        <w:rPr/>
        <w:t xml:space="preserve"> – процедура выборочной повторной проверки любого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без продления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21"/>
        <w:ind w:firstLine="567" w:left="0" w:right="0"/>
        <w:rPr/>
      </w:pPr>
      <w:r>
        <w:rPr>
          <w:b/>
          <w:bCs/>
        </w:rPr>
        <w:t>Начальная (максимальная) цена договора</w:t>
      </w:r>
      <w:r>
        <w:rPr/>
        <w:t xml:space="preserve"> – предельно допустимая цена договора (лота, единицы продукции), превышение которой исключает возможность заключения договора / недопустимо для заключения договора по итогам проведения закупки.</w:t>
      </w:r>
    </w:p>
    <w:p>
      <w:pPr>
        <w:pStyle w:val="Style21"/>
        <w:ind w:firstLine="567" w:left="0" w:right="0"/>
        <w:rPr/>
      </w:pPr>
      <w:r>
        <w:rPr>
          <w:b/>
          <w:bCs/>
        </w:rPr>
        <w:t>Окончательное предложение</w:t>
      </w:r>
      <w:r>
        <w:rPr/>
        <w:t xml:space="preserve"> – комплект документов, входящих в состав первой части заявки и содержащих предложение Участника о функциональных характеристиках (потребительских свойствах) предлагаемой к поставке продукции и об иных условиях исполнения договора, с учетом уточненных Извещения и Документации о закупке по результатам проведенных обсуждений (в случае проведения таковых и выявления необходимости внесения изменений в Извещение и Документацию о закупке).</w:t>
      </w:r>
    </w:p>
    <w:p>
      <w:pPr>
        <w:pStyle w:val="Style21"/>
        <w:ind w:firstLine="567" w:left="0" w:right="0"/>
        <w:rPr/>
      </w:pPr>
      <w:r>
        <w:rPr>
          <w:b/>
          <w:bCs/>
        </w:rPr>
        <w:t>Оператор электронной площадки</w:t>
      </w:r>
      <w:r>
        <w:rPr/>
        <w:t xml:space="preserve"> – юридическое лицо, соответствующее требованиям законодательства, владеющее электронной площадкой и обеспечивающее проведение закупок в электронной форме в соответствии с положениями законодательства.</w:t>
      </w:r>
    </w:p>
    <w:p>
      <w:pPr>
        <w:pStyle w:val="Style21"/>
        <w:ind w:firstLine="567" w:left="0" w:right="0"/>
        <w:rPr/>
      </w:pPr>
      <w:r>
        <w:rPr>
          <w:b/>
          <w:bCs/>
        </w:rPr>
        <w:t>Организатор</w:t>
      </w:r>
      <w:r>
        <w:rPr/>
        <w:t xml:space="preserve"> – Заказчик или действующее по договору с ним юридическое лицо, выступающее Сторонним организатором закупки.</w:t>
      </w:r>
    </w:p>
    <w:p>
      <w:pPr>
        <w:pStyle w:val="Style21"/>
        <w:ind w:firstLine="567" w:left="0" w:right="0"/>
        <w:rPr/>
      </w:pPr>
      <w:r>
        <w:rPr>
          <w:b/>
          <w:bCs/>
        </w:rPr>
        <w:t>Официальное размещение</w:t>
      </w:r>
      <w:r>
        <w:rPr/>
        <w:t xml:space="preserve"> – размещение информации о закупке в ЕИС, на Официальном сайте </w:t>
      </w:r>
      <w:bookmarkStart w:id="2" w:name="_Hlk149048701"/>
      <w:r>
        <w:rPr/>
        <w:t>(с размещением копий на ЭП)</w:t>
      </w:r>
      <w:bookmarkEnd w:id="2"/>
      <w:r>
        <w:rPr/>
        <w:t>. Если окончание срока размещения приходится на нерабочий день согласно законодательству, сведения размещаются в первый рабочий день, следующий за нерабочими днями.</w:t>
      </w:r>
    </w:p>
    <w:p>
      <w:pPr>
        <w:pStyle w:val="Style21"/>
        <w:ind w:firstLine="567" w:left="0" w:right="0"/>
        <w:rPr/>
      </w:pPr>
      <w:r>
        <w:rPr>
          <w:b/>
          <w:bCs/>
        </w:rPr>
        <w:t>Переторжка</w:t>
      </w:r>
      <w:r>
        <w:rPr/>
        <w:t xml:space="preserve"> – опциональный этап закупки, представляющий собой процедуру подачи Участниками дополнительных ценовых предложений с целью повысить их предпочтительность для Заказчика.</w:t>
      </w:r>
    </w:p>
    <w:p>
      <w:pPr>
        <w:pStyle w:val="Style24"/>
        <w:rPr/>
      </w:pPr>
      <w:r>
        <w:rPr/>
      </w:r>
    </w:p>
    <w:p>
      <w:pPr>
        <w:pStyle w:val="Style21"/>
        <w:ind w:firstLine="567" w:left="0" w:right="0"/>
        <w:rPr/>
      </w:pPr>
      <w:r>
        <w:rPr>
          <w:b/>
          <w:bCs/>
        </w:rPr>
        <w:t>Первая часть заявки</w:t>
      </w:r>
      <w:r>
        <w:rPr/>
        <w:t xml:space="preserve"> – комплект документов, входящих в состав заявки и содержащих исключительно описание предлагаемой к поставке продукции, которая является предметом настоящей закупки (без указания сведений об Участнике и (или) о его ценовом предложении), в том числе сведения об окончательном предложении Участника по результатам проведения обсуждений (в случае проведения таковых), а также информацию и документы, необходимые для осуществления оценки заявки в отношении предлагаемой к поставке продукции (в случае установления в Документации о закупке соответствующих критериев и порядка оценки).</w:t>
      </w:r>
    </w:p>
    <w:p>
      <w:pPr>
        <w:pStyle w:val="Style21"/>
        <w:ind w:firstLine="567" w:left="0" w:right="0"/>
        <w:rPr/>
      </w:pPr>
      <w:r>
        <w:rPr>
          <w:b/>
          <w:bCs/>
        </w:rPr>
        <w:t>Победитель</w:t>
      </w:r>
      <w:r>
        <w:rPr/>
        <w:t xml:space="preserve"> – Участник, заявка которого соответствует требованиям Документации о закупке и который предложил лучшие условия исполнения договора на основании критериев оценки в соответствии с Документацией о закупке. В случае признания закупки несостоявшейся Единственный участник такой закупки, с которым Заказчик принял решение заключить договор по результатам закупки, в оговоренных Положением о закупке случаях приобретает обязательства Победителя по заключению договора.</w:t>
      </w:r>
    </w:p>
    <w:p>
      <w:pPr>
        <w:pStyle w:val="Style21"/>
        <w:ind w:firstLine="567" w:left="0" w:right="0"/>
        <w:rPr/>
      </w:pPr>
      <w:r>
        <w:rPr>
          <w:b/>
          <w:bCs/>
        </w:rPr>
        <w:t>Поставщик</w:t>
      </w:r>
      <w:r>
        <w:rPr/>
        <w:t xml:space="preserve"> – любое юридическое или физическое лицо, а также объединение этих лиц, способное на законных основаниях поставить Заказчику требуемую продукцию. Под поставщиком продукции при закупке работ / услуг понимается соответственно подрядчик / исполнитель.</w:t>
      </w:r>
    </w:p>
    <w:p>
      <w:pPr>
        <w:pStyle w:val="Style21"/>
        <w:ind w:firstLine="567" w:left="0" w:right="0"/>
        <w:rPr/>
      </w:pPr>
      <w:r>
        <w:rPr>
          <w:b/>
          <w:bCs/>
        </w:rPr>
        <w:t>Предмет закупки / предмет договора</w:t>
      </w:r>
      <w:r>
        <w:rPr/>
        <w:t xml:space="preserve"> – конкретная продукция, которую предполагается закупить в объеме и на условиях, определенных Заказчиком.</w:t>
      </w:r>
    </w:p>
    <w:p>
      <w:pPr>
        <w:pStyle w:val="Style21"/>
        <w:ind w:firstLine="567" w:left="0" w:right="0"/>
        <w:rPr/>
      </w:pPr>
      <w:r>
        <w:rPr>
          <w:b/>
          <w:bCs/>
        </w:rPr>
        <w:t>Преференция</w:t>
      </w:r>
      <w:r>
        <w:rPr/>
        <w:t xml:space="preserve"> – преимущество, которое Заказчик предоставляет определенным группам поставщиков при проведении закупок в соответствии с Единым Положением о закупке продукции для нужд Группы РусГидро.</w:t>
      </w:r>
    </w:p>
    <w:p>
      <w:pPr>
        <w:pStyle w:val="Style21"/>
        <w:ind w:firstLine="567" w:left="0" w:right="0"/>
        <w:rPr/>
      </w:pPr>
      <w:r>
        <w:rPr>
          <w:b/>
          <w:bCs/>
        </w:rPr>
        <w:t>Применение законодательства о национальном режиме</w:t>
      </w:r>
      <w:r>
        <w:rPr/>
        <w:t xml:space="preserve"> – 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равных условий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в соответствии с нормами, установленными законодательством.</w:t>
      </w:r>
    </w:p>
    <w:p>
      <w:pPr>
        <w:pStyle w:val="Style21"/>
        <w:ind w:firstLine="567" w:left="0" w:right="0"/>
        <w:rPr/>
      </w:pPr>
      <w:r>
        <w:rPr>
          <w:b/>
          <w:bCs/>
        </w:rPr>
        <w:t>Программное обеспечение</w:t>
      </w:r>
      <w:r>
        <w:rPr/>
        <w:t xml:space="preserve"> – программное обеспечение, включенное в единый реестр Минцифры России российских программ для электронных вычислительных машин и баз данных, используемое в качестве компонента интеллектуальных систем управления электросетевым хозяйством.</w:t>
      </w:r>
    </w:p>
    <w:p>
      <w:pPr>
        <w:pStyle w:val="Style21"/>
        <w:ind w:firstLine="567" w:left="0" w:right="0"/>
        <w:rPr/>
      </w:pPr>
      <w:r>
        <w:rPr>
          <w:b/>
          <w:bCs/>
        </w:rPr>
        <w:t>Продукция</w:t>
      </w:r>
      <w:r>
        <w:rPr/>
        <w:t xml:space="preserve"> – товары, работы, услуги, приобретаемые Заказчиком на возмездной основе; в том числе в контексте «поставка продукции»: поставка товаров, выполнение работ, оказание услуг.</w:t>
      </w:r>
    </w:p>
    <w:p>
      <w:pPr>
        <w:pStyle w:val="Style21"/>
        <w:ind w:firstLine="567" w:left="0" w:right="0"/>
        <w:rPr/>
      </w:pPr>
      <w:r>
        <w:rPr>
          <w:b/>
          <w:bCs/>
        </w:rPr>
        <w:t>Реестр аккредитации</w:t>
      </w:r>
      <w:r>
        <w:rPr/>
        <w:t xml:space="preserve"> – перечень лиц – Заявителей, подававших Заявки на аккредитацию с указанием в отношении них результатов процедуры аккредитации.</w:t>
      </w:r>
    </w:p>
    <w:p>
      <w:pPr>
        <w:pStyle w:val="Style21"/>
        <w:ind w:firstLine="567" w:left="0" w:right="0"/>
        <w:rPr/>
      </w:pPr>
      <w:r>
        <w:rPr>
          <w:b/>
          <w:bCs/>
        </w:rPr>
        <w:t>Субъект малого и среднего предпринимательства</w:t>
      </w:r>
      <w:r>
        <w:rPr/>
        <w:t xml:space="preserve"> – определяется в соответствии с Законом 209-ФЗ. Все условия и требования данной Документации о закупке, относящиеся к субъектам МСП, распространяются также на физических лиц, не являющихся индивидуальными предпринимателями и применяющих специальный налоговый режим «Налог на профессиональный доход»</w:t>
      </w:r>
      <w:r>
        <w:rPr>
          <w:rStyle w:val="FootnoteReference"/>
        </w:rPr>
        <w:footnoteReference w:id="2"/>
      </w:r>
      <w:r>
        <w:rPr/>
        <w:t>, если иное не установлено в Документации о закупке.</w:t>
      </w:r>
    </w:p>
    <w:p>
      <w:pPr>
        <w:pStyle w:val="Style21"/>
        <w:ind w:firstLine="567" w:left="0" w:right="0"/>
        <w:rPr/>
      </w:pPr>
      <w:r>
        <w:rPr>
          <w:b/>
          <w:bCs/>
        </w:rPr>
        <w:t>Уполномоченное лицо</w:t>
      </w:r>
      <w:r>
        <w:rPr/>
        <w:t xml:space="preserve"> – руководитель организации, действующий на основании устава, или уполномоченное им лицо, действующее на основании доверенности на осуществление действий, </w:t>
      </w:r>
      <w:r>
        <w:rPr>
          <w:rFonts w:eastAsia="Calibri" w:cs="Times New Roman"/>
          <w:shd w:fill="FFFFFF" w:val="clear"/>
        </w:rPr>
        <w:t>в том числе выданной в порядке передоверия,</w:t>
      </w:r>
      <w:r>
        <w:rPr/>
        <w:t xml:space="preserve"> от имени организации, полномочия которых подтверждены соответствующими документами.</w:t>
      </w:r>
    </w:p>
    <w:p>
      <w:pPr>
        <w:pStyle w:val="Style21"/>
        <w:ind w:firstLine="567" w:left="0" w:right="0"/>
        <w:rPr/>
      </w:pPr>
      <w:r>
        <w:rPr>
          <w:b/>
          <w:bCs/>
        </w:rPr>
        <w:t>Участник</w:t>
      </w:r>
      <w:r>
        <w:rPr/>
        <w:t xml:space="preserve"> – 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Законом 255-ФЗ), либо любое физическое лицо, в том числе индивидуальный предприниматель, , выразившее заинтересованность в участии в закупке (посредством получения Документации о закупке, направления запроса о разъяснении Документации о закупке, внесения обеспечения заявки или подачи заявки на участие в закупке).</w:t>
      </w:r>
    </w:p>
    <w:p>
      <w:pPr>
        <w:pStyle w:val="Style21"/>
        <w:ind w:firstLine="567" w:left="0" w:right="0"/>
        <w:rPr/>
      </w:pPr>
      <w:r>
        <w:rPr>
          <w:b/>
          <w:bCs/>
        </w:rPr>
        <w:t>Ценовое предложение</w:t>
      </w:r>
      <w:r>
        <w:rPr/>
        <w:t xml:space="preserve"> – комплект документов, входящих в состав заявки, но подаваемых отдельно от первой и второй частей заявки и содержащих предложение Участника о цене Договора и (или) каждой единицы продукции, являющейся предметом Договора, и (или) формулу расчета цены Договора и (или) расходы на эксплуатацию и ремонт товаров, использование результатов работ / услуг и (или) любые иные сведения / документы, требуемые в соответствии с Документацией о закупке и содержащие информацию о ценовых параметрах предложения Участника.</w:t>
      </w:r>
    </w:p>
    <w:p>
      <w:pPr>
        <w:pStyle w:val="Style15"/>
        <w:spacing w:before="0" w:after="0"/>
        <w:rPr/>
      </w:pPr>
      <w:bookmarkStart w:id="3" w:name="_Toc228876835"/>
      <w:bookmarkStart w:id="4" w:name="_Ref125359988"/>
      <w:r>
        <w:rPr/>
        <w:t>Основные сведения о закупке</w:t>
      </w:r>
      <w:bookmarkEnd w:id="3"/>
      <w:bookmarkEnd w:id="4"/>
    </w:p>
    <w:p>
      <w:pPr>
        <w:pStyle w:val="Style16"/>
        <w:spacing w:before="360" w:after="0"/>
        <w:rPr/>
      </w:pPr>
      <w:bookmarkStart w:id="5" w:name="_Toc228876836"/>
      <w:r>
        <w:rPr/>
        <w:t>Статус настоящего раздела</w:t>
      </w:r>
      <w:bookmarkEnd w:id="5"/>
    </w:p>
    <w:p>
      <w:pPr>
        <w:pStyle w:val="Style17"/>
        <w:spacing w:before="120" w:after="0"/>
        <w:rPr/>
      </w:pPr>
      <w:r>
        <w:rPr/>
        <w:t>В настоящем разделе содержатся основные сведения о предмете, способе и иных ключевых условиях проводимой закупки.</w:t>
      </w:r>
    </w:p>
    <w:p>
      <w:pPr>
        <w:pStyle w:val="Style17"/>
        <w:spacing w:before="0" w:after="0"/>
        <w:rPr/>
      </w:pPr>
      <w:r>
        <w:rPr/>
        <w:t xml:space="preserve">Здесь и далее все используемые ссылки относятся к соответствующим пунктам, разделам и подразделам Документации о закупке, если прямо не указано иное; ссылки на приложения относятся к соответствующим приложениям к Документации о закупке, если прямо не указано иное. Ссылки на статьи, пункты и разделы, используемые в </w:t>
      </w:r>
      <w:hyperlink w:anchor="Прил01_ТехТребования" w:tgtFrame="#Прил01_ТехТребования">
        <w:r>
          <w:rPr>
            <w:rStyle w:val="Style6"/>
          </w:rPr>
          <w:t>Технических требованиях (Приложение № 1)</w:t>
        </w:r>
      </w:hyperlink>
      <w:r>
        <w:rPr>
          <w:rStyle w:val="Style6"/>
        </w:rPr>
        <w:t>,</w:t>
      </w:r>
      <w:r>
        <w:rPr/>
        <w:t xml:space="preserve"> в </w:t>
      </w:r>
      <w:hyperlink w:anchor="Прил02_ПроектДоговора" w:tgtFrame="#Прил02_ПроектДоговора">
        <w:r>
          <w:rPr>
            <w:rStyle w:val="Style6"/>
          </w:rPr>
          <w:t>Проекте договора (Приложение № 2)</w:t>
        </w:r>
      </w:hyperlink>
      <w:r>
        <w:rPr/>
        <w:t xml:space="preserve"> и иных приложениях к Документации о закупке, относятся соответственно к статьям, пунктам и разделам этих приложений к Документации о закупке. Все приложения к Документации о закупке являются ее неотъемлемыми частями.</w:t>
      </w:r>
    </w:p>
    <w:p>
      <w:pPr>
        <w:pStyle w:val="Style17"/>
        <w:spacing w:before="0" w:after="0"/>
        <w:rPr/>
      </w:pPr>
      <w:r>
        <w:rPr/>
        <w:t>Информация о проводимой закупке, указанная в подразделе </w:t>
      </w:r>
      <w:r>
        <w:rPr/>
        <w:fldChar w:fldCharType="begin"/>
      </w:r>
      <w:r>
        <w:rPr/>
        <w:instrText xml:space="preserve"> REF _Ref125359973 \r \h </w:instrText>
      </w:r>
      <w:r>
        <w:rPr/>
        <w:fldChar w:fldCharType="separate"/>
      </w:r>
      <w:r>
        <w:rPr/>
        <w:t>1.2</w:t>
      </w:r>
      <w:r>
        <w:rPr/>
        <w:fldChar w:fldCharType="end"/>
      </w:r>
      <w:r>
        <w:rPr/>
        <w:t>, в объеме, определенном частью 9 статьи 4 Закона 223-ФЗ, составляет Извещение о закупке.</w:t>
      </w:r>
    </w:p>
    <w:p>
      <w:pPr>
        <w:pStyle w:val="Style16"/>
        <w:spacing w:before="360" w:after="120"/>
        <w:rPr/>
      </w:pPr>
      <w:bookmarkStart w:id="6" w:name="_Ref127270076"/>
      <w:bookmarkStart w:id="7" w:name="_Ref132876309"/>
      <w:bookmarkStart w:id="8" w:name="_Toc228876837"/>
      <w:bookmarkStart w:id="9" w:name="_Ref125359973"/>
      <w:r>
        <w:rPr/>
        <w:t>Информация о проводимой закупке</w:t>
      </w:r>
      <w:bookmarkEnd w:id="6"/>
      <w:bookmarkEnd w:id="7"/>
      <w:bookmarkEnd w:id="8"/>
      <w:bookmarkEnd w:id="9"/>
    </w:p>
    <w:tbl>
      <w:tblPr>
        <w:tblW w:w="9912" w:type="dxa"/>
        <w:jc w:val="left"/>
        <w:tblInd w:w="0" w:type="dxa"/>
        <w:tblLayout w:type="fixed"/>
        <w:tblCellMar>
          <w:top w:w="0" w:type="dxa"/>
          <w:left w:w="57" w:type="dxa"/>
          <w:bottom w:w="0" w:type="dxa"/>
          <w:right w:w="57" w:type="dxa"/>
        </w:tblCellMar>
      </w:tblPr>
      <w:tblGrid>
        <w:gridCol w:w="1126"/>
        <w:gridCol w:w="2975"/>
        <w:gridCol w:w="5811"/>
      </w:tblGrid>
      <w:tr>
        <w:trPr/>
        <w:tc>
          <w:tcPr>
            <w:tcW w:w="1126"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 xml:space="preserve">№ </w:t>
            </w:r>
            <w:r>
              <w:rPr>
                <w:rFonts w:eastAsia="Calibri" w:cs="Arial"/>
                <w:b/>
                <w:kern w:val="0"/>
                <w:sz w:val="26"/>
                <w:szCs w:val="22"/>
                <w:lang w:val="ru-RU" w:eastAsia="en-US" w:bidi="ar-SA"/>
              </w:rPr>
              <w:t>п/п</w:t>
            </w:r>
          </w:p>
        </w:tc>
        <w:tc>
          <w:tcPr>
            <w:tcW w:w="2975"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Наименование пункта</w:t>
            </w:r>
          </w:p>
        </w:tc>
        <w:tc>
          <w:tcPr>
            <w:tcW w:w="5811"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Содержание пункта</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10" w:name="_Ref125360980"/>
            <w:bookmarkStart w:id="11" w:name="_Ref125360980"/>
            <w:bookmarkEnd w:id="11"/>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Способ закупки:</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Конкурс в электронной форме, участниками которого могут быть только субъекты МСП.</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12" w:name="_Ref125360996"/>
            <w:bookmarkStart w:id="13" w:name="_Ref125360996"/>
            <w:bookmarkEnd w:id="13"/>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Предмет Договора</w:t>
              <w:br/>
              <w:t>(в том числе номер лота):</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shd w:fill="auto" w:val="clear"/>
                <w:lang w:val="ru-RU" w:eastAsia="en-US" w:bidi="ar-SA"/>
              </w:rPr>
              <w:t>Л</w:t>
            </w:r>
            <w:r>
              <w:rPr>
                <w:rFonts w:eastAsia="Calibri" w:cs="Arial"/>
                <w:kern w:val="0"/>
                <w:sz w:val="26"/>
                <w:szCs w:val="26"/>
                <w:shd w:fill="auto" w:val="clear"/>
                <w:lang w:val="ru-RU" w:eastAsia="en-US" w:bidi="ar-SA"/>
              </w:rPr>
              <w:t xml:space="preserve">от №  </w:t>
            </w:r>
            <w:r>
              <w:rPr>
                <w:rFonts w:eastAsia="Times New Roman" w:cs="Times New Roman"/>
                <w:kern w:val="0"/>
                <w:sz w:val="26"/>
                <w:szCs w:val="26"/>
                <w:shd w:fill="auto" w:val="clear"/>
                <w:lang w:val="ru-RU" w:eastAsia="en-US" w:bidi="ar-SA"/>
              </w:rPr>
              <w:t>22133002-ТПИР ОБСЛ-2027-ДГК-БирТЭЦ</w:t>
            </w:r>
            <w:r>
              <w:rPr>
                <w:rFonts w:eastAsia="Calibri" w:cs="Arial"/>
                <w:kern w:val="0"/>
                <w:sz w:val="26"/>
                <w:szCs w:val="26"/>
                <w:shd w:fill="auto" w:val="clear"/>
                <w:lang w:val="ru-RU" w:eastAsia="en-US" w:bidi="ar-SA"/>
              </w:rPr>
              <w:t xml:space="preserve"> </w:t>
            </w:r>
            <w:r>
              <w:rPr>
                <w:rFonts w:eastAsia="Calibri" w:cs="Arial"/>
                <w:i w:val="false"/>
                <w:iCs w:val="false"/>
                <w:kern w:val="0"/>
                <w:sz w:val="26"/>
                <w:szCs w:val="26"/>
                <w:shd w:fill="auto" w:val="clear"/>
                <w:lang w:val="ru-RU" w:eastAsia="en-US" w:bidi="ar-SA"/>
              </w:rPr>
              <w:t>ОКПД2 33.19.10.000 Выполнение работ по техническому перевооружение РОУ (редукционно-охладительная установка) Биробиджанской ТЭЦ в рамках инвестиционного проекта F_505-ХТСКб-2.Биробиджанской ТЭЦ г. Биробиджан (ПП: 1.2-ТПиР4-2025-БирТЭЦ) (ИП: F_505-ХТСКб-2)</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Описание</w:t>
              <w:br/>
              <w:t>предмета закупки:</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Подробное описание предмета закупки, в том числе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информация о количестве поставляемого товара, объема выполняемых работ, оказываемых услуг, а также место поставки товара, выполнения работы, оказания услуги, содержится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(Приложении № 1)</w:t>
              </w:r>
            </w:hyperlink>
            <w:r>
              <w:rPr>
                <w:rFonts w:eastAsia="Calibri" w:cs="Arial"/>
                <w:kern w:val="0"/>
                <w:sz w:val="26"/>
                <w:szCs w:val="22"/>
                <w:lang w:val="ru-RU" w:eastAsia="en-US" w:bidi="ar-SA"/>
              </w:rPr>
              <w:t>, в части требований, обусловленных законодательством о национальном режиме дополнительно в Структуре НМЦ (в составе Коммерческого предложения (форма 3)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w:t>
            </w:r>
          </w:p>
        </w:tc>
      </w:tr>
      <w:tr>
        <w:trPr>
          <w:trHeight w:val="426" w:hRule="atLeast"/>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14" w:name="_Ref125367124"/>
            <w:bookmarkStart w:id="15" w:name="_Ref125367124"/>
            <w:bookmarkEnd w:id="15"/>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Многолотовая закупка:</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Нет.</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16" w:name="_Ref125360764"/>
            <w:bookmarkStart w:id="17" w:name="_Ref125360764"/>
            <w:bookmarkEnd w:id="17"/>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Наименование и адрес ЭП, на которой проводится закупка:</w:t>
            </w:r>
          </w:p>
        </w:tc>
        <w:tc>
          <w:tcPr>
            <w:tcW w:w="5811" w:type="dxa"/>
            <w:tcBorders>
              <w:top w:val="single" w:sz="4" w:space="0" w:color="7F7F7F"/>
              <w:left w:val="single" w:sz="4" w:space="0" w:color="7F7F7F"/>
              <w:bottom w:val="single" w:sz="4" w:space="0" w:color="7F7F7F"/>
              <w:right w:val="single" w:sz="4" w:space="0" w:color="7F7F7F"/>
            </w:tcBorders>
          </w:tcPr>
          <w:p>
            <w:pPr>
              <w:pStyle w:val="Normal"/>
              <w:widowControl w:val="false"/>
              <w:spacing w:lineRule="auto" w:line="240" w:before="60" w:after="60"/>
              <w:jc w:val="left"/>
              <w:rPr>
                <w:rFonts w:ascii="Calibri" w:hAnsi="Calibri" w:eastAsia="Calibri"/>
                <w:b/>
                <w:bCs/>
                <w:color w:val="365F91"/>
                <w:sz w:val="22"/>
                <w:szCs w:val="22"/>
              </w:rPr>
            </w:pPr>
            <w:r>
              <w:rPr>
                <w:rFonts w:eastAsia="Calibri" w:cs="Arial"/>
                <w:kern w:val="0"/>
                <w:sz w:val="26"/>
                <w:szCs w:val="26"/>
                <w:lang w:val="ru-RU" w:eastAsia="en-US" w:bidi="ar-SA"/>
              </w:rPr>
              <w:t>Закупка проводится с помощью Единой электронной торговой площадки Росэлторг</w:t>
            </w:r>
            <w:r>
              <w:rPr>
                <w:rFonts w:eastAsia="Calibri" w:cs="Arial" w:ascii="Calibri" w:hAnsi="Calibri"/>
                <w:color w:val="1F497D"/>
                <w:kern w:val="0"/>
                <w:sz w:val="26"/>
                <w:szCs w:val="26"/>
                <w:lang w:val="ru-RU" w:eastAsia="en-US" w:bidi="ar-SA"/>
              </w:rPr>
              <w:t xml:space="preserve"> </w:t>
            </w:r>
            <w:r>
              <w:rPr>
                <w:rStyle w:val="Hyperlink"/>
                <w:rFonts w:eastAsia="Calibri" w:cs="Arial"/>
                <w:kern w:val="0"/>
                <w:sz w:val="26"/>
                <w:szCs w:val="26"/>
                <w:lang w:val="ru-RU" w:eastAsia="en-US" w:bidi="ar-SA"/>
              </w:rPr>
              <w:t>https://corp.roseltorg.ru/</w:t>
            </w:r>
          </w:p>
          <w:p>
            <w:pPr>
              <w:pStyle w:val="Style21"/>
              <w:widowControl w:val="false"/>
              <w:spacing w:lineRule="auto" w:line="240" w:before="60" w:after="60"/>
              <w:rPr/>
            </w:pPr>
            <w:r>
              <w:rPr>
                <w:rFonts w:eastAsia="Calibri" w:cs="Arial"/>
                <w:kern w:val="0"/>
                <w:sz w:val="26"/>
                <w:szCs w:val="26"/>
                <w:lang w:val="ru-RU" w:eastAsia="en-US" w:bidi="ar-SA"/>
              </w:rPr>
              <w:t xml:space="preserve">Регламент ЭТП, в соответствии с которым проводится закупка, размещен по адресу: </w:t>
            </w:r>
            <w:hyperlink r:id="rId3" w:tgtFrame="https://www.roseltorg.ru/knowledge_db/docs?55">
              <w:r>
                <w:rPr>
                  <w:rStyle w:val="Hyperlink"/>
                  <w:rFonts w:eastAsia="Calibri" w:cs="Arial"/>
                  <w:kern w:val="0"/>
                  <w:sz w:val="26"/>
                  <w:szCs w:val="26"/>
                  <w:lang w:val="ru-RU" w:eastAsia="en-US" w:bidi="ar-SA"/>
                </w:rPr>
                <w:t>https://www.roseltorg.ru/knowledge_db/docs?55</w:t>
              </w:r>
            </w:hyperlink>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18" w:name="_Ref125360970"/>
            <w:bookmarkStart w:id="19" w:name="_Ref125360970"/>
            <w:bookmarkEnd w:id="19"/>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 xml:space="preserve">Участники: </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Участвовать в закупке могут только субъекты МСП, а также физические лица, не являющиеся индивидуальными предпринимателями и применяющие специальный налоговый режим «Налог на профессиональный доход».</w:t>
            </w:r>
          </w:p>
          <w:p>
            <w:pPr>
              <w:pStyle w:val="Style21"/>
              <w:widowControl w:val="false"/>
              <w:spacing w:lineRule="auto" w:line="240" w:before="60" w:after="60"/>
              <w:rPr/>
            </w:pPr>
            <w:r>
              <w:rPr>
                <w:rFonts w:eastAsia="Calibri" w:cs="Arial"/>
                <w:kern w:val="0"/>
                <w:sz w:val="26"/>
                <w:szCs w:val="22"/>
                <w:lang w:val="ru-RU" w:eastAsia="en-US" w:bidi="ar-SA"/>
              </w:rPr>
              <w:t xml:space="preserve">При этом Участник вправе привлекать субподрядчиков (соисполнителей), в том числе не являющихся субъектами МСП, а также указанными выше физическими лицами (в случае отсутствия в условиях </w:t>
            </w:r>
            <w:hyperlink w:anchor="Прил02_ПроектДоговора" w:tgtFrame="#Прил02_ПроектДоговора">
              <w:r>
                <w:rPr>
                  <w:rStyle w:val="Style6"/>
                  <w:rFonts w:eastAsia="Calibri" w:cs="Arial"/>
                  <w:kern w:val="0"/>
                  <w:sz w:val="26"/>
                  <w:szCs w:val="22"/>
                  <w:lang w:val="ru-RU" w:eastAsia="en-US" w:bidi="ar-SA"/>
                </w:rPr>
                <w:t>Проекта Договора (Приложение № 2)</w:t>
              </w:r>
            </w:hyperlink>
            <w:r>
              <w:rPr>
                <w:rFonts w:eastAsia="Calibri" w:cs="Arial"/>
                <w:kern w:val="0"/>
                <w:sz w:val="26"/>
                <w:szCs w:val="22"/>
                <w:lang w:val="ru-RU" w:eastAsia="en-US" w:bidi="ar-SA"/>
              </w:rPr>
              <w:t xml:space="preserve"> прямого запрета на привлечение к исполнению обязательств по Договору третьих лиц).</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0" w:name="_Ref125360988"/>
            <w:bookmarkStart w:id="21" w:name="_Ref125360988"/>
            <w:bookmarkEnd w:id="21"/>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Заказчик:</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ind w:hanging="0" w:left="0" w:right="34"/>
              <w:rPr>
                <w:b w:val="false"/>
                <w:sz w:val="20"/>
                <w:szCs w:val="20"/>
                <w:u w:val="none"/>
              </w:rPr>
            </w:pPr>
            <w:r>
              <w:rPr>
                <w:rFonts w:eastAsia="Calibri" w:cs="Arial"/>
                <w:kern w:val="0"/>
                <w:sz w:val="26"/>
                <w:szCs w:val="26"/>
                <w:lang w:val="ru-RU" w:eastAsia="en-US" w:bidi="ar-SA"/>
              </w:rPr>
              <w:t>Наименование (полное и сокращенное): Акционерного общества «Дальневосточная генерирующая компания» (АО «ДГК»)</w:t>
            </w:r>
          </w:p>
          <w:p>
            <w:pPr>
              <w:pStyle w:val="Style21"/>
              <w:widowControl w:val="false"/>
              <w:spacing w:lineRule="auto" w:line="240" w:before="60" w:after="60"/>
              <w:ind w:hanging="0" w:left="0" w:right="34"/>
              <w:rPr>
                <w:b w:val="false"/>
                <w:bCs w:val="false"/>
                <w:i w:val="false"/>
                <w:i w:val="false"/>
                <w:iCs w:val="false"/>
                <w:sz w:val="20"/>
                <w:szCs w:val="20"/>
                <w:u w:val="none"/>
              </w:rPr>
            </w:pPr>
            <w:r>
              <w:rPr>
                <w:rFonts w:eastAsia="Calibri" w:cs="Arial"/>
                <w:kern w:val="0"/>
                <w:sz w:val="26"/>
                <w:szCs w:val="26"/>
                <w:lang w:val="ru-RU" w:eastAsia="en-US" w:bidi="ar-SA"/>
              </w:rPr>
              <w:t>Место нахождения: 680000, г. Хабаровск, ул. Фрунзе, д. 49</w:t>
            </w:r>
          </w:p>
          <w:p>
            <w:pPr>
              <w:pStyle w:val="Style21"/>
              <w:widowControl w:val="false"/>
              <w:spacing w:lineRule="auto" w:line="240" w:before="60" w:after="60"/>
              <w:ind w:hanging="0" w:left="0" w:right="34"/>
              <w:rPr>
                <w:b w:val="false"/>
                <w:bCs w:val="false"/>
                <w:i w:val="false"/>
                <w:i w:val="false"/>
                <w:iCs w:val="false"/>
                <w:sz w:val="20"/>
                <w:szCs w:val="20"/>
                <w:u w:val="none"/>
              </w:rPr>
            </w:pPr>
            <w:r>
              <w:rPr>
                <w:rFonts w:eastAsia="Calibri" w:cs="Arial"/>
                <w:kern w:val="0"/>
                <w:sz w:val="26"/>
                <w:szCs w:val="26"/>
                <w:lang w:val="ru-RU" w:eastAsia="en-US" w:bidi="ar-SA"/>
              </w:rPr>
              <w:t>Почтовый адрес: 680000, г. Хабаровск, ул. Фрунзе, д. 49</w:t>
            </w:r>
          </w:p>
          <w:p>
            <w:pPr>
              <w:pStyle w:val="Style21"/>
              <w:widowControl w:val="false"/>
              <w:spacing w:lineRule="auto" w:line="240" w:before="60" w:after="60"/>
              <w:ind w:hanging="0" w:left="0" w:right="34"/>
              <w:rPr>
                <w:b w:val="false"/>
                <w:bCs w:val="false"/>
                <w:i w:val="false"/>
                <w:i w:val="false"/>
                <w:iCs w:val="false"/>
                <w:sz w:val="20"/>
                <w:szCs w:val="20"/>
                <w:u w:val="none"/>
              </w:rPr>
            </w:pPr>
            <w:r>
              <w:rPr>
                <w:rFonts w:eastAsia="Calibri" w:cs="Arial"/>
                <w:kern w:val="0"/>
                <w:sz w:val="26"/>
                <w:szCs w:val="26"/>
                <w:lang w:val="ru-RU" w:eastAsia="en-US" w:bidi="ar-SA"/>
              </w:rPr>
              <w:t>Адрес электронной почты: dgk@dgk.ru</w:t>
            </w:r>
          </w:p>
          <w:p>
            <w:pPr>
              <w:pStyle w:val="Style21"/>
              <w:widowControl w:val="false"/>
              <w:spacing w:lineRule="auto" w:line="240" w:before="60" w:after="60"/>
              <w:ind w:hanging="0" w:left="0" w:right="34"/>
              <w:rPr>
                <w:rFonts w:ascii="Times New Roman" w:hAnsi="Times New Roman" w:eastAsia="Calibri" w:cs="Arial"/>
                <w:kern w:val="0"/>
              </w:rPr>
            </w:pPr>
            <w:r>
              <w:rPr>
                <w:rFonts w:eastAsia="Calibri" w:cs="Arial"/>
                <w:kern w:val="0"/>
                <w:sz w:val="26"/>
                <w:szCs w:val="26"/>
                <w:lang w:val="ru-RU" w:eastAsia="en-US" w:bidi="ar-SA"/>
              </w:rPr>
              <w:t>Контактный телефон: +7 (4212) 26-41-48</w:t>
            </w:r>
          </w:p>
          <w:p>
            <w:pPr>
              <w:pStyle w:val="Normal"/>
              <w:widowControl w:val="false"/>
              <w:spacing w:lineRule="auto" w:line="240" w:before="60" w:after="60"/>
              <w:ind w:hanging="0" w:left="0" w:right="0"/>
              <w:jc w:val="left"/>
              <w:rPr>
                <w:rFonts w:ascii="Times New Roman" w:hAnsi="Times New Roman" w:eastAsia="Calibri" w:cs="Arial"/>
                <w:kern w:val="0"/>
                <w:lang w:val="ru-RU" w:eastAsia="en-US" w:bidi="ar-SA"/>
              </w:rPr>
            </w:pPr>
            <w:r>
              <w:rPr>
                <w:rFonts w:eastAsia="Calibri" w:cs="Arial"/>
                <w:b/>
                <w:bCs/>
                <w:kern w:val="0"/>
                <w:sz w:val="26"/>
                <w:szCs w:val="26"/>
                <w:shd w:fill="FFFFFF" w:val="clear"/>
                <w:lang w:val="ru-RU" w:eastAsia="en-US" w:bidi="ar-SA"/>
              </w:rPr>
              <w:t xml:space="preserve">По вопросу заключения Договора обращаться к </w:t>
            </w:r>
            <w:r>
              <w:rPr>
                <w:rFonts w:eastAsia="Calibri" w:cs="Arial"/>
                <w:b w:val="false"/>
                <w:bCs/>
                <w:i w:val="false"/>
                <w:iCs w:val="false"/>
                <w:kern w:val="0"/>
                <w:sz w:val="26"/>
                <w:szCs w:val="26"/>
                <w:shd w:fill="FFFFFF" w:val="clear"/>
                <w:lang w:val="ru-RU" w:eastAsia="en-US" w:bidi="ar-SA"/>
              </w:rPr>
              <w:t xml:space="preserve">Главный специалист ГКСиР СП «Биробиджанская ТЭЦ» Худяков Дмитрий Александрович </w:t>
            </w:r>
          </w:p>
          <w:p>
            <w:pPr>
              <w:pStyle w:val="Normal"/>
              <w:widowControl w:val="false"/>
              <w:spacing w:lineRule="auto" w:line="240" w:before="60" w:after="60"/>
              <w:ind w:hanging="0" w:left="0" w:right="0"/>
              <w:jc w:val="left"/>
              <w:rPr>
                <w:rFonts w:ascii="Times New Roman" w:hAnsi="Times New Roman" w:eastAsia="Calibri" w:cs="Arial"/>
                <w:kern w:val="0"/>
                <w:lang w:val="ru-RU" w:eastAsia="en-US" w:bidi="ar-SA"/>
              </w:rPr>
            </w:pPr>
            <w:r>
              <w:rPr>
                <w:rFonts w:eastAsia="Calibri" w:cs="Arial"/>
                <w:b w:val="false"/>
                <w:bCs/>
                <w:i w:val="false"/>
                <w:iCs w:val="false"/>
                <w:kern w:val="0"/>
                <w:sz w:val="26"/>
                <w:szCs w:val="26"/>
                <w:shd w:fill="FFFFFF" w:val="clear"/>
                <w:lang w:val="ru-RU" w:eastAsia="en-US" w:bidi="ar-SA"/>
              </w:rPr>
              <w:t>тел. +7(42622) 9-27-03</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2" w:name="_Ref125360954"/>
            <w:bookmarkStart w:id="23" w:name="_Ref125360954"/>
            <w:bookmarkEnd w:id="23"/>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Организатор:</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ind w:hanging="0" w:left="0" w:right="34"/>
              <w:rPr>
                <w:sz w:val="20"/>
                <w:szCs w:val="20"/>
              </w:rPr>
            </w:pPr>
            <w:r>
              <w:rPr>
                <w:rFonts w:eastAsia="Calibri" w:cs="Arial"/>
                <w:kern w:val="0"/>
                <w:sz w:val="26"/>
                <w:szCs w:val="26"/>
                <w:lang w:val="ru-RU" w:eastAsia="en-US" w:bidi="ar-SA"/>
              </w:rPr>
              <w:t>Акционерное общество «Дальневосточная генерирующая компания» (далее - АО «ДГК»)</w:t>
            </w:r>
          </w:p>
          <w:p>
            <w:pPr>
              <w:pStyle w:val="Style21"/>
              <w:widowControl w:val="false"/>
              <w:spacing w:lineRule="auto" w:line="240" w:before="60" w:after="60"/>
              <w:ind w:hanging="0" w:left="0" w:right="34"/>
              <w:rPr>
                <w:sz w:val="20"/>
                <w:szCs w:val="20"/>
              </w:rPr>
            </w:pPr>
            <w:r>
              <w:rPr>
                <w:rFonts w:eastAsia="Calibri" w:cs="Arial"/>
                <w:kern w:val="0"/>
                <w:sz w:val="26"/>
                <w:szCs w:val="26"/>
                <w:lang w:val="ru-RU" w:eastAsia="en-US" w:bidi="ar-SA"/>
              </w:rPr>
              <w:t>Место нахождения: 680000, г. Хабаровск, ул. Фрунзе, д. 49</w:t>
            </w:r>
          </w:p>
          <w:p>
            <w:pPr>
              <w:pStyle w:val="Style21"/>
              <w:widowControl w:val="false"/>
              <w:spacing w:lineRule="auto" w:line="240" w:before="60" w:after="60"/>
              <w:ind w:hanging="0" w:left="0" w:right="34"/>
              <w:rPr>
                <w:sz w:val="20"/>
                <w:szCs w:val="20"/>
              </w:rPr>
            </w:pPr>
            <w:r>
              <w:rPr>
                <w:rFonts w:eastAsia="Calibri" w:cs="Arial"/>
                <w:kern w:val="0"/>
                <w:sz w:val="26"/>
                <w:szCs w:val="26"/>
                <w:lang w:val="ru-RU" w:eastAsia="en-US" w:bidi="ar-SA"/>
              </w:rPr>
              <w:t>Почтовый адрес: 680000, г. Хабаровск, ул. Фрунзе, д. 49</w:t>
            </w:r>
          </w:p>
          <w:p>
            <w:pPr>
              <w:pStyle w:val="Style21"/>
              <w:widowControl w:val="false"/>
              <w:spacing w:lineRule="auto" w:line="240" w:before="60" w:after="60"/>
              <w:ind w:hanging="0" w:left="0" w:right="34"/>
              <w:rPr>
                <w:b w:val="false"/>
                <w:bCs w:val="false"/>
                <w:i w:val="false"/>
                <w:i w:val="false"/>
                <w:iCs w:val="false"/>
                <w:sz w:val="20"/>
                <w:szCs w:val="20"/>
                <w:u w:val="none"/>
              </w:rPr>
            </w:pPr>
            <w:r>
              <w:rPr>
                <w:rFonts w:eastAsia="Calibri" w:cs="Arial"/>
                <w:kern w:val="0"/>
                <w:sz w:val="26"/>
                <w:szCs w:val="26"/>
                <w:lang w:val="ru-RU" w:eastAsia="en-US" w:bidi="ar-SA"/>
              </w:rPr>
              <w:t>Адрес электронной почты: dgk@dgk.ru</w:t>
            </w:r>
          </w:p>
          <w:p>
            <w:pPr>
              <w:pStyle w:val="Style21"/>
              <w:widowControl w:val="false"/>
              <w:spacing w:lineRule="auto" w:line="240" w:before="60" w:after="60"/>
              <w:ind w:hanging="0" w:left="0" w:right="34"/>
              <w:rPr>
                <w:b/>
                <w:szCs w:val="20"/>
              </w:rPr>
            </w:pPr>
            <w:r>
              <w:rPr>
                <w:rFonts w:eastAsia="Calibri" w:cs="Arial"/>
                <w:kern w:val="0"/>
                <w:sz w:val="26"/>
                <w:szCs w:val="26"/>
                <w:lang w:val="ru-RU" w:eastAsia="en-US" w:bidi="ar-SA"/>
              </w:rPr>
              <w:t>Контактный телефон: +7(4212) 26-41-48</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4" w:name="_Ref125361238"/>
            <w:bookmarkStart w:id="25" w:name="_Ref125361238"/>
            <w:bookmarkEnd w:id="25"/>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Представитель Организатора:</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ind w:hanging="0" w:left="0" w:right="34"/>
              <w:rPr>
                <w:sz w:val="26"/>
                <w:szCs w:val="26"/>
              </w:rPr>
            </w:pPr>
            <w:r>
              <w:rPr>
                <w:rFonts w:eastAsia="Calibri" w:cs="Arial"/>
                <w:kern w:val="0"/>
                <w:sz w:val="26"/>
                <w:szCs w:val="26"/>
                <w:lang w:val="ru-RU" w:eastAsia="en-US" w:bidi="ar-SA"/>
              </w:rPr>
              <w:t xml:space="preserve">По вопросам организации и проведения закупочной процедуры:  ведущий специалист отдела проведения закупок работ и услуг АО «ДГК» Никитина Надежда Викторовна, контактный телефон (4212) 26-41-48, адрес электронной почты: </w:t>
            </w:r>
            <w:hyperlink r:id="rId4" w:tgtFrame="http://nikitina-nv@dgk.ru">
              <w:r>
                <w:rPr>
                  <w:rStyle w:val="Hyperlink"/>
                  <w:rFonts w:eastAsia="Calibri" w:cs="Arial"/>
                  <w:kern w:val="0"/>
                  <w:sz w:val="26"/>
                  <w:szCs w:val="26"/>
                  <w:lang w:val="ru-RU" w:eastAsia="en-US" w:bidi="ar-SA"/>
                </w:rPr>
                <w:t>nikitina-nv@dgk.ru</w:t>
              </w:r>
            </w:hyperlink>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6" w:name="_Ref125362694"/>
            <w:bookmarkStart w:id="27" w:name="_Ref125362694"/>
            <w:bookmarkEnd w:id="27"/>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Официальный источник размещения информации о проведении закупки / срок, место и порядок предоставления Документации о закупке:</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Документация о закупке официально размещена в ЕИС и доступна на Официальном сайте для ознакомления любым заинтересованным лицам. Официальным источником информации о ходе проведения закупки является Официальный сайт (zakupki.gov.ru).</w:t>
            </w:r>
          </w:p>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Документация о закупке доступна (без взимания платы) в форме электронного документа в любое время с момента официального размещения Извещения. Предоставление Документации о закупке на бумажном носителе не предусмотрено.</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8" w:name="_Ref125360963"/>
            <w:bookmarkStart w:id="29" w:name="_Ref125360963"/>
            <w:bookmarkEnd w:id="29"/>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размещения Извещения о проведении закупки:</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w:t>
            </w:r>
            <w:r>
              <w:rPr>
                <w:rFonts w:eastAsia="Calibri" w:cs="Arial"/>
                <w:kern w:val="0"/>
                <w:sz w:val="26"/>
                <w:szCs w:val="22"/>
                <w:lang w:val="ru-RU" w:eastAsia="en-US" w:bidi="ar-SA"/>
              </w:rPr>
              <w:t>17</w:t>
            </w:r>
            <w:r>
              <w:rPr>
                <w:rFonts w:eastAsia="Calibri" w:cs="Arial"/>
                <w:kern w:val="0"/>
                <w:sz w:val="26"/>
                <w:szCs w:val="22"/>
                <w:lang w:val="ru-RU" w:eastAsia="en-US" w:bidi="ar-SA"/>
              </w:rPr>
              <w:t xml:space="preserve">» </w:t>
            </w:r>
            <w:r>
              <w:rPr>
                <w:rFonts w:eastAsia="Calibri" w:cs="Arial"/>
                <w:kern w:val="0"/>
                <w:sz w:val="26"/>
                <w:szCs w:val="22"/>
                <w:lang w:val="ru-RU" w:eastAsia="en-US" w:bidi="ar-SA"/>
              </w:rPr>
              <w:t>сентября</w:t>
            </w:r>
            <w:r>
              <w:rPr>
                <w:rFonts w:eastAsia="Calibri" w:cs="Arial"/>
                <w:kern w:val="0"/>
                <w:sz w:val="26"/>
                <w:szCs w:val="22"/>
                <w:lang w:val="ru-RU" w:eastAsia="en-US" w:bidi="ar-SA"/>
              </w:rPr>
              <w:t xml:space="preserve"> 202</w:t>
            </w:r>
            <w:r>
              <w:rPr>
                <w:rFonts w:eastAsia="Calibri" w:cs="Arial"/>
                <w:kern w:val="0"/>
                <w:sz w:val="26"/>
                <w:szCs w:val="22"/>
                <w:lang w:val="ru-RU" w:eastAsia="en-US" w:bidi="ar-SA"/>
              </w:rPr>
              <w:t>6</w:t>
            </w:r>
            <w:r>
              <w:rPr>
                <w:rFonts w:eastAsia="Calibri" w:cs="Arial"/>
                <w:kern w:val="0"/>
                <w:sz w:val="26"/>
                <w:szCs w:val="22"/>
                <w:lang w:val="ru-RU" w:eastAsia="en-US" w:bidi="ar-SA"/>
              </w:rPr>
              <w:t> г.</w:t>
            </w:r>
          </w:p>
          <w:p>
            <w:pPr>
              <w:pStyle w:val="Style21"/>
              <w:widowControl w:val="false"/>
              <w:spacing w:lineRule="auto" w:line="240" w:before="60" w:after="60"/>
              <w:rPr>
                <w:rStyle w:val="Style3"/>
              </w:rPr>
            </w:pPr>
            <w:r>
              <w:rPr/>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0" w:name="_Ref125362837"/>
            <w:bookmarkStart w:id="31" w:name="_Ref125362837"/>
            <w:bookmarkEnd w:id="31"/>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Начальная (максимальная) цена договора (цена лота):</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НМЦ составляет 5 6</w:t>
            </w:r>
            <w:r>
              <w:rPr>
                <w:rFonts w:eastAsia="Calibri" w:cs="Arial"/>
                <w:kern w:val="0"/>
                <w:sz w:val="26"/>
                <w:szCs w:val="22"/>
                <w:lang w:val="ru-RU" w:eastAsia="en-US" w:bidi="ar-SA"/>
              </w:rPr>
              <w:t>35 862,52</w:t>
            </w:r>
            <w:r>
              <w:rPr>
                <w:rFonts w:eastAsia="Calibri" w:cs="Arial"/>
                <w:kern w:val="0"/>
                <w:sz w:val="26"/>
                <w:szCs w:val="22"/>
                <w:lang w:val="ru-RU" w:eastAsia="en-US" w:bidi="ar-SA"/>
              </w:rPr>
              <w:t> руб., без учета НДС.</w:t>
            </w:r>
          </w:p>
          <w:p>
            <w:pPr>
              <w:pStyle w:val="Style21"/>
              <w:widowControl w:val="false"/>
              <w:spacing w:lineRule="auto" w:line="240" w:before="60" w:after="60"/>
              <w:rPr/>
            </w:pPr>
            <w:r>
              <w:rPr>
                <w:rFonts w:eastAsia="Calibri" w:cs="Arial"/>
                <w:kern w:val="0"/>
                <w:sz w:val="26"/>
                <w:szCs w:val="22"/>
                <w:lang w:val="ru-RU" w:eastAsia="en-US" w:bidi="ar-SA"/>
              </w:rPr>
              <w:t xml:space="preserve">Обоснование НМЦ представлено в </w:t>
            </w:r>
            <w:hyperlink w:anchor="Прил09_ОбоснованиеНМЦ" w:tgtFrame="#Прил09_ОбоснованиеНМЦ">
              <w:r>
                <w:rPr>
                  <w:rStyle w:val="Style6"/>
                  <w:rFonts w:eastAsia="Calibri" w:cs="Arial"/>
                  <w:kern w:val="0"/>
                  <w:sz w:val="26"/>
                  <w:szCs w:val="22"/>
                  <w:lang w:val="ru-RU" w:eastAsia="en-US" w:bidi="ar-SA"/>
                </w:rPr>
                <w:t>Приложении № 9</w:t>
              </w:r>
            </w:hyperlink>
            <w:r>
              <w:rPr>
                <w:rFonts w:eastAsia="Calibri" w:cs="Arial"/>
                <w:kern w:val="0"/>
                <w:sz w:val="26"/>
                <w:szCs w:val="22"/>
                <w:lang w:val="ru-RU" w:eastAsia="en-US" w:bidi="ar-SA"/>
              </w:rPr>
              <w:t>.</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2" w:name="_Ref125363076"/>
            <w:bookmarkStart w:id="33" w:name="_Ref125363076"/>
            <w:bookmarkEnd w:id="33"/>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Обеспечение заявки на участие в закупке:</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 требуется.</w:t>
            </w:r>
          </w:p>
          <w:p>
            <w:pPr>
              <w:pStyle w:val="Style21"/>
              <w:widowControl w:val="false"/>
              <w:spacing w:lineRule="auto" w:line="240" w:before="60" w:after="60"/>
              <w:rPr/>
            </w:pPr>
            <w:r>
              <w:rPr>
                <w:rStyle w:val="Style3"/>
                <w:rFonts w:eastAsia="Calibri" w:cs="Arial"/>
                <w:i w:val="false"/>
                <w:iCs w:val="false"/>
                <w:kern w:val="0"/>
                <w:sz w:val="26"/>
                <w:szCs w:val="22"/>
                <w:shd w:fill="auto" w:val="clear"/>
                <w:lang w:val="ru-RU" w:eastAsia="en-US" w:bidi="ar-SA"/>
              </w:rPr>
              <w:t>Внимание! Для того, чтобы иметь возможность подать заявку на участие в закупке, в соответствии с Регламентом ЭП на счете Участника, открытом ему Оператором ЭП, должна быть внесена сумма в размере не менее установленной платы в соответствии с тарифами Оператора ЭП.</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4" w:name="_Ref125362995"/>
            <w:bookmarkStart w:id="35" w:name="_Ref125362995"/>
            <w:bookmarkEnd w:id="35"/>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Требования</w:t>
              <w:br/>
              <w:t>к описанию продукции:</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Согласие (декларация) Участника на поставку продукции по установленной форме Технического предложения (форма 4)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на условиях, указанных в Документации о закупке и не подлежащих изменению по результатам проведения закупки, без направления Участником собственных подробных предложений.</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Применение законодательства о национальном режиме:</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Национальный режим предоставляется.</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6" w:name="_Ref125533737"/>
            <w:bookmarkStart w:id="37" w:name="_Ref125533737"/>
            <w:bookmarkEnd w:id="37"/>
          </w:p>
        </w:tc>
        <w:tc>
          <w:tcPr>
            <w:tcW w:w="2975" w:type="dxa"/>
            <w:tcBorders>
              <w:top w:val="single" w:sz="4" w:space="0" w:color="7F7F7F"/>
              <w:left w:val="single" w:sz="4" w:space="0" w:color="7F7F7F"/>
              <w:bottom w:val="single" w:sz="4" w:space="0" w:color="7F7F7F"/>
              <w:right w:val="single" w:sz="4" w:space="0" w:color="7F7F7F"/>
            </w:tcBorders>
          </w:tcPr>
          <w:p>
            <w:pPr>
              <w:pStyle w:val="Normal"/>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Дополнительный этап закупки – Предзаявочное обсуждение:</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szCs w:val="26"/>
              </w:rPr>
            </w:pPr>
            <w:r>
              <w:rPr>
                <w:rFonts w:eastAsia="Calibri" w:cs="Arial"/>
                <w:kern w:val="0"/>
                <w:sz w:val="26"/>
                <w:szCs w:val="26"/>
                <w:lang w:val="ru-RU" w:eastAsia="en-US" w:bidi="ar-SA"/>
              </w:rPr>
              <w:t>Не предусмотрен.</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8" w:name="_Ref132896648"/>
            <w:bookmarkStart w:id="39" w:name="_Ref132896648"/>
            <w:bookmarkEnd w:id="39"/>
          </w:p>
        </w:tc>
        <w:tc>
          <w:tcPr>
            <w:tcW w:w="2975" w:type="dxa"/>
            <w:tcBorders>
              <w:top w:val="single" w:sz="4" w:space="0" w:color="7F7F7F"/>
              <w:left w:val="single" w:sz="4" w:space="0" w:color="7F7F7F"/>
              <w:bottom w:val="single" w:sz="4" w:space="0" w:color="7F7F7F"/>
              <w:right w:val="single" w:sz="4" w:space="0" w:color="7F7F7F"/>
            </w:tcBorders>
          </w:tcPr>
          <w:p>
            <w:pPr>
              <w:pStyle w:val="Normal"/>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Дополнительный этап закупки – Обсуждение заявок:</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szCs w:val="26"/>
              </w:rPr>
            </w:pPr>
            <w:r>
              <w:rPr>
                <w:rFonts w:eastAsia="Calibri" w:cs="Arial"/>
                <w:kern w:val="0"/>
                <w:sz w:val="26"/>
                <w:szCs w:val="26"/>
                <w:lang w:val="ru-RU" w:eastAsia="en-US" w:bidi="ar-SA"/>
              </w:rPr>
              <w:t>Не предусмотрен.</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40" w:name="_Ref125475086"/>
            <w:bookmarkStart w:id="41" w:name="_Ref125475086"/>
            <w:bookmarkEnd w:id="41"/>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Место и порядок</w:t>
              <w:br/>
              <w:t>подачи заявок:</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Заявки подаются посредством функционала ЭП, по адресу ЭП, указанному в пункте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_Ref125360764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1.2.5</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r>
          </w:p>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Заявка должна состоять из двух частей и ценового предложения.</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42" w:name="_Ref125360779"/>
            <w:bookmarkStart w:id="43" w:name="_Ref125360779"/>
            <w:bookmarkEnd w:id="43"/>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начала; дата и время окончания срока подачи заявок (окончательных предложений):</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начала подачи заявок:</w:t>
            </w:r>
          </w:p>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w:t>
            </w:r>
            <w:r>
              <w:rPr>
                <w:rFonts w:eastAsia="Calibri" w:cs="Arial"/>
                <w:kern w:val="0"/>
                <w:sz w:val="26"/>
                <w:szCs w:val="22"/>
                <w:lang w:val="ru-RU" w:eastAsia="en-US" w:bidi="ar-SA"/>
              </w:rPr>
              <w:t>17</w:t>
            </w:r>
            <w:r>
              <w:rPr>
                <w:rFonts w:eastAsia="Calibri" w:cs="Arial"/>
                <w:kern w:val="0"/>
                <w:sz w:val="26"/>
                <w:szCs w:val="22"/>
                <w:lang w:val="ru-RU" w:eastAsia="en-US" w:bidi="ar-SA"/>
              </w:rPr>
              <w:t xml:space="preserve">» </w:t>
            </w:r>
            <w:r>
              <w:rPr>
                <w:rFonts w:eastAsia="Calibri" w:cs="Arial"/>
                <w:kern w:val="0"/>
                <w:sz w:val="26"/>
                <w:szCs w:val="22"/>
                <w:lang w:val="ru-RU" w:eastAsia="en-US" w:bidi="ar-SA"/>
              </w:rPr>
              <w:t>сентября 2026</w:t>
            </w:r>
            <w:r>
              <w:rPr>
                <w:rFonts w:eastAsia="Calibri" w:cs="Arial"/>
                <w:kern w:val="0"/>
                <w:sz w:val="26"/>
                <w:szCs w:val="22"/>
                <w:lang w:val="ru-RU" w:eastAsia="en-US" w:bidi="ar-SA"/>
              </w:rPr>
              <w:t> г.</w:t>
            </w:r>
          </w:p>
          <w:p>
            <w:pPr>
              <w:pStyle w:val="Style21"/>
              <w:widowControl w:val="false"/>
              <w:spacing w:lineRule="auto" w:line="240" w:before="60" w:after="60"/>
              <w:rPr>
                <w:rStyle w:val="Style3"/>
                <w:rFonts w:eastAsia="Calibri" w:cs="Arial"/>
                <w:kern w:val="0"/>
                <w:sz w:val="26"/>
                <w:szCs w:val="22"/>
                <w:lang w:val="ru-RU" w:eastAsia="en-US" w:bidi="ar-SA"/>
              </w:rPr>
            </w:pPr>
            <w:r>
              <w:rPr/>
            </w:r>
          </w:p>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и время окончания срока подачи заявок (окончательных предложений):</w:t>
            </w:r>
          </w:p>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w:t>
            </w:r>
            <w:r>
              <w:rPr>
                <w:rFonts w:eastAsia="Calibri" w:cs="Arial"/>
                <w:kern w:val="0"/>
                <w:sz w:val="26"/>
                <w:szCs w:val="22"/>
                <w:lang w:val="ru-RU" w:eastAsia="en-US" w:bidi="ar-SA"/>
              </w:rPr>
              <w:t>29</w:t>
            </w:r>
            <w:r>
              <w:rPr>
                <w:rFonts w:eastAsia="Calibri" w:cs="Arial"/>
                <w:kern w:val="0"/>
                <w:sz w:val="26"/>
                <w:szCs w:val="22"/>
                <w:lang w:val="ru-RU" w:eastAsia="en-US" w:bidi="ar-SA"/>
              </w:rPr>
              <w:t xml:space="preserve">» </w:t>
            </w:r>
            <w:r>
              <w:rPr>
                <w:rFonts w:eastAsia="Calibri" w:cs="Arial"/>
                <w:kern w:val="0"/>
                <w:sz w:val="26"/>
                <w:szCs w:val="22"/>
                <w:lang w:val="ru-RU" w:eastAsia="en-US" w:bidi="ar-SA"/>
              </w:rPr>
              <w:t>сентября</w:t>
            </w:r>
            <w:r>
              <w:rPr>
                <w:rFonts w:eastAsia="Calibri" w:cs="Arial"/>
                <w:kern w:val="0"/>
                <w:sz w:val="26"/>
                <w:szCs w:val="22"/>
                <w:lang w:val="ru-RU" w:eastAsia="en-US" w:bidi="ar-SA"/>
              </w:rPr>
              <w:t xml:space="preserve"> 202</w:t>
            </w:r>
            <w:r>
              <w:rPr>
                <w:rFonts w:eastAsia="Calibri" w:cs="Arial"/>
                <w:kern w:val="0"/>
                <w:sz w:val="26"/>
                <w:szCs w:val="22"/>
                <w:lang w:val="ru-RU" w:eastAsia="en-US" w:bidi="ar-SA"/>
              </w:rPr>
              <w:t>6</w:t>
            </w:r>
            <w:r>
              <w:rPr>
                <w:rFonts w:eastAsia="Calibri" w:cs="Arial"/>
                <w:kern w:val="0"/>
                <w:sz w:val="26"/>
                <w:szCs w:val="22"/>
                <w:lang w:val="ru-RU" w:eastAsia="en-US" w:bidi="ar-SA"/>
              </w:rPr>
              <w:t xml:space="preserve"> г. в </w:t>
            </w:r>
            <w:r>
              <w:rPr>
                <w:rFonts w:eastAsia="Calibri" w:cs="Arial"/>
                <w:kern w:val="0"/>
                <w:sz w:val="26"/>
                <w:szCs w:val="22"/>
                <w:lang w:val="ru-RU" w:eastAsia="en-US" w:bidi="ar-SA"/>
              </w:rPr>
              <w:t>15</w:t>
            </w:r>
            <w:r>
              <w:rPr>
                <w:rFonts w:eastAsia="Calibri" w:cs="Arial"/>
                <w:kern w:val="0"/>
                <w:sz w:val="26"/>
                <w:szCs w:val="22"/>
                <w:lang w:val="ru-RU" w:eastAsia="en-US" w:bidi="ar-SA"/>
              </w:rPr>
              <w:t xml:space="preserve"> ч. </w:t>
            </w:r>
            <w:r>
              <w:rPr>
                <w:rFonts w:eastAsia="Calibri" w:cs="Arial"/>
                <w:kern w:val="0"/>
                <w:sz w:val="26"/>
                <w:szCs w:val="22"/>
                <w:lang w:val="ru-RU" w:eastAsia="en-US" w:bidi="ar-SA"/>
              </w:rPr>
              <w:t>00</w:t>
            </w:r>
            <w:r>
              <w:rPr>
                <w:rFonts w:eastAsia="Calibri" w:cs="Arial"/>
                <w:kern w:val="0"/>
                <w:sz w:val="26"/>
                <w:szCs w:val="22"/>
                <w:lang w:val="ru-RU" w:eastAsia="en-US" w:bidi="ar-SA"/>
              </w:rPr>
              <w:t> мин.</w:t>
            </w:r>
          </w:p>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 местному времени Организатора).</w:t>
            </w:r>
          </w:p>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Если в пункте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_Ref125533737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1.2.16</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или в пункте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_Ref132896648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1.2.17</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предусмотрено соответственно проведение Предзаявочного обсуждения или Обсуждения заявок, и по результатам проведения соответствующего обсуждения Заказчиком будет принято решение о необходимости уточнения функциональных характеристик (потребительских свойств) закупаемой продукции, иных условий исполнения договора, Организатор вправе, при необходимости, изменить данный срок для подачи окончательных предложений Участников.</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Срок предоставления Участникам разъяснений Документации о закупке:</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и время окончания срока предоставления разъяснений:</w:t>
            </w:r>
          </w:p>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w:t>
            </w:r>
            <w:r>
              <w:rPr>
                <w:rFonts w:eastAsia="Calibri" w:cs="Arial"/>
                <w:kern w:val="0"/>
                <w:sz w:val="26"/>
                <w:szCs w:val="22"/>
                <w:lang w:val="ru-RU" w:eastAsia="en-US" w:bidi="ar-SA"/>
              </w:rPr>
              <w:t>29</w:t>
            </w:r>
            <w:r>
              <w:rPr>
                <w:rFonts w:eastAsia="Calibri" w:cs="Arial"/>
                <w:kern w:val="0"/>
                <w:sz w:val="26"/>
                <w:szCs w:val="22"/>
                <w:lang w:val="ru-RU" w:eastAsia="en-US" w:bidi="ar-SA"/>
              </w:rPr>
              <w:t xml:space="preserve">» </w:t>
            </w:r>
            <w:r>
              <w:rPr>
                <w:rFonts w:eastAsia="Calibri" w:cs="Arial"/>
                <w:kern w:val="0"/>
                <w:sz w:val="26"/>
                <w:szCs w:val="22"/>
                <w:lang w:val="ru-RU" w:eastAsia="en-US" w:bidi="ar-SA"/>
              </w:rPr>
              <w:t>сентября</w:t>
            </w:r>
            <w:r>
              <w:rPr>
                <w:rFonts w:eastAsia="Calibri" w:cs="Arial"/>
                <w:kern w:val="0"/>
                <w:sz w:val="26"/>
                <w:szCs w:val="22"/>
                <w:lang w:val="ru-RU" w:eastAsia="en-US" w:bidi="ar-SA"/>
              </w:rPr>
              <w:t xml:space="preserve"> 202</w:t>
            </w:r>
            <w:r>
              <w:rPr>
                <w:rFonts w:eastAsia="Calibri" w:cs="Arial"/>
                <w:kern w:val="0"/>
                <w:sz w:val="26"/>
                <w:szCs w:val="22"/>
                <w:lang w:val="ru-RU" w:eastAsia="en-US" w:bidi="ar-SA"/>
              </w:rPr>
              <w:t>6</w:t>
            </w:r>
            <w:r>
              <w:rPr>
                <w:rFonts w:eastAsia="Calibri" w:cs="Arial"/>
                <w:kern w:val="0"/>
                <w:sz w:val="26"/>
                <w:szCs w:val="22"/>
                <w:lang w:val="ru-RU" w:eastAsia="en-US" w:bidi="ar-SA"/>
              </w:rPr>
              <w:t xml:space="preserve"> г. в </w:t>
            </w:r>
            <w:r>
              <w:rPr>
                <w:rFonts w:eastAsia="Calibri" w:cs="Arial"/>
                <w:kern w:val="0"/>
                <w:sz w:val="26"/>
                <w:szCs w:val="22"/>
                <w:lang w:val="ru-RU" w:eastAsia="en-US" w:bidi="ar-SA"/>
              </w:rPr>
              <w:t>15</w:t>
            </w:r>
            <w:r>
              <w:rPr>
                <w:rFonts w:eastAsia="Calibri" w:cs="Arial"/>
                <w:kern w:val="0"/>
                <w:sz w:val="26"/>
                <w:szCs w:val="22"/>
                <w:lang w:val="ru-RU" w:eastAsia="en-US" w:bidi="ar-SA"/>
              </w:rPr>
              <w:t xml:space="preserve"> ч. </w:t>
            </w:r>
            <w:r>
              <w:rPr>
                <w:rFonts w:eastAsia="Calibri" w:cs="Arial"/>
                <w:kern w:val="0"/>
                <w:sz w:val="26"/>
                <w:szCs w:val="22"/>
                <w:lang w:val="ru-RU" w:eastAsia="en-US" w:bidi="ar-SA"/>
              </w:rPr>
              <w:t>00</w:t>
            </w:r>
            <w:r>
              <w:rPr>
                <w:rFonts w:eastAsia="Calibri" w:cs="Arial"/>
                <w:kern w:val="0"/>
                <w:sz w:val="26"/>
                <w:szCs w:val="22"/>
                <w:lang w:val="ru-RU" w:eastAsia="en-US" w:bidi="ar-SA"/>
              </w:rPr>
              <w:t> мин.</w:t>
            </w:r>
          </w:p>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 местному времени Организатора).</w:t>
            </w:r>
          </w:p>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Организатор вправе не предоставлять разъяснение если запрос от Участника поступил позднее чем за 3 (три) рабочих дня до даты окончания срока подачи заявок, установленной в пункте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_Ref125360779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1.2.19</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44" w:name="_Ref125476197"/>
            <w:bookmarkStart w:id="45" w:name="_Ref125476197"/>
            <w:bookmarkEnd w:id="45"/>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Место открытия</w:t>
              <w:br/>
              <w:t>доступа к заявкам:</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Открытие доступа к заявкам осуществляется автоматически на ЭП, расположенной по адресу согласно пункту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_Ref125360764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1.2.5</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46" w:name="_Ref125362733"/>
            <w:bookmarkStart w:id="47" w:name="_Ref125362733"/>
            <w:bookmarkEnd w:id="47"/>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окончания рассмотрения первых частей заявок (первых частей заявок, содержащихся в окончательных предложениях):</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w:t>
            </w:r>
            <w:r>
              <w:rPr>
                <w:rFonts w:eastAsia="Calibri" w:cs="Arial"/>
                <w:kern w:val="0"/>
                <w:sz w:val="26"/>
                <w:szCs w:val="22"/>
                <w:lang w:val="ru-RU" w:eastAsia="en-US" w:bidi="ar-SA"/>
              </w:rPr>
              <w:t xml:space="preserve">07» октября </w:t>
            </w:r>
            <w:r>
              <w:rPr>
                <w:rFonts w:eastAsia="Calibri" w:cs="Arial"/>
                <w:kern w:val="0"/>
                <w:sz w:val="26"/>
                <w:szCs w:val="22"/>
                <w:lang w:val="ru-RU" w:eastAsia="en-US" w:bidi="ar-SA"/>
              </w:rPr>
              <w:t>202</w:t>
            </w:r>
            <w:r>
              <w:rPr>
                <w:rFonts w:eastAsia="Calibri" w:cs="Arial"/>
                <w:kern w:val="0"/>
                <w:sz w:val="26"/>
                <w:szCs w:val="22"/>
                <w:lang w:val="ru-RU" w:eastAsia="en-US" w:bidi="ar-SA"/>
              </w:rPr>
              <w:t>6</w:t>
            </w:r>
            <w:r>
              <w:rPr>
                <w:rFonts w:eastAsia="Calibri" w:cs="Arial"/>
                <w:kern w:val="0"/>
                <w:sz w:val="26"/>
                <w:szCs w:val="22"/>
                <w:lang w:val="ru-RU" w:eastAsia="en-US" w:bidi="ar-SA"/>
              </w:rPr>
              <w:t> г.</w:t>
            </w:r>
          </w:p>
          <w:p>
            <w:pPr>
              <w:pStyle w:val="Style21"/>
              <w:widowControl w:val="false"/>
              <w:spacing w:lineRule="auto" w:line="240" w:before="60" w:after="60"/>
              <w:rPr>
                <w:rStyle w:val="Style3"/>
              </w:rPr>
            </w:pPr>
            <w:r>
              <w:rPr/>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Срок направления Оператором ЭП вторых частей заявок и ценовых предложений в адрес Организатора</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 позднее 1 (одного) рабочего дня, следующего за днем официального размещения на Официальном сайте (ЕИС) протокола рассмотрения первых частей заявок (первых частей заявок, содержащихся в окончательных предложениях).</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48" w:name="_Ref132898515"/>
            <w:bookmarkStart w:id="49" w:name="_Ref132898515"/>
            <w:bookmarkEnd w:id="49"/>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окончания рассмотрения вторых частей заявок и ценовых предложений:</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w:t>
            </w:r>
            <w:r>
              <w:rPr>
                <w:rFonts w:eastAsia="Calibri" w:cs="Arial"/>
                <w:kern w:val="0"/>
                <w:sz w:val="26"/>
                <w:szCs w:val="22"/>
                <w:lang w:val="ru-RU" w:eastAsia="en-US" w:bidi="ar-SA"/>
              </w:rPr>
              <w:t xml:space="preserve">27» октября </w:t>
            </w:r>
            <w:r>
              <w:rPr>
                <w:rFonts w:eastAsia="Calibri" w:cs="Arial"/>
                <w:kern w:val="0"/>
                <w:sz w:val="26"/>
                <w:szCs w:val="22"/>
                <w:lang w:val="ru-RU" w:eastAsia="en-US" w:bidi="ar-SA"/>
              </w:rPr>
              <w:t>202</w:t>
            </w:r>
            <w:r>
              <w:rPr>
                <w:rFonts w:eastAsia="Calibri" w:cs="Arial"/>
                <w:kern w:val="0"/>
                <w:sz w:val="26"/>
                <w:szCs w:val="22"/>
                <w:lang w:val="ru-RU" w:eastAsia="en-US" w:bidi="ar-SA"/>
              </w:rPr>
              <w:t xml:space="preserve">6 </w:t>
            </w:r>
            <w:r>
              <w:rPr>
                <w:rFonts w:eastAsia="Calibri" w:cs="Arial"/>
                <w:kern w:val="0"/>
                <w:sz w:val="26"/>
                <w:szCs w:val="22"/>
                <w:lang w:val="ru-RU" w:eastAsia="en-US" w:bidi="ar-SA"/>
              </w:rPr>
              <w:t> г.</w:t>
            </w:r>
          </w:p>
          <w:p>
            <w:pPr>
              <w:pStyle w:val="Style21"/>
              <w:widowControl w:val="false"/>
              <w:spacing w:lineRule="auto" w:line="240" w:before="60" w:after="60"/>
              <w:rPr>
                <w:rStyle w:val="Style3"/>
                <w:rFonts w:eastAsia="Calibri" w:cs="Arial"/>
                <w:kern w:val="0"/>
                <w:sz w:val="26"/>
                <w:szCs w:val="22"/>
                <w:lang w:val="ru-RU" w:eastAsia="en-US" w:bidi="ar-SA"/>
              </w:rPr>
            </w:pPr>
            <w:r>
              <w:rPr/>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Дополнительный этап закупки – Переторжка (подача дополнительных ценовых предложений):</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szCs w:val="26"/>
              </w:rPr>
            </w:pPr>
            <w:r>
              <w:rPr>
                <w:rFonts w:eastAsia="Calibri" w:cs="Arial"/>
                <w:kern w:val="0"/>
                <w:sz w:val="26"/>
                <w:szCs w:val="26"/>
                <w:lang w:val="ru-RU" w:eastAsia="en-US" w:bidi="ar-SA"/>
              </w:rPr>
              <w:t>Не предусмотрен.</w:t>
            </w:r>
          </w:p>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50" w:name="_Ref125362757"/>
            <w:bookmarkStart w:id="51" w:name="_Ref125362757"/>
            <w:bookmarkEnd w:id="51"/>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Дата подведения</w:t>
              <w:br/>
              <w:t>итогов закупки:</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w:t>
            </w:r>
            <w:r>
              <w:rPr>
                <w:rFonts w:eastAsia="Calibri" w:cs="Arial"/>
                <w:kern w:val="0"/>
                <w:sz w:val="26"/>
                <w:szCs w:val="22"/>
                <w:lang w:val="ru-RU" w:eastAsia="en-US" w:bidi="ar-SA"/>
              </w:rPr>
              <w:t>27</w:t>
            </w:r>
            <w:r>
              <w:rPr>
                <w:rFonts w:eastAsia="Calibri" w:cs="Arial"/>
                <w:kern w:val="0"/>
                <w:sz w:val="26"/>
                <w:szCs w:val="22"/>
                <w:lang w:val="ru-RU" w:eastAsia="en-US" w:bidi="ar-SA"/>
              </w:rPr>
              <w:t xml:space="preserve">» </w:t>
            </w:r>
            <w:r>
              <w:rPr>
                <w:rFonts w:eastAsia="Calibri" w:cs="Arial"/>
                <w:kern w:val="0"/>
                <w:sz w:val="26"/>
                <w:szCs w:val="22"/>
                <w:lang w:val="ru-RU" w:eastAsia="en-US" w:bidi="ar-SA"/>
              </w:rPr>
              <w:t>октября</w:t>
            </w:r>
            <w:r>
              <w:rPr>
                <w:rFonts w:eastAsia="Calibri" w:cs="Arial"/>
                <w:kern w:val="0"/>
                <w:sz w:val="26"/>
                <w:szCs w:val="22"/>
                <w:lang w:val="ru-RU" w:eastAsia="en-US" w:bidi="ar-SA"/>
              </w:rPr>
              <w:t xml:space="preserve"> 202</w:t>
            </w:r>
            <w:r>
              <w:rPr>
                <w:rFonts w:eastAsia="Calibri" w:cs="Arial"/>
                <w:kern w:val="0"/>
                <w:sz w:val="26"/>
                <w:szCs w:val="22"/>
                <w:lang w:val="ru-RU" w:eastAsia="en-US" w:bidi="ar-SA"/>
              </w:rPr>
              <w:t>6</w:t>
            </w:r>
            <w:r>
              <w:rPr>
                <w:rFonts w:eastAsia="Calibri" w:cs="Arial"/>
                <w:kern w:val="0"/>
                <w:sz w:val="26"/>
                <w:szCs w:val="22"/>
                <w:lang w:val="ru-RU" w:eastAsia="en-US" w:bidi="ar-SA"/>
              </w:rPr>
              <w:t> г.</w:t>
            </w:r>
          </w:p>
          <w:p>
            <w:pPr>
              <w:pStyle w:val="Style21"/>
              <w:widowControl w:val="false"/>
              <w:spacing w:lineRule="auto" w:line="240" w:before="60" w:after="60"/>
              <w:rPr>
                <w:rStyle w:val="Style3"/>
              </w:rPr>
            </w:pPr>
            <w:r>
              <w:rPr/>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52" w:name="_Ref125366047"/>
            <w:bookmarkStart w:id="53" w:name="_Ref125366047"/>
            <w:bookmarkEnd w:id="53"/>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Преференция продукции, изготовленной с использованием российского алюминия и (или) алюминиевых полуфабрикатов:</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 предоставляется.</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54" w:name="_Ref125361769"/>
            <w:bookmarkStart w:id="55" w:name="_Ref125361769"/>
            <w:bookmarkEnd w:id="55"/>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Рассмотрение, оценка и сопоставление заявок Участников с учетом привлекаемых субподрядчиков:</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 предусмотрено.</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Порядок подведения итогов закупки:</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Победителем закупки признается Участник, заявка которого соответствует требованиям Документации о закупке и содержит лучшие условия исполнения Договора на основании установленных критериев оценки согласно Документации о закупке.</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56" w:name="_Ref125366606"/>
            <w:bookmarkStart w:id="57" w:name="_Ref125366606"/>
            <w:bookmarkEnd w:id="57"/>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Количество победителей закупки (в рамках одного лота):</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Один победитель.</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58" w:name="_Ref125366813"/>
            <w:bookmarkStart w:id="59" w:name="_Ref125366813"/>
            <w:bookmarkEnd w:id="59"/>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Место подачи документов в отношении цепочки собственников, включая конечных бенефициаров:</w:t>
            </w:r>
          </w:p>
        </w:tc>
        <w:tc>
          <w:tcPr>
            <w:tcW w:w="5811"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0" w:after="0"/>
              <w:rPr/>
            </w:pPr>
            <w:r>
              <w:rPr>
                <w:rFonts w:eastAsia="Calibri" w:cs="Arial"/>
                <w:kern w:val="0"/>
                <w:sz w:val="26"/>
                <w:szCs w:val="22"/>
                <w:lang w:val="ru-RU" w:eastAsia="en-US" w:bidi="ar-SA"/>
              </w:rPr>
              <w:t>Для подачи документов в бумажной форме:</w:t>
            </w:r>
          </w:p>
          <w:p>
            <w:pPr>
              <w:pStyle w:val="Style21"/>
              <w:keepNext w:val="true"/>
              <w:widowControl w:val="false"/>
              <w:spacing w:lineRule="auto" w:line="240" w:before="0" w:after="0"/>
              <w:rPr/>
            </w:pPr>
            <w:r>
              <w:rPr>
                <w:rFonts w:eastAsia="Calibri" w:cs="Arial"/>
                <w:kern w:val="0"/>
                <w:sz w:val="26"/>
                <w:szCs w:val="22"/>
                <w:lang w:val="ru-RU" w:eastAsia="en-US" w:bidi="ar-SA"/>
              </w:rPr>
              <w:t>Контактное лицо (Ф.И.О.):</w:t>
            </w:r>
          </w:p>
          <w:p>
            <w:pPr>
              <w:pStyle w:val="Style21"/>
              <w:widowControl w:val="false"/>
              <w:spacing w:lineRule="auto" w:line="240" w:before="0" w:after="0"/>
              <w:rPr/>
            </w:pPr>
            <w:r>
              <w:rPr>
                <w:rFonts w:eastAsia="Calibri" w:cs="Arial"/>
                <w:kern w:val="0"/>
                <w:sz w:val="26"/>
                <w:szCs w:val="22"/>
                <w:lang w:val="ru-RU" w:eastAsia="en-US" w:bidi="ar-SA"/>
              </w:rPr>
              <w:t xml:space="preserve">Худяков Дмитрий Александрович </w:t>
            </w:r>
          </w:p>
          <w:p>
            <w:pPr>
              <w:pStyle w:val="Style21"/>
              <w:widowControl w:val="false"/>
              <w:spacing w:lineRule="auto" w:line="240" w:before="0" w:after="0"/>
              <w:rPr/>
            </w:pPr>
            <w:r>
              <w:rPr>
                <w:rFonts w:eastAsia="Calibri" w:cs="Arial"/>
                <w:kern w:val="0"/>
                <w:sz w:val="26"/>
                <w:szCs w:val="22"/>
                <w:lang w:val="ru-RU" w:eastAsia="en-US" w:bidi="ar-SA"/>
              </w:rPr>
              <w:t>тел. +7(42622) 9-27-03</w:t>
            </w:r>
          </w:p>
          <w:p>
            <w:pPr>
              <w:pStyle w:val="Style21"/>
              <w:keepNext w:val="true"/>
              <w:widowControl w:val="false"/>
              <w:spacing w:lineRule="auto" w:line="240" w:before="0" w:after="0"/>
              <w:rPr/>
            </w:pPr>
            <w:r>
              <w:rPr>
                <w:rFonts w:eastAsia="Calibri" w:cs="Arial"/>
                <w:kern w:val="0"/>
                <w:sz w:val="26"/>
                <w:szCs w:val="22"/>
                <w:lang w:val="ru-RU" w:eastAsia="en-US" w:bidi="ar-SA"/>
              </w:rPr>
              <w:t>Почтовый адрес:</w:t>
            </w:r>
          </w:p>
          <w:p>
            <w:pPr>
              <w:pStyle w:val="Style21"/>
              <w:widowControl w:val="false"/>
              <w:spacing w:lineRule="auto" w:line="240" w:before="0" w:after="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679000, г. Биробиджан, ул. Шолом-Алейхема, 60</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60" w:name="_Ref125368490"/>
            <w:bookmarkStart w:id="61" w:name="_Ref125368490"/>
            <w:bookmarkEnd w:id="61"/>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Некритичные пункты Проекта договора:</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Отсутствуют.</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left"/>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Обеспечение</w:t>
              <w:br/>
              <w:t>исполнения Договора:</w:t>
            </w:r>
          </w:p>
        </w:tc>
        <w:tc>
          <w:tcPr>
            <w:tcW w:w="5811" w:type="dxa"/>
            <w:tcBorders>
              <w:top w:val="single" w:sz="4" w:space="0" w:color="7F7F7F"/>
              <w:left w:val="single" w:sz="4" w:space="0" w:color="7F7F7F"/>
              <w:bottom w:val="single" w:sz="4" w:space="0" w:color="7F7F7F"/>
              <w:right w:val="single" w:sz="4" w:space="0" w:color="7F7F7F"/>
            </w:tcBorders>
          </w:tcPr>
          <w:p>
            <w:pPr>
              <w:pStyle w:val="Normal"/>
              <w:spacing w:lineRule="auto" w:line="240" w:before="60" w:after="240"/>
              <w:ind w:hanging="0" w:left="11"/>
              <w:jc w:val="left"/>
              <w:rPr>
                <w:i w:val="false"/>
                <w:i w:val="false"/>
                <w:iCs w:val="false"/>
                <w:sz w:val="26"/>
                <w:szCs w:val="26"/>
              </w:rPr>
            </w:pPr>
            <w:r>
              <w:rPr>
                <w:rFonts w:eastAsia="Times New Roman" w:cs="Times New Roman"/>
                <w:i w:val="false"/>
                <w:iCs w:val="false"/>
                <w:sz w:val="26"/>
                <w:szCs w:val="26"/>
                <w:shd w:fill="auto" w:val="clear"/>
              </w:rPr>
              <w:t>Требуется</w:t>
            </w:r>
          </w:p>
          <w:p>
            <w:pPr>
              <w:pStyle w:val="Normal"/>
              <w:spacing w:lineRule="auto" w:line="240" w:before="60" w:after="240"/>
              <w:ind w:hanging="0" w:left="11"/>
              <w:jc w:val="left"/>
              <w:rPr>
                <w:i w:val="false"/>
                <w:i w:val="false"/>
                <w:iCs w:val="false"/>
                <w:sz w:val="26"/>
                <w:szCs w:val="26"/>
              </w:rPr>
            </w:pPr>
            <w:r>
              <w:rPr>
                <w:rFonts w:eastAsia="Times New Roman" w:cs="Times New Roman"/>
                <w:i w:val="false"/>
                <w:iCs w:val="false"/>
                <w:sz w:val="26"/>
                <w:szCs w:val="26"/>
                <w:shd w:fill="auto" w:val="clear"/>
              </w:rPr>
              <w:t>Обеспечение по надлежащему исполнению обязательств по договору в виде  независимой гарантии:</w:t>
            </w:r>
          </w:p>
          <w:p>
            <w:pPr>
              <w:pStyle w:val="Normal"/>
              <w:spacing w:lineRule="auto" w:line="240" w:before="60" w:after="240"/>
              <w:ind w:hanging="0" w:left="11"/>
              <w:jc w:val="left"/>
              <w:rPr>
                <w:i w:val="false"/>
                <w:i w:val="false"/>
                <w:iCs w:val="false"/>
                <w:sz w:val="26"/>
                <w:szCs w:val="26"/>
              </w:rPr>
            </w:pPr>
            <w:r>
              <w:rPr>
                <w:rFonts w:eastAsia="Times New Roman" w:cs="Times New Roman"/>
                <w:i w:val="false"/>
                <w:iCs w:val="false"/>
                <w:sz w:val="26"/>
                <w:szCs w:val="26"/>
                <w:shd w:fill="auto" w:val="clear"/>
              </w:rPr>
              <w:t>- в размере – не менее 100 (ста) процентов от размера уплачиваемой по Договору предварительной оплаты (аванса);</w:t>
            </w:r>
          </w:p>
          <w:p>
            <w:pPr>
              <w:pStyle w:val="Normal"/>
              <w:spacing w:lineRule="auto" w:line="240" w:before="60" w:after="240"/>
              <w:ind w:hanging="0" w:left="11"/>
              <w:jc w:val="left"/>
              <w:rPr>
                <w:i w:val="false"/>
                <w:i w:val="false"/>
                <w:iCs w:val="false"/>
                <w:sz w:val="26"/>
                <w:szCs w:val="26"/>
              </w:rPr>
            </w:pPr>
            <w:r>
              <w:rPr>
                <w:rFonts w:eastAsia="Times New Roman" w:cs="Times New Roman"/>
                <w:i w:val="false"/>
                <w:iCs w:val="false"/>
                <w:sz w:val="26"/>
                <w:szCs w:val="26"/>
                <w:shd w:fill="auto" w:val="clear"/>
              </w:rPr>
              <w:t>- в размере 5 (пять) процентов от Цены Договора (в случае отказа подрядчиком от аванса).</w:t>
            </w:r>
          </w:p>
          <w:p>
            <w:pPr>
              <w:pStyle w:val="Normal"/>
              <w:spacing w:lineRule="auto" w:line="240" w:beforeAutospacing="0" w:before="0" w:afterAutospacing="0" w:after="0"/>
              <w:ind w:hanging="0"/>
              <w:jc w:val="left"/>
              <w:rPr>
                <w:i w:val="false"/>
                <w:i w:val="false"/>
                <w:iCs w:val="false"/>
                <w:sz w:val="26"/>
                <w:szCs w:val="26"/>
              </w:rPr>
            </w:pPr>
            <w:r>
              <w:rPr>
                <w:rFonts w:eastAsia="Times New Roman" w:cs="Times New Roman"/>
                <w:i w:val="false"/>
                <w:iCs w:val="false"/>
                <w:sz w:val="26"/>
                <w:szCs w:val="26"/>
                <w:shd w:fill="auto" w:val="clear"/>
                <w:lang w:eastAsia="ru-RU"/>
              </w:rPr>
              <w:t>Валюта обеспечения исполнения договора – в валюте расчетов по Договору.</w:t>
            </w:r>
          </w:p>
          <w:p>
            <w:pPr>
              <w:pStyle w:val="Normal"/>
              <w:widowControl w:val="false"/>
              <w:spacing w:lineRule="auto" w:line="240" w:before="120" w:after="160"/>
              <w:ind w:hanging="0"/>
              <w:jc w:val="left"/>
              <w:rPr>
                <w:i w:val="false"/>
                <w:i w:val="false"/>
                <w:iCs w:val="false"/>
                <w:sz w:val="26"/>
                <w:szCs w:val="26"/>
              </w:rPr>
            </w:pPr>
            <w:r>
              <w:rPr>
                <w:rFonts w:eastAsia="Times New Roman" w:cs="Times New Roman"/>
                <w:i w:val="false"/>
                <w:iCs w:val="false"/>
                <w:kern w:val="0"/>
                <w:sz w:val="26"/>
                <w:szCs w:val="26"/>
                <w:shd w:fill="auto" w:val="clear"/>
                <w:lang w:val="ru-RU" w:eastAsia="en-US" w:bidi="ar-SA"/>
              </w:rPr>
              <w:t>Иные требования к обеспечению исполнения Договора: приведены в Проекте договора (Приложение №2 к Документации о закупке).</w:t>
            </w:r>
          </w:p>
        </w:tc>
      </w:tr>
    </w:tbl>
    <w:p>
      <w:pPr>
        <w:pStyle w:val="Style15"/>
        <w:spacing w:before="0" w:after="0"/>
        <w:rPr/>
      </w:pPr>
      <w:bookmarkStart w:id="62" w:name="_Ref125360337"/>
      <w:bookmarkStart w:id="63" w:name="_Toc228876838"/>
      <w:bookmarkStart w:id="64" w:name="_Ref125360073"/>
      <w:r>
        <w:rPr/>
        <w:t>Общие положения</w:t>
      </w:r>
      <w:bookmarkEnd w:id="62"/>
      <w:bookmarkEnd w:id="63"/>
      <w:bookmarkEnd w:id="64"/>
    </w:p>
    <w:p>
      <w:pPr>
        <w:pStyle w:val="Style16"/>
        <w:spacing w:before="360" w:after="0"/>
        <w:rPr/>
      </w:pPr>
      <w:bookmarkStart w:id="65" w:name="_Toc228876839"/>
      <w:r>
        <w:rPr/>
        <w:t>Общие сведения о закупке</w:t>
      </w:r>
      <w:bookmarkEnd w:id="65"/>
    </w:p>
    <w:p>
      <w:pPr>
        <w:pStyle w:val="Style17"/>
        <w:spacing w:before="120" w:after="0"/>
        <w:rPr/>
      </w:pPr>
      <w:r>
        <w:rPr/>
        <w:t>Организатор официально размещенным Извещением приглашает лиц, указанных в подразделе </w:t>
      </w:r>
      <w:r>
        <w:rPr/>
        <w:fldChar w:fldCharType="begin"/>
      </w:r>
      <w:r>
        <w:rPr/>
        <w:instrText xml:space="preserve"> REF _Ref125359973 \r \h </w:instrText>
      </w:r>
      <w:r>
        <w:rPr/>
        <w:fldChar w:fldCharType="separate"/>
      </w:r>
      <w:r>
        <w:rPr/>
        <w:t>1.2</w:t>
      </w:r>
      <w:r>
        <w:rPr/>
        <w:fldChar w:fldCharType="end"/>
      </w:r>
      <w:r>
        <w:rPr/>
        <w:t>, к участию в закупке на право заключения договора, предмет которого указан в том же подразделе.</w:t>
      </w:r>
    </w:p>
    <w:p>
      <w:pPr>
        <w:pStyle w:val="Style17"/>
        <w:spacing w:before="0" w:after="0"/>
        <w:rPr/>
      </w:pPr>
      <w:r>
        <w:rPr/>
        <w:t>Требования к Участникам, а также к документам, подтверждающим соответствие установленным требованиям, приведены в разделе </w:t>
      </w:r>
      <w:r>
        <w:rPr/>
        <w:fldChar w:fldCharType="begin"/>
      </w:r>
      <w:r>
        <w:rPr/>
        <w:instrText xml:space="preserve"> REF _Ref125361210 \r \h </w:instrText>
      </w:r>
      <w:r>
        <w:rPr/>
        <w:fldChar w:fldCharType="separate"/>
      </w:r>
      <w:r>
        <w:rPr/>
        <w:t>3</w:t>
      </w:r>
      <w:r>
        <w:rPr/>
        <w:fldChar w:fldCharType="end"/>
      </w:r>
      <w:r>
        <w:rPr/>
        <w:t xml:space="preserve"> Документации о закупке.</w:t>
      </w:r>
    </w:p>
    <w:p>
      <w:pPr>
        <w:pStyle w:val="Style17"/>
        <w:spacing w:before="0" w:after="0"/>
        <w:rPr/>
      </w:pPr>
      <w:r>
        <w:rPr/>
        <w:t xml:space="preserve">Требования к поставляемой продукции, включая срок, объем и место поставки продукции, изложены в </w:t>
      </w:r>
      <w:hyperlink w:anchor="Прил01_ТехТребования" w:tgtFrame="#Прил01_ТехТребования">
        <w:r>
          <w:rPr>
            <w:rStyle w:val="Style6"/>
          </w:rPr>
          <w:t>Технических требованиях (Приложение № 1)</w:t>
        </w:r>
      </w:hyperlink>
      <w:r>
        <w:rPr/>
        <w:t xml:space="preserve">. </w:t>
      </w:r>
      <w:hyperlink w:anchor="Прил02_ПроектДоговора" w:tgtFrame="#Прил02_ПроектДоговора">
        <w:r>
          <w:rPr>
            <w:rStyle w:val="Style6"/>
          </w:rPr>
          <w:t>Проект договора</w:t>
        </w:r>
      </w:hyperlink>
      <w:r>
        <w:rPr/>
        <w:t>, который планируется заключить по результатам закупки, в том числе содержащий условия по форме, срокам и порядку оплаты, приведен в </w:t>
      </w:r>
      <w:hyperlink w:anchor="Прил02_ПроектДоговора" w:tgtFrame="#Прил02_ПроектДоговора">
        <w:r>
          <w:rPr>
            <w:rStyle w:val="Style6"/>
          </w:rPr>
          <w:t>Приложении № 2</w:t>
        </w:r>
      </w:hyperlink>
      <w:r>
        <w:rPr/>
        <w:t>. 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национальный режим не предоставляется, то требования к закупаемой продукции (в части страны происхождения товара) также могут быть установлены в Структуре НМЦ (в составе Коммерческого предложения (форма 3) (</w:t>
      </w:r>
      <w:hyperlink w:anchor="Прил04_ФормыЗаявки" w:tgtFrame="#Прил04_ФормыЗаявки">
        <w:r>
          <w:rPr>
            <w:rStyle w:val="Style6"/>
          </w:rPr>
          <w:t>Приложение № 4</w:t>
        </w:r>
      </w:hyperlink>
      <w:r>
        <w:rPr/>
        <w:t>)).</w:t>
      </w:r>
    </w:p>
    <w:p>
      <w:pPr>
        <w:pStyle w:val="Style17"/>
        <w:spacing w:before="0" w:after="0"/>
        <w:rPr/>
      </w:pPr>
      <w:r>
        <w:rPr/>
        <w:t>Подробная информация о порядке проведения закупки и участия в ней, а также о порядке заключения Договора, приведены в разделах </w:t>
      </w:r>
      <w:r>
        <w:rPr/>
        <w:fldChar w:fldCharType="begin"/>
      </w:r>
      <w:r>
        <w:rPr/>
        <w:instrText xml:space="preserve"> REF _Ref125361211 \r \h </w:instrText>
      </w:r>
      <w:r>
        <w:rPr/>
        <w:fldChar w:fldCharType="separate"/>
      </w:r>
      <w:r>
        <w:rPr/>
        <w:t>4</w:t>
      </w:r>
      <w:r>
        <w:rPr/>
        <w:fldChar w:fldCharType="end"/>
      </w:r>
      <w:r>
        <w:rPr/>
        <w:t xml:space="preserve">, </w:t>
      </w:r>
      <w:r>
        <w:rPr/>
        <w:fldChar w:fldCharType="begin"/>
      </w:r>
      <w:r>
        <w:rPr/>
        <w:instrText xml:space="preserve"> REF _Ref126142429 \r \h </w:instrText>
      </w:r>
      <w:r>
        <w:rPr/>
        <w:fldChar w:fldCharType="separate"/>
      </w:r>
      <w:r>
        <w:rPr/>
        <w:t>5</w:t>
      </w:r>
      <w:r>
        <w:rPr/>
        <w:fldChar w:fldCharType="end"/>
      </w:r>
      <w:r>
        <w:rPr/>
        <w:t xml:space="preserve">, образцы основных форм документов, включаемых в заявку или предоставляемых Победителем, приведены в Приложениях </w:t>
      </w:r>
      <w:hyperlink w:anchor="Прил04_ФормыЗаявки" w:tgtFrame="#Прил04_ФормыЗаявки">
        <w:r>
          <w:rPr>
            <w:rStyle w:val="Style6"/>
          </w:rPr>
          <w:t>№ 4</w:t>
        </w:r>
      </w:hyperlink>
      <w:r>
        <w:rPr/>
        <w:t xml:space="preserve">, </w:t>
      </w:r>
      <w:hyperlink w:anchor="Прил05_ФормыПобедителя" w:tgtFrame="#Прил05_ФормыПобедителя">
        <w:r>
          <w:rPr>
            <w:rStyle w:val="Style6"/>
          </w:rPr>
          <w:t>№ 5</w:t>
        </w:r>
      </w:hyperlink>
      <w:r>
        <w:rPr/>
        <w:t>.</w:t>
      </w:r>
    </w:p>
    <w:p>
      <w:pPr>
        <w:pStyle w:val="Style16"/>
        <w:spacing w:before="360" w:after="0"/>
        <w:rPr/>
      </w:pPr>
      <w:bookmarkStart w:id="66" w:name="_Toc228876840"/>
      <w:r>
        <w:rPr/>
        <w:t>Правовой статус документов</w:t>
      </w:r>
      <w:bookmarkEnd w:id="66"/>
    </w:p>
    <w:p>
      <w:pPr>
        <w:pStyle w:val="Style17"/>
        <w:spacing w:before="120" w:after="0"/>
        <w:rPr/>
      </w:pPr>
      <w:r>
        <w:rPr/>
        <w:t>Документация о закупке вместе с Извещением, являющимся ее неотъемлемой частью, являются публичной офертой Организатора в соответствии со статьей 437 ГК РФ и должны рассматриваться Участниками в соответствии с этим до подведения итогов закупки. При наличии противоречий между положениями Извещения и Документации о закупке применяются положения Извещения.</w:t>
      </w:r>
    </w:p>
    <w:p>
      <w:pPr>
        <w:pStyle w:val="Style17"/>
        <w:spacing w:before="0" w:after="0"/>
        <w:rPr/>
      </w:pPr>
      <w:r>
        <w:rPr/>
        <w:t>Заявка Участника имеет правовой статус оферты и будет рассматриваться Организатором в течение указанного в ней срока ее действия.</w:t>
      </w:r>
    </w:p>
    <w:p>
      <w:pPr>
        <w:pStyle w:val="Style17"/>
        <w:keepNext w:val="true"/>
        <w:spacing w:before="0" w:after="0"/>
        <w:rPr/>
      </w:pPr>
      <w:bookmarkStart w:id="67" w:name="_Ref125366985"/>
      <w:r>
        <w:rPr/>
        <w:t>При определении условий Договора по результатам закупки используется иерархия документов, установленная в пункте </w:t>
      </w:r>
      <w:r>
        <w:rPr/>
        <w:fldChar w:fldCharType="begin"/>
      </w:r>
      <w:r>
        <w:rPr/>
        <w:instrText xml:space="preserve"> REF _Ref132288402 \r \h </w:instrText>
      </w:r>
      <w:r>
        <w:rPr/>
        <w:fldChar w:fldCharType="separate"/>
      </w:r>
      <w:r>
        <w:rPr/>
        <w:t>5.2.9</w:t>
      </w:r>
      <w:r>
        <w:rPr/>
        <w:fldChar w:fldCharType="end"/>
      </w:r>
      <w:bookmarkEnd w:id="67"/>
      <w:r>
        <w:rPr/>
        <w:t>.</w:t>
      </w:r>
    </w:p>
    <w:p>
      <w:pPr>
        <w:pStyle w:val="Style17"/>
        <w:spacing w:before="0" w:after="0"/>
        <w:rPr/>
      </w:pPr>
      <w:r>
        <w:rPr/>
        <w:t>Заключенный по результатам закупки Договор, в том числе, фиксирует все достигнутые сторонами договоренности.</w:t>
      </w:r>
    </w:p>
    <w:p>
      <w:pPr>
        <w:pStyle w:val="Style17"/>
        <w:spacing w:before="0" w:after="0"/>
        <w:rPr/>
      </w:pPr>
      <w:r>
        <w:rPr/>
        <w:t>Во всем, что не урегулировано Извещением и Документацией о закупке, стороны руководствуются Законом 223-ФЗ и Положением о закупке (в редакции, действующей на дату официального размещения Извещения).</w:t>
      </w:r>
    </w:p>
    <w:p>
      <w:pPr>
        <w:pStyle w:val="Style17"/>
        <w:spacing w:before="0" w:after="0"/>
        <w:rPr/>
      </w:pPr>
      <w:r>
        <w:rPr/>
        <w:t>Если в отношении сторон Договора, заключаемого по результатам закупки, действуют также специальные нормативные правовые акты, зарегистрированные в установленном порядке, Документация о закупке и заявка Победителя будут считаться приоритетными по отношению к диспозитивным нормам указанных документов.</w:t>
      </w:r>
    </w:p>
    <w:p>
      <w:pPr>
        <w:pStyle w:val="Style17"/>
        <w:spacing w:before="0" w:after="0"/>
        <w:rPr/>
      </w:pPr>
      <w:r>
        <w:rPr/>
        <w:t>Иные документы Организатора и Участников не определяют права и обязанности сторон в связи с данной закупкой.</w:t>
      </w:r>
    </w:p>
    <w:p>
      <w:pPr>
        <w:pStyle w:val="Style17"/>
        <w:spacing w:before="0" w:after="0"/>
        <w:rPr/>
      </w:pPr>
      <w:r>
        <w:rPr/>
        <w:t>Любые уведомления, письма, предложения, иная переписка и действия председателя, заместителя председателя, членов, секретаря Закупочной комиссии и иных работников Заказчика и Организатора относительно условий, сроков проведения, предмета настоящей закупки (за исключением информации, представляемой Участникам в соответствии с Положением о закупке), носят исключительно информационный характер и не являются офертой либо акцептом Организатора или Заказчика.</w:t>
      </w:r>
    </w:p>
    <w:p>
      <w:pPr>
        <w:pStyle w:val="Style16"/>
        <w:spacing w:before="360" w:after="0"/>
        <w:rPr/>
      </w:pPr>
      <w:bookmarkStart w:id="68" w:name="_Toc228876841"/>
      <w:bookmarkStart w:id="69" w:name="_Ref125363536"/>
      <w:r>
        <w:rPr/>
        <w:t>Обжалование</w:t>
      </w:r>
      <w:bookmarkEnd w:id="68"/>
      <w:bookmarkEnd w:id="69"/>
    </w:p>
    <w:p>
      <w:pPr>
        <w:pStyle w:val="Style17"/>
        <w:spacing w:before="120" w:after="0"/>
        <w:rPr/>
      </w:pPr>
      <w:r>
        <w:rPr/>
        <w:t>Любой Участник, который заявляет, что понес или может понести убытки в результате нарушения его прав Заказчиком и (или) Организатором, отдельными членами Закупочной комиссии или Оператором ЭП, имеет право подать заявление о рассмотрении разногласий, связанных с проведением закупки.</w:t>
      </w:r>
    </w:p>
    <w:p>
      <w:pPr>
        <w:pStyle w:val="Style17"/>
        <w:spacing w:before="0" w:after="0"/>
        <w:rPr/>
      </w:pPr>
      <w:r>
        <w:rPr/>
        <w:t>До заключения Договора с Победителем заявления о рассмотрении разногласий направляются Участниками через круглосуточную «Линию доверия», посредством заполнения специальной формы на корпоративном сайте ПАО «РусГидро» (вкладка «Линия доверия»), или сообщения информации по указанному на корпоративном сайте телефону. На время рассмотрения разногласий процедура проведения закупки приостанавливается до вынесения решения, если тому нет явных препятствий юридического или экономического характера.</w:t>
      </w:r>
    </w:p>
    <w:p>
      <w:pPr>
        <w:pStyle w:val="Style17"/>
        <w:keepNext w:val="true"/>
        <w:spacing w:before="0" w:after="0"/>
        <w:rPr/>
      </w:pPr>
      <w:r>
        <w:rPr/>
        <w:t>Если разногласия не разрешены по взаимному согласию представившего их Участника и Заказчика, может быть принято одно из следующих решений:</w:t>
      </w:r>
    </w:p>
    <w:p>
      <w:pPr>
        <w:pStyle w:val="Style18"/>
        <w:spacing w:before="120" w:after="0"/>
        <w:rPr/>
      </w:pPr>
      <w:r>
        <w:rPr/>
        <w:t>обязать Заказчика, Организатора, членов Закупочной комиссии, совершивших неправомерные действия, применивших неправомерные процедуры либо принявших незаконное решение, совершить действия, соответствующие законодательству и Положению о закупке (в том числе, но не ограничиваясь, отменить составленные в ходе закупки протоколы, повторно рассмотреть заявки Участников);</w:t>
      </w:r>
    </w:p>
    <w:p>
      <w:pPr>
        <w:pStyle w:val="Style18"/>
        <w:spacing w:before="0" w:after="0"/>
        <w:rPr/>
      </w:pPr>
      <w:r>
        <w:rPr/>
        <w:t>признать заявление Участника необоснованным.</w:t>
      </w:r>
    </w:p>
    <w:p>
      <w:pPr>
        <w:pStyle w:val="Style17"/>
        <w:spacing w:before="120" w:after="0"/>
        <w:rPr/>
      </w:pPr>
      <w:r>
        <w:rPr/>
        <w:t>Участник вправе обжаловать действия (бездействие) Заказчика и (или) Организатора, Закупочной комиссии, Оператора ЭП при проведении настоящей закупки в антимонопольном органе в порядке, установленном законодательством. Если обжалуемые действия (бездействие) совершены после окончания установленного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обжалование таких действий (бездействия) может осуществляться только Участником, подавшим заявку на участие в такой закупке.</w:t>
      </w:r>
    </w:p>
    <w:p>
      <w:pPr>
        <w:pStyle w:val="Style17"/>
        <w:spacing w:before="0" w:after="0"/>
        <w:rPr/>
      </w:pPr>
      <w:r>
        <w:rPr/>
        <w:t>Все споры и разногласия, возникающие в связи с проведением закупки, касающиеся исполнения Организатором, Заказчиком и Участниками своих обязательств, в том числе не урегулированные путем обращения на «Линию доверия» и (или) антимонопольные органы, подлежат разрешению следующим образом:</w:t>
      </w:r>
    </w:p>
    <w:p>
      <w:pPr>
        <w:pStyle w:val="Style18"/>
        <w:spacing w:before="120" w:after="0"/>
        <w:rPr/>
      </w:pPr>
      <w:r>
        <w:rPr/>
        <w:t>по закупкам, проводимым закупочными комиссиями 1-го уровня – в Арбитражном суде по месту нахождения Заказчика (либо соответствующего филиала Заказчика, для нужд которого проводится настоящая закупка);</w:t>
      </w:r>
    </w:p>
    <w:p>
      <w:pPr>
        <w:pStyle w:val="Style18"/>
        <w:spacing w:before="0" w:after="0"/>
        <w:rPr/>
      </w:pPr>
      <w:r>
        <w:rPr/>
        <w:t xml:space="preserve">по закупкам, проводимым закупочными комиссиями 2-го уровня, специальными закупочными комиссиями, закупочными комиссиями исполнительного аппарата ПАО «РусГидро» – в Арбитражном суде </w:t>
      </w:r>
      <w:bookmarkStart w:id="70" w:name="_Hlk219296876"/>
      <w:bookmarkStart w:id="71" w:name="_Hlk219301278"/>
      <w:r>
        <w:rPr/>
        <w:t>Красноярского края</w:t>
      </w:r>
      <w:bookmarkEnd w:id="70"/>
      <w:bookmarkEnd w:id="71"/>
      <w:r>
        <w:rPr/>
        <w:t>.</w:t>
      </w:r>
    </w:p>
    <w:p>
      <w:pPr>
        <w:pStyle w:val="Style21"/>
        <w:ind w:hanging="0" w:left="1134" w:right="0"/>
        <w:rPr/>
      </w:pPr>
      <w:r>
        <w:rPr/>
        <w:t>Закупочная комиссия определяется в соответствии с Положением о закупке.</w:t>
      </w:r>
    </w:p>
    <w:p>
      <w:pPr>
        <w:pStyle w:val="Style16"/>
        <w:spacing w:before="360" w:after="0"/>
        <w:rPr/>
      </w:pPr>
      <w:bookmarkStart w:id="72" w:name="_Toc228876842"/>
      <w:r>
        <w:rPr/>
        <w:t>Особые положения при проведении закупки с использованием ЭП</w:t>
      </w:r>
      <w:bookmarkEnd w:id="72"/>
    </w:p>
    <w:p>
      <w:pPr>
        <w:pStyle w:val="Style17"/>
        <w:spacing w:before="120" w:after="0"/>
        <w:rPr/>
      </w:pPr>
      <w:r>
        <w:rPr/>
        <w:t>Наименование ЭП, посредством которой проводится закупка, указано в подразделе </w:t>
      </w:r>
      <w:r>
        <w:rPr/>
        <w:fldChar w:fldCharType="begin"/>
      </w:r>
      <w:r>
        <w:rPr/>
        <w:instrText xml:space="preserve"> REF _Ref125359973 \r \h </w:instrText>
      </w:r>
      <w:r>
        <w:rPr/>
        <w:fldChar w:fldCharType="separate"/>
      </w:r>
      <w:r>
        <w:rPr/>
        <w:t>1.2</w:t>
      </w:r>
      <w:r>
        <w:rPr/>
        <w:fldChar w:fldCharType="end"/>
      </w:r>
      <w:r>
        <w:rPr/>
        <w:t>. До подачи заявки Участник обязан ознакомиться с Регламентом ЭП, опубликованными на сайте соответствующей ЭП.</w:t>
      </w:r>
    </w:p>
    <w:p>
      <w:pPr>
        <w:pStyle w:val="Style17"/>
        <w:spacing w:before="0" w:after="0"/>
        <w:rPr/>
      </w:pPr>
      <w:r>
        <w:rPr/>
        <w:t>Для участия в закупке Участник должен пройти процедуру регистрации в Едином реестре участников закупок в ЕИС в порядке, предусмотренным Законом 44-ФЗ, т.е. быть зарегистрированным на ЭП. Регистрация осуществляется Федеральным Казначейством, и Организатор (Заказчик) не несет ответственности за результат ее прохождения Участником, в том числе понесенные им затраты.</w:t>
      </w:r>
    </w:p>
    <w:p>
      <w:pPr>
        <w:pStyle w:val="Style17"/>
        <w:spacing w:before="0" w:after="0"/>
        <w:rPr/>
      </w:pPr>
      <w:r>
        <w:rPr/>
        <w:t>Правила проведения закупки в том числе определяются Регламентом ЭП.</w:t>
      </w:r>
    </w:p>
    <w:p>
      <w:pPr>
        <w:pStyle w:val="Style17"/>
        <w:spacing w:before="0" w:after="0"/>
        <w:rPr/>
      </w:pPr>
      <w:r>
        <w:rPr/>
        <w:t>Обмен всей информацией, связанной с проведением закупки (между Участником, Организатором (Заказчиком) и Оператором ЭП) осуществляется на ЭП в форме электронных документов, подписанных усиленной квалифицированной электронной подписью уполномоченного лица.</w:t>
      </w:r>
    </w:p>
    <w:p>
      <w:pPr>
        <w:pStyle w:val="Style17"/>
        <w:spacing w:before="0" w:after="0"/>
        <w:rPr/>
      </w:pPr>
      <w:r>
        <w:rPr/>
        <w:t>Стоимость заявки (цена Договора) и иные условия закупки, указанные Участниками в специальных электронных формах на ЭП, имеют преимущество перед сведениями, указанными в загруженных на ЭП электронных документах.</w:t>
      </w:r>
    </w:p>
    <w:p>
      <w:pPr>
        <w:pStyle w:val="Style16"/>
        <w:spacing w:before="360" w:after="0"/>
        <w:rPr/>
      </w:pPr>
      <w:bookmarkStart w:id="73" w:name="_Toc228876843"/>
      <w:r>
        <w:rPr/>
        <w:t>Прочие положения</w:t>
      </w:r>
      <w:bookmarkEnd w:id="73"/>
    </w:p>
    <w:p>
      <w:pPr>
        <w:pStyle w:val="Style17"/>
        <w:spacing w:before="120" w:after="0"/>
        <w:rPr/>
      </w:pPr>
      <w:r>
        <w:rPr/>
        <w:t>Заказчик, Организатор и Оператор ЭП обеспечивают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законодательством или Документацией о закупке.</w:t>
      </w:r>
    </w:p>
    <w:p>
      <w:pPr>
        <w:pStyle w:val="Style17"/>
        <w:spacing w:before="0" w:after="0"/>
        <w:rPr/>
      </w:pPr>
      <w:r>
        <w:rPr/>
        <w:t>Организатор (по решению Закупочной комиссии), вправе отклонить заявку, если будет установлено, что Участник каким-либо способом повлиял на рассмотрение заявок, их оценку и сопоставление, подведение итогов закупки (определение Победителя), в том числе прямо или косвенно дал, согласился дать или предложил работнику Организатора, Заказчика, члену Закупочной комиссии или эксперту, осуществлявшему экспертизу заявок, вознаграждение в любой форме: работу, услугу, какую-либо ценность в качестве стимула, и (или) оказал каким-либо иным образом давление на указанных лиц.</w:t>
      </w:r>
    </w:p>
    <w:p>
      <w:pPr>
        <w:pStyle w:val="Style17"/>
        <w:spacing w:before="0" w:after="0"/>
        <w:rPr/>
      </w:pPr>
      <w:r>
        <w:rPr/>
        <w:t>С целью предупреждения и противодействия противоправным действиям в Группе РусГидро организована круглосуточная «Линия доверия», обратиться на которую можно по телефону +7 (495) 785 09 37 (круглосуточно), или заполнив соответствующую форму на корпоративном сайте ПАО «РусГидро», вкладка «Линия доверия».</w:t>
      </w:r>
    </w:p>
    <w:p>
      <w:pPr>
        <w:pStyle w:val="Style15"/>
        <w:spacing w:before="0" w:after="0"/>
        <w:rPr/>
      </w:pPr>
      <w:bookmarkStart w:id="74" w:name="_Toc228876844"/>
      <w:bookmarkStart w:id="75" w:name="_Ref125361210"/>
      <w:r>
        <w:rPr/>
        <w:t>Требования к Участникам</w:t>
      </w:r>
      <w:bookmarkEnd w:id="74"/>
      <w:bookmarkEnd w:id="75"/>
    </w:p>
    <w:p>
      <w:pPr>
        <w:pStyle w:val="Style16"/>
        <w:spacing w:before="360" w:after="0"/>
        <w:rPr/>
      </w:pPr>
      <w:bookmarkStart w:id="76" w:name="_Toc228876845"/>
      <w:bookmarkStart w:id="77" w:name="_Ref127524530"/>
      <w:r>
        <w:rPr/>
        <w:t>Общие требования к Участникам</w:t>
      </w:r>
      <w:bookmarkEnd w:id="76"/>
      <w:bookmarkEnd w:id="77"/>
    </w:p>
    <w:p>
      <w:pPr>
        <w:pStyle w:val="Style17"/>
        <w:spacing w:before="120" w:after="0"/>
        <w:rPr/>
      </w:pPr>
      <w:bookmarkStart w:id="78" w:name="_Ref125361514"/>
      <w:r>
        <w:rPr/>
        <w:t>Из лиц, указанных в подразделе </w:t>
      </w:r>
      <w:r>
        <w:rPr/>
        <w:fldChar w:fldCharType="begin"/>
      </w:r>
      <w:r>
        <w:rPr/>
        <w:instrText xml:space="preserve"> REF _Ref125359973 \r \h </w:instrText>
      </w:r>
      <w:r>
        <w:rPr/>
        <w:fldChar w:fldCharType="separate"/>
      </w:r>
      <w:r>
        <w:rPr/>
        <w:t>1.2</w:t>
      </w:r>
      <w:r>
        <w:rPr/>
        <w:fldChar w:fldCharType="end"/>
      </w:r>
      <w:r>
        <w:rPr/>
        <w:t>, участвовать в закупке может любое юридическое / физическое лицо (в том числе индивидуальный предприниматель), независимо от их организационно-правовой формы, формы собственности, места нахождения и места происхождения капитала. Исключение составляют юридические / физические лица, являющиеся иностранным агентом в соответствии с Законом 255-ФЗ – они не могут быть Участником.</w:t>
      </w:r>
      <w:bookmarkEnd w:id="78"/>
    </w:p>
    <w:p>
      <w:pPr>
        <w:pStyle w:val="Style17"/>
        <w:spacing w:before="0" w:after="0"/>
        <w:rPr/>
      </w:pPr>
      <w:r>
        <w:rPr/>
        <w:t>Однако, чтобы претендовать на победу в закупке Участник в целом должен отвечать требованиям, установленным в Документации о закупке.</w:t>
      </w:r>
    </w:p>
    <w:p>
      <w:pPr>
        <w:pStyle w:val="Style17"/>
        <w:spacing w:before="0" w:after="0"/>
        <w:rPr/>
      </w:pPr>
      <w:r>
        <w:rPr/>
        <w:t xml:space="preserve">Требования к Участникам установлены с учетом предмета договора, </w:t>
      </w:r>
      <w:hyperlink w:anchor="Прил01_ТехТребования" w:tgtFrame="#Прил01_ТехТребования">
        <w:r>
          <w:rPr>
            <w:rStyle w:val="Style6"/>
          </w:rPr>
          <w:t>Технических требований (Приложение № 1)</w:t>
        </w:r>
      </w:hyperlink>
      <w:r>
        <w:rPr/>
        <w:t xml:space="preserve"> и </w:t>
      </w:r>
      <w:hyperlink w:anchor="Прил02_ПроектДоговора" w:tgtFrame="#Прил02_ПроектДоговора">
        <w:r>
          <w:rPr>
            <w:rStyle w:val="Style6"/>
          </w:rPr>
          <w:t>Проекта договора (Приложение № 2)</w:t>
        </w:r>
      </w:hyperlink>
      <w:r>
        <w:rPr/>
        <w:t>. 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национальный режим не предоставляется, то требования к Участникам (в части страны его регистрации) также могут быть установлены в Структуре НМЦ (в составе Коммерческого предложения (форма 3) (</w:t>
      </w:r>
      <w:hyperlink w:anchor="Прил04_ФормыЗаявки" w:tgtFrame="#Прил04_ФормыЗаявки">
        <w:r>
          <w:rPr>
            <w:rStyle w:val="Style6"/>
          </w:rPr>
          <w:t>Приложение № 4</w:t>
        </w:r>
      </w:hyperlink>
      <w:r>
        <w:rPr/>
        <w:t>)).</w:t>
      </w:r>
    </w:p>
    <w:p>
      <w:pPr>
        <w:pStyle w:val="Style17"/>
        <w:keepNext w:val="true"/>
        <w:spacing w:before="0" w:after="0"/>
        <w:rPr/>
      </w:pPr>
      <w:r>
        <w:rPr/>
        <w:t>Установлены следующие требования к Участникам, которые приведены в </w:t>
      </w:r>
      <w:hyperlink w:anchor="Прил03_ТребованияУчастникам" w:tgtFrame="#Прил03_ТребованияУчастникам">
        <w:r>
          <w:rPr>
            <w:rStyle w:val="Style6"/>
          </w:rPr>
          <w:t>Приложении № 3</w:t>
        </w:r>
      </w:hyperlink>
      <w:r>
        <w:rPr/>
        <w:t>:</w:t>
      </w:r>
    </w:p>
    <w:p>
      <w:pPr>
        <w:pStyle w:val="Style18"/>
        <w:spacing w:before="120" w:after="0"/>
        <w:rPr/>
      </w:pPr>
      <w:r>
        <w:rPr/>
        <w:t>обязательные требования (подраздел </w:t>
      </w:r>
      <w:r>
        <w:rPr/>
        <w:fldChar w:fldCharType="begin"/>
      </w:r>
      <w:r>
        <w:rPr/>
        <w:instrText xml:space="preserve"> REF _Ref125361435 \r \h </w:instrText>
      </w:r>
      <w:r>
        <w:rPr/>
        <w:fldChar w:fldCharType="separate"/>
      </w:r>
      <w:r>
        <w:rPr/>
        <w:t>8.2</w:t>
      </w:r>
      <w:r>
        <w:rPr/>
        <w:fldChar w:fldCharType="end"/>
      </w:r>
      <w:r>
        <w:rPr/>
        <w:t>) – Участники должны им соответствовать;</w:t>
      </w:r>
    </w:p>
    <w:p>
      <w:pPr>
        <w:pStyle w:val="Style18"/>
        <w:spacing w:before="0" w:after="0"/>
        <w:rPr/>
      </w:pPr>
      <w:r>
        <w:rPr/>
        <w:t>специальные требования – Участники должны им соответствовать, если они установлены (подраздел </w:t>
      </w:r>
      <w:r>
        <w:rPr/>
        <w:fldChar w:fldCharType="begin"/>
      </w:r>
      <w:r>
        <w:rPr/>
        <w:instrText xml:space="preserve"> REF _Ref125709153 \r \h </w:instrText>
      </w:r>
      <w:r>
        <w:rPr/>
        <w:fldChar w:fldCharType="separate"/>
      </w:r>
      <w:r>
        <w:rPr/>
        <w:t>8.3</w:t>
      </w:r>
      <w:r>
        <w:rPr/>
        <w:fldChar w:fldCharType="end"/>
      </w:r>
      <w:r>
        <w:rPr/>
        <w:t>).</w:t>
      </w:r>
    </w:p>
    <w:p>
      <w:pPr>
        <w:pStyle w:val="Style17"/>
        <w:keepNext w:val="true"/>
        <w:spacing w:before="120" w:after="0"/>
        <w:rPr/>
      </w:pPr>
      <w:r>
        <w:rPr/>
        <w:t>В рамках требований к Участникам могут быть установлены дополнительные требования к Генеральным подрядчикам (подраздел </w:t>
      </w:r>
      <w:r>
        <w:rPr/>
        <w:fldChar w:fldCharType="begin"/>
      </w:r>
      <w:r>
        <w:rPr/>
        <w:instrText xml:space="preserve"> REF _Ref125361702 \r \h </w:instrText>
      </w:r>
      <w:r>
        <w:rPr/>
        <w:fldChar w:fldCharType="separate"/>
      </w:r>
      <w:r>
        <w:rPr/>
        <w:t>3.2</w:t>
      </w:r>
      <w:r>
        <w:rPr/>
        <w:fldChar w:fldCharType="end"/>
      </w:r>
      <w:r>
        <w:rPr/>
        <w:t>).</w:t>
      </w:r>
    </w:p>
    <w:p>
      <w:pPr>
        <w:pStyle w:val="Style17"/>
        <w:spacing w:before="0" w:after="0"/>
        <w:rPr/>
      </w:pPr>
      <w:bookmarkStart w:id="79" w:name="_Ref125361976"/>
      <w:bookmarkStart w:id="80" w:name="_Ref125361969"/>
      <w:bookmarkEnd w:id="79"/>
      <w:bookmarkEnd w:id="80"/>
      <w:r>
        <w:rPr/>
        <w:t xml:space="preserve">Для подтверждения соответствия установленным требованиям Участник обязан приложить в составе заявки документы, перечисленные в </w:t>
      </w:r>
      <w:hyperlink w:anchor="Прил03_ТребованияУчастникам" w:tgtFrame="#Прил03_ТребованияУчастникам">
        <w:r>
          <w:rPr>
            <w:rStyle w:val="Style6"/>
          </w:rPr>
          <w:t>Требованиях к Участникам (Приложение № 3)</w:t>
        </w:r>
      </w:hyperlink>
      <w:r>
        <w:rPr/>
        <w:t xml:space="preserve">, </w:t>
      </w:r>
      <w:bookmarkStart w:id="81" w:name="_Hlk132706049"/>
      <w:r>
        <w:rPr/>
        <w:t>если иное не установлено в Документации о закупке</w:t>
      </w:r>
      <w:bookmarkEnd w:id="81"/>
      <w:r>
        <w:rPr/>
        <w:t>.</w:t>
      </w:r>
    </w:p>
    <w:p>
      <w:pPr>
        <w:pStyle w:val="Style16"/>
        <w:spacing w:before="360" w:after="0"/>
        <w:rPr/>
      </w:pPr>
      <w:bookmarkStart w:id="82" w:name="_Ref125361702"/>
      <w:bookmarkStart w:id="83" w:name="_Toc228876846"/>
      <w:bookmarkStart w:id="84" w:name="_Ref125361976_Копия_1"/>
      <w:bookmarkStart w:id="85" w:name="_Ref125361969_Копия_1"/>
      <w:bookmarkEnd w:id="84"/>
      <w:bookmarkEnd w:id="85"/>
      <w:r>
        <w:rPr/>
        <w:t>Генеральные подрядчики</w:t>
      </w:r>
      <w:bookmarkEnd w:id="82"/>
      <w:bookmarkEnd w:id="83"/>
    </w:p>
    <w:p>
      <w:pPr>
        <w:pStyle w:val="Style17"/>
        <w:spacing w:before="120" w:after="0"/>
        <w:rPr/>
      </w:pPr>
      <w:r>
        <w:rPr/>
        <w:t>Нормы настоящего подраздела применяются только,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предусмотрены рассмотрение и оценка заявок Участников с учетом привлекаемых субподрядчиков.</w:t>
      </w:r>
    </w:p>
    <w:p>
      <w:pPr>
        <w:pStyle w:val="Style17"/>
        <w:spacing w:before="0" w:after="0"/>
        <w:rPr/>
      </w:pPr>
      <w:r>
        <w:rPr/>
        <w:t>Если заявка подается Участником от лица Генерального подрядчика, дополнительно должны быть выполнены требования настоящего подраздела, а также требования к дополнительным документам, предоставляемым таким Участником в составе заявки, установленные в подразделе </w:t>
      </w:r>
      <w:r>
        <w:rPr/>
        <w:fldChar w:fldCharType="begin"/>
      </w:r>
      <w:r>
        <w:rPr/>
        <w:instrText xml:space="preserve"> REF _Ref125709777 \r \h </w:instrText>
      </w:r>
      <w:r>
        <w:rPr/>
        <w:fldChar w:fldCharType="separate"/>
      </w:r>
      <w:r>
        <w:rPr/>
        <w:t>8.4</w:t>
      </w:r>
      <w:r>
        <w:rPr/>
        <w:fldChar w:fldCharType="end"/>
      </w:r>
      <w:r>
        <w:rPr/>
        <w:t xml:space="preserve"> </w:t>
      </w:r>
      <w:hyperlink w:anchor="Прил03_ТребованияУчастникам" w:tgtFrame="#Прил03_ТребованияУчастникам">
        <w:r>
          <w:rPr>
            <w:rStyle w:val="Style6"/>
          </w:rPr>
          <w:t>Требований к Участникам (Приложение № 3)</w:t>
        </w:r>
      </w:hyperlink>
      <w:r>
        <w:rPr/>
        <w:t>.</w:t>
      </w:r>
    </w:p>
    <w:p>
      <w:pPr>
        <w:pStyle w:val="Style17"/>
        <w:keepNext w:val="true"/>
        <w:spacing w:before="0" w:after="0"/>
        <w:rPr/>
      </w:pPr>
      <w:r>
        <w:rPr/>
        <w:t>Генеральный подрядчик:</w:t>
      </w:r>
    </w:p>
    <w:p>
      <w:pPr>
        <w:pStyle w:val="Style18"/>
        <w:spacing w:before="120" w:after="0"/>
        <w:rPr/>
      </w:pPr>
      <w:r>
        <w:rPr/>
        <w:t>должен самостоятельно отвечать всем обязательным требованиям к Участникам (подраздел </w:t>
      </w:r>
      <w:r>
        <w:rPr/>
        <w:fldChar w:fldCharType="begin"/>
      </w:r>
      <w:r>
        <w:rPr/>
        <w:instrText xml:space="preserve"> REF _Ref125361435 \r \h </w:instrText>
      </w:r>
      <w:r>
        <w:rPr/>
        <w:fldChar w:fldCharType="separate"/>
      </w:r>
      <w:r>
        <w:rPr/>
        <w:t>8.2</w:t>
      </w:r>
      <w:r>
        <w:rPr/>
        <w:fldChar w:fldCharType="end"/>
      </w:r>
      <w:r>
        <w:rPr/>
        <w:t>);</w:t>
      </w:r>
    </w:p>
    <w:p>
      <w:pPr>
        <w:pStyle w:val="Style18"/>
        <w:spacing w:before="0" w:after="0"/>
        <w:rPr/>
      </w:pPr>
      <w:r>
        <w:rPr/>
        <w:t>в рамках специальных требований (подраздел </w:t>
      </w:r>
      <w:r>
        <w:rPr/>
        <w:fldChar w:fldCharType="begin"/>
      </w:r>
      <w:r>
        <w:rPr/>
        <w:instrText xml:space="preserve"> REF _Ref125709153 \r \h </w:instrText>
      </w:r>
      <w:r>
        <w:rPr/>
        <w:fldChar w:fldCharType="separate"/>
      </w:r>
      <w:r>
        <w:rPr/>
        <w:t>8.3</w:t>
      </w:r>
      <w:r>
        <w:rPr/>
        <w:fldChar w:fldCharType="end"/>
      </w:r>
      <w:r>
        <w:rPr/>
        <w:t>), касающихся членства в саморегулируемых организациях (в случае их установления), должен иметь соответствующее членство с учетом требований законодательства к такому членству;</w:t>
      </w:r>
    </w:p>
    <w:p>
      <w:pPr>
        <w:pStyle w:val="Style18"/>
        <w:spacing w:before="0" w:after="0"/>
        <w:rPr/>
      </w:pPr>
      <w:r>
        <w:rPr/>
        <w:t>в рамках остальных специальных требований (в случае их установления) должен отвечать им только в части объема поставки продукции, который ему предполагается поручить в соответствии с представленным в Техническом предложении Планом распределения объемов поставки продукции (форма 4) (</w:t>
      </w:r>
      <w:hyperlink w:anchor="Прил04_ФормыЗаявки" w:tgtFrame="#Прил04_ФормыЗаявки">
        <w:r>
          <w:rPr>
            <w:rStyle w:val="Style6"/>
          </w:rPr>
          <w:t>Приложение № 4</w:t>
        </w:r>
      </w:hyperlink>
      <w:r>
        <w:rPr/>
        <w:t>).</w:t>
      </w:r>
    </w:p>
    <w:p>
      <w:pPr>
        <w:pStyle w:val="Style17"/>
        <w:keepNext w:val="true"/>
        <w:spacing w:before="120" w:after="0"/>
        <w:rPr/>
      </w:pPr>
      <w:r>
        <w:rPr/>
        <w:t>Каждый субподрядчик из привлекаемых Генеральным подрядчиком должен отвечать:</w:t>
      </w:r>
    </w:p>
    <w:p>
      <w:pPr>
        <w:pStyle w:val="Style18"/>
        <w:spacing w:before="120" w:after="0"/>
        <w:rPr/>
      </w:pPr>
      <w:r>
        <w:rPr/>
        <w:t>обязательным требованиям (подраздел </w:t>
      </w:r>
      <w:r>
        <w:rPr/>
        <w:fldChar w:fldCharType="begin"/>
      </w:r>
      <w:r>
        <w:rPr/>
        <w:instrText xml:space="preserve"> REF _Ref125361435 \r \h </w:instrText>
      </w:r>
      <w:r>
        <w:rPr/>
        <w:fldChar w:fldCharType="separate"/>
      </w:r>
      <w:r>
        <w:rPr/>
        <w:t>8.2</w:t>
      </w:r>
      <w:r>
        <w:rPr/>
        <w:fldChar w:fldCharType="end"/>
      </w:r>
      <w:r>
        <w:rPr/>
        <w:t>);</w:t>
      </w:r>
    </w:p>
    <w:p>
      <w:pPr>
        <w:pStyle w:val="Style18"/>
        <w:spacing w:before="0" w:after="0"/>
        <w:rPr/>
      </w:pPr>
      <w:r>
        <w:rPr/>
        <w:t>специальным требованиям (подраздел </w:t>
      </w:r>
      <w:r>
        <w:rPr/>
        <w:fldChar w:fldCharType="begin"/>
      </w:r>
      <w:r>
        <w:rPr/>
        <w:instrText xml:space="preserve"> REF _Ref125709153 \r \h </w:instrText>
      </w:r>
      <w:r>
        <w:rPr/>
        <w:fldChar w:fldCharType="separate"/>
      </w:r>
      <w:r>
        <w:rPr/>
        <w:t>8.3</w:t>
      </w:r>
      <w:r>
        <w:rPr/>
        <w:fldChar w:fldCharType="end"/>
      </w:r>
      <w:r>
        <w:rPr/>
        <w:t>) (в случае их установления), за исключением требования о наличии членства в саморегулируемых организациях.</w:t>
      </w:r>
    </w:p>
    <w:p>
      <w:pPr>
        <w:pStyle w:val="Style21"/>
        <w:ind w:hanging="0" w:left="1134" w:right="0"/>
        <w:rPr/>
      </w:pPr>
      <w:bookmarkStart w:id="86" w:name="_Ref125368863"/>
      <w:r>
        <w:rPr/>
        <w:t xml:space="preserve">При этом соответствовать специальным требованиям субподрядчик должен только в части объема поставки продукции, который ему </w:t>
      </w:r>
      <w:bookmarkEnd w:id="86"/>
      <w:r>
        <w:rPr/>
        <w:t>поручен в соответствии с представленным в Техническом предложении Планом распределения объемов поставки продукции (форма 4) (</w:t>
      </w:r>
      <w:hyperlink w:anchor="Прил04_ФормыЗаявки" w:tgtFrame="#Прил04_ФормыЗаявки">
        <w:r>
          <w:rPr>
            <w:rStyle w:val="Style6"/>
          </w:rPr>
          <w:t>Приложение № 4</w:t>
        </w:r>
      </w:hyperlink>
      <w:r>
        <w:rPr/>
        <w:t>).</w:t>
      </w:r>
    </w:p>
    <w:p>
      <w:pPr>
        <w:pStyle w:val="Style17"/>
        <w:spacing w:before="120" w:after="0"/>
        <w:rPr/>
      </w:pPr>
      <w:r>
        <w:rPr/>
        <w:t xml:space="preserve">При оценке и сопоставлении заявки Генерального подрядчика по квалификационным критериям (если они установлены в </w:t>
      </w:r>
      <w:hyperlink w:anchor="Прил08_ПорядокОценки" w:tgtFrame="#Прил08_ПорядокОценки">
        <w:r>
          <w:rPr>
            <w:rStyle w:val="Style6"/>
          </w:rPr>
          <w:t>Порядке и критериях оценки и сопоставления заявок (Приложение № 8)</w:t>
        </w:r>
      </w:hyperlink>
      <w:r>
        <w:rPr/>
        <w:t>) количественные параметры деятельности Генерального подрядчика и субподрядчиков суммируются (наличие требуемого опыта, обеспеченность материально-техническими ресурсами и кадровыми ресурсами).</w:t>
      </w:r>
    </w:p>
    <w:p>
      <w:pPr>
        <w:pStyle w:val="Style17"/>
        <w:spacing w:before="0" w:after="0"/>
        <w:rPr/>
      </w:pPr>
      <w:bookmarkStart w:id="87" w:name="_Ref125361799"/>
      <w:r>
        <w:rPr/>
        <w:t>Любое юридическое или физическое лицо (в том числе индивидуальный предприниматель) может являться субподрядчиком у произвольного числа Генеральных подрядчиков, а также имеет право самостоятельно принимать участие в закупке. Каждый Генеральный подрядчик может подать только одну заявку и не может быть субподрядчиком у других Генеральных подрядчиков. В случае невыполнения этих требований заявки с участием таких лиц будут отклонены.</w:t>
      </w:r>
      <w:bookmarkEnd w:id="87"/>
    </w:p>
    <w:p>
      <w:pPr>
        <w:sectPr>
          <w:headerReference w:type="default" r:id="rId5"/>
          <w:footerReference w:type="default" r:id="rId6"/>
          <w:footerReference w:type="first" r:id="rId7"/>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17"/>
        <w:spacing w:before="0" w:after="0"/>
        <w:rPr/>
      </w:pPr>
      <w:r>
        <w:rPr/>
        <w:t>Если подразделом </w:t>
      </w:r>
      <w:r>
        <w:rPr/>
        <w:fldChar w:fldCharType="begin"/>
      </w:r>
      <w:r>
        <w:rPr/>
        <w:instrText xml:space="preserve"> REF _Ref125359973 \r \h </w:instrText>
      </w:r>
      <w:r>
        <w:rPr/>
        <w:fldChar w:fldCharType="separate"/>
      </w:r>
      <w:r>
        <w:rPr/>
        <w:t>1.2</w:t>
      </w:r>
      <w:r>
        <w:rPr/>
        <w:fldChar w:fldCharType="end"/>
      </w:r>
      <w:r>
        <w:rPr/>
        <w:t xml:space="preserve"> не предусмотрены рассмотрение и оценка заявок Участников с учетом привлекаемых субподрядчиков, то при рассмотрении и оценке заявок к учету принимаются исключительно сведения о самом Участнике, в связи с чем Участник не обязан предоставлять документы на привлекаемых им субподрядчиков, указанные в подразделе </w:t>
      </w:r>
      <w:r>
        <w:rPr/>
        <w:fldChar w:fldCharType="begin"/>
      </w:r>
      <w:r>
        <w:rPr/>
        <w:instrText xml:space="preserve"> REF _Ref125709973 \r \h </w:instrText>
      </w:r>
      <w:r>
        <w:rPr/>
        <w:fldChar w:fldCharType="separate"/>
      </w:r>
      <w:r>
        <w:rPr/>
        <w:t>8.4</w:t>
      </w:r>
      <w:r>
        <w:rPr/>
        <w:fldChar w:fldCharType="end"/>
      </w:r>
      <w:r>
        <w:rPr/>
        <w:t xml:space="preserve"> </w:t>
      </w:r>
      <w:hyperlink w:anchor="Прил03_ТребованияУчастникам" w:tgtFrame="#Прил03_ТребованияУчастникам">
        <w:r>
          <w:rPr>
            <w:rStyle w:val="Style6"/>
          </w:rPr>
          <w:t>Требований к Участникам (Приложение № 3)</w:t>
        </w:r>
      </w:hyperlink>
      <w:r>
        <w:rPr/>
        <w:t>. Ответственность за соответствие в ходе исполнения обязательств по Договору привлекаемых субподрядчиков требованиям Документации о закупке в этом случае возлагается на самого Участника.</w:t>
      </w:r>
    </w:p>
    <w:p>
      <w:pPr>
        <w:pStyle w:val="Style15"/>
        <w:rPr/>
      </w:pPr>
      <w:bookmarkStart w:id="88" w:name="_Ref125367098"/>
      <w:bookmarkStart w:id="89" w:name="_Ref125367107"/>
      <w:bookmarkStart w:id="90" w:name="_Ref125367974"/>
      <w:bookmarkStart w:id="91" w:name="_Toc228876847"/>
      <w:bookmarkStart w:id="92" w:name="_Ref125361211"/>
      <w:r>
        <w:rPr/>
        <w:t>Порядок проведения закупки</w:t>
      </w:r>
      <w:bookmarkEnd w:id="88"/>
      <w:bookmarkEnd w:id="89"/>
      <w:bookmarkEnd w:id="90"/>
      <w:bookmarkEnd w:id="91"/>
      <w:bookmarkEnd w:id="92"/>
    </w:p>
    <w:p>
      <w:pPr>
        <w:pStyle w:val="Style16"/>
        <w:spacing w:before="360" w:after="0"/>
        <w:rPr/>
      </w:pPr>
      <w:bookmarkStart w:id="93" w:name="_Toc228876848"/>
      <w:bookmarkStart w:id="94" w:name="_Ref126141932"/>
      <w:r>
        <w:rPr/>
        <w:t>Общий порядок проведения закупки</w:t>
      </w:r>
      <w:bookmarkEnd w:id="93"/>
      <w:bookmarkEnd w:id="94"/>
    </w:p>
    <w:p>
      <w:pPr>
        <w:pStyle w:val="Style17"/>
        <w:keepNext w:val="true"/>
        <w:spacing w:before="120" w:after="120"/>
        <w:rPr/>
      </w:pPr>
      <w:r>
        <w:rPr/>
        <w:t>Закупка проводится в следующем порядке:</w:t>
      </w:r>
    </w:p>
    <w:tbl>
      <w:tblPr>
        <w:tblW w:w="14637" w:type="dxa"/>
        <w:jc w:val="right"/>
        <w:tblInd w:w="0" w:type="dxa"/>
        <w:tblLayout w:type="fixed"/>
        <w:tblCellMar>
          <w:top w:w="0" w:type="dxa"/>
          <w:left w:w="0" w:type="dxa"/>
          <w:bottom w:w="0" w:type="dxa"/>
          <w:right w:w="5" w:type="dxa"/>
        </w:tblCellMar>
      </w:tblPr>
      <w:tblGrid>
        <w:gridCol w:w="509"/>
        <w:gridCol w:w="2535"/>
        <w:gridCol w:w="1171"/>
        <w:gridCol w:w="3224"/>
        <w:gridCol w:w="2685"/>
        <w:gridCol w:w="2280"/>
        <w:gridCol w:w="2232"/>
      </w:tblGrid>
      <w:tr>
        <w:trPr/>
        <w:tc>
          <w:tcPr>
            <w:tcW w:w="509" w:type="dxa"/>
            <w:tcBorders>
              <w:top w:val="single" w:sz="4" w:space="0" w:color="7F7F7F"/>
              <w:bottom w:val="single" w:sz="4" w:space="0" w:color="7F7F7F"/>
              <w:right w:val="single" w:sz="4" w:space="0" w:color="7F7F7F"/>
            </w:tcBorders>
            <w:vAlign w:val="bottom"/>
          </w:tcPr>
          <w:p>
            <w:pPr>
              <w:pStyle w:val="Style21"/>
              <w:keepNext w:val="true"/>
              <w:keepLines w:val="false"/>
              <w:widowControl w:val="false"/>
              <w:spacing w:lineRule="auto" w:line="240" w:before="40" w:after="40"/>
              <w:jc w:val="center"/>
              <w:rPr>
                <w:b w:val="false"/>
                <w:bCs/>
                <w:sz w:val="23"/>
                <w:szCs w:val="23"/>
              </w:rPr>
            </w:pPr>
            <w:r>
              <w:rPr>
                <w:rFonts w:eastAsia="Wingdings 3" w:cs="Wingdings 3" w:ascii="Wingdings 3" w:hAnsi="Wingdings 3"/>
                <w:b w:val="false"/>
                <w:bCs/>
                <w:kern w:val="0"/>
                <w:sz w:val="23"/>
                <w:szCs w:val="23"/>
                <w:lang w:val="ru-RU" w:eastAsia="en-US" w:bidi="ar-SA"/>
              </w:rPr>
              <w:t>Ô</w:t>
            </w:r>
          </w:p>
        </w:tc>
        <w:tc>
          <w:tcPr>
            <w:tcW w:w="14127" w:type="dxa"/>
            <w:gridSpan w:val="6"/>
            <w:tcBorders>
              <w:top w:val="single" w:sz="4" w:space="0" w:color="7F7F7F"/>
              <w:left w:val="single" w:sz="4" w:space="0" w:color="7F7F7F"/>
              <w:bottom w:val="single" w:sz="4" w:space="0" w:color="7F7F7F"/>
            </w:tcBorders>
          </w:tcPr>
          <w:p>
            <w:pPr>
              <w:pStyle w:val="Style21"/>
              <w:keepNext w:val="true"/>
              <w:keepLines w:val="false"/>
              <w:widowControl w:val="false"/>
              <w:spacing w:lineRule="auto" w:line="240" w:before="40" w:after="40"/>
              <w:jc w:val="center"/>
              <w:rPr>
                <w:b w:val="false"/>
                <w:bCs/>
                <w:sz w:val="23"/>
                <w:szCs w:val="23"/>
              </w:rPr>
            </w:pPr>
            <w:r>
              <w:rPr>
                <w:rFonts w:eastAsia="Calibri" w:cs="Arial"/>
                <w:b/>
                <w:bCs/>
                <w:kern w:val="0"/>
                <w:sz w:val="23"/>
                <w:szCs w:val="23"/>
                <w:lang w:val="ru-RU" w:eastAsia="en-US" w:bidi="ar-SA"/>
              </w:rPr>
              <w:t>Официальное размещение Извещения и Документации о закупке (подраздел </w:t>
            </w:r>
            <w:r>
              <w:rPr>
                <w:rFonts w:eastAsia="Calibri" w:cs="Arial"/>
                <w:b/>
                <w:bCs/>
                <w:kern w:val="0"/>
                <w:sz w:val="23"/>
                <w:szCs w:val="23"/>
                <w:lang w:val="ru-RU" w:eastAsia="en-US" w:bidi="ar-SA"/>
              </w:rPr>
              <w:fldChar w:fldCharType="begin"/>
            </w:r>
            <w:r>
              <w:rPr>
                <w:sz w:val="23"/>
                <w:b/>
                <w:kern w:val="0"/>
                <w:szCs w:val="23"/>
                <w:bCs/>
                <w:rFonts w:eastAsia="Calibri" w:cs="Arial"/>
                <w:lang w:val="ru-RU" w:eastAsia="en-US" w:bidi="ar-SA"/>
              </w:rPr>
              <w:instrText xml:space="preserve"> REF _Ref130286532 \r \h </w:instrText>
            </w:r>
            <w:r>
              <w:rPr>
                <w:sz w:val="23"/>
                <w:b/>
                <w:kern w:val="0"/>
                <w:szCs w:val="23"/>
                <w:bCs/>
                <w:rFonts w:eastAsia="Calibri" w:cs="Arial"/>
                <w:lang w:val="ru-RU" w:eastAsia="en-US" w:bidi="ar-SA"/>
              </w:rPr>
              <w:fldChar w:fldCharType="separate"/>
            </w:r>
            <w:r>
              <w:rPr>
                <w:sz w:val="23"/>
                <w:b/>
                <w:kern w:val="0"/>
                <w:szCs w:val="23"/>
                <w:bCs/>
                <w:rFonts w:eastAsia="Calibri" w:cs="Arial"/>
                <w:lang w:val="ru-RU" w:eastAsia="en-US" w:bidi="ar-SA"/>
              </w:rPr>
              <w:t>4.2</w:t>
            </w:r>
            <w:r>
              <w:rPr>
                <w:sz w:val="23"/>
                <w:b/>
                <w:kern w:val="0"/>
                <w:szCs w:val="23"/>
                <w:bCs/>
                <w:rFonts w:eastAsia="Calibri" w:cs="Arial"/>
                <w:lang w:val="ru-RU" w:eastAsia="en-US" w:bidi="ar-SA"/>
              </w:rPr>
              <w:fldChar w:fldCharType="end"/>
            </w:r>
            <w:r>
              <w:rPr>
                <w:rFonts w:eastAsia="Calibri" w:cs="Arial"/>
                <w:b/>
                <w:bCs/>
                <w:kern w:val="0"/>
                <w:sz w:val="23"/>
                <w:szCs w:val="23"/>
                <w:lang w:val="ru-RU" w:eastAsia="en-US" w:bidi="ar-SA"/>
              </w:rPr>
              <w:t>)</w:t>
            </w:r>
          </w:p>
        </w:tc>
      </w:tr>
      <w:tr>
        <w:trPr/>
        <w:tc>
          <w:tcPr>
            <w:tcW w:w="509" w:type="dxa"/>
            <w:tcBorders>
              <w:top w:val="single" w:sz="4" w:space="0" w:color="7F7F7F"/>
              <w:bottom w:val="single" w:sz="4" w:space="0" w:color="7F7F7F"/>
              <w:right w:val="single" w:sz="4" w:space="0" w:color="7F7F7F"/>
            </w:tcBorders>
            <w:vAlign w:val="bottom"/>
          </w:tcPr>
          <w:p>
            <w:pPr>
              <w:pStyle w:val="Style21"/>
              <w:widowControl w:val="false"/>
              <w:spacing w:lineRule="auto" w:line="240" w:before="40" w:after="40"/>
              <w:jc w:val="center"/>
              <w:rPr>
                <w:bCs/>
                <w:sz w:val="23"/>
                <w:szCs w:val="23"/>
              </w:rPr>
            </w:pPr>
            <w:r>
              <w:rPr>
                <w:rFonts w:eastAsia="Wingdings 3" w:cs="Wingdings 3" w:ascii="Wingdings 3" w:hAnsi="Wingdings 3"/>
                <w:bCs/>
                <w:kern w:val="0"/>
                <w:sz w:val="23"/>
                <w:szCs w:val="23"/>
                <w:lang w:val="ru-RU" w:eastAsia="en-US" w:bidi="ar-SA"/>
              </w:rPr>
              <w:t>Ô</w:t>
            </w:r>
          </w:p>
        </w:tc>
        <w:tc>
          <w:tcPr>
            <w:tcW w:w="6930" w:type="dxa"/>
            <w:gridSpan w:val="3"/>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Подготовка заявки (подраздел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_Ref130281199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4.3</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r>
          </w:p>
        </w:tc>
        <w:tc>
          <w:tcPr>
            <w:tcW w:w="2685" w:type="dxa"/>
            <w:vMerge w:val="restart"/>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Предоставление разъяснений положений Документации о закупке</w:t>
              <w:br/>
              <w:t>(подраздел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_Ref130394205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4.4</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br/>
            </w:r>
            <w:r>
              <w:rPr>
                <w:rFonts w:eastAsia="Calibri" w:cs="Arial"/>
                <w:bCs/>
                <w:i/>
                <w:iCs/>
                <w:kern w:val="0"/>
                <w:sz w:val="23"/>
                <w:szCs w:val="23"/>
                <w:lang w:val="ru-RU" w:eastAsia="en-US" w:bidi="ar-SA"/>
              </w:rPr>
              <w:t>(опциональная процедура закупки)</w:t>
            </w:r>
          </w:p>
        </w:tc>
        <w:tc>
          <w:tcPr>
            <w:tcW w:w="2280" w:type="dxa"/>
            <w:vMerge w:val="restart"/>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center"/>
              <w:rPr>
                <w:bCs/>
                <w:sz w:val="20"/>
                <w:szCs w:val="20"/>
              </w:rPr>
            </w:pPr>
            <w:r>
              <w:rPr>
                <w:rFonts w:eastAsia="Calibri" w:cs="Arial"/>
                <w:bCs/>
                <w:kern w:val="0"/>
                <w:sz w:val="23"/>
                <w:szCs w:val="23"/>
                <w:lang w:val="ru-RU" w:eastAsia="en-US" w:bidi="ar-SA"/>
              </w:rPr>
              <w:t>Внесение изменений в Извещение и (или) Документацию о закупке</w:t>
              <w:br/>
              <w:t>(подраздел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_Ref125362076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4.5</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br/>
            </w:r>
            <w:r>
              <w:rPr>
                <w:rFonts w:eastAsia="Calibri" w:cs="Arial"/>
                <w:bCs/>
                <w:i/>
                <w:iCs/>
                <w:kern w:val="0"/>
                <w:sz w:val="20"/>
                <w:szCs w:val="20"/>
                <w:lang w:val="ru-RU" w:eastAsia="en-US" w:bidi="ar-SA"/>
              </w:rPr>
              <w:t>(опциональная процедура закупки)</w:t>
            </w:r>
          </w:p>
        </w:tc>
        <w:tc>
          <w:tcPr>
            <w:tcW w:w="2232" w:type="dxa"/>
            <w:vMerge w:val="restart"/>
            <w:tcBorders>
              <w:top w:val="single" w:sz="4" w:space="0" w:color="7F7F7F"/>
              <w:left w:val="single" w:sz="4" w:space="0" w:color="7F7F7F"/>
              <w:bottom w:val="single" w:sz="4" w:space="0" w:color="7F7F7F"/>
            </w:tcBorders>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Отказ от проведения закупки (отмена закупки)</w:t>
              <w:br/>
              <w:t>(подраздел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_Ref132816134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4.17</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br/>
            </w:r>
            <w:r>
              <w:rPr>
                <w:rFonts w:eastAsia="Calibri" w:cs="Arial"/>
                <w:bCs/>
                <w:i/>
                <w:iCs/>
                <w:kern w:val="0"/>
                <w:sz w:val="23"/>
                <w:szCs w:val="23"/>
                <w:lang w:val="ru-RU" w:eastAsia="en-US" w:bidi="ar-SA"/>
              </w:rPr>
              <w:t>(опциональная процедура закупки)</w:t>
            </w:r>
          </w:p>
        </w:tc>
      </w:tr>
      <w:tr>
        <w:trPr/>
        <w:tc>
          <w:tcPr>
            <w:tcW w:w="509" w:type="dxa"/>
            <w:tcBorders>
              <w:top w:val="single" w:sz="4" w:space="0" w:color="7F7F7F"/>
              <w:bottom w:val="single" w:sz="4" w:space="0" w:color="7F7F7F"/>
              <w:right w:val="single" w:sz="4" w:space="0" w:color="7F7F7F"/>
            </w:tcBorders>
            <w:vAlign w:val="bottom"/>
          </w:tcPr>
          <w:p>
            <w:pPr>
              <w:pStyle w:val="Style21"/>
              <w:widowControl w:val="false"/>
              <w:spacing w:lineRule="auto" w:line="240" w:before="40" w:after="40"/>
              <w:jc w:val="center"/>
              <w:rPr>
                <w:bCs/>
                <w:sz w:val="23"/>
                <w:szCs w:val="23"/>
              </w:rPr>
            </w:pPr>
            <w:r>
              <w:rPr>
                <w:rFonts w:eastAsia="Wingdings 3" w:cs="Wingdings 3" w:ascii="Wingdings 3" w:hAnsi="Wingdings 3"/>
                <w:bCs/>
                <w:kern w:val="0"/>
                <w:sz w:val="23"/>
                <w:szCs w:val="23"/>
                <w:lang w:val="ru-RU" w:eastAsia="en-US" w:bidi="ar-SA"/>
              </w:rPr>
              <w:t>Ô</w:t>
            </w:r>
          </w:p>
        </w:tc>
        <w:tc>
          <w:tcPr>
            <w:tcW w:w="253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Подача заявок и их прием</w:t>
              <w:br/>
              <w:t>(подраздел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_Ref125362119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4.6</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r>
          </w:p>
        </w:tc>
        <w:tc>
          <w:tcPr>
            <w:tcW w:w="4395" w:type="dxa"/>
            <w:gridSpan w:val="2"/>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Изменение и отзыв заявок</w:t>
              <w:br/>
              <w:t>(подраздел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_Ref125362130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4.7</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br/>
            </w:r>
            <w:r>
              <w:rPr>
                <w:rFonts w:eastAsia="Calibri" w:cs="Arial"/>
                <w:bCs/>
                <w:i/>
                <w:iCs/>
                <w:kern w:val="0"/>
                <w:sz w:val="23"/>
                <w:szCs w:val="23"/>
                <w:lang w:val="ru-RU" w:eastAsia="en-US" w:bidi="ar-SA"/>
              </w:rPr>
              <w:t>(опциональная процедура закупки)</w:t>
            </w:r>
          </w:p>
        </w:tc>
        <w:tc>
          <w:tcPr>
            <w:tcW w:w="2685"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c>
          <w:tcPr>
            <w:tcW w:w="2280"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c>
          <w:tcPr>
            <w:tcW w:w="2232" w:type="dxa"/>
            <w:vMerge w:val="continue"/>
            <w:tcBorders>
              <w:top w:val="single" w:sz="4" w:space="0" w:color="7F7F7F"/>
              <w:left w:val="single" w:sz="4" w:space="0" w:color="7F7F7F"/>
              <w:bottom w:val="single" w:sz="4" w:space="0" w:color="7F7F7F"/>
            </w:tcBorders>
          </w:tcPr>
          <w:p>
            <w:pPr>
              <w:pStyle w:val="Normal"/>
              <w:widowControl w:val="false"/>
              <w:bidi w:val="0"/>
              <w:spacing w:lineRule="auto" w:line="240" w:before="120" w:after="0"/>
              <w:jc w:val="left"/>
              <w:rPr/>
            </w:pPr>
            <w:r>
              <w:rPr/>
            </w:r>
          </w:p>
        </w:tc>
      </w:tr>
      <w:tr>
        <w:trPr/>
        <w:tc>
          <w:tcPr>
            <w:tcW w:w="509" w:type="dxa"/>
            <w:tcBorders>
              <w:top w:val="single" w:sz="4" w:space="0" w:color="7F7F7F"/>
              <w:bottom w:val="single" w:sz="4" w:space="0" w:color="7F7F7F"/>
              <w:right w:val="single" w:sz="4" w:space="0" w:color="7F7F7F"/>
            </w:tcBorders>
            <w:vAlign w:val="bottom"/>
          </w:tcPr>
          <w:p>
            <w:pPr>
              <w:pStyle w:val="Style21"/>
              <w:widowControl w:val="false"/>
              <w:spacing w:lineRule="auto" w:line="240" w:before="40" w:after="40"/>
              <w:jc w:val="center"/>
              <w:rPr>
                <w:bCs/>
                <w:sz w:val="23"/>
                <w:szCs w:val="23"/>
              </w:rPr>
            </w:pPr>
            <w:r>
              <w:rPr>
                <w:rFonts w:eastAsia="Wingdings 3" w:cs="Wingdings 3" w:ascii="Wingdings 3" w:hAnsi="Wingdings 3"/>
                <w:bCs/>
                <w:kern w:val="0"/>
                <w:sz w:val="23"/>
                <w:szCs w:val="23"/>
                <w:lang w:val="ru-RU" w:eastAsia="en-US" w:bidi="ar-SA"/>
              </w:rPr>
              <w:t>Ô</w:t>
            </w:r>
          </w:p>
        </w:tc>
        <w:tc>
          <w:tcPr>
            <w:tcW w:w="11895" w:type="dxa"/>
            <w:gridSpan w:val="5"/>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Открытие доступа к первым частям заявок (подраздел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_Ref132816188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4.8</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r>
          </w:p>
        </w:tc>
        <w:tc>
          <w:tcPr>
            <w:tcW w:w="2232" w:type="dxa"/>
            <w:tcBorders>
              <w:top w:val="single" w:sz="4" w:space="0" w:color="7F7F7F"/>
              <w:left w:val="single" w:sz="4" w:space="0" w:color="7F7F7F"/>
            </w:tcBorders>
          </w:tcPr>
          <w:p>
            <w:pPr>
              <w:pStyle w:val="Style21"/>
              <w:widowControl w:val="false"/>
              <w:spacing w:lineRule="auto" w:line="240" w:before="40" w:after="40"/>
              <w:jc w:val="center"/>
              <w:rPr>
                <w:rFonts w:ascii="Times New Roman" w:hAnsi="Times New Roman" w:eastAsia="Calibri" w:cs="Arial"/>
                <w:bCs/>
                <w:kern w:val="0"/>
                <w:sz w:val="23"/>
                <w:szCs w:val="23"/>
                <w:lang w:val="ru-RU" w:eastAsia="en-US" w:bidi="ar-SA"/>
              </w:rPr>
            </w:pPr>
            <w:r>
              <w:rPr>
                <w:rFonts w:eastAsia="Calibri" w:cs="Arial"/>
                <w:bCs/>
                <w:kern w:val="0"/>
                <w:sz w:val="23"/>
                <w:szCs w:val="23"/>
                <w:lang w:val="ru-RU" w:eastAsia="en-US" w:bidi="ar-SA"/>
              </w:rPr>
            </w:r>
          </w:p>
        </w:tc>
      </w:tr>
      <w:tr>
        <w:trPr/>
        <w:tc>
          <w:tcPr>
            <w:tcW w:w="509" w:type="dxa"/>
            <w:tcBorders>
              <w:top w:val="single" w:sz="4" w:space="0" w:color="7F7F7F"/>
              <w:bottom w:val="single" w:sz="4" w:space="0" w:color="7F7F7F"/>
              <w:right w:val="single" w:sz="4" w:space="0" w:color="7F7F7F"/>
            </w:tcBorders>
            <w:vAlign w:val="bottom"/>
          </w:tcPr>
          <w:p>
            <w:pPr>
              <w:pStyle w:val="Style21"/>
              <w:widowControl w:val="false"/>
              <w:spacing w:lineRule="auto" w:line="240" w:before="40" w:after="40"/>
              <w:jc w:val="center"/>
              <w:rPr>
                <w:bCs/>
                <w:sz w:val="23"/>
                <w:szCs w:val="23"/>
              </w:rPr>
            </w:pPr>
            <w:r>
              <w:rPr>
                <w:rFonts w:eastAsia="Wingdings 3" w:cs="Wingdings 3" w:ascii="Wingdings 3" w:hAnsi="Wingdings 3"/>
                <w:bCs/>
                <w:kern w:val="0"/>
                <w:sz w:val="23"/>
                <w:szCs w:val="23"/>
                <w:lang w:val="ru-RU" w:eastAsia="en-US" w:bidi="ar-SA"/>
              </w:rPr>
              <w:t>Ô</w:t>
            </w:r>
          </w:p>
        </w:tc>
        <w:tc>
          <w:tcPr>
            <w:tcW w:w="6930" w:type="dxa"/>
            <w:gridSpan w:val="3"/>
            <w:tcBorders>
              <w:top w:val="single" w:sz="4" w:space="0" w:color="7F7F7F"/>
              <w:left w:val="single" w:sz="4" w:space="0" w:color="7F7F7F"/>
              <w:bottom w:val="single" w:sz="4" w:space="0" w:color="7F7F7F"/>
              <w:right w:val="single" w:sz="4" w:space="0" w:color="7F7F7F"/>
            </w:tcBorders>
            <w:vAlign w:val="center"/>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Рассмотрение первых частей заявок / окончательных предложений (отборочная стадия) (подраздел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_Ref125362364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4.9</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r>
          </w:p>
        </w:tc>
        <w:tc>
          <w:tcPr>
            <w:tcW w:w="2685" w:type="dxa"/>
            <w:vMerge w:val="restart"/>
            <w:tcBorders>
              <w:top w:val="single" w:sz="4" w:space="0" w:color="7F7F7F"/>
              <w:left w:val="single" w:sz="4" w:space="0" w:color="7F7F7F"/>
              <w:bottom w:val="single" w:sz="4" w:space="0" w:color="7F7F7F"/>
              <w:right w:val="single" w:sz="4" w:space="0" w:color="7F7F7F"/>
            </w:tcBorders>
            <w:vAlign w:val="center"/>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Направление дополнительных запросов разъяснений заявок</w:t>
              <w:br/>
              <w:t>(подраздел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_Ref125362381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4.12</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r>
          </w:p>
        </w:tc>
        <w:tc>
          <w:tcPr>
            <w:tcW w:w="2280" w:type="dxa"/>
            <w:vMerge w:val="restart"/>
            <w:tcBorders>
              <w:left w:val="single" w:sz="4" w:space="0" w:color="7F7F7F"/>
              <w:bottom w:val="single" w:sz="4" w:space="0" w:color="7F7F7F"/>
              <w:right w:val="single" w:sz="4" w:space="0" w:color="7F7F7F"/>
            </w:tcBorders>
            <w:vAlign w:val="center"/>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Признание закупки</w:t>
              <w:br/>
              <w:t>несостоявшейся</w:t>
              <w:br/>
              <w:t>(подраздел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_Ref125364149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4.16</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br/>
            </w:r>
            <w:r>
              <w:rPr>
                <w:rFonts w:eastAsia="Calibri" w:cs="Arial"/>
                <w:bCs/>
                <w:i/>
                <w:iCs/>
                <w:kern w:val="0"/>
                <w:sz w:val="23"/>
                <w:szCs w:val="23"/>
                <w:lang w:val="ru-RU" w:eastAsia="en-US" w:bidi="ar-SA"/>
              </w:rPr>
              <w:t>(опциональная процедура закупки)</w:t>
            </w:r>
          </w:p>
        </w:tc>
        <w:tc>
          <w:tcPr>
            <w:tcW w:w="2232" w:type="dxa"/>
            <w:vMerge w:val="restart"/>
            <w:tcBorders>
              <w:left w:val="single" w:sz="4" w:space="0" w:color="7F7F7F"/>
              <w:bottom w:val="single" w:sz="4" w:space="0" w:color="7F7F7F"/>
            </w:tcBorders>
            <w:vAlign w:val="center"/>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Отказ от проведения закупки (отмена закупки) по обстоятельствам непреодолимой силы в соответствии с гражданским законодательством</w:t>
              <w:br/>
              <w:t>(подраздел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_Ref132816141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4.17</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br/>
            </w:r>
            <w:r>
              <w:rPr>
                <w:rFonts w:eastAsia="Calibri" w:cs="Arial"/>
                <w:bCs/>
                <w:i/>
                <w:iCs/>
                <w:kern w:val="0"/>
                <w:sz w:val="23"/>
                <w:szCs w:val="23"/>
                <w:lang w:val="ru-RU" w:eastAsia="en-US" w:bidi="ar-SA"/>
              </w:rPr>
              <w:t>(опциональная процедура закупки)</w:t>
            </w:r>
          </w:p>
        </w:tc>
      </w:tr>
      <w:tr>
        <w:trPr/>
        <w:tc>
          <w:tcPr>
            <w:tcW w:w="509" w:type="dxa"/>
            <w:tcBorders>
              <w:top w:val="single" w:sz="4" w:space="0" w:color="7F7F7F"/>
              <w:bottom w:val="single" w:sz="4" w:space="0" w:color="7F7F7F"/>
              <w:right w:val="single" w:sz="4" w:space="0" w:color="7F7F7F"/>
            </w:tcBorders>
            <w:vAlign w:val="bottom"/>
          </w:tcPr>
          <w:p>
            <w:pPr>
              <w:pStyle w:val="Style21"/>
              <w:widowControl w:val="false"/>
              <w:spacing w:lineRule="auto" w:line="240" w:before="40" w:after="40"/>
              <w:jc w:val="center"/>
              <w:rPr>
                <w:bCs/>
                <w:sz w:val="23"/>
                <w:szCs w:val="23"/>
              </w:rPr>
            </w:pPr>
            <w:r>
              <w:rPr>
                <w:rFonts w:eastAsia="Wingdings 3" w:cs="Wingdings 3" w:ascii="Wingdings 3" w:hAnsi="Wingdings 3"/>
                <w:bCs/>
                <w:kern w:val="0"/>
                <w:sz w:val="23"/>
                <w:szCs w:val="23"/>
                <w:lang w:val="ru-RU" w:eastAsia="en-US" w:bidi="ar-SA"/>
              </w:rPr>
              <w:t>Ô</w:t>
            </w:r>
          </w:p>
        </w:tc>
        <w:tc>
          <w:tcPr>
            <w:tcW w:w="6930" w:type="dxa"/>
            <w:gridSpan w:val="3"/>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Открытие доступа ко вторым частям заявок</w:t>
              <w:br/>
              <w:t>и ценовым предложениям (подраздел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_Ref132801184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4.10</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r>
          </w:p>
        </w:tc>
        <w:tc>
          <w:tcPr>
            <w:tcW w:w="2685"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c>
          <w:tcPr>
            <w:tcW w:w="2280"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c>
          <w:tcPr>
            <w:tcW w:w="2232" w:type="dxa"/>
            <w:vMerge w:val="continue"/>
            <w:tcBorders>
              <w:top w:val="single" w:sz="4" w:space="0" w:color="7F7F7F"/>
              <w:left w:val="single" w:sz="4" w:space="0" w:color="7F7F7F"/>
              <w:bottom w:val="single" w:sz="4" w:space="0" w:color="7F7F7F"/>
            </w:tcBorders>
          </w:tcPr>
          <w:p>
            <w:pPr>
              <w:pStyle w:val="Normal"/>
              <w:widowControl w:val="false"/>
              <w:bidi w:val="0"/>
              <w:spacing w:lineRule="auto" w:line="240" w:before="120" w:after="0"/>
              <w:jc w:val="left"/>
              <w:rPr/>
            </w:pPr>
            <w:r>
              <w:rPr/>
            </w:r>
          </w:p>
        </w:tc>
      </w:tr>
      <w:tr>
        <w:trPr/>
        <w:tc>
          <w:tcPr>
            <w:tcW w:w="509" w:type="dxa"/>
            <w:tcBorders>
              <w:top w:val="single" w:sz="4" w:space="0" w:color="7F7F7F"/>
              <w:bottom w:val="single" w:sz="4" w:space="0" w:color="7F7F7F"/>
              <w:right w:val="single" w:sz="4" w:space="0" w:color="7F7F7F"/>
            </w:tcBorders>
            <w:vAlign w:val="bottom"/>
          </w:tcPr>
          <w:p>
            <w:pPr>
              <w:pStyle w:val="Style21"/>
              <w:widowControl w:val="false"/>
              <w:spacing w:lineRule="auto" w:line="240" w:before="0" w:after="0"/>
              <w:jc w:val="center"/>
              <w:rPr>
                <w:bCs/>
                <w:sz w:val="23"/>
                <w:szCs w:val="23"/>
              </w:rPr>
            </w:pPr>
            <w:r>
              <w:rPr>
                <w:rFonts w:eastAsia="Wingdings 3" w:cs="Wingdings 3" w:ascii="Wingdings 3" w:hAnsi="Wingdings 3"/>
                <w:bCs/>
                <w:kern w:val="0"/>
                <w:sz w:val="23"/>
                <w:szCs w:val="23"/>
                <w:lang w:val="ru-RU" w:eastAsia="en-US" w:bidi="ar-SA"/>
              </w:rPr>
              <w:t>Ô</w:t>
            </w:r>
          </w:p>
        </w:tc>
        <w:tc>
          <w:tcPr>
            <w:tcW w:w="3706" w:type="dxa"/>
            <w:gridSpan w:val="2"/>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0" w:after="0"/>
              <w:jc w:val="center"/>
              <w:rPr>
                <w:bCs/>
                <w:sz w:val="23"/>
                <w:szCs w:val="23"/>
              </w:rPr>
            </w:pPr>
            <w:r>
              <w:rPr>
                <w:rFonts w:eastAsia="Calibri" w:cs="Arial"/>
                <w:bCs/>
                <w:kern w:val="0"/>
                <w:sz w:val="23"/>
                <w:szCs w:val="23"/>
                <w:lang w:val="ru-RU" w:eastAsia="en-US" w:bidi="ar-SA"/>
              </w:rPr>
              <w:t>Рассмотрение вторых частей заявок (отборочная стадия), в том числе (при необходимости) проведение аккредитации,и ценовых предложений (подраздел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_Ref132797154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4.11</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r>
          </w:p>
        </w:tc>
        <w:tc>
          <w:tcPr>
            <w:tcW w:w="3224"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0" w:after="0"/>
              <w:jc w:val="center"/>
              <w:rPr>
                <w:bCs/>
                <w:sz w:val="23"/>
                <w:szCs w:val="23"/>
              </w:rPr>
            </w:pPr>
            <w:r>
              <w:rPr>
                <w:rFonts w:eastAsia="Calibri" w:cs="Arial"/>
                <w:bCs/>
                <w:kern w:val="0"/>
                <w:sz w:val="23"/>
                <w:szCs w:val="23"/>
                <w:lang w:val="ru-RU" w:eastAsia="en-US" w:bidi="ar-SA"/>
              </w:rPr>
              <w:t>Применение законодательства о национальном режиме</w:t>
              <w:br/>
              <w:t>(</w:t>
            </w:r>
            <w:r>
              <w:rPr>
                <w:rFonts w:eastAsia="Calibri" w:cs="Arial"/>
                <w:bCs/>
                <w:kern w:val="0"/>
                <w:sz w:val="23"/>
                <w:szCs w:val="23"/>
                <w:u w:val="single"/>
                <w:lang w:val="ru-RU" w:eastAsia="en-US" w:bidi="ar-SA"/>
              </w:rPr>
              <w:t>предоставление национального режима / запрета, ограничения</w:t>
            </w:r>
            <w:r>
              <w:rPr>
                <w:rFonts w:eastAsia="Calibri" w:cs="Arial"/>
                <w:bCs/>
                <w:kern w:val="0"/>
                <w:sz w:val="23"/>
                <w:szCs w:val="23"/>
                <w:lang w:val="ru-RU" w:eastAsia="en-US" w:bidi="ar-SA"/>
              </w:rPr>
              <w:t>)</w:t>
              <w:br/>
              <w:t>(подраздел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_Ref132816300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4.14</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r>
          </w:p>
        </w:tc>
        <w:tc>
          <w:tcPr>
            <w:tcW w:w="2685"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c>
          <w:tcPr>
            <w:tcW w:w="2280"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c>
          <w:tcPr>
            <w:tcW w:w="2232" w:type="dxa"/>
            <w:vMerge w:val="continue"/>
            <w:tcBorders>
              <w:top w:val="single" w:sz="4" w:space="0" w:color="7F7F7F"/>
              <w:left w:val="single" w:sz="4" w:space="0" w:color="7F7F7F"/>
              <w:bottom w:val="single" w:sz="4" w:space="0" w:color="7F7F7F"/>
            </w:tcBorders>
          </w:tcPr>
          <w:p>
            <w:pPr>
              <w:pStyle w:val="Normal"/>
              <w:widowControl w:val="false"/>
              <w:bidi w:val="0"/>
              <w:spacing w:lineRule="auto" w:line="240" w:before="120" w:after="0"/>
              <w:jc w:val="left"/>
              <w:rPr/>
            </w:pPr>
            <w:r>
              <w:rPr/>
            </w:r>
          </w:p>
        </w:tc>
      </w:tr>
      <w:tr>
        <w:trPr>
          <w:trHeight w:val="627" w:hRule="atLeast"/>
        </w:trPr>
        <w:tc>
          <w:tcPr>
            <w:tcW w:w="509" w:type="dxa"/>
            <w:tcBorders>
              <w:top w:val="single" w:sz="4" w:space="0" w:color="7F7F7F"/>
              <w:bottom w:val="single" w:sz="4" w:space="0" w:color="7F7F7F"/>
              <w:right w:val="single" w:sz="4" w:space="0" w:color="7F7F7F"/>
            </w:tcBorders>
            <w:vAlign w:val="bottom"/>
          </w:tcPr>
          <w:p>
            <w:pPr>
              <w:pStyle w:val="Style21"/>
              <w:widowControl w:val="false"/>
              <w:spacing w:lineRule="auto" w:line="240" w:before="40" w:after="40"/>
              <w:jc w:val="center"/>
              <w:rPr>
                <w:bCs/>
                <w:sz w:val="23"/>
                <w:szCs w:val="23"/>
              </w:rPr>
            </w:pPr>
            <w:r>
              <w:rPr>
                <w:rFonts w:eastAsia="Wingdings 3" w:cs="Wingdings 3" w:ascii="Wingdings 3" w:hAnsi="Wingdings 3"/>
                <w:bCs/>
                <w:kern w:val="0"/>
                <w:sz w:val="23"/>
                <w:szCs w:val="23"/>
                <w:lang w:val="ru-RU" w:eastAsia="en-US" w:bidi="ar-SA"/>
              </w:rPr>
              <w:t>Ô</w:t>
            </w:r>
          </w:p>
        </w:tc>
        <w:tc>
          <w:tcPr>
            <w:tcW w:w="2535" w:type="dxa"/>
            <w:tcBorders>
              <w:top w:val="single" w:sz="4" w:space="0" w:color="7F7F7F"/>
              <w:left w:val="single" w:sz="4" w:space="0" w:color="7F7F7F"/>
              <w:bottom w:val="single" w:sz="4" w:space="0" w:color="7F7F7F"/>
              <w:right w:val="single" w:sz="4" w:space="0" w:color="7F7F7F"/>
            </w:tcBorders>
            <w:vAlign w:val="center"/>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Оценка и сопоставление заявок</w:t>
              <w:br/>
              <w:t>(подраздел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_Ref125362626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4.13</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r>
          </w:p>
        </w:tc>
        <w:tc>
          <w:tcPr>
            <w:tcW w:w="4395" w:type="dxa"/>
            <w:gridSpan w:val="2"/>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Применение законодательства о национальном режиме</w:t>
              <w:br/>
              <w:t>(в части учета установленного преимущества в цене предложения, если применимо)(подраздел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_Ref132816300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4.14</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r>
          </w:p>
        </w:tc>
        <w:tc>
          <w:tcPr>
            <w:tcW w:w="2685"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c>
          <w:tcPr>
            <w:tcW w:w="2280"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c>
          <w:tcPr>
            <w:tcW w:w="2232" w:type="dxa"/>
            <w:vMerge w:val="continue"/>
            <w:tcBorders>
              <w:top w:val="single" w:sz="4" w:space="0" w:color="7F7F7F"/>
              <w:left w:val="single" w:sz="4" w:space="0" w:color="7F7F7F"/>
              <w:bottom w:val="single" w:sz="4" w:space="0" w:color="7F7F7F"/>
            </w:tcBorders>
          </w:tcPr>
          <w:p>
            <w:pPr>
              <w:pStyle w:val="Normal"/>
              <w:widowControl w:val="false"/>
              <w:bidi w:val="0"/>
              <w:spacing w:lineRule="auto" w:line="240" w:before="120" w:after="0"/>
              <w:jc w:val="left"/>
              <w:rPr/>
            </w:pPr>
            <w:r>
              <w:rPr/>
            </w:r>
          </w:p>
        </w:tc>
      </w:tr>
      <w:tr>
        <w:trPr/>
        <w:tc>
          <w:tcPr>
            <w:tcW w:w="509" w:type="dxa"/>
            <w:tcBorders>
              <w:top w:val="single" w:sz="4" w:space="0" w:color="7F7F7F"/>
              <w:bottom w:val="single" w:sz="4" w:space="0" w:color="7F7F7F"/>
              <w:right w:val="single" w:sz="4" w:space="0" w:color="7F7F7F"/>
            </w:tcBorders>
            <w:vAlign w:val="bottom"/>
          </w:tcPr>
          <w:p>
            <w:pPr>
              <w:pStyle w:val="Style21"/>
              <w:widowControl w:val="false"/>
              <w:spacing w:lineRule="auto" w:line="240" w:before="40" w:after="40"/>
              <w:jc w:val="center"/>
              <w:rPr>
                <w:bCs/>
                <w:sz w:val="23"/>
                <w:szCs w:val="23"/>
              </w:rPr>
            </w:pPr>
            <w:r>
              <w:rPr>
                <w:rFonts w:eastAsia="Wingdings 3" w:cs="Wingdings 3" w:ascii="Wingdings 3" w:hAnsi="Wingdings 3"/>
                <w:bCs/>
                <w:kern w:val="0"/>
                <w:sz w:val="23"/>
                <w:szCs w:val="23"/>
                <w:lang w:val="ru-RU" w:eastAsia="en-US" w:bidi="ar-SA"/>
              </w:rPr>
              <w:t>Ô</w:t>
            </w:r>
          </w:p>
        </w:tc>
        <w:tc>
          <w:tcPr>
            <w:tcW w:w="9615" w:type="dxa"/>
            <w:gridSpan w:val="4"/>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Подведение итогов закупки (определение Победителя) (подраздел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_Ref125362658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4.15</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r>
          </w:p>
        </w:tc>
        <w:tc>
          <w:tcPr>
            <w:tcW w:w="2280"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c>
          <w:tcPr>
            <w:tcW w:w="2232" w:type="dxa"/>
            <w:vMerge w:val="continue"/>
            <w:tcBorders>
              <w:top w:val="single" w:sz="4" w:space="0" w:color="7F7F7F"/>
              <w:left w:val="single" w:sz="4" w:space="0" w:color="7F7F7F"/>
              <w:bottom w:val="single" w:sz="4" w:space="0" w:color="7F7F7F"/>
            </w:tcBorders>
          </w:tcPr>
          <w:p>
            <w:pPr>
              <w:pStyle w:val="Normal"/>
              <w:widowControl w:val="false"/>
              <w:bidi w:val="0"/>
              <w:spacing w:lineRule="auto" w:line="240" w:before="120" w:after="0"/>
              <w:jc w:val="left"/>
              <w:rPr/>
            </w:pPr>
            <w:r>
              <w:rPr/>
            </w:r>
          </w:p>
        </w:tc>
      </w:tr>
      <w:tr>
        <w:trPr>
          <w:trHeight w:val="311" w:hRule="atLeast"/>
        </w:trPr>
        <w:tc>
          <w:tcPr>
            <w:tcW w:w="509" w:type="dxa"/>
            <w:tcBorders>
              <w:top w:val="single" w:sz="4" w:space="0" w:color="7F7F7F"/>
              <w:bottom w:val="single" w:sz="4" w:space="0" w:color="7F7F7F"/>
              <w:right w:val="single" w:sz="4" w:space="0" w:color="7F7F7F"/>
            </w:tcBorders>
            <w:vAlign w:val="bottom"/>
          </w:tcPr>
          <w:p>
            <w:pPr>
              <w:pStyle w:val="Style21"/>
              <w:widowControl w:val="false"/>
              <w:spacing w:lineRule="auto" w:line="240" w:before="40" w:after="40"/>
              <w:jc w:val="center"/>
              <w:rPr>
                <w:bCs/>
                <w:sz w:val="23"/>
                <w:szCs w:val="23"/>
              </w:rPr>
            </w:pPr>
            <w:r>
              <w:rPr>
                <w:rFonts w:eastAsia="Wingdings 3" w:cs="Wingdings 3" w:ascii="Wingdings 3" w:hAnsi="Wingdings 3"/>
                <w:bCs/>
                <w:kern w:val="0"/>
                <w:sz w:val="23"/>
                <w:szCs w:val="23"/>
                <w:u w:val="single"/>
                <w:lang w:val="ru-RU" w:eastAsia="en-US" w:bidi="ar-SA"/>
              </w:rPr>
              <w:t>Ô</w:t>
            </w:r>
          </w:p>
        </w:tc>
        <w:tc>
          <w:tcPr>
            <w:tcW w:w="6930" w:type="dxa"/>
            <w:gridSpan w:val="3"/>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Заключение Договора (подраздел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_Ref138341423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5.2</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r>
          </w:p>
          <w:p>
            <w:pPr>
              <w:pStyle w:val="Style21"/>
              <w:widowControl w:val="false"/>
              <w:spacing w:lineRule="auto" w:line="240" w:before="40" w:after="40"/>
              <w:jc w:val="center"/>
              <w:rPr>
                <w:rFonts w:ascii="Times New Roman" w:hAnsi="Times New Roman" w:eastAsia="Calibri" w:cs="Arial"/>
                <w:bCs/>
                <w:kern w:val="0"/>
                <w:sz w:val="23"/>
                <w:szCs w:val="23"/>
                <w:lang w:val="ru-RU" w:eastAsia="en-US" w:bidi="ar-SA"/>
              </w:rPr>
            </w:pPr>
            <w:r>
              <w:rPr>
                <w:rFonts w:eastAsia="Calibri" w:cs="Arial"/>
                <w:bCs/>
                <w:kern w:val="0"/>
                <w:sz w:val="23"/>
                <w:szCs w:val="23"/>
                <w:lang w:val="ru-RU" w:eastAsia="en-US" w:bidi="ar-SA"/>
              </w:rPr>
            </w:r>
          </w:p>
        </w:tc>
        <w:tc>
          <w:tcPr>
            <w:tcW w:w="7197" w:type="dxa"/>
            <w:gridSpan w:val="3"/>
            <w:tcBorders>
              <w:top w:val="single" w:sz="4" w:space="0" w:color="7F7F7F"/>
              <w:left w:val="single" w:sz="4" w:space="0" w:color="7F7F7F"/>
              <w:bottom w:val="single" w:sz="4" w:space="0" w:color="7F7F7F"/>
            </w:tcBorders>
          </w:tcPr>
          <w:p>
            <w:pPr>
              <w:pStyle w:val="Style21"/>
              <w:widowControl w:val="false"/>
              <w:spacing w:lineRule="auto" w:line="240" w:before="40" w:after="40"/>
              <w:jc w:val="center"/>
              <w:rPr>
                <w:bCs/>
                <w:sz w:val="23"/>
                <w:szCs w:val="23"/>
              </w:rPr>
            </w:pPr>
            <w:r>
              <w:rPr>
                <w:rFonts w:eastAsia="Calibri" w:cs="Arial"/>
                <w:bCs/>
                <w:kern w:val="0"/>
                <w:sz w:val="23"/>
                <w:szCs w:val="23"/>
                <w:lang w:val="ru-RU" w:eastAsia="en-US" w:bidi="ar-SA"/>
              </w:rPr>
              <w:t>Уклонение Победителя от заключения Договора (подраздел </w:t>
            </w:r>
            <w:r>
              <w:rPr>
                <w:rFonts w:eastAsia="Calibri" w:cs="Arial"/>
                <w:bCs/>
                <w:kern w:val="0"/>
                <w:sz w:val="23"/>
                <w:szCs w:val="23"/>
                <w:lang w:val="ru-RU" w:eastAsia="en-US" w:bidi="ar-SA"/>
              </w:rPr>
              <w:fldChar w:fldCharType="begin"/>
            </w:r>
            <w:r>
              <w:rPr>
                <w:sz w:val="23"/>
                <w:kern w:val="0"/>
                <w:szCs w:val="23"/>
                <w:bCs/>
                <w:rFonts w:eastAsia="Calibri" w:cs="Arial"/>
                <w:lang w:val="ru-RU" w:eastAsia="en-US" w:bidi="ar-SA"/>
              </w:rPr>
              <w:instrText xml:space="preserve"> REF _Ref125367068 \r \h </w:instrText>
            </w:r>
            <w:r>
              <w:rPr>
                <w:sz w:val="23"/>
                <w:kern w:val="0"/>
                <w:szCs w:val="23"/>
                <w:bCs/>
                <w:rFonts w:eastAsia="Calibri" w:cs="Arial"/>
                <w:lang w:val="ru-RU" w:eastAsia="en-US" w:bidi="ar-SA"/>
              </w:rPr>
              <w:fldChar w:fldCharType="separate"/>
            </w:r>
            <w:r>
              <w:rPr>
                <w:sz w:val="23"/>
                <w:kern w:val="0"/>
                <w:szCs w:val="23"/>
                <w:bCs/>
                <w:rFonts w:eastAsia="Calibri" w:cs="Arial"/>
                <w:lang w:val="ru-RU" w:eastAsia="en-US" w:bidi="ar-SA"/>
              </w:rPr>
              <w:t>5.3</w:t>
            </w:r>
            <w:r>
              <w:rPr>
                <w:sz w:val="23"/>
                <w:kern w:val="0"/>
                <w:szCs w:val="23"/>
                <w:bCs/>
                <w:rFonts w:eastAsia="Calibri" w:cs="Arial"/>
                <w:lang w:val="ru-RU" w:eastAsia="en-US" w:bidi="ar-SA"/>
              </w:rPr>
              <w:fldChar w:fldCharType="end"/>
            </w:r>
            <w:r>
              <w:rPr>
                <w:rFonts w:eastAsia="Calibri" w:cs="Arial"/>
                <w:bCs/>
                <w:kern w:val="0"/>
                <w:sz w:val="23"/>
                <w:szCs w:val="23"/>
                <w:lang w:val="ru-RU" w:eastAsia="en-US" w:bidi="ar-SA"/>
              </w:rPr>
              <w:t>)</w:t>
              <w:br/>
            </w:r>
            <w:r>
              <w:rPr>
                <w:rFonts w:eastAsia="Calibri" w:cs="Arial"/>
                <w:bCs/>
                <w:i/>
                <w:iCs/>
                <w:kern w:val="0"/>
                <w:sz w:val="20"/>
                <w:szCs w:val="20"/>
                <w:lang w:val="ru-RU" w:eastAsia="en-US" w:bidi="ar-SA"/>
              </w:rPr>
              <w:t>(опциональная процедура закупки)</w:t>
            </w:r>
          </w:p>
        </w:tc>
      </w:tr>
    </w:tbl>
    <w:p>
      <w:pPr>
        <w:sectPr>
          <w:headerReference w:type="default" r:id="rId8"/>
          <w:headerReference w:type="first" r:id="rId9"/>
          <w:footerReference w:type="default" r:id="rId10"/>
          <w:footerReference w:type="first" r:id="rId11"/>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16"/>
        <w:spacing w:before="360" w:after="0"/>
        <w:rPr/>
      </w:pPr>
      <w:bookmarkStart w:id="95" w:name="_Toc228876849"/>
      <w:bookmarkStart w:id="96" w:name="_Ref130286532"/>
      <w:r>
        <w:rPr/>
        <w:t>Официальное размещение Извещения и Документации о закупке</w:t>
      </w:r>
      <w:bookmarkEnd w:id="95"/>
      <w:bookmarkEnd w:id="96"/>
    </w:p>
    <w:p>
      <w:pPr>
        <w:pStyle w:val="Style17"/>
        <w:spacing w:before="120" w:after="0"/>
        <w:rPr/>
      </w:pPr>
      <w:r>
        <w:rPr/>
        <w:t>Извещение и Документация о закупке официально размещены на Официальном сайте (ЕИС) и доступны для ознакомления без взимания платы. Иные публикации не влекут для Организатора никаких последствий.</w:t>
      </w:r>
    </w:p>
    <w:p>
      <w:pPr>
        <w:pStyle w:val="Style17"/>
        <w:spacing w:before="0" w:after="0"/>
        <w:rPr/>
      </w:pPr>
      <w:r>
        <w:rPr/>
        <w:t>При возникновении технических или иных неполадок, блокирующих доступ к Официальному сайту (ЕИС) в течение более чем 1 (одного) рабочего дня, информация размещается на официальном сайте Заказчика с последующим размещением ее на Официальном сайте (ЕИС) в течение 1 (одного) рабочего дня со дня устранения указанных неполадок.</w:t>
      </w:r>
    </w:p>
    <w:p>
      <w:pPr>
        <w:pStyle w:val="Style17"/>
        <w:spacing w:before="0" w:after="0"/>
        <w:rPr/>
      </w:pPr>
      <w:bookmarkStart w:id="97" w:name="_Ref125362785"/>
      <w:r>
        <w:rPr/>
        <w:t>Участники могут получить Документацию о закупке также через ЭП. Порядок получения информации через ЭП определяется Регламентом ЭП, с использованием которой проводится закупка.</w:t>
      </w:r>
      <w:bookmarkEnd w:id="97"/>
    </w:p>
    <w:p>
      <w:pPr>
        <w:pStyle w:val="Style17"/>
        <w:spacing w:before="0" w:after="0"/>
        <w:rPr/>
      </w:pPr>
      <w:r>
        <w:rPr/>
        <w:t>Участники обязаны самостоятельно отслеживать официально размещенные разъяснения и изменения Извещения, Документации о закупке, а также информацию о принятых в ходе проведения закупки решениях.</w:t>
      </w:r>
    </w:p>
    <w:p>
      <w:pPr>
        <w:pStyle w:val="Style16"/>
        <w:spacing w:before="360" w:after="0"/>
        <w:rPr/>
      </w:pPr>
      <w:bookmarkStart w:id="98" w:name="_Ref130394681"/>
      <w:bookmarkStart w:id="99" w:name="_Toc228876851"/>
      <w:bookmarkStart w:id="100" w:name="_Ref130281199"/>
      <w:r>
        <w:rPr/>
        <w:t>Подготовка заявки</w:t>
      </w:r>
      <w:bookmarkEnd w:id="98"/>
      <w:bookmarkEnd w:id="99"/>
      <w:bookmarkEnd w:id="100"/>
    </w:p>
    <w:p>
      <w:pPr>
        <w:pStyle w:val="Style17"/>
        <w:spacing w:before="120" w:after="0"/>
        <w:rPr/>
      </w:pPr>
      <w:r>
        <w:rPr/>
        <w:t>Участник должен подготовить заявку с учетом требований Документации о закупке.</w:t>
      </w:r>
    </w:p>
    <w:p>
      <w:pPr>
        <w:pStyle w:val="Style17"/>
        <w:spacing w:before="0" w:after="0"/>
        <w:rPr/>
      </w:pPr>
      <w:r>
        <w:rPr/>
        <w:t>Участник самостоятельно несет все расходы, связанные с подготовкой и подачей заявки (подраздел </w:t>
      </w:r>
      <w:r>
        <w:rPr/>
        <w:fldChar w:fldCharType="begin"/>
      </w:r>
      <w:r>
        <w:rPr/>
        <w:instrText xml:space="preserve"> REF _Ref125362119 \r \h </w:instrText>
      </w:r>
      <w:r>
        <w:rPr/>
        <w:fldChar w:fldCharType="separate"/>
      </w:r>
      <w:r>
        <w:rPr/>
        <w:t>4.6</w:t>
      </w:r>
      <w:r>
        <w:rPr/>
        <w:fldChar w:fldCharType="end"/>
      </w:r>
      <w:r>
        <w:rPr/>
        <w:t>), а Организатор (Заказчик) по этим расходам не отвечает и не имеет обязательств (в том числе по возврату Участнику материалов и документов, входящих в состав его заявки), независимо от хода и результатов закупки, за исключением случаев, прямо предусмотренных Положением о закупке или Документацией о закупке.</w:t>
      </w:r>
    </w:p>
    <w:p>
      <w:pPr>
        <w:pStyle w:val="Style17"/>
        <w:spacing w:before="0" w:after="0"/>
        <w:rPr/>
      </w:pPr>
      <w:r>
        <w:rPr/>
        <w:t xml:space="preserve">Участник должен подготовить заявку, включающую в себя полный комплект документов согласно перечню, определенному </w:t>
      </w:r>
      <w:hyperlink w:anchor="Прил06_СоставЗаявки" w:tgtFrame="#Прил06_СоставЗаявки">
        <w:r>
          <w:rPr>
            <w:rStyle w:val="Style6"/>
          </w:rPr>
          <w:t>Приложением № 6 – Состав заявки</w:t>
        </w:r>
      </w:hyperlink>
      <w:r>
        <w:rPr/>
        <w:t xml:space="preserve">. Образцы форм документов, включаемых в состав заявки, а также инструкции по их подготовке, приведены в </w:t>
      </w:r>
      <w:hyperlink w:anchor="Прил04_ФормыЗаявки" w:tgtFrame="#Прил04_ФормыЗаявки">
        <w:r>
          <w:rPr>
            <w:rStyle w:val="Style6"/>
          </w:rPr>
          <w:t>Приложение № 4</w:t>
        </w:r>
      </w:hyperlink>
      <w:r>
        <w:rPr/>
        <w:t>.</w:t>
      </w:r>
    </w:p>
    <w:p>
      <w:pPr>
        <w:pStyle w:val="Style17"/>
        <w:spacing w:before="0" w:after="0"/>
        <w:rPr/>
      </w:pPr>
      <w:r>
        <w:rPr/>
        <w:t xml:space="preserve">Непосредственно перед подачей заявки Участник должен разделить подготовленные документы на отдельные части: </w:t>
      </w:r>
      <w:bookmarkStart w:id="101" w:name="_Hlk132886098"/>
      <w:r>
        <w:rPr/>
        <w:t>первую часть, вторую часть и ценовое предложение</w:t>
      </w:r>
      <w:bookmarkEnd w:id="101"/>
      <w:r>
        <w:rPr/>
        <w:t xml:space="preserve"> в соответствии с перечнем документов, входящих в каждую из частей, определенному </w:t>
      </w:r>
      <w:hyperlink w:anchor="Прил06_СоставЗаявки" w:tgtFrame="#Прил06_СоставЗаявки">
        <w:r>
          <w:rPr>
            <w:rStyle w:val="Style6"/>
          </w:rPr>
          <w:t>Приложением № 6 – Состав заявки</w:t>
        </w:r>
      </w:hyperlink>
      <w:r>
        <w:rPr/>
        <w:t>.</w:t>
      </w:r>
    </w:p>
    <w:p>
      <w:pPr>
        <w:pStyle w:val="Style17"/>
        <w:spacing w:before="0" w:after="0"/>
        <w:rPr/>
      </w:pPr>
      <w:r>
        <w:rPr/>
        <w:t>В первую часть заявки должны входить документы, содержащие исключительно описание предлагаемой к поставке продукции, которая является предметом настоящей закупки (без указания сведений об Участнике и (или) о его ценовом предложении), в том числе сведения по результатам проведения предзаявочного обсуждения или обсуждения заявок (в случае проведения), а также информация и документы, необходимые для осуществления оценки заявки в отношении предлагаемой к поставке продукции (в случае установления соответствующих критериев оценки в </w:t>
      </w:r>
      <w:hyperlink w:anchor="Прил08_ПорядокОценки" w:tgtFrame="#Прил08_ПорядокОценки">
        <w:r>
          <w:rPr>
            <w:rStyle w:val="Style6"/>
          </w:rPr>
          <w:t>Порядке и критериях оценки и сопоставления заявок (Приложение № 8)</w:t>
        </w:r>
      </w:hyperlink>
      <w:r>
        <w:rPr/>
        <w:t>).</w:t>
      </w:r>
    </w:p>
    <w:p>
      <w:pPr>
        <w:pStyle w:val="Style17"/>
        <w:spacing w:before="0" w:after="0"/>
        <w:rPr/>
      </w:pPr>
      <w:r>
        <w:rPr/>
        <w:t xml:space="preserve">Во вторую часть заявки должны входить документы, содержащие сведения об Участнике и информацию о его соответствии требованиям Документации о закупке, копии документов, подтверждающих соответствие поставляемой продукции, требованиям Документации о закупке, установленным в соответствии с законодательством (в случае установления таких требований в Документации о закупке), а также информация и документы, необходимые для осуществления оценки заявки в отношении Участника (в случае установления соответствующих критериев оценки в </w:t>
      </w:r>
      <w:hyperlink w:anchor="Прил08_ПорядокОценки" w:tgtFrame="#Прил08_ПорядокОценки">
        <w:r>
          <w:rPr>
            <w:rStyle w:val="Style6"/>
          </w:rPr>
          <w:t>Порядке и критериях оценки и сопоставления заявок (Приложение № 8)</w:t>
        </w:r>
      </w:hyperlink>
      <w:r>
        <w:rPr/>
        <w:t>).</w:t>
      </w:r>
    </w:p>
    <w:p>
      <w:pPr>
        <w:pStyle w:val="Style17"/>
        <w:spacing w:before="0" w:after="0"/>
        <w:rPr/>
      </w:pPr>
      <w:r>
        <w:rPr/>
        <w:t xml:space="preserve">При этом документы, входящие в состав первой части заявки, </w:t>
      </w:r>
      <w:r>
        <w:rPr>
          <w:shd w:fill="FFFF00" w:val="clear"/>
        </w:rPr>
        <w:t>не должны подаваться на фирменном бланке Участника или иным образом содержать сведения, идентифицирующие его</w:t>
      </w:r>
      <w:r>
        <w:rPr/>
        <w:t xml:space="preserve"> (наименование, адрес местонахождения, номер контактного телефона, адрес электронной почты, сайт в информационно-телекоммуникационной сети «Интернет» и т.п.).</w:t>
      </w:r>
    </w:p>
    <w:p>
      <w:pPr>
        <w:pStyle w:val="Style17"/>
        <w:spacing w:before="0" w:after="0"/>
        <w:rPr/>
      </w:pPr>
      <w:r>
        <w:rPr/>
        <w:t>В случае обнаружения в первой части заявки сведений об Участнике и (или) его ценовом предложении, такая заявка подлежит отклонению.</w:t>
      </w:r>
    </w:p>
    <w:p>
      <w:pPr>
        <w:pStyle w:val="Style17"/>
        <w:spacing w:before="0" w:after="0"/>
        <w:rPr/>
      </w:pPr>
      <w:bookmarkStart w:id="102" w:name="_Ref125365866"/>
      <w:bookmarkStart w:id="103" w:name="_Ref130394854"/>
      <w:r>
        <w:rPr/>
        <w:t>Участник имеет право подать только одну заявку. При этом не допускается подача заявки на часть лота по отдельным видам или объемам продукции. В случае нарушения этого требования (при получении заявки на часть лота и (или) при получении двух и более заявок от одного Участника в рамках одного лота) все поданные им заявки подлежат отклонению.</w:t>
      </w:r>
      <w:bookmarkEnd w:id="102"/>
      <w:bookmarkEnd w:id="103"/>
    </w:p>
    <w:p>
      <w:pPr>
        <w:pStyle w:val="Style17"/>
        <w:spacing w:before="0" w:after="0"/>
        <w:rPr/>
      </w:pPr>
      <w:r>
        <w:rPr/>
        <w:t>Заявка должна быть действительна в течение срока проведения закупки и до истечения срока, отведенного на заключение Договора (пункт </w:t>
      </w:r>
      <w:r>
        <w:rPr/>
        <w:fldChar w:fldCharType="begin"/>
      </w:r>
      <w:r>
        <w:rPr/>
        <w:instrText xml:space="preserve"> REF _Ref130293821 \r \h </w:instrText>
      </w:r>
      <w:r>
        <w:rPr/>
        <w:fldChar w:fldCharType="separate"/>
      </w:r>
      <w:r>
        <w:rPr/>
        <w:t>5.2.1</w:t>
      </w:r>
      <w:r>
        <w:rPr/>
        <w:fldChar w:fldCharType="end"/>
      </w:r>
      <w:r>
        <w:rPr/>
        <w:t>). В любом случае этот срок должен быть не менее чем 90 (девяносто) календарных дней с даты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Указание меньшего срока действия заявки в Письме о подаче оферты (форма 2) (</w:t>
      </w:r>
      <w:hyperlink w:anchor="Прил04_ФормыЗаявки" w:tgtFrame="#Прил04_ФормыЗаявки">
        <w:r>
          <w:rPr>
            <w:rStyle w:val="Style6"/>
          </w:rPr>
          <w:t>Приложение № 4</w:t>
        </w:r>
      </w:hyperlink>
      <w:r>
        <w:rPr/>
        <w:t>) может служить основанием для отклонения заявки.</w:t>
      </w:r>
    </w:p>
    <w:p>
      <w:pPr>
        <w:pStyle w:val="Style17"/>
        <w:spacing w:before="0" w:after="0"/>
        <w:rPr/>
      </w:pPr>
      <w:r>
        <w:rPr/>
        <w:t>Все документы, входящие в состав заявки, должны быть подготовлены на русском языке. Исключение составляют документы, оригиналы которых выданы Участнику третьими лицами на ином языке: они могут быть представлены на языке оригинала при условии, что к ним приложен перевод этих документов на русский язык (в специально оговоренных случаях – с апостилем согласно Гаагской конвенции 1961 года). Наличие противоречий 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 Организатор вправе не рассматривать документы, не переведенные на русский язык.</w:t>
      </w:r>
    </w:p>
    <w:p>
      <w:pPr>
        <w:pStyle w:val="Style17"/>
        <w:spacing w:before="0" w:after="0"/>
        <w:rPr/>
      </w:pPr>
      <w:r>
        <w:rPr/>
        <w:t>Все суммы денежных средств в документах, входящих в состав заявки, должны быть выражены в российских рублях. Исключение составляют документы, оригиналы которых выданы Участнику третьими лицами с выражением сумм денежных средств в иных валютах: они могут быть представлены в валюте оригинала при условии, что к ним будут приложены комментарии с переводом этих сумм в российские рубли (по официальному курсу валюты, установленному Центральным банком Российской Федерации на дату выдачи документа, с указанием такого курса).</w:t>
      </w:r>
    </w:p>
    <w:p>
      <w:pPr>
        <w:pStyle w:val="Style17"/>
        <w:spacing w:before="0" w:after="0"/>
        <w:rPr/>
      </w:pPr>
      <w:bookmarkStart w:id="104" w:name="_Ref125370700"/>
      <w:bookmarkStart w:id="105" w:name="_Ref125370708"/>
      <w:r>
        <w:rPr/>
        <w:t>Итоговая стоимость заявки (цена Договора) без учета НДС не должна превышать установленную Заказчиком НМЦ (подраздел </w:t>
      </w:r>
      <w:r>
        <w:rPr/>
        <w:fldChar w:fldCharType="begin"/>
      </w:r>
      <w:r>
        <w:rPr/>
        <w:instrText xml:space="preserve"> REF _Ref125359973 \r \h </w:instrText>
      </w:r>
      <w:r>
        <w:rPr/>
        <w:fldChar w:fldCharType="separate"/>
      </w:r>
      <w:r>
        <w:rPr/>
        <w:t>1.2</w:t>
      </w:r>
      <w:r>
        <w:rPr/>
        <w:fldChar w:fldCharType="end"/>
      </w:r>
      <w:r>
        <w:rPr/>
        <w:t>), в противном случае заявка будет отклонена.</w:t>
      </w:r>
    </w:p>
    <w:p>
      <w:pPr>
        <w:pStyle w:val="Style17"/>
        <w:spacing w:before="0" w:after="0"/>
        <w:rPr/>
      </w:pPr>
      <w:r>
        <w:rPr/>
        <w:t xml:space="preserve">Итоговая стоимость заявки (цена Договора) должна включать в себя сумму всех расходов, предусмотренных </w:t>
      </w:r>
      <w:hyperlink w:anchor="Прил01_ТехТребования" w:tgtFrame="#Прил01_ТехТребования">
        <w:r>
          <w:rPr>
            <w:rStyle w:val="Style6"/>
          </w:rPr>
          <w:t>Техническими требованиями (Приложение № 1)</w:t>
        </w:r>
      </w:hyperlink>
      <w:r>
        <w:rPr/>
        <w:t xml:space="preserve"> и </w:t>
      </w:r>
      <w:hyperlink w:anchor="Прил02_ПроектДоговора" w:tgtFrame="#Прил02_ПроектДоговора">
        <w:r>
          <w:rPr>
            <w:rStyle w:val="Style6"/>
          </w:rPr>
          <w:t>Проектом договора (Приложение № 2)</w:t>
        </w:r>
      </w:hyperlink>
      <w:r>
        <w:rPr/>
        <w:t>, а также сумму налогов (</w:t>
      </w:r>
      <w:r>
        <w:rPr>
          <w:rFonts w:cs="Times New Roman"/>
        </w:rPr>
        <w:t>за исключением НДС, в случае его уплаты)</w:t>
      </w:r>
      <w:r>
        <w:rPr/>
        <w:t xml:space="preserve"> и других обязательных платежей, подлежащих уплате в соответствии с нормами законодательства (если иное не установлено Документацией о закупке). При этом сумма НДС (в случае его уплаты) выделяется отдельно и не входит в итоговую стоимость заявки Участника, являющегося плательщиком НДС.</w:t>
      </w:r>
      <w:bookmarkEnd w:id="104"/>
      <w:bookmarkEnd w:id="105"/>
    </w:p>
    <w:p>
      <w:pPr>
        <w:pStyle w:val="Style17"/>
        <w:spacing w:before="0" w:after="0"/>
        <w:rPr/>
      </w:pPr>
      <w:r>
        <w:rPr/>
        <w:t xml:space="preserve">В качестве Технического предложения Участник в составе заявки предоставляет по установленной форме (форма 4; </w:t>
      </w:r>
      <w:hyperlink w:anchor="Прил04_ФормыЗаявки" w:tgtFrame="#Прил04_ФормыЗаявки">
        <w:r>
          <w:rPr>
            <w:rStyle w:val="Style6"/>
          </w:rPr>
          <w:t>Приложение № 4</w:t>
        </w:r>
      </w:hyperlink>
      <w:r>
        <w:rPr/>
        <w:t xml:space="preserve">) согласие (декларацию) на поставку продукции на условиях, указанных в Документации о закупке, в том числе в </w:t>
      </w:r>
      <w:hyperlink w:anchor="Прил01_ТехТребования" w:tgtFrame="#Прил01_ТехТребования">
        <w:r>
          <w:rPr>
            <w:rStyle w:val="Style6"/>
          </w:rPr>
          <w:t>Технических требованиях (Приложение № 1)</w:t>
        </w:r>
      </w:hyperlink>
      <w:r>
        <w:rPr/>
        <w:t>, и не подлежащих изменению по результатам проведения закупки (без подробных предложений). В случае нарушения Участником требований к описанию продукции Организатор вправе отклонить заявку такого Участника от дальнейшего участия в закупке.</w:t>
      </w:r>
    </w:p>
    <w:p>
      <w:pPr>
        <w:pStyle w:val="Style17"/>
        <w:keepNext w:val="true"/>
        <w:spacing w:before="0" w:after="0"/>
        <w:rPr/>
      </w:pPr>
      <w:r>
        <w:rPr/>
        <w:t>При подготовке заявки необходимо также учитывать требования в отношении применения законодательства о национальном режиме (подраздел </w:t>
      </w:r>
      <w:r>
        <w:rPr/>
        <w:fldChar w:fldCharType="begin"/>
      </w:r>
      <w:r>
        <w:rPr/>
        <w:instrText xml:space="preserve"> REF _Ref125359973 \r \h </w:instrText>
      </w:r>
      <w:r>
        <w:rPr/>
        <w:fldChar w:fldCharType="separate"/>
      </w:r>
      <w:r>
        <w:rPr/>
        <w:t>1.2</w:t>
      </w:r>
      <w:r>
        <w:rPr/>
        <w:fldChar w:fldCharType="end"/>
      </w:r>
      <w:r>
        <w:rPr/>
        <w:t>).</w:t>
      </w:r>
    </w:p>
    <w:p>
      <w:pPr>
        <w:pStyle w:val="Style17"/>
        <w:keepNext w:val="true"/>
        <w:spacing w:before="0" w:after="0"/>
        <w:rPr/>
      </w:pPr>
      <w:r>
        <w:rPr/>
        <w:t>Документы, входящие в заявку, не должны содержать недостоверные сведения или намеренно искаженную информацию. Также должны отсутствовать:</w:t>
      </w:r>
    </w:p>
    <w:p>
      <w:pPr>
        <w:pStyle w:val="Style18"/>
        <w:spacing w:before="120" w:after="0"/>
        <w:rPr/>
      </w:pPr>
      <w:r>
        <w:rPr/>
        <w:t>внутренние противоречия между различными частями и (или) документами заявки, в том числе по тексту внутри одного документа;</w:t>
      </w:r>
    </w:p>
    <w:p>
      <w:pPr>
        <w:pStyle w:val="Style18"/>
        <w:spacing w:before="0" w:after="0"/>
        <w:rPr/>
      </w:pPr>
      <w:bookmarkStart w:id="106" w:name="_Ref125370398"/>
      <w:bookmarkStart w:id="107" w:name="_Ref125714384"/>
      <w:r>
        <w:rPr/>
        <w:t>противоречия между документами заявки и сведениями, указанными Участником в структурированных формах на ЭП.</w:t>
      </w:r>
      <w:bookmarkEnd w:id="106"/>
      <w:bookmarkEnd w:id="107"/>
    </w:p>
    <w:p>
      <w:pPr>
        <w:pStyle w:val="Style17"/>
        <w:spacing w:before="120" w:after="0"/>
        <w:rPr/>
      </w:pPr>
      <w:r>
        <w:rPr/>
        <w:t>Представленные в составе заявки документы, оформленные / выданные государственными, лицензирующими, сертификационными, аккредитационными органами и (или) саморегулируемыми организациями, должны соответствовать императивным требованиям (при наличии) законодательства в отношении:</w:t>
      </w:r>
    </w:p>
    <w:p>
      <w:pPr>
        <w:pStyle w:val="Style18"/>
        <w:spacing w:before="120" w:after="0"/>
        <w:rPr/>
      </w:pPr>
      <w:r>
        <w:rPr/>
        <w:t>полномочий таких органов / лиц на оформление этих документов;</w:t>
      </w:r>
    </w:p>
    <w:p>
      <w:pPr>
        <w:pStyle w:val="Style18"/>
        <w:spacing w:before="0" w:after="0"/>
        <w:rPr/>
      </w:pPr>
      <w:r>
        <w:rPr/>
        <w:t>формы, объема и содержания этих документов.</w:t>
      </w:r>
    </w:p>
    <w:p>
      <w:pPr>
        <w:pStyle w:val="Style17"/>
        <w:keepNext w:val="true"/>
        <w:spacing w:before="120" w:after="0"/>
        <w:rPr/>
      </w:pPr>
      <w:r>
        <w:rPr/>
        <w:t>Участник должен подготовить заявку с соблюдением следующих условий:</w:t>
      </w:r>
    </w:p>
    <w:p>
      <w:pPr>
        <w:pStyle w:val="Style18"/>
        <w:spacing w:before="120" w:after="0"/>
        <w:rPr/>
      </w:pPr>
      <w:r>
        <w:rPr/>
        <w:t>документы заявки могут предоставляться как в графическом виде (в том числе в виде скан-копии, рекомендуемый формат: Portable Document Format (*.</w:t>
      </w:r>
      <w:r>
        <w:rPr>
          <w:lang w:val="en-US"/>
        </w:rPr>
        <w:t>pdf</w:t>
      </w:r>
      <w:r>
        <w:rPr/>
        <w:t>)); так и в электронном виде (в формате Microsoft Word (*.doc</w:t>
      </w:r>
      <w:r>
        <w:rPr>
          <w:lang w:val="en-US"/>
        </w:rPr>
        <w:t>x</w:t>
      </w:r>
      <w:r>
        <w:rPr/>
        <w:t>), Microsoft Excel (*.xls</w:t>
      </w:r>
      <w:r>
        <w:rPr>
          <w:lang w:val="en-US"/>
        </w:rPr>
        <w:t>x</w:t>
      </w:r>
      <w:r>
        <w:rPr/>
        <w:t>), и других). Исключение составляют Письмо о подаче оферты, а также документы, выданные Участнику третьими лицами, которые должны быть предоставлены только в графическом виде (в том числе в виде скан-копии, рекомендуемый формат: Portable Document Format (*.</w:t>
      </w:r>
      <w:r>
        <w:rPr>
          <w:lang w:val="en-US"/>
        </w:rPr>
        <w:t>pdf</w:t>
      </w:r>
      <w:r>
        <w:rPr/>
        <w:t>));</w:t>
      </w:r>
    </w:p>
    <w:p>
      <w:pPr>
        <w:pStyle w:val="Style18"/>
        <w:spacing w:before="0" w:after="0"/>
        <w:rPr/>
      </w:pPr>
      <w:r>
        <w:rPr/>
        <w:t>электронные копии документов, заверенные третьей стороной, должны включать в себя, в том числе, страницы с требуемой отметкой по форме заверения документа (электронная подпись / отметка ИФНС / отметка нотариуса и т.п.);</w:t>
      </w:r>
    </w:p>
    <w:p>
      <w:pPr>
        <w:pStyle w:val="Style18"/>
        <w:spacing w:before="0" w:after="0"/>
        <w:rPr/>
      </w:pPr>
      <w:r>
        <w:rPr/>
        <w:t>все файлы не должны иметь защиты от их открытия, изменения, копирования их содержимого или их печати;</w:t>
      </w:r>
    </w:p>
    <w:p>
      <w:pPr>
        <w:pStyle w:val="Style18"/>
        <w:spacing w:before="0" w:after="0"/>
        <w:rPr/>
      </w:pPr>
      <w:r>
        <w:rPr/>
        <w:t>файлы электронной заявки рекомендуется именовать так, чтобы можно было идентифицировать содержание данного файла заявки (указать в названии файла содержащийся в нем документ). Каждый документ рекомендуется размещать в отдельном файле;</w:t>
      </w:r>
    </w:p>
    <w:p>
      <w:pPr>
        <w:pStyle w:val="Style18"/>
        <w:spacing w:before="0" w:after="0"/>
        <w:rPr/>
      </w:pPr>
      <w:r>
        <w:rPr/>
        <w:t>если какой-либо документ представлен в нечитаемом виде, данный документ считается непредставленным.</w:t>
      </w:r>
    </w:p>
    <w:p>
      <w:pPr>
        <w:pStyle w:val="Style17"/>
        <w:spacing w:before="120" w:after="0"/>
        <w:rPr/>
      </w:pPr>
      <w:r>
        <w:rPr/>
        <w:t>Никакие исправления в документах заявки не имеют силу, за исключением тех случаев, когда эти исправления заверены надписью «исправленному верить» и собственноручной подписью уполномоченного лица Участника, расположенной рядом с каждым исправлением.</w:t>
      </w:r>
    </w:p>
    <w:p>
      <w:pPr>
        <w:pStyle w:val="Style16"/>
        <w:spacing w:before="360" w:after="0"/>
        <w:rPr/>
      </w:pPr>
      <w:bookmarkStart w:id="108" w:name="_Ref125361260"/>
      <w:bookmarkStart w:id="109" w:name="_Ref125362071"/>
      <w:bookmarkStart w:id="110" w:name="_Ref125366672"/>
      <w:bookmarkStart w:id="111" w:name="_Ref130394785"/>
      <w:bookmarkStart w:id="112" w:name="_Ref130394802"/>
      <w:bookmarkStart w:id="113" w:name="_Toc228876852"/>
      <w:bookmarkStart w:id="114" w:name="_Ref130394205"/>
      <w:r>
        <w:rPr/>
        <w:t>Разъяснение Документации о закупке</w:t>
      </w:r>
      <w:bookmarkEnd w:id="108"/>
      <w:bookmarkEnd w:id="109"/>
      <w:bookmarkEnd w:id="110"/>
      <w:bookmarkEnd w:id="111"/>
      <w:bookmarkEnd w:id="112"/>
      <w:bookmarkEnd w:id="113"/>
      <w:bookmarkEnd w:id="114"/>
    </w:p>
    <w:p>
      <w:pPr>
        <w:pStyle w:val="Style17"/>
        <w:spacing w:before="120" w:after="0"/>
        <w:rPr/>
      </w:pPr>
      <w:r>
        <w:rPr/>
        <w:t>Участники вправе обратиться к Организатору за разъяснениями Документации о закупке.</w:t>
      </w:r>
    </w:p>
    <w:p>
      <w:pPr>
        <w:pStyle w:val="Style17"/>
        <w:spacing w:before="0" w:after="0"/>
        <w:rPr/>
      </w:pPr>
      <w:r>
        <w:rPr/>
        <w:t>Запросы подаются в соответствии с Регламентами и инструкциями Оператора ЭП, опубликованными на сайте соответствующей ЭП.</w:t>
      </w:r>
    </w:p>
    <w:p>
      <w:pPr>
        <w:pStyle w:val="Style17"/>
        <w:spacing w:before="0" w:after="0"/>
        <w:rPr/>
      </w:pPr>
      <w:r>
        <w:rPr/>
        <w:t>Организатор обязуется ответить на любой вопрос, поступивший не позднее чем за 3 (три) рабочих дня до даты окончания срока подачи заявок. В случае поступления вопросов с нарушением установленного срока Организатор вправе не предоставлять разъяснения.</w:t>
      </w:r>
    </w:p>
    <w:p>
      <w:pPr>
        <w:pStyle w:val="Style17"/>
        <w:spacing w:before="0" w:after="0"/>
        <w:rPr/>
      </w:pPr>
      <w:r>
        <w:rPr/>
        <w:t>Ответы на поступившие вопросы официально размещаются (с указанием предмета запроса, но без указания Участника, от которого поступил вопрос) в сроки, установленные подразделом </w:t>
      </w:r>
      <w:r>
        <w:rPr/>
        <w:fldChar w:fldCharType="begin"/>
      </w:r>
      <w:r>
        <w:rPr/>
        <w:instrText xml:space="preserve"> REF _Ref125359973 \r \h </w:instrText>
      </w:r>
      <w:r>
        <w:rPr/>
        <w:fldChar w:fldCharType="separate"/>
      </w:r>
      <w:r>
        <w:rPr/>
        <w:t>1.2</w:t>
      </w:r>
      <w:r>
        <w:rPr/>
        <w:fldChar w:fldCharType="end"/>
      </w:r>
      <w:r>
        <w:rPr/>
        <w:t>, но в любом случае не позднее чем в течение 3 (трех) рабочих дней с даты поступления такого запроса. Копия ответа размещается Организатором на ЭП.</w:t>
      </w:r>
    </w:p>
    <w:p>
      <w:pPr>
        <w:pStyle w:val="Style17"/>
        <w:spacing w:before="0" w:after="0"/>
        <w:rPr/>
      </w:pPr>
      <w:r>
        <w:rPr/>
        <w:t>Организатор также вправе по собственной инициативе (без получения запросов от Участников) официально разместить разъяснения Документации о закупке.</w:t>
      </w:r>
    </w:p>
    <w:p>
      <w:pPr>
        <w:pStyle w:val="Style17"/>
        <w:spacing w:before="0" w:after="0"/>
        <w:rPr/>
      </w:pPr>
      <w:r>
        <w:rPr/>
        <w:t xml:space="preserve">Разъяснения Документации о закупке носят справочный характер и не могут изменять предмет закупки и условия </w:t>
      </w:r>
      <w:hyperlink w:anchor="Прил02_ПроектДоговора" w:tgtFrame="#Прил02_ПроектДоговора">
        <w:r>
          <w:rPr>
            <w:rStyle w:val="Style6"/>
          </w:rPr>
          <w:t>Проекта договора (Приложения № 2)</w:t>
        </w:r>
      </w:hyperlink>
      <w:r>
        <w:rPr>
          <w:rStyle w:val="Style6"/>
        </w:rPr>
        <w:t>,</w:t>
      </w:r>
      <w:r>
        <w:rPr/>
        <w:t xml:space="preserve"> в противном случае вносятся изменения в Документацию о закупке. При этом Участники обязаны учитывать разъяснения Организатора при подготовке своих заявок. Все риски и последствия за подачу заявки без учета официально размещенных разъяснений несет Участник.</w:t>
      </w:r>
    </w:p>
    <w:p>
      <w:pPr>
        <w:pStyle w:val="Style17"/>
        <w:spacing w:before="0" w:after="0"/>
        <w:rPr/>
      </w:pPr>
      <w:r>
        <w:rPr/>
        <w:t>В случае получения Участником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не вправе на нее ссылаться.</w:t>
      </w:r>
    </w:p>
    <w:p>
      <w:pPr>
        <w:pStyle w:val="Style16"/>
        <w:spacing w:before="360" w:after="0"/>
        <w:rPr/>
      </w:pPr>
      <w:bookmarkStart w:id="115" w:name="_Ref125363891"/>
      <w:bookmarkStart w:id="116" w:name="_Ref125364404"/>
      <w:bookmarkStart w:id="117" w:name="_Toc228876853"/>
      <w:bookmarkStart w:id="118" w:name="_Ref125362076"/>
      <w:r>
        <w:rPr/>
        <w:t>Изменения Извещения и (или) Документации о закупке</w:t>
      </w:r>
      <w:bookmarkEnd w:id="115"/>
      <w:bookmarkEnd w:id="116"/>
      <w:bookmarkEnd w:id="117"/>
      <w:bookmarkEnd w:id="118"/>
    </w:p>
    <w:p>
      <w:pPr>
        <w:pStyle w:val="Style17"/>
        <w:spacing w:before="120" w:after="0"/>
        <w:rPr/>
      </w:pPr>
      <w:r>
        <w:rPr/>
        <w:t>Организатор в любой момент до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вправе внести изменения в Извещение и (или) Документацию о закупке. При этом официальному размещению подлежит обновленная редакция Извещения и (или) Документации о закупке, а также перечень внесенных изменений в них.</w:t>
      </w:r>
    </w:p>
    <w:p>
      <w:pPr>
        <w:pStyle w:val="Style17"/>
        <w:keepNext w:val="true"/>
        <w:spacing w:before="0" w:after="0"/>
        <w:rPr/>
      </w:pPr>
      <w:r>
        <w:rPr/>
        <w:t>После окончания срока подачи заявок допускается изменение только в части установленных Документацией о закупке дат:</w:t>
      </w:r>
    </w:p>
    <w:p>
      <w:pPr>
        <w:pStyle w:val="Style18"/>
        <w:spacing w:before="120" w:after="0"/>
        <w:rPr/>
      </w:pPr>
      <w:r>
        <w:rPr/>
        <w:t>рассмотрения первых частей заявок / окончательных предложений;</w:t>
      </w:r>
    </w:p>
    <w:p>
      <w:pPr>
        <w:pStyle w:val="Style18"/>
        <w:spacing w:before="0" w:after="0"/>
        <w:rPr/>
      </w:pPr>
      <w:r>
        <w:rPr/>
        <w:t>рассмотрения вторых частей заявок и ценовых предложений;</w:t>
      </w:r>
    </w:p>
    <w:p>
      <w:pPr>
        <w:pStyle w:val="Style18"/>
        <w:spacing w:before="0" w:after="0"/>
        <w:rPr/>
      </w:pPr>
      <w:r>
        <w:rPr/>
        <w:t>проведения переторжки, если предусмотрен данный этап;</w:t>
      </w:r>
    </w:p>
    <w:p>
      <w:pPr>
        <w:pStyle w:val="Style18"/>
        <w:spacing w:before="0" w:after="0"/>
        <w:rPr/>
      </w:pPr>
      <w:r>
        <w:rPr/>
        <w:t>подведения итогов закупки;</w:t>
      </w:r>
    </w:p>
    <w:p>
      <w:pPr>
        <w:pStyle w:val="Style21"/>
        <w:ind w:hanging="0" w:left="1134" w:right="0"/>
        <w:rPr/>
      </w:pPr>
      <w:bookmarkStart w:id="119" w:name="_Ref125550844"/>
      <w:r>
        <w:rPr/>
        <w:t>в пределах срока действия заявок и с уведомлением Участников, подавших заявки.</w:t>
      </w:r>
      <w:bookmarkEnd w:id="119"/>
    </w:p>
    <w:p>
      <w:pPr>
        <w:pStyle w:val="Style17"/>
        <w:spacing w:before="120" w:after="0"/>
        <w:rPr/>
      </w:pPr>
      <w:r>
        <w:rPr/>
        <w:t>Текст изменений официально размещается в течение 3 (трех) календарных дней со дня принятия решения о внесении указанных изменений. Все Участники, официально получившие Документацию о закупке через ЭП, получат соответствующие уведомления в порядке, установленном Регламентом ЭП.</w:t>
      </w:r>
    </w:p>
    <w:p>
      <w:pPr>
        <w:pStyle w:val="Style17"/>
        <w:spacing w:before="0" w:after="0"/>
        <w:rPr/>
      </w:pPr>
      <w:r>
        <w:rPr/>
        <w:t>При внесении изменений в Документацию о закупке (за исключением указанного в пункте </w:t>
      </w:r>
      <w:r>
        <w:rPr/>
        <w:fldChar w:fldCharType="begin"/>
      </w:r>
      <w:r>
        <w:rPr/>
        <w:instrText xml:space="preserve"> REF _Ref125550844 \r \h </w:instrText>
      </w:r>
      <w:r>
        <w:rPr/>
        <w:fldChar w:fldCharType="separate"/>
      </w:r>
      <w:r>
        <w:rPr/>
      </w:r>
      <w:r>
        <w:rPr/>
        <w:fldChar w:fldCharType="end"/>
      </w:r>
      <w:r>
        <w:rPr/>
        <w:t>), срок подачи заявок будет продлен таким образом, чтобы со дня официального размещения таких изменений до даты окончания подачи заявок оставалось не менее половины от минимального срока подачи заявок, установленного в Положении о закупке для данного способа, а именно:</w:t>
      </w:r>
    </w:p>
    <w:p>
      <w:pPr>
        <w:pStyle w:val="Style18"/>
        <w:spacing w:before="120" w:after="0"/>
        <w:rPr/>
      </w:pPr>
      <w:r>
        <w:rPr/>
        <w:t>4 (четырех) календарных дней, если НМЦ закупки (подраздел </w:t>
      </w:r>
      <w:r>
        <w:rPr/>
        <w:fldChar w:fldCharType="begin"/>
      </w:r>
      <w:r>
        <w:rPr/>
        <w:instrText xml:space="preserve"> REF _Ref125359973 \r \h </w:instrText>
      </w:r>
      <w:r>
        <w:rPr/>
        <w:fldChar w:fldCharType="separate"/>
      </w:r>
      <w:r>
        <w:rPr/>
        <w:t>1.2</w:t>
      </w:r>
      <w:r>
        <w:rPr/>
        <w:fldChar w:fldCharType="end"/>
      </w:r>
      <w:r>
        <w:rPr/>
        <w:t>) не превышает 30 000 000 (тридцать миллионов) рублей без НДС;</w:t>
      </w:r>
    </w:p>
    <w:p>
      <w:pPr>
        <w:pStyle w:val="Style18"/>
        <w:spacing w:before="0" w:after="0"/>
        <w:rPr/>
      </w:pPr>
      <w:r>
        <w:rPr/>
        <w:t>8 (восьми) календарных дней, если НМЦ закупки (подраздел </w:t>
      </w:r>
      <w:r>
        <w:rPr/>
        <w:fldChar w:fldCharType="begin"/>
      </w:r>
      <w:r>
        <w:rPr/>
        <w:instrText xml:space="preserve"> REF _Ref125359973 \r \h </w:instrText>
      </w:r>
      <w:r>
        <w:rPr/>
        <w:fldChar w:fldCharType="separate"/>
      </w:r>
      <w:r>
        <w:rPr/>
        <w:t>1.2</w:t>
      </w:r>
      <w:r>
        <w:rPr/>
        <w:fldChar w:fldCharType="end"/>
      </w:r>
      <w:r>
        <w:rPr/>
        <w:t>) превышает 30 000 000 (тридцать миллионов) рублей без НДС.</w:t>
      </w:r>
    </w:p>
    <w:p>
      <w:pPr>
        <w:pStyle w:val="Style17"/>
        <w:spacing w:before="120" w:after="0"/>
        <w:rPr/>
      </w:pPr>
      <w:r>
        <w:rPr/>
        <w:t>Участники обязаны учитывать внесенные изменения при подготовке своих заявок. Все риски и последствия за подачу заявки без учета официально размещенных изменений несет Участник.</w:t>
      </w:r>
    </w:p>
    <w:p>
      <w:pPr>
        <w:pStyle w:val="Style16"/>
        <w:spacing w:before="360" w:after="0"/>
        <w:rPr/>
      </w:pPr>
      <w:bookmarkStart w:id="120" w:name="_Toc228876854"/>
      <w:bookmarkStart w:id="121" w:name="_Ref125362119"/>
      <w:r>
        <w:rPr/>
        <w:t>Подача заявок и их прием</w:t>
      </w:r>
      <w:bookmarkEnd w:id="120"/>
      <w:bookmarkEnd w:id="121"/>
    </w:p>
    <w:p>
      <w:pPr>
        <w:pStyle w:val="Style17"/>
        <w:spacing w:before="120" w:after="0"/>
        <w:rPr/>
      </w:pPr>
      <w:r>
        <w:rPr/>
        <w:t>Участник вправе подать одну подготовленную заявку на участие в закупке в любое время начиная с даты официального размещения Извещения и до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При этом все части заявок, включая ценовое предложение Участника, подаются им одновременно. Заявки, поданные позднее установленного срока, не могут быть приняты Организатором, независимо от причин опоздания.</w:t>
      </w:r>
    </w:p>
    <w:p>
      <w:pPr>
        <w:pStyle w:val="Style17"/>
        <w:spacing w:before="0" w:after="0"/>
        <w:rPr/>
      </w:pPr>
      <w:r>
        <w:rPr/>
        <w:t>Подача Участником заявки означает его безоговорочное согласие с условиями участия в закупке, содержащимися в Документации о закупке, а также изучение им Положения о закупке Заказчика и Документации о закупке (включая все приложения к ней).</w:t>
      </w:r>
    </w:p>
    <w:p>
      <w:pPr>
        <w:pStyle w:val="Style17"/>
        <w:spacing w:before="0" w:after="0"/>
        <w:rPr/>
      </w:pPr>
      <w:r>
        <w:rPr/>
        <w:t>Заявка должна быть подготовлена в форме электронного документа и подана с использованием функционала ЭП в доступном для прочтения формате. При этом Участник должен сканировать документы после того, как они будут оформлены в соответствии с требованиями Документации о закупке.</w:t>
      </w:r>
    </w:p>
    <w:p>
      <w:pPr>
        <w:pStyle w:val="Style17"/>
        <w:spacing w:before="0" w:after="0"/>
        <w:rPr/>
      </w:pPr>
      <w:r>
        <w:rPr/>
        <w:t xml:space="preserve">Заявка должна быть подписана </w:t>
      </w:r>
      <w:bookmarkStart w:id="122" w:name="_Hlk219296949"/>
      <w:r>
        <w:rPr/>
        <w:t xml:space="preserve">усиленной квалифицированной </w:t>
      </w:r>
      <w:bookmarkEnd w:id="122"/>
      <w:r>
        <w:rPr/>
        <w:t>электронной подписью лица, которое является уполномоченным представителем Участника.</w:t>
      </w:r>
    </w:p>
    <w:p>
      <w:pPr>
        <w:pStyle w:val="Style17"/>
        <w:spacing w:before="0" w:after="0"/>
        <w:rPr/>
      </w:pPr>
      <w:r>
        <w:rPr/>
        <w:t>Правила подачи заявок также определяются Регламентом ЭП. Заявки, поданные через ЭП, дублировать в адрес Организатора по почте, электронной почте и другими способами не требуется. Заявки, полученные Организатором не через ЭП, не рассматриваются.</w:t>
      </w:r>
    </w:p>
    <w:p>
      <w:pPr>
        <w:pStyle w:val="Style17"/>
        <w:spacing w:before="0" w:after="0"/>
        <w:rPr/>
      </w:pPr>
      <w:r>
        <w:rPr/>
        <w:t>Если Регламентом ЭП предусмотрено направление в составе заявки документов, представленных в момент аккредитации Участника на ЭП, Участник обязан обеспечить актуальность направляемых вместе с заявкой сведений.</w:t>
      </w:r>
    </w:p>
    <w:p>
      <w:pPr>
        <w:pStyle w:val="Style17"/>
        <w:spacing w:before="0" w:after="0"/>
        <w:rPr/>
      </w:pPr>
      <w:r>
        <w:rPr/>
        <w:t>Оператор ЭП до окончания срока подачи заявок обеспечивает конфиденциальность информации, содержащейся в поданных заявках.</w:t>
      </w:r>
    </w:p>
    <w:p>
      <w:pPr>
        <w:pStyle w:val="Style16"/>
        <w:spacing w:before="360" w:after="0"/>
        <w:rPr/>
      </w:pPr>
      <w:bookmarkStart w:id="123" w:name="_Toc228876855"/>
      <w:bookmarkStart w:id="124" w:name="_Ref125362130"/>
      <w:bookmarkStart w:id="125" w:name="_Ref125363819"/>
      <w:bookmarkStart w:id="126" w:name="_Ref125365136"/>
      <w:bookmarkStart w:id="127" w:name="_Ref125362192"/>
      <w:r>
        <w:rPr/>
        <w:t>Изменение и отзыв заявок</w:t>
      </w:r>
      <w:bookmarkEnd w:id="123"/>
      <w:bookmarkEnd w:id="124"/>
      <w:bookmarkEnd w:id="125"/>
      <w:bookmarkEnd w:id="126"/>
      <w:bookmarkEnd w:id="127"/>
    </w:p>
    <w:p>
      <w:pPr>
        <w:pStyle w:val="Style17"/>
        <w:spacing w:before="120" w:after="0"/>
        <w:rPr/>
      </w:pPr>
      <w:r>
        <w:rPr/>
        <w:t>Участник вправе изменить или отозвать поданную им ранее заявку до момента окончания срока подачи заявок. Внесение изменений в заявку, отзыв заявки после этого времени не допускаются, кроме случаев, прямо предусмотренных Документацией о закупке.</w:t>
      </w:r>
    </w:p>
    <w:p>
      <w:pPr>
        <w:pStyle w:val="Style17"/>
        <w:spacing w:before="0" w:after="0"/>
        <w:rPr/>
      </w:pPr>
      <w:r>
        <w:rPr/>
        <w:t>Отзыв Участником ранее поданной заявки является отказом от участия в закупке, отозванные заявки не рассматриваются Организатором по существу.</w:t>
      </w:r>
    </w:p>
    <w:p>
      <w:pPr>
        <w:pStyle w:val="Style17"/>
        <w:spacing w:before="0" w:after="0"/>
        <w:rPr/>
      </w:pPr>
      <w:r>
        <w:rPr/>
        <w:t>Изменение и отзыв Участником ранее поданной заявки осуществляется в порядке, аналогичном порядку подачи и приема заявок, установленному в подразделе </w:t>
      </w:r>
      <w:r>
        <w:rPr/>
        <w:fldChar w:fldCharType="begin"/>
      </w:r>
      <w:r>
        <w:rPr/>
        <w:instrText xml:space="preserve"> REF _Ref125362119 \w \h </w:instrText>
      </w:r>
      <w:r>
        <w:rPr/>
        <w:fldChar w:fldCharType="separate"/>
      </w:r>
      <w:r>
        <w:rPr/>
        <w:t>4.6</w:t>
      </w:r>
      <w:r>
        <w:rPr/>
        <w:fldChar w:fldCharType="end"/>
      </w:r>
      <w:r>
        <w:rPr/>
        <w:t>.</w:t>
      </w:r>
    </w:p>
    <w:p>
      <w:pPr>
        <w:pStyle w:val="Style17"/>
        <w:spacing w:before="0" w:after="0"/>
        <w:rPr/>
      </w:pPr>
      <w:r>
        <w:rPr/>
        <w:t>Изменения и отзыв заявки осуществляется посредством функционала ЭП (подробный порядок определяется Регламентом ЭП).</w:t>
      </w:r>
    </w:p>
    <w:p>
      <w:pPr>
        <w:pStyle w:val="Style16"/>
        <w:spacing w:before="360" w:after="0"/>
        <w:rPr/>
      </w:pPr>
      <w:bookmarkStart w:id="128" w:name="_Toc228876856"/>
      <w:bookmarkStart w:id="129" w:name="_Ref132816188"/>
      <w:r>
        <w:rPr/>
        <w:t>Открытие доступа к первым частям заявок</w:t>
      </w:r>
      <w:bookmarkEnd w:id="128"/>
      <w:bookmarkEnd w:id="129"/>
    </w:p>
    <w:p>
      <w:pPr>
        <w:pStyle w:val="Style17"/>
        <w:spacing w:before="120" w:after="0"/>
        <w:rPr/>
      </w:pPr>
      <w:r>
        <w:rPr/>
        <w:t>Оператор ЭП направляет в адрес Организатора первые части заявок в срок не позднее 1 (одного) дня, следующего за днем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w:t>
      </w:r>
    </w:p>
    <w:p>
      <w:pPr>
        <w:pStyle w:val="Style17"/>
        <w:spacing w:before="0" w:after="0"/>
        <w:rPr/>
      </w:pPr>
      <w:r>
        <w:rPr/>
        <w:t>Подробные правила открытия Организатору доступа к первым частям заявок определяются Регламентом ЭП, с использованием которой проводится закупка. При этом Оператор ЭП обеспечивает конфиденциальность сведений о наименовании Участников, в том числе сведений, указанных в сертификатах ключей электронной подписи, которой подписана заявка, а также обеспечивает конфиденциальность сведений, содержащихся в первых частях заявок, от Участников такой закупки.</w:t>
      </w:r>
    </w:p>
    <w:p>
      <w:pPr>
        <w:pStyle w:val="Style16"/>
        <w:spacing w:before="360" w:after="0"/>
        <w:rPr/>
      </w:pPr>
      <w:bookmarkStart w:id="130" w:name="_Ref125362364"/>
      <w:bookmarkStart w:id="131" w:name="_Ref125366689"/>
      <w:bookmarkStart w:id="132" w:name="_Toc228876860"/>
      <w:r>
        <w:rPr/>
        <w:t>Рассмотрение первых частей заявок / окончательных предложений (отборочная стадия)</w:t>
      </w:r>
      <w:bookmarkEnd w:id="130"/>
      <w:bookmarkEnd w:id="131"/>
      <w:bookmarkEnd w:id="132"/>
    </w:p>
    <w:p>
      <w:pPr>
        <w:pStyle w:val="Style17"/>
        <w:spacing w:before="120" w:after="0"/>
        <w:rPr/>
      </w:pPr>
      <w:r>
        <w:rPr/>
        <w:t>Дата окончания срока рассмотрения первых частей заявок / окончательных предложений установлена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17"/>
        <w:widowControl w:val="false"/>
        <w:spacing w:before="0" w:after="0"/>
        <w:rPr/>
      </w:pPr>
      <w:r>
        <w:rPr/>
        <w:t xml:space="preserve">В рамках рассмотрения первых частей заявок / окончательных предложений (отборочной стадии) осуществляется проверка каждой заявки на предмет соответствия </w:t>
      </w:r>
      <w:hyperlink w:anchor="Прил07_ОтборочныеКритерии" w:tgtFrame="#Прил07_ОтборочныеКритерии">
        <w:r>
          <w:rPr>
            <w:rStyle w:val="Style6"/>
          </w:rPr>
          <w:t>Отборочным критериям рассмотрения заявок (Приложение № 7)</w:t>
        </w:r>
      </w:hyperlink>
      <w:r>
        <w:rPr/>
        <w:t>.</w:t>
      </w:r>
    </w:p>
    <w:p>
      <w:pPr>
        <w:pStyle w:val="Style17"/>
        <w:widowControl w:val="false"/>
        <w:spacing w:before="0" w:after="0"/>
        <w:rPr/>
      </w:pPr>
      <w:r>
        <w:rPr/>
        <w:t>Рассмотрение первых частей заявок / окончательных предложений проводится на основании представленных в составе заявки документов и сведений.</w:t>
      </w:r>
    </w:p>
    <w:p>
      <w:pPr>
        <w:pStyle w:val="Style17"/>
        <w:keepNext w:val="true"/>
        <w:widowControl w:val="false"/>
        <w:spacing w:before="0" w:after="0"/>
        <w:rPr/>
      </w:pPr>
      <w:bookmarkStart w:id="133" w:name="_Ref125551456"/>
      <w:r>
        <w:rPr/>
        <w:t>По результатам рассмотрения первых частей заявок / окончательных предложений (проведения отборочной стадии) Закупочная комиссия отклоняет заявки по следующим основаниям:</w:t>
      </w:r>
      <w:bookmarkEnd w:id="133"/>
    </w:p>
    <w:p>
      <w:pPr>
        <w:pStyle w:val="Style18"/>
        <w:widowControl w:val="false"/>
        <w:bidi w:val="0"/>
        <w:spacing w:before="120" w:after="0"/>
        <w:rPr/>
      </w:pPr>
      <w:r>
        <w:rPr/>
        <w:t>несоответствие первой части заявки / окончательного предложения по составу</w:t>
      </w:r>
      <w:r>
        <w:rPr>
          <w:rStyle w:val="FootnoteReference"/>
        </w:rPr>
        <w:footnoteReference w:id="3"/>
      </w:r>
      <w:r>
        <w:rPr/>
        <w:t>, содержанию и соблюдению требований Документации о закупке к подготовке (оформлению) заявки, в том числе наличие:</w:t>
      </w:r>
    </w:p>
    <w:p>
      <w:pPr>
        <w:pStyle w:val="Style19"/>
        <w:spacing w:before="120" w:after="0"/>
        <w:rPr/>
      </w:pPr>
      <w:r>
        <w:rPr/>
        <w:t>недостоверных сведений или намеренно искаженной информации или документов;</w:t>
      </w:r>
    </w:p>
    <w:p>
      <w:pPr>
        <w:pStyle w:val="Style19"/>
        <w:spacing w:before="0" w:after="0"/>
        <w:rPr/>
      </w:pPr>
      <w:r>
        <w:rPr/>
        <w:t>внутренних противоречий между различными частями и (или) документами первой части заявки / окончательного предложения, в том числе по тексту внутри одного документа;</w:t>
      </w:r>
    </w:p>
    <w:p>
      <w:pPr>
        <w:pStyle w:val="Style18"/>
        <w:spacing w:before="120" w:after="0"/>
        <w:rPr/>
      </w:pPr>
      <w:r>
        <w:rPr/>
        <w:t>несоответствие предлагаемой продукции требованиям Документации о закупке, в том числе порядка описания такой продукции;</w:t>
      </w:r>
    </w:p>
    <w:p>
      <w:pPr>
        <w:pStyle w:val="Style18"/>
        <w:spacing w:before="0" w:after="0"/>
        <w:rPr/>
      </w:pPr>
      <w:r>
        <w:rPr/>
        <w:t>несоответствие предлагаемых договорных условий требованиям Документации о закупке;</w:t>
      </w:r>
    </w:p>
    <w:p>
      <w:pPr>
        <w:pStyle w:val="Style18"/>
        <w:spacing w:before="0" w:after="0"/>
        <w:rPr/>
      </w:pPr>
      <w:r>
        <w:rPr/>
        <w:t>наличие в документах первой части заявки / окончательном предложении сведений об Участники и (или) о его ценовом предложении.</w:t>
      </w:r>
    </w:p>
    <w:p>
      <w:pPr>
        <w:pStyle w:val="Style17"/>
        <w:keepNext w:val="true"/>
        <w:spacing w:before="120" w:after="0"/>
        <w:rPr/>
      </w:pPr>
      <w:r>
        <w:rPr/>
        <w:t>Решение Закупочной комиссии по рассмотрению первых частей заявок / окончательных предложений оформляется протоколом, в котором, как минимум, указываются</w:t>
      </w:r>
      <w:r>
        <w:rPr>
          <w:rStyle w:val="FootnoteReference"/>
        </w:rPr>
        <w:footnoteReference w:id="4"/>
      </w:r>
      <w:r>
        <w:rPr/>
        <w:t>:</w:t>
      </w:r>
    </w:p>
    <w:p>
      <w:pPr>
        <w:pStyle w:val="Style18"/>
        <w:spacing w:before="120" w:after="0"/>
        <w:rPr/>
      </w:pPr>
      <w:r>
        <w:rPr/>
        <w:t>дата подписания протокола;</w:t>
      </w:r>
    </w:p>
    <w:p>
      <w:pPr>
        <w:pStyle w:val="Style18"/>
        <w:spacing w:before="0" w:after="0"/>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18"/>
        <w:spacing w:before="0" w:after="0"/>
        <w:rPr/>
      </w:pPr>
      <w:r>
        <w:rPr/>
        <w:t>идентификационные номера, присваиваемые Оператором ЭП;</w:t>
      </w:r>
    </w:p>
    <w:p>
      <w:pPr>
        <w:pStyle w:val="Style18"/>
        <w:keepNext w:val="true"/>
        <w:spacing w:before="0" w:after="0"/>
        <w:rPr/>
      </w:pPr>
      <w:r>
        <w:rPr/>
        <w:t>результаты рассмотрения первых частей заявок / окончательных предложений с указанием, в том числе:</w:t>
      </w:r>
    </w:p>
    <w:p>
      <w:pPr>
        <w:pStyle w:val="Style19"/>
        <w:spacing w:before="120" w:after="0"/>
        <w:rPr/>
      </w:pPr>
      <w:r>
        <w:rPr/>
        <w:t>количества заявок, которые были отклонены по результатам рассмотрения первых частей заявок / окончательных предложений;</w:t>
      </w:r>
    </w:p>
    <w:p>
      <w:pPr>
        <w:pStyle w:val="Style19"/>
        <w:spacing w:before="0" w:after="0"/>
        <w:rPr/>
      </w:pPr>
      <w:r>
        <w:rPr/>
        <w:t>оснований отклонения каждой заявки с указанием положений Документации о закупке, которым не соответствует первая часть такой заявка / окончательное предложение;</w:t>
      </w:r>
    </w:p>
    <w:p>
      <w:pPr>
        <w:pStyle w:val="Style18"/>
        <w:spacing w:before="120" w:after="0"/>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4.16</w:t>
      </w:r>
      <w:r>
        <w:rPr/>
        <w:fldChar w:fldCharType="end"/>
      </w:r>
      <w:r>
        <w:rPr/>
        <w:t xml:space="preserve"> (в случае ее признания таковой).</w:t>
      </w:r>
    </w:p>
    <w:p>
      <w:pPr>
        <w:pStyle w:val="Style17"/>
        <w:spacing w:before="120" w:after="0"/>
        <w:rPr/>
      </w:pPr>
      <w:r>
        <w:rPr/>
        <w:t>Протокол рассмотрения первых частей заявок / окончательных предложений направляется Организатором Оператору ЭП не позднее 3 (трех) календарных дней с даты подписания такого протокола, после чего он официально размещается (подраздел </w:t>
      </w:r>
      <w:r>
        <w:rPr/>
        <w:fldChar w:fldCharType="begin"/>
      </w:r>
      <w:r>
        <w:rPr/>
        <w:instrText xml:space="preserve"> REF _Ref130286532 \r \h </w:instrText>
      </w:r>
      <w:r>
        <w:rPr/>
        <w:fldChar w:fldCharType="separate"/>
      </w:r>
      <w:r>
        <w:rPr/>
        <w:t>4.2</w:t>
      </w:r>
      <w:r>
        <w:rPr/>
        <w:fldChar w:fldCharType="end"/>
      </w:r>
      <w:r>
        <w:rPr/>
        <w:t>) Оператором ЭП в течение 1 (одного) часа с момента его получения от Организатора.</w:t>
      </w:r>
    </w:p>
    <w:p>
      <w:pPr>
        <w:pStyle w:val="Style16"/>
        <w:spacing w:before="360" w:after="0"/>
        <w:rPr/>
      </w:pPr>
      <w:bookmarkStart w:id="134" w:name="_Toc228876861"/>
      <w:bookmarkStart w:id="135" w:name="_Ref132801184"/>
      <w:r>
        <w:rPr/>
        <w:t>Открытие доступа ко вторым частям заявок и ценовым предложениям</w:t>
      </w:r>
      <w:bookmarkEnd w:id="134"/>
      <w:bookmarkEnd w:id="135"/>
    </w:p>
    <w:p>
      <w:pPr>
        <w:pStyle w:val="Style17"/>
        <w:spacing w:before="120" w:after="0"/>
        <w:rPr/>
      </w:pPr>
      <w:r>
        <w:rPr/>
        <w:t>Оператор ЭП направляет в адрес Организатора вторые части заявок и ценовые предложения в срок, установленный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17"/>
        <w:spacing w:before="0" w:after="0"/>
        <w:rPr/>
      </w:pPr>
      <w:r>
        <w:rPr/>
        <w:t>Подробные правила открытия Организатору доступа ко вторым частям заявок и ценовым предложениям определяются Регламентом ЭП, с использованием которой проводится закупка. Оператор ЭП обеспечивает конфиденциальность сведений содержащихся во вторых частях заявок и ценовых предложениях Участников такой закупки.</w:t>
      </w:r>
    </w:p>
    <w:p>
      <w:pPr>
        <w:pStyle w:val="Style16"/>
        <w:spacing w:before="360" w:after="0"/>
        <w:rPr/>
      </w:pPr>
      <w:bookmarkStart w:id="136" w:name="_Toc228876862"/>
      <w:bookmarkStart w:id="137" w:name="_Ref132797154"/>
      <w:r>
        <w:rPr/>
        <w:t>Рассмотрение вторых частей заявок (отборочная стадия), в том числе (при необходимости) проведение аккредитации, и ценовых предложений</w:t>
      </w:r>
      <w:bookmarkEnd w:id="136"/>
      <w:bookmarkEnd w:id="137"/>
    </w:p>
    <w:p>
      <w:pPr>
        <w:pStyle w:val="Style17"/>
        <w:spacing w:before="120" w:after="0"/>
        <w:rPr/>
      </w:pPr>
      <w:r>
        <w:rPr/>
        <w:t>Дата окончания срока рассмотрения вторых частей заявок и ценовых предложений установлена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17"/>
        <w:spacing w:before="0" w:after="0"/>
        <w:rPr/>
      </w:pPr>
      <w:r>
        <w:rPr/>
        <w:t xml:space="preserve">В рамках рассмотрения вторых частей заявок и ценового предложения (отборочной стадии) осуществляется проверка каждой заявки, не отклоненной по результатам рассмотрения первых частей заявок / окончательных предложений, на предмет соответствия </w:t>
      </w:r>
      <w:hyperlink w:anchor="Прил07_ОтборочныеКритерии" w:tgtFrame="#Прил07_ОтборочныеКритерии">
        <w:r>
          <w:rPr>
            <w:rStyle w:val="Style6"/>
          </w:rPr>
          <w:t>Отборочным критериям рассмотрения заявок (Приложение № 7)</w:t>
        </w:r>
      </w:hyperlink>
      <w:r>
        <w:rPr/>
        <w:t>, в том числе проводится процедура аккредитации Участников (при необходимости).</w:t>
      </w:r>
    </w:p>
    <w:p>
      <w:pPr>
        <w:pStyle w:val="Style17"/>
        <w:spacing w:before="0" w:after="0"/>
        <w:rPr/>
      </w:pPr>
      <w:r>
        <w:rPr/>
        <w:t>Рассмотрение вторых частей заявок и ценового предложения проводится на основании представленных в составе заявки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или иным законным способом.</w:t>
      </w:r>
    </w:p>
    <w:p>
      <w:pPr>
        <w:pStyle w:val="Style17"/>
        <w:keepNext w:val="true"/>
        <w:spacing w:before="0" w:after="0"/>
        <w:rPr/>
      </w:pPr>
      <w:bookmarkStart w:id="138" w:name="_Ref224834720"/>
      <w:r>
        <w:rPr/>
        <w:t>При выявлении в рамках рассмотрения ценовых предложений наличия арифметических ошибок, в том числе:</w:t>
      </w:r>
      <w:bookmarkEnd w:id="138"/>
    </w:p>
    <w:p>
      <w:pPr>
        <w:pStyle w:val="Style18"/>
        <w:spacing w:before="120" w:after="0"/>
        <w:rPr/>
      </w:pPr>
      <w:r>
        <w:rPr/>
        <w:t>в результате суммирования единичных расценок;</w:t>
      </w:r>
    </w:p>
    <w:p>
      <w:pPr>
        <w:pStyle w:val="Style18"/>
        <w:spacing w:before="0" w:after="0"/>
        <w:rPr/>
      </w:pPr>
      <w:r>
        <w:rPr/>
        <w:t>в итогах умножения единичных расценок на объем продукции;</w:t>
      </w:r>
    </w:p>
    <w:p>
      <w:pPr>
        <w:pStyle w:val="Style18"/>
        <w:spacing w:before="0" w:after="0"/>
        <w:rPr/>
      </w:pPr>
      <w:r>
        <w:rPr/>
        <w:t>в вычислении суммы НДС и итоговой стоимости заявки с учетом НДС);</w:t>
      </w:r>
    </w:p>
    <w:p>
      <w:pPr>
        <w:pStyle w:val="Style18"/>
        <w:spacing w:before="0" w:after="0"/>
        <w:rPr/>
      </w:pPr>
      <w:r>
        <w:rPr/>
        <w:t>иных внутренних противоречий в составе заявки,</w:t>
      </w:r>
    </w:p>
    <w:p>
      <w:pPr>
        <w:pStyle w:val="Style21"/>
        <w:ind w:hanging="0" w:left="1134" w:right="0"/>
        <w:rPr/>
      </w:pPr>
      <w:r>
        <w:rPr/>
        <w:t>Организатор исходит из преимущества общей итоговой стоимости (без учета НДС), указанной в структурированных формах на ЭП (последней по времени подачи) и подписанной усиленной квалифицированной электронной подписью уполномоченного лица Участника. При уклонении Участника от заключения договора на вышеуказанных условиях заявка такого Участника подлежит отклонению решением Закупочной комиссии.</w:t>
      </w:r>
    </w:p>
    <w:p>
      <w:pPr>
        <w:pStyle w:val="Style17"/>
        <w:keepNext w:val="true"/>
        <w:spacing w:before="120" w:after="0"/>
        <w:rPr/>
      </w:pPr>
      <w:bookmarkStart w:id="139" w:name="_Ref132793926"/>
      <w:r>
        <w:rPr/>
        <w:t>По результатам рассмотрения вторых частей заявок и ценовых предложений (проведения отборочной стадии) Закупочная комиссия отклоняет заявки по следующим основаниям:</w:t>
      </w:r>
      <w:bookmarkEnd w:id="139"/>
    </w:p>
    <w:p>
      <w:pPr>
        <w:pStyle w:val="Style18"/>
        <w:spacing w:before="120" w:after="0"/>
        <w:rPr/>
      </w:pPr>
      <w:r>
        <w:rPr/>
        <w:t>несоответствие второй части заявки и (или) ценового предложения по составу</w:t>
      </w:r>
      <w:r>
        <w:rPr>
          <w:rStyle w:val="FootnoteReference"/>
        </w:rPr>
        <w:footnoteReference w:id="5"/>
      </w:r>
      <w:r>
        <w:rPr/>
        <w:t>, содержанию и соблюдению требований Документации о закупке к подготовке (оформлению) заявки, в том числе наличие:</w:t>
      </w:r>
    </w:p>
    <w:p>
      <w:pPr>
        <w:pStyle w:val="Style19"/>
        <w:spacing w:before="120" w:after="0"/>
        <w:rPr/>
      </w:pPr>
      <w:r>
        <w:rPr/>
        <w:t>недостоверных сведений или намеренно искаженной информации или документов;</w:t>
      </w:r>
    </w:p>
    <w:p>
      <w:pPr>
        <w:pStyle w:val="Style19"/>
        <w:spacing w:before="0" w:after="0"/>
        <w:rPr/>
      </w:pPr>
      <w:r>
        <w:rPr/>
        <w:t xml:space="preserve">внутренних противоречий между различными частями и (или) документами второй части заявки и (или) ценового предложения, в том числе по тексту внутри одного документа (за исключением ошибок, предусмотренных пунктом </w:t>
      </w:r>
      <w:r>
        <w:rPr/>
        <w:fldChar w:fldCharType="begin"/>
      </w:r>
      <w:r>
        <w:rPr/>
        <w:instrText xml:space="preserve"> REF _Ref224834720 \r \h </w:instrText>
      </w:r>
      <w:r>
        <w:rPr/>
        <w:fldChar w:fldCharType="separate"/>
      </w:r>
      <w:r>
        <w:rPr/>
        <w:t>4.11.4</w:t>
      </w:r>
      <w:r>
        <w:rPr/>
        <w:fldChar w:fldCharType="end"/>
      </w:r>
      <w:r>
        <w:rPr/>
        <w:t>);</w:t>
      </w:r>
    </w:p>
    <w:p>
      <w:pPr>
        <w:pStyle w:val="Style18"/>
        <w:spacing w:before="120" w:after="0"/>
        <w:rPr/>
      </w:pPr>
      <w:r>
        <w:rPr/>
        <w:t>несоответствие предлагаемой продукции требованиям Документации о закупке, с учетом представленных во второй части заявки соответствующих подтверждающих документов;</w:t>
      </w:r>
    </w:p>
    <w:p>
      <w:pPr>
        <w:pStyle w:val="Style18"/>
        <w:spacing w:before="0" w:after="0"/>
        <w:rPr/>
      </w:pPr>
      <w:r>
        <w:rPr/>
        <w:t>несоответствие Участников требованиям Документации о закупке;</w:t>
      </w:r>
    </w:p>
    <w:p>
      <w:pPr>
        <w:pStyle w:val="Style18"/>
        <w:spacing w:before="0" w:after="0"/>
        <w:rPr/>
      </w:pPr>
      <w:r>
        <w:rPr/>
        <w:t>несоответствие привлекаемых субподрядчиков (соисполнителей) требованиям Документации о закупке;</w:t>
      </w:r>
    </w:p>
    <w:p>
      <w:pPr>
        <w:pStyle w:val="Style18"/>
        <w:spacing w:before="0" w:after="0"/>
        <w:rPr/>
      </w:pPr>
      <w:r>
        <w:rPr/>
        <w:t>превышение ценового предложения над установленным размером НМЦ.</w:t>
      </w:r>
    </w:p>
    <w:p>
      <w:pPr>
        <w:pStyle w:val="Style17"/>
        <w:keepNext w:val="true"/>
        <w:spacing w:before="120" w:after="0"/>
        <w:rPr/>
      </w:pPr>
      <w:r>
        <w:rPr/>
        <w:t>Решение Закупочной комиссии по рассмотрению вторых частей заявок и ценового предложения оформляется протоколом, в котором, как минимум, указываются</w:t>
      </w:r>
      <w:r>
        <w:rPr>
          <w:rStyle w:val="FootnoteReference"/>
        </w:rPr>
        <w:footnoteReference w:id="6"/>
      </w:r>
      <w:r>
        <w:rPr/>
        <w:t>:</w:t>
      </w:r>
    </w:p>
    <w:p>
      <w:pPr>
        <w:pStyle w:val="Style18"/>
        <w:spacing w:before="120" w:after="0"/>
        <w:rPr/>
      </w:pPr>
      <w:r>
        <w:rPr/>
        <w:t>дата подписания протокола;</w:t>
      </w:r>
    </w:p>
    <w:p>
      <w:pPr>
        <w:pStyle w:val="Style18"/>
        <w:spacing w:before="0" w:after="0"/>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 с указанием ценового предложения такой заявки;</w:t>
      </w:r>
    </w:p>
    <w:p>
      <w:pPr>
        <w:pStyle w:val="Style18"/>
        <w:spacing w:before="0" w:after="0"/>
        <w:rPr/>
      </w:pPr>
      <w:r>
        <w:rPr/>
        <w:t>наименования Участников, заявки которых не были отклонены по результатам рассмотрения первых частей заявок / окончательных предложений, и (или) их идентификационные номера, присваиваемые Оператором ЭП;</w:t>
      </w:r>
    </w:p>
    <w:p>
      <w:pPr>
        <w:pStyle w:val="Style18"/>
        <w:keepNext w:val="true"/>
        <w:spacing w:before="0" w:after="0"/>
        <w:rPr/>
      </w:pPr>
      <w:r>
        <w:rPr/>
        <w:t>результаты рассмотрения вторых частей заявок и ценовых предложений с указанием, в том числе:</w:t>
      </w:r>
    </w:p>
    <w:p>
      <w:pPr>
        <w:pStyle w:val="Style19"/>
        <w:spacing w:before="120" w:after="0"/>
        <w:rPr/>
      </w:pPr>
      <w:r>
        <w:rPr/>
        <w:t>количества заявок, которые были отклонены по результатам рассмотрения вторых частей заявок и ценовых предложений;</w:t>
      </w:r>
    </w:p>
    <w:p>
      <w:pPr>
        <w:pStyle w:val="Style19"/>
        <w:spacing w:before="0" w:after="0"/>
        <w:rPr/>
      </w:pPr>
      <w:r>
        <w:rPr/>
        <w:t>оснований отклонения каждой заявки с указанием положений Документации о закупке, которым не соответствует вторая часть такой заявка и (или) ценовое предложение;</w:t>
      </w:r>
    </w:p>
    <w:p>
      <w:pPr>
        <w:pStyle w:val="Style18"/>
        <w:spacing w:before="120" w:after="0"/>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4.16</w:t>
      </w:r>
      <w:r>
        <w:rPr/>
        <w:fldChar w:fldCharType="end"/>
      </w:r>
      <w:r>
        <w:rPr/>
        <w:t xml:space="preserve"> (в случае ее признания таковой).</w:t>
      </w:r>
    </w:p>
    <w:p>
      <w:pPr>
        <w:pStyle w:val="Style17"/>
        <w:spacing w:before="120" w:after="0"/>
        <w:rPr/>
      </w:pPr>
      <w:r>
        <w:rPr/>
        <w:t>Протокол рассмотрения вторых частей заявок и (или) ценовых предложений направляется Организатором Оператору ЭП не позднее 3 (трех) календарных дней с даты подписания такого протокола, после чего он официально размещается (подраздел </w:t>
      </w:r>
      <w:r>
        <w:rPr/>
        <w:fldChar w:fldCharType="begin"/>
      </w:r>
      <w:r>
        <w:rPr/>
        <w:instrText xml:space="preserve"> REF _Ref130286532 \r \h </w:instrText>
      </w:r>
      <w:r>
        <w:rPr/>
        <w:fldChar w:fldCharType="separate"/>
      </w:r>
      <w:r>
        <w:rPr/>
        <w:t>4.2</w:t>
      </w:r>
      <w:r>
        <w:rPr/>
        <w:fldChar w:fldCharType="end"/>
      </w:r>
      <w:r>
        <w:rPr/>
        <w:t>) Оператором ЭП в течение 1 (одного) часа с момента его получения от Организатора.</w:t>
      </w:r>
    </w:p>
    <w:p>
      <w:pPr>
        <w:pStyle w:val="Style16"/>
        <w:spacing w:before="360" w:after="0"/>
        <w:rPr/>
      </w:pPr>
      <w:bookmarkStart w:id="140" w:name="_Toc228876863"/>
      <w:bookmarkStart w:id="141" w:name="_Ref125362425"/>
      <w:bookmarkStart w:id="142" w:name="_Ref125362464"/>
      <w:bookmarkStart w:id="143" w:name="_Ref125362381"/>
      <w:bookmarkStart w:id="144" w:name="_Ref125362610"/>
      <w:r>
        <w:rPr/>
        <w:t>Дополнительные запросы разъяснений заявок</w:t>
      </w:r>
      <w:bookmarkEnd w:id="140"/>
      <w:bookmarkEnd w:id="141"/>
      <w:bookmarkEnd w:id="142"/>
      <w:bookmarkEnd w:id="143"/>
      <w:bookmarkEnd w:id="144"/>
    </w:p>
    <w:p>
      <w:pPr>
        <w:pStyle w:val="Style17"/>
        <w:spacing w:before="120" w:after="0"/>
        <w:rPr/>
      </w:pPr>
      <w:bookmarkStart w:id="145" w:name="_Ref125365611"/>
      <w:r>
        <w:rPr/>
        <w:t>В рамках процедуры рассмотрения заявок (первых частей заявок / окончательных предложений, вторых частей заявок и ценовых предложений), рассмотрения дополнительных ценовых предложений – если проводилась процедура переторжки, оценки и сопоставления заявок Организатор вправе направить в адрес Участника дополнительный запрос разъяснений и (или) дополнений его заявки, влияющих на отклонение или оценку и сопоставление его заявки, в следующих случаях:</w:t>
      </w:r>
      <w:bookmarkEnd w:id="145"/>
    </w:p>
    <w:p>
      <w:pPr>
        <w:pStyle w:val="Style18"/>
        <w:keepNext w:val="true"/>
        <w:spacing w:before="120" w:after="0"/>
        <w:rPr/>
      </w:pPr>
      <w:r>
        <w:rPr/>
        <w:t>в составе заявки (в какой-либо ее части) отсутствуют, представлены не в полном объеме или в нечитаемом виде документы или сведения, необходимые для определения:</w:t>
      </w:r>
    </w:p>
    <w:p>
      <w:pPr>
        <w:pStyle w:val="Style19"/>
        <w:spacing w:before="120" w:after="0"/>
        <w:rPr/>
      </w:pPr>
      <w:r>
        <w:rPr/>
        <w:t>соответствия Участника требованиям Документации о закупке;</w:t>
      </w:r>
    </w:p>
    <w:p>
      <w:pPr>
        <w:pStyle w:val="Style19"/>
        <w:spacing w:before="0" w:after="0"/>
        <w:rPr/>
      </w:pPr>
      <w:bookmarkStart w:id="146" w:name="_Hlk132793683"/>
      <w:r>
        <w:rPr/>
        <w:t>наличия соответствующих полномочий на подписание заявки от имени Участника у лица, подписавшего заявку</w:t>
      </w:r>
      <w:bookmarkEnd w:id="146"/>
      <w:r>
        <w:rPr/>
        <w:t>;</w:t>
      </w:r>
    </w:p>
    <w:p>
      <w:pPr>
        <w:pStyle w:val="Style19"/>
        <w:spacing w:before="0" w:after="0"/>
        <w:rPr/>
      </w:pPr>
      <w:r>
        <w:rPr/>
        <w:t xml:space="preserve">соответствия заявки требованиям Документации о закупке в части характеристик предлагаемой продукции, </w:t>
      </w:r>
      <w:bookmarkStart w:id="147" w:name="_Hlk207817392"/>
      <w:r>
        <w:rPr/>
        <w:t xml:space="preserve">страны происхождения товара и (или) страны регистрации Участника (в целях исполнения требований законодательства о национальном режиме </w:t>
      </w:r>
      <w:bookmarkEnd w:id="147"/>
      <w:r>
        <w:rPr/>
        <w:t>(подраздел </w:t>
      </w:r>
      <w:r>
        <w:rPr/>
        <w:fldChar w:fldCharType="begin"/>
      </w:r>
      <w:r>
        <w:rPr/>
        <w:instrText xml:space="preserve"> REF _Ref186181253 \r \h </w:instrText>
      </w:r>
      <w:r>
        <w:rPr/>
        <w:fldChar w:fldCharType="separate"/>
      </w:r>
      <w:r>
        <w:rPr/>
        <w:t>4.14</w:t>
      </w:r>
      <w:r>
        <w:rPr/>
        <w:fldChar w:fldCharType="end"/>
      </w:r>
      <w:r>
        <w:rPr/>
        <w:t>)), договорных условий и расчета цены Договора;</w:t>
      </w:r>
    </w:p>
    <w:p>
      <w:pPr>
        <w:pStyle w:val="Style18"/>
        <w:spacing w:before="120" w:after="0"/>
        <w:rPr/>
      </w:pPr>
      <w:bookmarkStart w:id="148" w:name="_Ref135033677"/>
      <w:r>
        <w:rPr/>
        <w:t>в составе заявки (в какой-либо ее части) отсутствуют, представлены не в полном объеме или в нечитаемом виде документы или сведения, необходимые для прохождения Участником в рамках рассмотрения вторых частей заявок процедуры аккредитации (при необходимости);</w:t>
      </w:r>
    </w:p>
    <w:p>
      <w:pPr>
        <w:pStyle w:val="Style18"/>
        <w:spacing w:before="0" w:after="0"/>
        <w:rPr/>
      </w:pPr>
      <w:r>
        <w:rPr/>
        <w:t>в заявке (в какой-либо ее части) имеются разночтения или положения, допускающие неоднозначное толкование, не позволяющие определить соответствие заявки или Участника (в том числе не позволяющие провести в отношении него процедуру аккредитации (при необходимости)</w:t>
      </w:r>
      <w:r>
        <w:rPr>
          <w:rStyle w:val="FootnoteReference"/>
        </w:rPr>
        <w:footnoteReference w:id="7"/>
      </w:r>
      <w:r>
        <w:rPr/>
        <w:t>) требованиям Документации о закупке или осуществить оценку и сопоставление заявок.</w:t>
      </w:r>
      <w:bookmarkEnd w:id="148"/>
    </w:p>
    <w:p>
      <w:pPr>
        <w:pStyle w:val="Style17"/>
        <w:spacing w:before="120" w:after="0"/>
        <w:rPr/>
      </w:pPr>
      <w:r>
        <w:rPr/>
        <w:t>Если в рамках рассмотрения заявок (вторых частей заявок и ценовых предложений), проводится процедура аккредитации, Организатор вправе направить в адрес Участника дополнительный запрос разъяснений и (или) дополнений его заявки, влияющих на прохождение аккредитации таким Участником (в том числе в случае, указанном в подпункте </w:t>
      </w:r>
      <w:r>
        <w:rPr/>
        <w:fldChar w:fldCharType="begin"/>
      </w:r>
      <w:r>
        <w:rPr/>
        <w:instrText xml:space="preserve"> REF _Ref135033677 \r \h </w:instrText>
      </w:r>
      <w:r>
        <w:rPr/>
        <w:fldChar w:fldCharType="separate"/>
      </w:r>
      <w:r>
        <w:rPr/>
        <w:t>4.12.1б)</w:t>
      </w:r>
      <w:r>
        <w:rPr/>
        <w:fldChar w:fldCharType="end"/>
      </w:r>
      <w:r>
        <w:rPr/>
        <w:t>).</w:t>
      </w:r>
    </w:p>
    <w:p>
      <w:pPr>
        <w:pStyle w:val="Style17"/>
        <w:spacing w:before="0" w:after="0"/>
        <w:rPr/>
      </w:pPr>
      <w:r>
        <w:rPr/>
        <w:t>Не допускаются запросы со стороны Организатора, а также ответы со стороны Участников, изменяющие суть заявки (предмет, объем, цена, номенклатура предлагаемой Участником продукции).</w:t>
      </w:r>
    </w:p>
    <w:p>
      <w:pPr>
        <w:pStyle w:val="Style17"/>
        <w:spacing w:before="0" w:after="0"/>
        <w:rPr/>
      </w:pPr>
      <w:r>
        <w:rPr/>
        <w:t>При направлении дополнительных запросов разъяснений заявок не допускается создание преимущественных условий Участнику или нескольким Участникам закупки.</w:t>
      </w:r>
    </w:p>
    <w:p>
      <w:pPr>
        <w:pStyle w:val="Style17"/>
        <w:spacing w:before="0" w:after="0"/>
        <w:rPr/>
      </w:pPr>
      <w:r>
        <w:rPr/>
        <w:t>Дополнительные запросы направляются одновременно (в один день) всем Участникам, у которых был выявлен факт несоответствий, за исключением следующего – дополнительные запросы не направляются Участнику если в соответствии с пунктами </w:t>
      </w:r>
      <w:r>
        <w:rPr/>
        <w:fldChar w:fldCharType="begin"/>
      </w:r>
      <w:r>
        <w:rPr/>
        <w:instrText xml:space="preserve"> REF _Ref125551456 \r \h </w:instrText>
      </w:r>
      <w:r>
        <w:rPr/>
        <w:fldChar w:fldCharType="separate"/>
      </w:r>
      <w:r>
        <w:rPr/>
        <w:t>4.9.4</w:t>
      </w:r>
      <w:r>
        <w:rPr/>
        <w:fldChar w:fldCharType="end"/>
      </w:r>
      <w:r>
        <w:rPr/>
        <w:t xml:space="preserve">, </w:t>
      </w:r>
      <w:r>
        <w:rPr/>
        <w:fldChar w:fldCharType="begin"/>
      </w:r>
      <w:r>
        <w:rPr/>
        <w:instrText xml:space="preserve"> REF _Ref132793926 \r \h </w:instrText>
      </w:r>
      <w:r>
        <w:rPr/>
        <w:fldChar w:fldCharType="separate"/>
      </w:r>
      <w:r>
        <w:rPr/>
        <w:t>4.11.5</w:t>
      </w:r>
      <w:r>
        <w:rPr/>
        <w:fldChar w:fldCharType="end"/>
      </w:r>
      <w:r>
        <w:rPr/>
        <w:t>, имеются прямые основания для отклонения заявки такого Участника, не относящиеся к случаям, перечисленным в пункте </w:t>
      </w:r>
      <w:r>
        <w:rPr/>
        <w:fldChar w:fldCharType="begin"/>
      </w:r>
      <w:r>
        <w:rPr/>
        <w:instrText xml:space="preserve"> REF _Ref125365611 \w \h </w:instrText>
      </w:r>
      <w:r>
        <w:rPr/>
        <w:fldChar w:fldCharType="separate"/>
      </w:r>
      <w:r>
        <w:rPr/>
        <w:t>4.12.1</w:t>
      </w:r>
      <w:r>
        <w:rPr/>
        <w:fldChar w:fldCharType="end"/>
      </w:r>
      <w:r>
        <w:rPr/>
        <w:t>.</w:t>
      </w:r>
    </w:p>
    <w:p>
      <w:pPr>
        <w:pStyle w:val="Style17"/>
        <w:spacing w:before="0" w:after="0"/>
        <w:rPr/>
      </w:pPr>
      <w:r>
        <w:rPr/>
        <w:t>Срок предоставления Участниками разъяснений своих заявок устанавливается одинаковый для всех и составляет не менее 2 (двух) рабочих дней с момента направления запроса в адрес Участника.</w:t>
      </w:r>
    </w:p>
    <w:p>
      <w:pPr>
        <w:pStyle w:val="Style17"/>
        <w:spacing w:before="0" w:after="0"/>
        <w:rPr/>
      </w:pPr>
      <w:r>
        <w:rPr/>
        <w:t>Направление Организатором дополнительных запросов и ответов Участников на данные запросы осуществляется с помощью программных и технических средств ЭП в порядке, предусмотренном Регламентом ЭП (ответы Участников, поступившие не через ЭП, к рассмотрению не принимаются).</w:t>
      </w:r>
    </w:p>
    <w:p>
      <w:pPr>
        <w:pStyle w:val="Style17"/>
        <w:spacing w:before="0" w:after="0"/>
        <w:rPr/>
      </w:pPr>
      <w:r>
        <w:rPr/>
        <w:t>Непредставление или представление не в полном объеме запрашиваемых документов и (или) разъяснений в установленный в запросе срок служит основанием для отклонения заявки такого Участника по условиям пунктов </w:t>
      </w:r>
      <w:r>
        <w:rPr/>
        <w:fldChar w:fldCharType="begin"/>
      </w:r>
      <w:r>
        <w:rPr/>
        <w:instrText xml:space="preserve"> REF _Ref125551456 \r \h </w:instrText>
      </w:r>
      <w:r>
        <w:rPr/>
        <w:fldChar w:fldCharType="separate"/>
      </w:r>
      <w:r>
        <w:rPr/>
        <w:t>4.9.4</w:t>
      </w:r>
      <w:r>
        <w:rPr/>
        <w:fldChar w:fldCharType="end"/>
      </w:r>
      <w:r>
        <w:rPr/>
        <w:t xml:space="preserve">, </w:t>
      </w:r>
      <w:r>
        <w:rPr/>
        <w:fldChar w:fldCharType="begin"/>
      </w:r>
      <w:r>
        <w:rPr/>
        <w:instrText xml:space="preserve"> REF _Ref132793926 \r \h </w:instrText>
      </w:r>
      <w:r>
        <w:rPr/>
        <w:fldChar w:fldCharType="separate"/>
      </w:r>
      <w:r>
        <w:rPr/>
        <w:t>4.11.5</w:t>
      </w:r>
      <w:r>
        <w:rPr/>
        <w:fldChar w:fldCharType="end"/>
      </w:r>
      <w:r>
        <w:rPr/>
        <w:t>.</w:t>
      </w:r>
    </w:p>
    <w:p>
      <w:pPr>
        <w:pStyle w:val="Style16"/>
        <w:spacing w:before="360" w:after="0"/>
        <w:rPr/>
      </w:pPr>
      <w:bookmarkStart w:id="149" w:name="_Ref125365335"/>
      <w:bookmarkStart w:id="150" w:name="_Toc228876866"/>
      <w:bookmarkStart w:id="151" w:name="_Ref125365519"/>
      <w:bookmarkStart w:id="152" w:name="_Ref125369308"/>
      <w:bookmarkStart w:id="153" w:name="_Ref125366534"/>
      <w:bookmarkStart w:id="154" w:name="_Ref125369041"/>
      <w:bookmarkStart w:id="155" w:name="_Ref125362626"/>
      <w:r>
        <w:rPr/>
        <w:t>Оценка и сопоставление заявок</w:t>
      </w:r>
      <w:bookmarkEnd w:id="149"/>
      <w:bookmarkEnd w:id="150"/>
      <w:bookmarkEnd w:id="151"/>
      <w:bookmarkEnd w:id="152"/>
      <w:bookmarkEnd w:id="153"/>
      <w:bookmarkEnd w:id="154"/>
      <w:bookmarkEnd w:id="155"/>
    </w:p>
    <w:p>
      <w:pPr>
        <w:pStyle w:val="Style17"/>
        <w:spacing w:before="120" w:after="0"/>
        <w:rPr/>
      </w:pPr>
      <w:r>
        <w:rPr/>
        <w:t xml:space="preserve">Оценка и сопоставление заявок, признанных Закупочной комиссией соответствующими по результатам рассмотрения заявок (первых частей заявок / окончательных предложений, вторых частей заявок и ценовых предложений), рассмотрения дополнительных ценовых предложений – если проводилась процедура переторжки, осуществляется в соответствии с </w:t>
      </w:r>
      <w:hyperlink w:anchor="Прил08_ПорядокОценки" w:tgtFrame="#Прил08_ПорядокОценки">
        <w:r>
          <w:rPr>
            <w:rStyle w:val="Style6"/>
          </w:rPr>
          <w:t>Порядком и критериями оценки и сопоставления заявок (Приложение № 8)</w:t>
        </w:r>
      </w:hyperlink>
      <w:r>
        <w:rPr/>
        <w:t>, с присвоением каждой заявке итогового балла.</w:t>
      </w:r>
    </w:p>
    <w:p>
      <w:pPr>
        <w:pStyle w:val="Style17"/>
        <w:spacing w:before="0" w:after="0"/>
        <w:rPr/>
      </w:pPr>
      <w:r>
        <w:rPr/>
        <w:t>По результатам оценки заявок Закупочная комиссия в течение 1 (одного) рабочего дня осуществляет их сопоставление – ранжирует по степени их предпочтительности на основании полученного итогового балла (по мере уменьшения). При этом первое место в ранжировке присваивается заявке, получившей по результатам оценки наибольший итоговый балл (если в нескольких заявках содержатся одинаковые условия (заявкам присвоен одинаковый итоговый балл), меньший порядковый номер (более высокое место в ранжировке) присваивается заявке, которая поступила ранее других заявок, на основании информации о поступлении заявок, отражаемой на ЭП (по дате и времени последнего изменения заявки до окончания срока подачи заявок, с учетом даты и времени последнего изменения заявки на ЭП, обусловленного переторжкой)).</w:t>
      </w:r>
    </w:p>
    <w:p>
      <w:pPr>
        <w:pStyle w:val="Style17"/>
        <w:spacing w:before="0" w:after="0"/>
        <w:rPr/>
      </w:pPr>
      <w:r>
        <w:rPr/>
        <w:t>Оценка и сопоставление заявок проводится только на основании представленных в составе заявки документов и сведений. Применение иного порядка и (или) критериев оценки и сопоставления заявок, кроме предусмотренных Документацией о закупке, не допускается.</w:t>
      </w:r>
    </w:p>
    <w:p>
      <w:pPr>
        <w:pStyle w:val="Style17"/>
        <w:spacing w:before="0" w:after="0"/>
        <w:rPr/>
      </w:pPr>
      <w:r>
        <w:rPr/>
        <w:t>Оценка и сопоставление заявок, а также их ранжировка, осуществляется с учетом применения законодательства о национальном режиме, в т.ч. ПП 1875 (подраздел </w:t>
      </w:r>
      <w:r>
        <w:rPr/>
        <w:fldChar w:fldCharType="begin"/>
      </w:r>
      <w:r>
        <w:rPr/>
        <w:instrText xml:space="preserve"> REF _Ref132816300 \r \h </w:instrText>
      </w:r>
      <w:r>
        <w:rPr/>
        <w:fldChar w:fldCharType="separate"/>
      </w:r>
      <w:r>
        <w:rPr/>
        <w:t>4.14</w:t>
      </w:r>
      <w:r>
        <w:rPr/>
        <w:fldChar w:fldCharType="end"/>
      </w:r>
      <w:r>
        <w:rPr/>
        <w:t>).</w:t>
      </w:r>
    </w:p>
    <w:p>
      <w:pPr>
        <w:pStyle w:val="Style17"/>
        <w:spacing w:before="0" w:after="0"/>
        <w:rPr/>
      </w:pPr>
      <w:r>
        <w:rPr/>
        <w:t>Результаты оценки и сопоставления заявок указываются в итоговом протоколе по результатам закупки.</w:t>
      </w:r>
    </w:p>
    <w:p>
      <w:pPr>
        <w:pStyle w:val="Style16"/>
        <w:spacing w:before="360" w:after="0"/>
        <w:rPr/>
      </w:pPr>
      <w:bookmarkStart w:id="156" w:name="_Ref125369991"/>
      <w:bookmarkStart w:id="157" w:name="_Ref186181253"/>
      <w:bookmarkStart w:id="158" w:name="_Ref125370507"/>
      <w:bookmarkStart w:id="159" w:name="_Ref130458671"/>
      <w:bookmarkStart w:id="160" w:name="_Ref130985951"/>
      <w:bookmarkStart w:id="161" w:name="_Toc228876867"/>
      <w:bookmarkStart w:id="162" w:name="_Ref125366064"/>
      <w:bookmarkStart w:id="163" w:name="_Ref132816300"/>
      <w:r>
        <w:rPr/>
        <w:t>Применение законодательства о национальном режиме</w:t>
      </w:r>
      <w:bookmarkEnd w:id="156"/>
      <w:bookmarkEnd w:id="157"/>
      <w:bookmarkEnd w:id="158"/>
      <w:bookmarkEnd w:id="159"/>
      <w:bookmarkEnd w:id="160"/>
      <w:bookmarkEnd w:id="161"/>
      <w:bookmarkEnd w:id="162"/>
      <w:bookmarkEnd w:id="163"/>
    </w:p>
    <w:p>
      <w:pPr>
        <w:pStyle w:val="Style17"/>
        <w:spacing w:before="120" w:after="0"/>
        <w:rPr/>
      </w:pPr>
      <w:r>
        <w:rPr/>
        <w:t>Настоящий подраздел применяется исходя из информации, установленной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17"/>
        <w:spacing w:before="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 (подраздел </w:t>
      </w:r>
      <w:r>
        <w:rPr/>
        <w:fldChar w:fldCharType="begin"/>
      </w:r>
      <w:r>
        <w:rPr/>
        <w:instrText xml:space="preserve"> REF _Ref132797154 \r \h </w:instrText>
      </w:r>
      <w:r>
        <w:rPr/>
        <w:fldChar w:fldCharType="separate"/>
      </w:r>
      <w:r>
        <w:rPr/>
        <w:t>4.11</w:t>
      </w:r>
      <w:r>
        <w:rPr/>
        <w:fldChar w:fldCharType="end"/>
      </w:r>
      <w:r>
        <w:rPr/>
        <w:t>).</w:t>
      </w:r>
    </w:p>
    <w:p>
      <w:pPr>
        <w:pStyle w:val="Style17"/>
        <w:spacing w:before="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(подразделы  </w:t>
      </w:r>
      <w:r>
        <w:rPr/>
        <w:fldChar w:fldCharType="begin"/>
      </w:r>
      <w:r>
        <w:rPr/>
        <w:instrText xml:space="preserve"> REF _Ref132797154 \r \h </w:instrText>
      </w:r>
      <w:r>
        <w:rPr/>
        <w:fldChar w:fldCharType="separate"/>
      </w:r>
      <w:r>
        <w:rPr/>
        <w:t>4.11</w:t>
      </w:r>
      <w:r>
        <w:rPr/>
        <w:fldChar w:fldCharType="end"/>
      </w:r>
      <w:r>
        <w:rPr/>
        <w:t>).</w:t>
      </w:r>
    </w:p>
    <w:p>
      <w:pPr>
        <w:pStyle w:val="Style17"/>
        <w:spacing w:before="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преимущества российской продукции, то при оценке и сопоставлении заявок, а также их ранжировке (подраздел </w:t>
      </w:r>
      <w:r>
        <w:rPr/>
        <w:fldChar w:fldCharType="begin"/>
      </w:r>
      <w:r>
        <w:rPr/>
        <w:instrText xml:space="preserve"> REF _Ref125362626 \r \h </w:instrText>
      </w:r>
      <w:r>
        <w:rPr/>
        <w:fldChar w:fldCharType="separate"/>
      </w:r>
      <w:r>
        <w:rPr/>
        <w:t>4.13</w:t>
      </w:r>
      <w:r>
        <w:rPr/>
        <w:fldChar w:fldCharType="end"/>
      </w:r>
      <w:r>
        <w:rPr/>
        <w:t>), осуществляется снижение</w:t>
      </w:r>
      <w:r>
        <w:rPr>
          <w:rStyle w:val="FootnoteReference"/>
        </w:rPr>
        <w:footnoteReference w:id="8"/>
      </w:r>
      <w:r>
        <w:rPr/>
        <w:t xml:space="preserve"> на 15% (пятнадцать процентов) итоговой стоимости (цены Договора) поданной и допущенной заявки с российской продукцией (на поставку товара российского происхождения (в том числе поставляемых при выполнении закупаемых работ, оказании закупаемых услуг)), при условии наличия допущенной заявки с иностранной продукцией (на поставку товара иностранного происхождения).</w:t>
      </w:r>
    </w:p>
    <w:p>
      <w:pPr>
        <w:pStyle w:val="Style17"/>
        <w:spacing w:before="0" w:after="0"/>
        <w:rPr/>
      </w:pPr>
      <w:bookmarkStart w:id="164" w:name="_Ref195007400"/>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Заказчик исполняет нормы в части минимальной обязательной доли закупок товаров российского происхождения, то не допускается заключение Договора на поставку товара иностранного происхождения, – соответствующая заявка отклоняется при рассмотрении заявок (подраздел </w:t>
      </w:r>
      <w:r>
        <w:rPr/>
        <w:fldChar w:fldCharType="begin"/>
      </w:r>
      <w:r>
        <w:rPr/>
        <w:instrText xml:space="preserve"> REF _Ref132797154 \r \h </w:instrText>
      </w:r>
      <w:r>
        <w:rPr/>
        <w:fldChar w:fldCharType="separate"/>
      </w:r>
      <w:r>
        <w:rPr/>
        <w:t>4.11</w:t>
      </w:r>
      <w:r>
        <w:rPr/>
        <w:fldChar w:fldCharType="end"/>
      </w:r>
      <w:r>
        <w:rPr/>
        <w:t>).</w:t>
      </w:r>
      <w:bookmarkEnd w:id="164"/>
    </w:p>
    <w:p>
      <w:pPr>
        <w:pStyle w:val="Style17"/>
        <w:spacing w:before="0" w:after="0"/>
        <w:rPr/>
      </w:pPr>
      <w:r>
        <w:rPr/>
        <w:t>Состав и требования к сведениям и (или) и перечню документов (их предоставлению Участником), которые подтверждают страну происхождения товара (страны ЕАЭС, включая Россию), в целях выполнения требований законодательства о национальном режиме, установлены в Структуре НМЦ (в составе Коммерческого предложения (форма 3) (</w:t>
      </w:r>
      <w:hyperlink w:anchor="Прил04_ФормыЗаявки" w:tgtFrame="#Прил04_ФормыЗаявки">
        <w:r>
          <w:rPr>
            <w:rStyle w:val="Style6"/>
          </w:rPr>
          <w:t>Приложение № 4</w:t>
        </w:r>
      </w:hyperlink>
      <w:r>
        <w:rPr/>
        <w:t>), а также в Технических требованиях (</w:t>
      </w:r>
      <w:hyperlink w:anchor="Прил01_ТехТребования" w:tgtFrame="#Прил01_ТехТребования">
        <w:r>
          <w:rPr>
            <w:rStyle w:val="Style6"/>
          </w:rPr>
          <w:t>Приложение № 1</w:t>
        </w:r>
      </w:hyperlink>
      <w:r>
        <w:rPr/>
        <w:t>) при исполнении Заказчиком норм в части минимальной обязательной доли закупок товаров российского происхождения.</w:t>
      </w:r>
    </w:p>
    <w:p>
      <w:pPr>
        <w:pStyle w:val="Style17"/>
        <w:keepNext w:val="true"/>
        <w:spacing w:before="0" w:after="0"/>
        <w:rPr/>
      </w:pPr>
      <w:r>
        <w:rPr/>
        <w:t>Товар приравнивается к товарам, происходящим из иностранного государства (не являющегося государством – членом ЕАЭС), если:</w:t>
      </w:r>
    </w:p>
    <w:p>
      <w:pPr>
        <w:pStyle w:val="Style18"/>
        <w:spacing w:before="120" w:after="0"/>
        <w:rPr/>
      </w:pPr>
      <w:r>
        <w:rPr/>
        <w:t>в отношении такого товара Участником не предоставлены в составе заявки требуемые Документацией о закупке подтверждающие сведения и (или) документы;</w:t>
      </w:r>
    </w:p>
    <w:p>
      <w:pPr>
        <w:pStyle w:val="Style18"/>
        <w:spacing w:before="0" w:after="0"/>
        <w:rPr/>
      </w:pPr>
      <w:r>
        <w:rPr/>
        <w:t>в соответствии с реестровой записью из реестра российской промышленной продукции количество указанных баллов за выполнение (освоение) на территории Российской Федерации соответствующих операций (условий) составляет меньшее значение по отношению к количеству баллов, определенных ПП 719 (в случае, если для такого товара ПП 719 установлены требования о совокупном количестве баллов).</w:t>
      </w:r>
    </w:p>
    <w:p>
      <w:pPr>
        <w:pStyle w:val="Style17"/>
        <w:spacing w:before="12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запрета закупки иностранной продукции (в отношении позиции № 146 приложения № 1 к ПП 1875), то заявка, содержащая предложение о поставке российского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 приравнивается к заявке, содержащей предложение о поставке программного обеспечения, происходящего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w:t>
      </w:r>
    </w:p>
    <w:p>
      <w:pPr>
        <w:pStyle w:val="Style17"/>
        <w:spacing w:before="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ограничения закупки иностранной продукции (в отношении позиций №№ 195, 197 – 199, 203 приложения № 2 к ПП 1875), то заявка, содержащая предложение о поставке российской радиоэлектронной продукции, но не являющейся в соответствии с ПП 719 радиоэлектронной продукцией первого уровня, приравнивается к заявке, содержащей предложение о поставке радиоэлектронной продукции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радиоэлектронной продукции российского происхождения, являющейся в соответствии с ПП 719 радиоэлектронной продукцией первого уровня.</w:t>
      </w:r>
    </w:p>
    <w:p>
      <w:pPr>
        <w:pStyle w:val="Style17"/>
        <w:spacing w:before="0" w:after="0"/>
        <w:rPr/>
      </w:pPr>
      <w:r>
        <w:rPr/>
        <w:t>Если Договор был заключен по результатам закупки, в которой был установлен режим запрета закупки иностранных товаров, выполнения работ и (или) оказания услуг иностранным лицом,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 установлен запрет;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pPr>
        <w:pStyle w:val="Style17"/>
        <w:spacing w:before="0" w:after="0"/>
        <w:rPr/>
      </w:pPr>
      <w:r>
        <w:rPr/>
        <w:t>Если Договор был заключен по результатам закупки, в которой был установлен режим ограничения закупки иностранных товаров,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ограничение, если Договор предусматривает поставку товара российского происхождения.</w:t>
      </w:r>
    </w:p>
    <w:p>
      <w:pPr>
        <w:pStyle w:val="Style17"/>
        <w:spacing w:before="0" w:after="0"/>
        <w:rPr/>
      </w:pPr>
      <w:bookmarkStart w:id="165" w:name="_Hlk207817767"/>
      <w:r>
        <w:rPr/>
        <w:t>Если Договор был заключен по результатам закупки, в которой был установлен режим преимущество в отношении товара российского происхождения,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преимущество, если Договор предусматривает поставку товара российского происхождения</w:t>
      </w:r>
      <w:bookmarkEnd w:id="165"/>
      <w:r>
        <w:rPr/>
        <w:t>.</w:t>
      </w:r>
    </w:p>
    <w:p>
      <w:pPr>
        <w:pStyle w:val="Style16"/>
        <w:spacing w:before="360" w:after="0"/>
        <w:rPr/>
      </w:pPr>
      <w:bookmarkStart w:id="166" w:name="_Ref125366091"/>
      <w:bookmarkStart w:id="167" w:name="_Ref125362658"/>
      <w:bookmarkStart w:id="168" w:name="_Ref125367242"/>
      <w:bookmarkStart w:id="169" w:name="_Toc228876869"/>
      <w:r>
        <w:rPr/>
        <w:t>Подведение итогов закупки (определение Победителя)</w:t>
      </w:r>
      <w:bookmarkEnd w:id="166"/>
      <w:bookmarkEnd w:id="167"/>
      <w:bookmarkEnd w:id="168"/>
      <w:bookmarkEnd w:id="169"/>
    </w:p>
    <w:p>
      <w:pPr>
        <w:pStyle w:val="Style17"/>
        <w:spacing w:before="120" w:after="0"/>
        <w:rPr/>
      </w:pPr>
      <w:r>
        <w:rPr/>
        <w:t>Дата окончания срока подведения итогов закупки указана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данный срок, официально разместив информацию об этом.</w:t>
      </w:r>
    </w:p>
    <w:p>
      <w:pPr>
        <w:pStyle w:val="Style17"/>
        <w:spacing w:before="0" w:after="0"/>
        <w:rPr/>
      </w:pPr>
      <w:r>
        <w:rPr/>
        <w:t>На основании полученных результатов оценки и сопоставления заявок Организатор подводит итоги закупки. Победителем закупки признается Участник, заявка которого заняла 1 (первое) место в ранжировке заявок по итогам рассмотрения, оценки и сопоставления заявок.</w:t>
      </w:r>
    </w:p>
    <w:p>
      <w:pPr>
        <w:pStyle w:val="Style17"/>
        <w:spacing w:before="0" w:after="0"/>
        <w:rPr/>
      </w:pPr>
      <w:r>
        <w:rPr/>
        <w:t>Если к моменту подведения итогов закупки с выбором в качестве Победителя ранее аккредитованного Участника прошло более 6 (шести) календарных месяцев с даты присвоения ему статуса «аккредитован» / «аккредитация не требуется», перед окончательным определением Победителя проводится процедура актуализации статуса аккредитации данного Участника. Если по результатам такой проверки Участнику присвоен статус «не аккредитован», его заявка отклоняется, а Закупочная комиссия имеет право выбрать в качестве Победителя иного Участника, занявшего следующее после него место в ранжировке заявок, из числа остальных действующих заявок (при наличии у него актуального статуса аккредитации).</w:t>
      </w:r>
    </w:p>
    <w:p>
      <w:pPr>
        <w:pStyle w:val="Style17"/>
        <w:keepNext w:val="true"/>
        <w:spacing w:before="0" w:after="0"/>
        <w:rPr/>
      </w:pPr>
      <w:bookmarkStart w:id="170" w:name="_Ref125365974"/>
      <w:r>
        <w:rPr/>
        <w:t>Решение Закупочной комиссии по определению Победителя оформляется итоговым протоколом по результатам закупки, в котором, как минимум, указываются</w:t>
      </w:r>
      <w:r>
        <w:rPr>
          <w:rStyle w:val="FootnoteReference"/>
        </w:rPr>
        <w:footnoteReference w:id="9"/>
      </w:r>
      <w:r>
        <w:rPr/>
        <w:t>:</w:t>
      </w:r>
      <w:bookmarkEnd w:id="170"/>
    </w:p>
    <w:p>
      <w:pPr>
        <w:pStyle w:val="Style18"/>
        <w:spacing w:before="120" w:after="0"/>
        <w:rPr/>
      </w:pPr>
      <w:r>
        <w:rPr/>
        <w:t>дата подписания протокола;</w:t>
      </w:r>
    </w:p>
    <w:p>
      <w:pPr>
        <w:pStyle w:val="Style18"/>
        <w:spacing w:before="0" w:after="0"/>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18"/>
        <w:spacing w:before="0" w:after="0"/>
        <w:rPr/>
      </w:pPr>
      <w:r>
        <w:rPr/>
        <w:t>наименования Участников, заявки которых были допущены по результатам рассмотрения вторых частей заявок и ценовых предложений, и (или) их идентификационные номера, присваиваемые Оператором ЭП;</w:t>
      </w:r>
    </w:p>
    <w:p>
      <w:pPr>
        <w:pStyle w:val="Style18"/>
        <w:keepNext w:val="true"/>
        <w:spacing w:before="0" w:after="0"/>
        <w:rPr/>
      </w:pPr>
      <w:r>
        <w:rPr/>
        <w:t>результаты рассмотрения заявок с указанием (в том числе с учетом результатов рассмотрения дополнительных ценовых предложений – если проводилась переторжка), в том числе:</w:t>
      </w:r>
    </w:p>
    <w:p>
      <w:pPr>
        <w:pStyle w:val="Style19"/>
        <w:spacing w:before="120" w:after="0"/>
        <w:rPr/>
      </w:pPr>
      <w:r>
        <w:rPr/>
        <w:t>количества заявок, которые были отклонены (отдельно по результатам рассмотрения первых частей заявок / окончательных предложений, по результатам рассмотрения вторых частей заявок и ценовых предложений и по результатам рассмотрения дополнительных ценовых предложений – если проводилась переторжка);</w:t>
      </w:r>
    </w:p>
    <w:p>
      <w:pPr>
        <w:pStyle w:val="Style19"/>
        <w:spacing w:before="0" w:after="0"/>
        <w:rPr/>
      </w:pPr>
      <w:r>
        <w:rPr/>
        <w:t>оснований отклонения каждой заявки с указанием положений Документации о закупке, которым не соответствует такая заявка;</w:t>
      </w:r>
    </w:p>
    <w:p>
      <w:pPr>
        <w:pStyle w:val="Style18"/>
        <w:spacing w:before="120" w:after="0"/>
        <w:rPr/>
      </w:pPr>
      <w:r>
        <w:rPr/>
        <w:t>результаты дополнительного рассмотрения заявок (при возникновении оснований для отклонения заявок по результатам проведения актуализации статуса аккредитации, если такая процедура проводились) с указанием, в том числе:</w:t>
      </w:r>
    </w:p>
    <w:p>
      <w:pPr>
        <w:pStyle w:val="Style19"/>
        <w:spacing w:before="120" w:after="0"/>
        <w:rPr/>
      </w:pPr>
      <w:r>
        <w:rPr/>
        <w:t>количества заявок, которые были отклонены;</w:t>
      </w:r>
    </w:p>
    <w:p>
      <w:pPr>
        <w:pStyle w:val="Style19"/>
        <w:spacing w:before="0" w:after="0"/>
        <w:rPr/>
      </w:pPr>
      <w:r>
        <w:rPr/>
        <w:t>оснований отклонения каждой заявки с указанием положений Документации о закупке, которым не соответствует такая заявка;</w:t>
      </w:r>
    </w:p>
    <w:p>
      <w:pPr>
        <w:pStyle w:val="Style18"/>
        <w:spacing w:before="120" w:after="0"/>
        <w:rPr/>
      </w:pPr>
      <w:r>
        <w:rPr/>
        <w:t>результаты оценки и сопоставления заявок с указанием, в том числе значения (в баллах), присвоенного каждой заявке по каждому из предусмотренных критериев оценки, установленных в Документации о закупке;</w:t>
      </w:r>
    </w:p>
    <w:p>
      <w:pPr>
        <w:pStyle w:val="Style18"/>
        <w:spacing w:before="0" w:after="0"/>
        <w:rPr/>
      </w:pPr>
      <w:r>
        <w:rPr/>
        <w:t>порядковые номера каждой заявки (с указанием стоимостей заявок (цен Договоров), не отклоненной по результатам рассмотрения вторых частей заявок и ценовых предложений (рассмотрения дополнительных ценовых предложений – если проводилась переторжка), в том числе с учетом результатов актуализации статуса аккредитации и проведения переторжки (если указанная процедура проводились), в ранжировке заявок;</w:t>
      </w:r>
    </w:p>
    <w:p>
      <w:pPr>
        <w:pStyle w:val="Style18"/>
        <w:spacing w:before="0" w:after="0"/>
        <w:rPr/>
      </w:pPr>
      <w:r>
        <w:rPr/>
        <w:t>наименование Победителя закупки или Единственного участника несостоявшейся закупки, с которым планируется заключить Договор;</w:t>
      </w:r>
    </w:p>
    <w:p>
      <w:pPr>
        <w:pStyle w:val="Style18"/>
        <w:spacing w:before="0" w:after="0"/>
        <w:rPr/>
      </w:pPr>
      <w:r>
        <w:rPr/>
        <w:t>причины, по которым закупка признана несостоявшейся (в случае ее признания таковой),</w:t>
      </w:r>
    </w:p>
    <w:p>
      <w:pPr>
        <w:pStyle w:val="Style21"/>
        <w:ind w:hanging="0" w:left="1134" w:right="0"/>
        <w:rPr/>
      </w:pPr>
      <w:r>
        <w:rPr/>
        <w:t>после чего Организатор официально размещает его в течение 3 (трех) календарных дней с даты подписания такого протокола.</w:t>
      </w:r>
    </w:p>
    <w:p>
      <w:pPr>
        <w:pStyle w:val="Style17"/>
        <w:spacing w:before="120" w:after="0"/>
        <w:rPr/>
      </w:pPr>
      <w:r>
        <w:rPr/>
        <w:t>Победитель дополнительно уведомляется о результатах проводимой закупки с использованием ЭП – уведомление направляется Оператором ЭП согласно Регламенту ЭП.</w:t>
      </w:r>
    </w:p>
    <w:p>
      <w:pPr>
        <w:pStyle w:val="Style17"/>
        <w:spacing w:before="0" w:after="0"/>
        <w:rPr/>
      </w:pPr>
      <w:r>
        <w:rPr/>
        <w:t>Если между официальным размещением итогового протокола по результатам закупки и подписанием Договора изменится Победитель (например, вследствие уклонения Победителя или потери им статуса), информация о новом Победителе официально размещается Организатором в том же порядке.</w:t>
      </w:r>
    </w:p>
    <w:p>
      <w:pPr>
        <w:pStyle w:val="Style17"/>
        <w:spacing w:before="0" w:after="0"/>
        <w:rPr/>
      </w:pPr>
      <w:bookmarkStart w:id="171" w:name="_Hlk149314796"/>
      <w:r>
        <w:rPr/>
        <w:t>Любой Участник после официального размещения итогового протокола по результатам закупки вправе направить Организатору запрос о разъяснении результатов рассмотрения и (или) оценки и сопоставления своей заявки в порядке, аналогичном порядку направления запросов на разъяснение Документации о закупке (подраздел </w:t>
      </w:r>
      <w:r>
        <w:rPr/>
        <w:fldChar w:fldCharType="begin"/>
      </w:r>
      <w:r>
        <w:rPr/>
        <w:instrText xml:space="preserve"> REF _Ref130394205 \r \h </w:instrText>
      </w:r>
      <w:r>
        <w:rPr/>
        <w:fldChar w:fldCharType="separate"/>
      </w:r>
      <w:r>
        <w:rPr/>
        <w:t>4.4</w:t>
      </w:r>
      <w:r>
        <w:rPr/>
        <w:fldChar w:fldCharType="end"/>
      </w:r>
      <w:r>
        <w:rPr/>
        <w:t>). Организатор в течение 10 (десяти) рабочих дней со дня поступления такого запроса обязан предоставить такому Участнику соответствующие разъяснения. При этом в отношении иных Участников разъяснения не предоставляются.</w:t>
      </w:r>
      <w:bookmarkEnd w:id="171"/>
    </w:p>
    <w:p>
      <w:pPr>
        <w:pStyle w:val="Style16"/>
        <w:spacing w:before="360" w:after="0"/>
        <w:rPr/>
      </w:pPr>
      <w:bookmarkStart w:id="172" w:name="_Ref125365570"/>
      <w:bookmarkStart w:id="173" w:name="_Ref125366631"/>
      <w:bookmarkStart w:id="174" w:name="_Ref125366796"/>
      <w:bookmarkStart w:id="175" w:name="_Toc228876870"/>
      <w:bookmarkStart w:id="176" w:name="_Ref125364149"/>
      <w:bookmarkStart w:id="177" w:name="_Ref125364187"/>
      <w:bookmarkStart w:id="178" w:name="_Ref125365305"/>
      <w:r>
        <w:rPr/>
        <w:t>Признание закупки несостоявшейся</w:t>
      </w:r>
      <w:bookmarkEnd w:id="172"/>
      <w:bookmarkEnd w:id="173"/>
      <w:bookmarkEnd w:id="174"/>
      <w:bookmarkEnd w:id="175"/>
      <w:bookmarkEnd w:id="176"/>
      <w:bookmarkEnd w:id="177"/>
      <w:bookmarkEnd w:id="178"/>
    </w:p>
    <w:p>
      <w:pPr>
        <w:pStyle w:val="Style17"/>
        <w:keepNext w:val="true"/>
        <w:spacing w:before="120" w:after="0"/>
        <w:rPr/>
      </w:pPr>
      <w:bookmarkStart w:id="179" w:name="_Ref214289498"/>
      <w:r>
        <w:rPr/>
        <w:t>Закупка признается несостоявшейся в следующих случаях:</w:t>
      </w:r>
      <w:bookmarkEnd w:id="179"/>
    </w:p>
    <w:p>
      <w:pPr>
        <w:pStyle w:val="Style18"/>
        <w:spacing w:before="120" w:after="0"/>
        <w:rPr/>
      </w:pPr>
      <w:r>
        <w:rPr/>
        <w:t>если по окончанию срока подачи заявок поступило менее 2 (двух) заявок (с учетом возможных отзывов заявок);</w:t>
      </w:r>
    </w:p>
    <w:p>
      <w:pPr>
        <w:pStyle w:val="Style18"/>
        <w:spacing w:before="0" w:after="0"/>
        <w:rPr/>
      </w:pPr>
      <w:r>
        <w:rPr/>
        <w:t>по результатам рассмотрения первых частей заявок / окончательных предложений Закупочной комиссией принято решение о признании менее 2 (двух) заявок соответствующими требованиям Документации о закупки;</w:t>
      </w:r>
    </w:p>
    <w:p>
      <w:pPr>
        <w:pStyle w:val="Style18"/>
        <w:spacing w:before="0" w:after="0"/>
        <w:rPr/>
      </w:pPr>
      <w:r>
        <w:rPr/>
        <w:t>по результатам рассмотрения вторых частей заявок и ценовых предложений Закупочной комиссией принято решение о признании менее 2 (двух) заявок соответствующими требованиям Документации о закупки;</w:t>
      </w:r>
    </w:p>
    <w:p>
      <w:pPr>
        <w:pStyle w:val="Style18"/>
        <w:spacing w:before="0" w:after="0"/>
        <w:rPr/>
      </w:pPr>
      <w:r>
        <w:rPr/>
        <w:t>по результатам рассмотрения дополнительных ценовых предложений – если проводилась процедура переторжки, Закупочной комиссией принято решение о признании менее 2 (двух) заявок соответствующими требованиям Документации о закупки;</w:t>
      </w:r>
    </w:p>
    <w:p>
      <w:pPr>
        <w:pStyle w:val="Style18"/>
        <w:spacing w:before="0" w:after="0"/>
        <w:rPr/>
      </w:pPr>
      <w:bookmarkStart w:id="180" w:name="_Hlk219297033"/>
      <w:r>
        <w:rPr/>
        <w:t xml:space="preserve">по результатам проведения закупки от заключения договора уклонились все допущенные Участники (подраздел </w:t>
      </w:r>
      <w:r>
        <w:rPr/>
        <w:fldChar w:fldCharType="begin"/>
      </w:r>
      <w:r>
        <w:rPr/>
        <w:instrText xml:space="preserve"> REF _Ref125367068 \r \h </w:instrText>
      </w:r>
      <w:r>
        <w:rPr/>
        <w:fldChar w:fldCharType="separate"/>
      </w:r>
      <w:r>
        <w:rPr/>
        <w:t>5.3</w:t>
      </w:r>
      <w:r>
        <w:rPr/>
        <w:fldChar w:fldCharType="end"/>
      </w:r>
      <w:bookmarkEnd w:id="180"/>
      <w:r>
        <w:rPr/>
        <w:t>).</w:t>
      </w:r>
    </w:p>
    <w:p>
      <w:pPr>
        <w:pStyle w:val="Style17"/>
        <w:spacing w:before="120" w:after="0"/>
        <w:rPr/>
      </w:pPr>
      <w:r>
        <w:rPr/>
        <w:t>Указанные обстоятельства в случае их наступления фиксируются в соответствующем протоколе, оформляемом по результатам проведения закупки (или ее этапа).</w:t>
      </w:r>
    </w:p>
    <w:p>
      <w:pPr>
        <w:pStyle w:val="Style17"/>
        <w:keepNext w:val="true"/>
        <w:spacing w:before="0" w:after="0"/>
        <w:rPr/>
      </w:pPr>
      <w:r>
        <w:rPr/>
        <w:t>В случае признания закупки несостоявшейся (с учетом условий, предусмотренных Положением о закупке):</w:t>
      </w:r>
    </w:p>
    <w:p>
      <w:pPr>
        <w:pStyle w:val="Style18"/>
        <w:rPr/>
      </w:pPr>
      <w:r>
        <w:rPr/>
        <w:t xml:space="preserve">если поступила только 1 (одна) заявка от одного Участника (с учетом отозванных Участниками заявок), либо по результатам рассмотрения заявок (частей заявок, ценовых предложений, дополнительных ценовых предложений в соответствии с пунктом </w:t>
      </w:r>
      <w:r>
        <w:rPr/>
        <w:fldChar w:fldCharType="begin"/>
      </w:r>
      <w:r>
        <w:rPr/>
        <w:instrText xml:space="preserve"> REF _Ref214289498 \r \h </w:instrText>
      </w:r>
      <w:r>
        <w:rPr/>
        <w:fldChar w:fldCharType="separate"/>
      </w:r>
      <w:r>
        <w:rPr/>
        <w:t>4.16.1</w:t>
      </w:r>
      <w:r>
        <w:rPr/>
        <w:fldChar w:fldCharType="end"/>
      </w:r>
      <w:r>
        <w:rPr/>
        <w:t>) принято решение о признании только 1 (одной) заявки соответствующей требованиям Документации о закупке – Заказчик заключает договор с Единственным участником несостоявшейся закупки (раздел </w:t>
      </w:r>
      <w:r>
        <w:rPr/>
        <w:fldChar w:fldCharType="begin"/>
      </w:r>
      <w:r>
        <w:rPr/>
        <w:instrText xml:space="preserve"> REF _Ref126142429 \r \h </w:instrText>
      </w:r>
      <w:r>
        <w:rPr/>
        <w:fldChar w:fldCharType="separate"/>
      </w:r>
      <w:r>
        <w:rPr/>
        <w:t>5</w:t>
      </w:r>
      <w:r>
        <w:rPr/>
        <w:fldChar w:fldCharType="end"/>
      </w:r>
      <w:r>
        <w:rPr/>
        <w:t>) (при наличии экономической целесообразности и/или при условии отсутствия времени на повторное проведение закупки).</w:t>
      </w:r>
    </w:p>
    <w:p>
      <w:pPr>
        <w:pStyle w:val="Style28"/>
        <w:numPr>
          <w:ilvl w:val="0"/>
          <w:numId w:val="0"/>
        </w:numPr>
        <w:ind w:hanging="0" w:left="1701" w:right="0"/>
        <w:rPr>
          <w:sz w:val="26"/>
          <w:szCs w:val="26"/>
        </w:rPr>
      </w:pPr>
      <w:r>
        <w:rPr>
          <w:sz w:val="26"/>
          <w:szCs w:val="26"/>
        </w:rPr>
        <w:t>В случае отсутствия экономической целесообразности и/или при наличии времени на повторное проведение закупки, Заказчик принимает одно из следующих решений в порядке приоритета:</w:t>
      </w:r>
    </w:p>
    <w:p>
      <w:pPr>
        <w:pStyle w:val="-1"/>
        <w:numPr>
          <w:ilvl w:val="0"/>
          <w:numId w:val="17"/>
        </w:numPr>
        <w:tabs>
          <w:tab w:val="clear" w:pos="2552"/>
        </w:tabs>
        <w:spacing w:before="0" w:after="0"/>
        <w:ind w:hanging="426" w:left="2127" w:right="0"/>
        <w:rPr>
          <w:sz w:val="26"/>
          <w:szCs w:val="26"/>
        </w:rPr>
      </w:pPr>
      <w:r>
        <w:rPr>
          <w:sz w:val="26"/>
          <w:szCs w:val="26"/>
        </w:rPr>
        <w:t>повторное проведение закупки (в том числе с возможностью снятия признака закупки только среди субъектов МСП);</w:t>
      </w:r>
    </w:p>
    <w:p>
      <w:pPr>
        <w:pStyle w:val="-1"/>
        <w:numPr>
          <w:ilvl w:val="0"/>
          <w:numId w:val="17"/>
        </w:numPr>
        <w:tabs>
          <w:tab w:val="clear" w:pos="2552"/>
        </w:tabs>
        <w:spacing w:before="0" w:after="0"/>
        <w:ind w:hanging="0" w:left="1701" w:right="0"/>
        <w:rPr>
          <w:sz w:val="26"/>
          <w:szCs w:val="26"/>
        </w:rPr>
      </w:pPr>
      <w:r>
        <w:rPr>
          <w:sz w:val="26"/>
          <w:szCs w:val="26"/>
        </w:rPr>
        <w:t>отказ от заключения договора по следующим основаниям:</w:t>
      </w:r>
    </w:p>
    <w:p>
      <w:pPr>
        <w:pStyle w:val="-1"/>
        <w:numPr>
          <w:ilvl w:val="0"/>
          <w:numId w:val="18"/>
        </w:numPr>
        <w:tabs>
          <w:tab w:val="clear" w:pos="2552"/>
        </w:tabs>
        <w:spacing w:before="0" w:after="0"/>
        <w:ind w:hanging="283" w:left="2410" w:right="0"/>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8"/>
        </w:numPr>
        <w:tabs>
          <w:tab w:val="clear" w:pos="2552"/>
        </w:tabs>
        <w:spacing w:before="0" w:after="0"/>
        <w:ind w:hanging="283" w:left="2410" w:right="0"/>
        <w:rPr>
          <w:sz w:val="26"/>
          <w:szCs w:val="26"/>
        </w:rPr>
      </w:pPr>
      <w:r>
        <w:rPr>
          <w:sz w:val="26"/>
          <w:szCs w:val="26"/>
        </w:rPr>
        <w:t>изменение потребности в продукции, в том числе изменение характеристик продукции, при наличии утверждения таких изменений;</w:t>
      </w:r>
    </w:p>
    <w:p>
      <w:pPr>
        <w:pStyle w:val="-1"/>
        <w:numPr>
          <w:ilvl w:val="0"/>
          <w:numId w:val="18"/>
        </w:numPr>
        <w:tabs>
          <w:tab w:val="clear" w:pos="2552"/>
        </w:tabs>
        <w:spacing w:before="0" w:after="0"/>
        <w:ind w:hanging="283" w:left="2410" w:right="0"/>
        <w:rPr>
          <w:sz w:val="26"/>
          <w:szCs w:val="26"/>
        </w:rPr>
      </w:pPr>
      <w:r>
        <w:rPr>
          <w:sz w:val="26"/>
          <w:szCs w:val="26"/>
        </w:rPr>
        <w:t>необходимость исполнения предписаний антимонопольного органа;</w:t>
      </w:r>
    </w:p>
    <w:p>
      <w:pPr>
        <w:pStyle w:val="-1"/>
        <w:numPr>
          <w:ilvl w:val="0"/>
          <w:numId w:val="17"/>
        </w:numPr>
        <w:tabs>
          <w:tab w:val="clear" w:pos="2552"/>
        </w:tabs>
        <w:ind w:hanging="426" w:left="2127" w:right="0"/>
        <w:rPr>
          <w:sz w:val="26"/>
          <w:szCs w:val="26"/>
        </w:rPr>
      </w:pPr>
      <w:bookmarkStart w:id="181" w:name="_Hlk214281841"/>
      <w:r>
        <w:rPr>
          <w:sz w:val="26"/>
          <w:szCs w:val="26"/>
        </w:rPr>
        <w:t>отказ от дополнительного повторного проведения закупки (при отсутствии заявок, соответствующих установленным требованиям, по результатам повторного проведения закупки);</w:t>
      </w:r>
      <w:bookmarkEnd w:id="181"/>
    </w:p>
    <w:p>
      <w:pPr>
        <w:pStyle w:val="Style18"/>
        <w:rPr/>
      </w:pPr>
      <w:r>
        <w:rPr/>
        <w:t xml:space="preserve">если не поступило ни одной заявки, либо по результатам рассмотрения заявок (частей заявок, ценовых предложений, дополнительных ценовых предложений в соответствии с пунктом </w:t>
      </w:r>
      <w:r>
        <w:rPr/>
        <w:fldChar w:fldCharType="begin"/>
      </w:r>
      <w:r>
        <w:rPr/>
        <w:instrText xml:space="preserve"> REF _Ref214289498 \r \h </w:instrText>
      </w:r>
      <w:r>
        <w:rPr/>
        <w:fldChar w:fldCharType="separate"/>
      </w:r>
      <w:r>
        <w:rPr/>
        <w:t>4.16.1</w:t>
      </w:r>
      <w:r>
        <w:rPr/>
        <w:fldChar w:fldCharType="end"/>
      </w:r>
      <w:r>
        <w:rPr/>
        <w:t xml:space="preserve">), принято решение о признании их не соответствующими требованиям Документации о закупке, </w:t>
      </w:r>
      <w:bookmarkStart w:id="182" w:name="_Hlk219301655"/>
      <w:bookmarkStart w:id="183" w:name="_Hlk219297054"/>
      <w:r>
        <w:rPr/>
        <w:t>либо по результатам проведения закупки от заключения договора уклонились все допущенные Участники</w:t>
      </w:r>
      <w:bookmarkEnd w:id="183"/>
      <w:r>
        <w:rPr/>
        <w:t xml:space="preserve"> </w:t>
      </w:r>
      <w:bookmarkEnd w:id="182"/>
      <w:r>
        <w:rPr/>
        <w:t>– Заказчик проводит повторную закупку (</w:t>
      </w:r>
      <w:r>
        <w:rPr>
          <w:szCs w:val="26"/>
        </w:rPr>
        <w:t>в том числе с возможностью снятия признака закупки только среди субъектов МСП</w:t>
      </w:r>
      <w:r>
        <w:rPr/>
        <w:t>).</w:t>
      </w:r>
    </w:p>
    <w:p>
      <w:pPr>
        <w:pStyle w:val="Style28"/>
        <w:numPr>
          <w:ilvl w:val="0"/>
          <w:numId w:val="0"/>
        </w:numPr>
        <w:ind w:hanging="0" w:left="1701" w:right="0"/>
        <w:rPr>
          <w:sz w:val="26"/>
          <w:szCs w:val="26"/>
        </w:rPr>
      </w:pPr>
      <w:r>
        <w:rPr>
          <w:sz w:val="26"/>
          <w:szCs w:val="26"/>
        </w:rPr>
        <w:t>Заказчик вправе отказаться от проведения повторной закупки по следующим основаниям:</w:t>
      </w:r>
    </w:p>
    <w:p>
      <w:pPr>
        <w:pStyle w:val="-1"/>
        <w:numPr>
          <w:ilvl w:val="0"/>
          <w:numId w:val="18"/>
        </w:numPr>
        <w:tabs>
          <w:tab w:val="clear" w:pos="2552"/>
        </w:tabs>
        <w:spacing w:before="0" w:after="0"/>
        <w:ind w:hanging="426" w:left="2127" w:right="0"/>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8"/>
        </w:numPr>
        <w:tabs>
          <w:tab w:val="clear" w:pos="2552"/>
        </w:tabs>
        <w:spacing w:before="0" w:after="0"/>
        <w:ind w:hanging="426" w:left="2127" w:right="0"/>
        <w:rPr>
          <w:sz w:val="26"/>
          <w:szCs w:val="26"/>
        </w:rPr>
      </w:pPr>
      <w:r>
        <w:rPr>
          <w:sz w:val="26"/>
          <w:szCs w:val="26"/>
        </w:rPr>
        <w:t>изменение потребности в продукции, в том числе изменение характеристик продукции;</w:t>
      </w:r>
    </w:p>
    <w:p>
      <w:pPr>
        <w:pStyle w:val="-1"/>
        <w:numPr>
          <w:ilvl w:val="0"/>
          <w:numId w:val="18"/>
        </w:numPr>
        <w:tabs>
          <w:tab w:val="clear" w:pos="2552"/>
        </w:tabs>
        <w:spacing w:before="0" w:after="0"/>
        <w:ind w:hanging="426" w:left="2127" w:right="0"/>
        <w:rPr>
          <w:sz w:val="26"/>
          <w:szCs w:val="26"/>
        </w:rPr>
      </w:pPr>
      <w:r>
        <w:rPr>
          <w:sz w:val="26"/>
          <w:szCs w:val="26"/>
        </w:rPr>
        <w:t>при отсутствии заявок, соответствующих установленным требованиям, по результатам повторного проведения закупки.</w:t>
      </w:r>
    </w:p>
    <w:p>
      <w:pPr>
        <w:pStyle w:val="Style16"/>
        <w:spacing w:before="360" w:after="0"/>
        <w:rPr/>
      </w:pPr>
      <w:bookmarkStart w:id="184" w:name="_Ref132816134"/>
      <w:bookmarkStart w:id="185" w:name="_Ref132816141"/>
      <w:bookmarkStart w:id="186" w:name="_Toc228876871"/>
      <w:bookmarkStart w:id="187" w:name="_Ref126141962"/>
      <w:r>
        <w:rPr/>
        <w:t>Отказ от проведения закупки</w:t>
      </w:r>
      <w:bookmarkEnd w:id="187"/>
      <w:r>
        <w:rPr/>
        <w:t xml:space="preserve"> (отмена закупки)</w:t>
      </w:r>
      <w:bookmarkEnd w:id="184"/>
      <w:bookmarkEnd w:id="185"/>
      <w:bookmarkEnd w:id="186"/>
    </w:p>
    <w:p>
      <w:pPr>
        <w:pStyle w:val="Style17"/>
        <w:spacing w:before="120" w:after="0"/>
        <w:rPr/>
      </w:pPr>
      <w:r>
        <w:rPr/>
        <w:t>Организатор имеет право отказаться от проведения закупки не позднее окончания срока подачи заявок, не неся никакой ответственности перед Участниками или третьими лицами, которым такое действие может принести убытки.</w:t>
      </w:r>
    </w:p>
    <w:p>
      <w:pPr>
        <w:pStyle w:val="Style17"/>
        <w:spacing w:before="0" w:after="0"/>
        <w:rPr/>
      </w:pPr>
      <w:r>
        <w:rPr/>
        <w:t>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w:t>
      </w:r>
    </w:p>
    <w:p>
      <w:pPr>
        <w:pStyle w:val="Style17"/>
        <w:spacing w:before="0" w:after="0"/>
        <w:rPr/>
      </w:pPr>
      <w:r>
        <w:rPr/>
        <w:t>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 гражданским законодательством.</w:t>
      </w:r>
    </w:p>
    <w:p>
      <w:pPr>
        <w:pStyle w:val="Style16"/>
        <w:spacing w:before="360" w:after="0"/>
        <w:rPr/>
      </w:pPr>
      <w:bookmarkStart w:id="188" w:name="_Ref130455226"/>
      <w:bookmarkStart w:id="189" w:name="_Toc228876872"/>
      <w:r>
        <w:rPr/>
        <w:t>Особенности проведения закупки с необходимостью обеспечения заявки</w:t>
      </w:r>
      <w:bookmarkEnd w:id="188"/>
      <w:bookmarkEnd w:id="189"/>
    </w:p>
    <w:p>
      <w:pPr>
        <w:pStyle w:val="Style17"/>
        <w:spacing w:before="120" w:after="0"/>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предусмотрена обязанность Участников предоставить обеспечение заявки на участие в закупке.</w:t>
      </w:r>
    </w:p>
    <w:p>
      <w:pPr>
        <w:pStyle w:val="Style17"/>
        <w:spacing w:before="0" w:after="0"/>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17"/>
        <w:spacing w:before="0" w:after="0"/>
        <w:rPr/>
      </w:pPr>
      <w:r>
        <w:rPr/>
        <w:t>Обязательства Участников, связанные с подачей заявок, обеспечиваются в форме, порядке и размере в соответствии с подразделом </w:t>
      </w:r>
      <w:r>
        <w:rPr/>
        <w:fldChar w:fldCharType="begin"/>
      </w:r>
      <w:r>
        <w:rPr/>
        <w:instrText xml:space="preserve"> REF _Ref125359973 \r \h </w:instrText>
      </w:r>
      <w:r>
        <w:rPr/>
        <w:fldChar w:fldCharType="separate"/>
      </w:r>
      <w:r>
        <w:rPr/>
        <w:t>1.2</w:t>
      </w:r>
      <w:r>
        <w:rPr/>
        <w:fldChar w:fldCharType="end"/>
      </w:r>
      <w:r>
        <w:rPr/>
        <w:t>. Выбор формы (способа) обеспечения из числа предусмотренных осуществляется Участниками самостоятельно.</w:t>
      </w:r>
    </w:p>
    <w:p>
      <w:pPr>
        <w:pStyle w:val="Style17"/>
        <w:spacing w:before="0" w:after="0"/>
        <w:rPr/>
      </w:pPr>
      <w:r>
        <w:rPr/>
        <w:t>В случае выбора Участником обеспечения заявки в виде денежных средств, такие денежные средства в требуемом размере должны быть внесены до момента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 и размещенный на официальном сайте Министерства финансов Российской Федерации</w:t>
      </w:r>
      <w:r>
        <w:rPr>
          <w:rStyle w:val="FootnoteReference"/>
        </w:rPr>
        <w:footnoteReference w:id="10"/>
      </w:r>
      <w:r>
        <w:rPr/>
        <w:t xml:space="preserve"> и на сайте ЭП, с использованием которой проводится настоящая закупка, при условии соответствия банка требованиям к финансовой устойчивости (в том числе в части собственных средств (капитала), активов, доходности, ликвидности, структуры собственности), устанавливаемым Правительством Российской Федерации, а также наличия соответствующего соглашения об интеграции и обмене информацией с Оператором ЭП.</w:t>
      </w:r>
    </w:p>
    <w:p>
      <w:pPr>
        <w:pStyle w:val="Style17"/>
        <w:spacing w:before="0" w:after="0"/>
        <w:rPr/>
      </w:pPr>
      <w:r>
        <w:rPr/>
        <w:t>В течение 1 (одного) часа с момента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Оператор ЭП направляет в банк, в котором Участником открыт специальный банковский счет, информацию о таком Участнике и размере денежных средств, необходимом для обеспечения заявки. Банк в течение 1 (одного) часа с момента получения указанной информации осуществляет блокирование при наличии на специальном банковском счете Участника незаблокированных денежных средств в размере обеспечения заявки и информирует об этом Оператора ЭП.</w:t>
      </w:r>
    </w:p>
    <w:p>
      <w:pPr>
        <w:pStyle w:val="Style17"/>
        <w:spacing w:before="0" w:after="0"/>
        <w:rPr/>
      </w:pPr>
      <w:r>
        <w:rPr/>
        <w:t>Блокирование денежных средств не осуществляется в случае отсутствия на специальном банковском счете Участника денежных средств в требуемом размере, либо в случае приостановления операций по такому счету в соответствии с законодательством, о чем Оператор ЭП информируется в течение 1 (одного) часа.</w:t>
      </w:r>
    </w:p>
    <w:p>
      <w:pPr>
        <w:pStyle w:val="Style17"/>
        <w:spacing w:before="0" w:after="0"/>
        <w:rPr/>
      </w:pPr>
      <w:r>
        <w:rPr/>
        <w:t>Если блокирование денежных средств не может быть осуществлено, Оператор ЭП возвращает заявку подавшему ее Участнику в течение 1 (одного) часа с момента получения соответствующей информации от банка. Такая заявка автоматически отклоняется Оператором ЭП от дальнейшего участия в закупке, а сведения о ней не направляются в адрес Организатора.</w:t>
      </w:r>
    </w:p>
    <w:p>
      <w:pPr>
        <w:pStyle w:val="Style17"/>
        <w:keepNext w:val="true"/>
        <w:spacing w:before="0" w:after="0"/>
        <w:rPr/>
      </w:pPr>
      <w:r>
        <w:rPr/>
        <w:t>В случае выбора Участником обеспечения заявки путем предоставления независимой гарантии, такая независимая гарантия составляется с учетом требований статей 368 – 379 ГК РФ, а также следующих условий:</w:t>
      </w:r>
    </w:p>
    <w:p>
      <w:pPr>
        <w:pStyle w:val="Style18"/>
        <w:spacing w:before="120" w:after="0"/>
        <w:rPr/>
      </w:pPr>
      <w:r>
        <w:rPr/>
        <w:t>независимая гарантия должна быть безотзывной и безусловной (гарантия по первому требованию);</w:t>
      </w:r>
    </w:p>
    <w:p>
      <w:pPr>
        <w:pStyle w:val="Style18"/>
        <w:spacing w:before="0" w:after="0"/>
        <w:rPr/>
      </w:pPr>
      <w:r>
        <w:rPr/>
        <w:t>сумма независимой гарантии должна быть выражена в российских рублях и составлять не менее суммы, установленной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18"/>
        <w:spacing w:before="0" w:after="0"/>
        <w:rPr/>
      </w:pPr>
      <w:r>
        <w:rPr/>
        <w:t>бенефициаром в независимой гарантии должен быть указан Заказчик, принципалом – Участник, гарантом – организация, выдавшая независимую гарантию (подпункт </w:t>
      </w:r>
      <w:r>
        <w:rPr/>
        <w:fldChar w:fldCharType="begin"/>
      </w:r>
      <w:r>
        <w:rPr/>
        <w:instrText xml:space="preserve"> REF _Ref132716380 \w \h </w:instrText>
      </w:r>
      <w:r>
        <w:rPr/>
        <w:fldChar w:fldCharType="separate"/>
      </w:r>
      <w:r>
        <w:rPr/>
        <w:t>4.18.8л)</w:t>
      </w:r>
      <w:r>
        <w:rPr/>
        <w:fldChar w:fldCharType="end"/>
      </w:r>
      <w:r>
        <w:rPr/>
        <w:t>);</w:t>
      </w:r>
    </w:p>
    <w:p>
      <w:pPr>
        <w:pStyle w:val="Style18"/>
        <w:spacing w:before="0" w:after="0"/>
        <w:rPr/>
      </w:pPr>
      <w:r>
        <w:rPr/>
        <w:t>в независимой гарантии должно быть предусмотрено 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ГК РФ оснований для отказа в удовлетворении этого требования;</w:t>
      </w:r>
    </w:p>
    <w:p>
      <w:pPr>
        <w:pStyle w:val="Style18"/>
        <w:spacing w:before="0" w:after="0"/>
        <w:rPr/>
      </w:pPr>
      <w:r>
        <w:rPr/>
        <w:t>в независимой гарантии должен быть указан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w:t>
      </w:r>
    </w:p>
    <w:p>
      <w:pPr>
        <w:pStyle w:val="Style18"/>
        <w:spacing w:before="0" w:after="0"/>
        <w:rPr/>
      </w:pPr>
      <w:r>
        <w:rPr/>
        <w:t>в независимой гарантии должен быть указан срок действия независимой гарантии, который не может составлять менее одного месяца с даты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w:t>
      </w:r>
    </w:p>
    <w:p>
      <w:pPr>
        <w:pStyle w:val="Style18"/>
        <w:spacing w:before="0" w:after="0"/>
        <w:rPr/>
      </w:pPr>
      <w:r>
        <w:rPr/>
        <w:t>независимая гарантия не должна содержать условие о предоставлении Заказчиком гаранту судебных актов, подтверждающих неисполнение Участником обязательств, обеспечиваемых независимой гарантией;</w:t>
      </w:r>
    </w:p>
    <w:p>
      <w:pPr>
        <w:pStyle w:val="Style18"/>
        <w:spacing w:before="0" w:after="0"/>
        <w:rPr/>
      </w:pPr>
      <w:r>
        <w:rPr/>
        <w:t>в независимой гарантии должно быть предусмотрено безусловное право Заказчика на истребование суммы независимой гарантии полностью или частично, в случае нарушения Участником закупки своих обязательств (пункт </w:t>
      </w:r>
      <w:r>
        <w:rPr/>
        <w:fldChar w:fldCharType="begin"/>
      </w:r>
      <w:r>
        <w:rPr/>
        <w:instrText xml:space="preserve"> REF _Ref132716182 \r \h </w:instrText>
      </w:r>
      <w:r>
        <w:rPr/>
        <w:fldChar w:fldCharType="separate"/>
      </w:r>
      <w:r>
        <w:rPr/>
        <w:t>4.18.14</w:t>
      </w:r>
      <w:r>
        <w:rPr/>
        <w:fldChar w:fldCharType="end"/>
      </w:r>
      <w:r>
        <w:rPr/>
        <w:t>);</w:t>
      </w:r>
    </w:p>
    <w:p>
      <w:pPr>
        <w:pStyle w:val="Style18"/>
        <w:spacing w:before="0" w:after="0"/>
        <w:rPr/>
      </w:pPr>
      <w:r>
        <w:rPr/>
        <w:t>независимая гарантия должна содержать условия, предусмотренные Законом 223-ФЗ, а также соответствовать дополнительным требованиям к независимой гарантии, используемой для целей проведения конкурентных закупок с участием субъектов МСП, устанавливаемым Правительством Российской Федерации;</w:t>
      </w:r>
    </w:p>
    <w:p>
      <w:pPr>
        <w:pStyle w:val="Style18"/>
        <w:spacing w:before="0" w:after="0"/>
        <w:rPr/>
      </w:pPr>
      <w:r>
        <w:rPr/>
        <w:t>в независимой гарантии не должно быть условий или требований, противоречащих вышеизложенному или делающих вышеизложенное неисполнимым;</w:t>
      </w:r>
    </w:p>
    <w:p>
      <w:pPr>
        <w:pStyle w:val="Style18"/>
        <w:spacing w:before="0" w:after="0"/>
        <w:rPr/>
      </w:pPr>
      <w:bookmarkStart w:id="190" w:name="_Ref132716380"/>
      <w:r>
        <w:rPr/>
        <w:t>независимая гарантия должна быть выдана организацией из числа указанных в части 1 статьи 45 Закона 44-ФЗ;</w:t>
      </w:r>
      <w:bookmarkEnd w:id="190"/>
    </w:p>
    <w:p>
      <w:pPr>
        <w:pStyle w:val="Style18"/>
        <w:spacing w:before="0" w:after="0"/>
        <w:rPr/>
      </w:pPr>
      <w:r>
        <w:rPr/>
        <w:t>независимая гарантия должна быть подчинена материальному праву Российской Федерации и регулироваться «Унифицированными правилами для гарантий по требованию, включая типовые формы (URDG 758) (Публикация Международной торговой палаты № 758). Редакция 2010 года» в той мере, в какой указанные правила не противоречат императивным нормам законодательства, а также предусматривать Арбитражный суд по месту нахождения Заказчика в качестве органа, компетентного разрешать споры из независимой гарантии;</w:t>
      </w:r>
    </w:p>
    <w:p>
      <w:pPr>
        <w:pStyle w:val="Style18"/>
        <w:spacing w:before="0" w:after="0"/>
        <w:rPr/>
      </w:pPr>
      <w:r>
        <w:rPr/>
        <w:t>информация о независимой гарантии должна быть включена в реестр независимых гарантий, предусмотренный частью 8 статьи </w:t>
      </w:r>
      <w:r>
        <w:rPr>
          <w:lang w:val="en-US"/>
        </w:rPr>
        <w:t>4</w:t>
      </w:r>
      <w:r>
        <w:rPr/>
        <w:t>5 Закона 44</w:t>
        <w:noBreakHyphen/>
        <w:t>ФЗ.</w:t>
      </w:r>
    </w:p>
    <w:p>
      <w:pPr>
        <w:pStyle w:val="Style17"/>
        <w:spacing w:before="120" w:after="0"/>
        <w:rPr/>
      </w:pPr>
      <w:r>
        <w:rPr/>
        <w:t>В случае выбора Участником обеспечения заявки путем предоставления независимой гарантии он должен предоставить в составе своей заявки копию такой гарантии, подтверждающую наличие обеспечения заявки в требуемом размере и соответствующую требованиям к условиям такой гарантии. В противном случае обеспечение заявки считается невнесенным, и Организатор обязан отклонить заявку такого Участника.</w:t>
      </w:r>
    </w:p>
    <w:p>
      <w:pPr>
        <w:pStyle w:val="Style17"/>
        <w:spacing w:before="0" w:after="0"/>
        <w:rPr/>
      </w:pPr>
      <w:r>
        <w:rPr/>
        <w:t>Несоответствие независимой гарантии, предоставленной Участником закупки, предусмотренным настоящей Документацией о закупке требованиям, является основанием для отклонения заявки такого Участника.</w:t>
      </w:r>
    </w:p>
    <w:p>
      <w:pPr>
        <w:pStyle w:val="Style17"/>
        <w:spacing w:before="0" w:after="0"/>
        <w:rPr/>
      </w:pPr>
      <w:r>
        <w:rPr/>
        <w:t>При многолотовой закупке (подраздел </w:t>
      </w:r>
      <w:r>
        <w:rPr/>
        <w:fldChar w:fldCharType="begin"/>
      </w:r>
      <w:r>
        <w:rPr/>
        <w:instrText xml:space="preserve"> REF _Ref149317133 \n \h </w:instrText>
      </w:r>
      <w:r>
        <w:rPr/>
        <w:fldChar w:fldCharType="separate"/>
      </w:r>
      <w:r>
        <w:rPr/>
        <w:t>4.19</w:t>
      </w:r>
      <w:r>
        <w:rPr/>
        <w:fldChar w:fldCharType="end"/>
      </w:r>
      <w:r>
        <w:rPr/>
        <w:t>) обеспечение исполнения обязательств Участника оформляется на сумму, равную суммарной стоимости обеспечения по всем лотам, на которые Участник подает заявку; также допускается внесение обеспечения отдельно по каждому из лотов. Удержание Организатором обеспечения может производиться только по тем лотам, на которые Участник подал заявку и по которым он был признан Победителем.</w:t>
      </w:r>
    </w:p>
    <w:p>
      <w:pPr>
        <w:pStyle w:val="Style17"/>
        <w:spacing w:before="0" w:after="0"/>
        <w:rPr/>
      </w:pPr>
      <w:r>
        <w:rPr/>
        <w:t>Подать заявку (принять участие в закупке) могут только Участники, предоставившие надлежащее обеспечение их заявок.</w:t>
      </w:r>
    </w:p>
    <w:p>
      <w:pPr>
        <w:pStyle w:val="Style17"/>
        <w:spacing w:before="0" w:after="0"/>
        <w:rPr/>
      </w:pPr>
      <w:r>
        <w:rPr/>
        <w:t>Требование об обеспечении заявки в равной мере распространяется на всех Участников.</w:t>
      </w:r>
    </w:p>
    <w:p>
      <w:pPr>
        <w:pStyle w:val="Style17"/>
        <w:keepNext w:val="true"/>
        <w:spacing w:before="0" w:after="0"/>
        <w:rPr/>
      </w:pPr>
      <w:bookmarkStart w:id="191" w:name="_Ref132716182"/>
      <w:r>
        <w:rPr/>
        <w:t>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w:t>
      </w:r>
      <w:bookmarkEnd w:id="191"/>
    </w:p>
    <w:p>
      <w:pPr>
        <w:pStyle w:val="Style18"/>
        <w:spacing w:before="120" w:after="0"/>
        <w:rPr/>
      </w:pPr>
      <w:r>
        <w:rPr/>
        <w:t>обязательство заключить Договор в установленном Документацией о закупке порядке (раздел </w:t>
      </w:r>
      <w:r>
        <w:rPr/>
        <w:fldChar w:fldCharType="begin"/>
      </w:r>
      <w:r>
        <w:rPr/>
        <w:instrText xml:space="preserve"> REF _Ref130224037 \r \h </w:instrText>
      </w:r>
      <w:r>
        <w:rPr/>
        <w:fldChar w:fldCharType="separate"/>
      </w:r>
      <w:r>
        <w:rPr/>
        <w:t>5</w:t>
      </w:r>
      <w:r>
        <w:rPr/>
        <w:fldChar w:fldCharType="end"/>
      </w:r>
      <w:r>
        <w:rPr/>
        <w:t>), в том числе предоставить Сведения о цепочке собственников, включая бенефициаров (в том числе конечных) (</w:t>
      </w:r>
      <w:hyperlink w:anchor="Прил05_ФормыПобедителя" w:tgtFrame="#Прил05_ФормыПобедителя">
        <w:r>
          <w:rPr>
            <w:rStyle w:val="Style6"/>
          </w:rPr>
          <w:t>Приложение № 5</w:t>
        </w:r>
      </w:hyperlink>
      <w:r>
        <w:rPr/>
        <w:t>), а также предоставить иные документы в соответствии с условиями подраздела </w:t>
      </w:r>
      <w:r>
        <w:rPr/>
        <w:fldChar w:fldCharType="begin"/>
      </w:r>
      <w:r>
        <w:rPr/>
        <w:instrText xml:space="preserve"> REF _Ref138341423 \r \h </w:instrText>
      </w:r>
      <w:r>
        <w:rPr/>
        <w:fldChar w:fldCharType="separate"/>
      </w:r>
      <w:r>
        <w:rPr/>
        <w:t>5.2</w:t>
      </w:r>
      <w:r>
        <w:rPr/>
        <w:fldChar w:fldCharType="end"/>
      </w:r>
      <w:r>
        <w:rPr/>
        <w:t>;</w:t>
      </w:r>
    </w:p>
    <w:p>
      <w:pPr>
        <w:pStyle w:val="Style18"/>
        <w:spacing w:before="0" w:after="0"/>
        <w:rPr/>
      </w:pPr>
      <w:r>
        <w:rPr/>
        <w:t xml:space="preserve">обязательство предоставить до заключения договора Заказчику обеспечение исполнения договора – если </w:t>
      </w:r>
      <w:hyperlink w:anchor="Прил02_ПроектДоговора" w:tgtFrame="#Прил02_ПроектДоговора">
        <w:r>
          <w:rPr>
            <w:rStyle w:val="Style6"/>
          </w:rPr>
          <w:t>Проект договора (Приложение № 2)</w:t>
        </w:r>
      </w:hyperlink>
      <w:r>
        <w:rPr/>
        <w:t xml:space="preserve"> предусматривает обеспечение исполнения договора с соответствующими обязательствами (в порядке и сроки, предусмотренные </w:t>
      </w:r>
      <w:hyperlink w:anchor="Прил02_ПроектДоговора" w:tgtFrame="#Прил02_ПроектДоговора">
        <w:r>
          <w:rPr>
            <w:rStyle w:val="Style6"/>
          </w:rPr>
          <w:t>Проектом договора</w:t>
        </w:r>
      </w:hyperlink>
      <w:r>
        <w:rPr/>
        <w:t>).</w:t>
      </w:r>
    </w:p>
    <w:p>
      <w:pPr>
        <w:pStyle w:val="Style17"/>
        <w:spacing w:before="120" w:after="0"/>
        <w:rPr/>
      </w:pPr>
      <w:r>
        <w:rPr/>
        <w:t>В случае невыполнения Победителем указанных выше обязательств Организатор вправе удержать обеспечение заявки путем обращения в соответствующую организацию-гарант. При этом в случае предоставления Участником обеспечения в виде денежных средств, сумма обеспечения заявки, внесенная на специальный банковский счет, перечисляется банком-гарантом на счет Заказчика (подраздел </w:t>
      </w:r>
      <w:r>
        <w:rPr/>
        <w:fldChar w:fldCharType="begin"/>
      </w:r>
      <w:r>
        <w:rPr/>
        <w:instrText xml:space="preserve"> REF _Ref125359973 \r \h </w:instrText>
      </w:r>
      <w:r>
        <w:rPr/>
        <w:fldChar w:fldCharType="separate"/>
      </w:r>
      <w:r>
        <w:rPr/>
        <w:t>1.2</w:t>
      </w:r>
      <w:r>
        <w:rPr/>
        <w:fldChar w:fldCharType="end"/>
      </w:r>
      <w:r>
        <w:rPr/>
        <w:t>).</w:t>
      </w:r>
    </w:p>
    <w:p>
      <w:pPr>
        <w:pStyle w:val="Style17"/>
        <w:keepNext w:val="true"/>
        <w:spacing w:before="0" w:after="0"/>
        <w:rPr/>
      </w:pPr>
      <w:r>
        <w:rPr/>
        <w:t>Возврат обеспечения заявки (в случае предоставления Участником обеспечения в виде денежных средств) осуществляется Организатором в срок не более 7 (семи) рабочих дней с даты:</w:t>
      </w:r>
    </w:p>
    <w:p>
      <w:pPr>
        <w:pStyle w:val="Style18"/>
        <w:spacing w:before="120" w:after="0"/>
        <w:rPr/>
      </w:pPr>
      <w:r>
        <w:rPr/>
        <w:t>принятия решения об отказе от проведения закупки – всем Участникам, подавшим заявки к моменту принятия такого решения;</w:t>
      </w:r>
    </w:p>
    <w:p>
      <w:pPr>
        <w:pStyle w:val="Style18"/>
        <w:spacing w:before="0" w:after="0"/>
        <w:rPr/>
      </w:pPr>
      <w:r>
        <w:rPr/>
        <w:t>поступления уведомления об отзыве заявки в случаях, когда такой отзыв осуществлен в установленные в Документации о закупке сроки – Участнику, отозвавшему заявку;</w:t>
      </w:r>
    </w:p>
    <w:p>
      <w:pPr>
        <w:pStyle w:val="Style18"/>
        <w:spacing w:before="0" w:after="0"/>
        <w:rPr/>
      </w:pPr>
      <w:r>
        <w:rPr/>
        <w:t>официального размещения итогового протокола по результатам закупки – всем Участникам, кроме Победителя;</w:t>
      </w:r>
    </w:p>
    <w:p>
      <w:pPr>
        <w:pStyle w:val="Style18"/>
        <w:spacing w:before="0" w:after="0"/>
        <w:rPr/>
      </w:pPr>
      <w:r>
        <w:rPr/>
        <w:t>заключения Договора по результатам закупки – Победителю, с которым заключен Договор;</w:t>
      </w:r>
    </w:p>
    <w:p>
      <w:pPr>
        <w:pStyle w:val="Style18"/>
        <w:spacing w:before="0" w:after="0"/>
        <w:rPr/>
      </w:pPr>
      <w:r>
        <w:rPr/>
        <w:t>признания закупки несостоявшейся – Участнику, которому обеспечение не было возвращено по иным основаниям.</w:t>
      </w:r>
    </w:p>
    <w:p>
      <w:pPr>
        <w:pStyle w:val="Style17"/>
        <w:spacing w:before="120" w:after="0"/>
        <w:rPr/>
      </w:pPr>
      <w:r>
        <w:rPr/>
        <w:t>Возврат обеспечения заявки может быть задержан в случае поступления в установленном законодательством порядке жалобы по закупке (подраздел </w:t>
      </w:r>
      <w:r>
        <w:rPr/>
        <w:fldChar w:fldCharType="begin"/>
      </w:r>
      <w:r>
        <w:rPr/>
        <w:instrText xml:space="preserve"> REF _Ref125363536 \r \h </w:instrText>
      </w:r>
      <w:r>
        <w:rPr/>
        <w:fldChar w:fldCharType="separate"/>
      </w:r>
      <w:r>
        <w:rPr/>
        <w:t>2.3</w:t>
      </w:r>
      <w:r>
        <w:rPr/>
        <w:fldChar w:fldCharType="end"/>
      </w:r>
      <w:r>
        <w:rPr/>
        <w:t>) – на время рассмотрения жалобы.</w:t>
      </w:r>
    </w:p>
    <w:p>
      <w:pPr>
        <w:pStyle w:val="Style16"/>
        <w:spacing w:before="360" w:after="0"/>
        <w:rPr/>
      </w:pPr>
      <w:bookmarkStart w:id="192" w:name="_Toc228876873"/>
      <w:bookmarkStart w:id="193" w:name="_Ref149317133"/>
      <w:bookmarkStart w:id="194" w:name="_Ref130225422"/>
      <w:r>
        <w:rPr/>
        <w:t>Особенности проведения многолотовой закупки</w:t>
      </w:r>
      <w:bookmarkEnd w:id="192"/>
      <w:bookmarkEnd w:id="193"/>
      <w:bookmarkEnd w:id="194"/>
    </w:p>
    <w:p>
      <w:pPr>
        <w:pStyle w:val="Style17"/>
        <w:spacing w:before="120" w:after="0"/>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предусмотрено проведение многолотовой закупки.</w:t>
      </w:r>
    </w:p>
    <w:p>
      <w:pPr>
        <w:pStyle w:val="Style17"/>
        <w:spacing w:before="0" w:after="0"/>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17"/>
        <w:spacing w:before="0" w:after="0"/>
        <w:rPr/>
      </w:pPr>
      <w:r>
        <w:rPr/>
        <w:t>Многолотовая закупка может проводиться как для одного, так и для нескольких Заказчиков. Для всех лотов выпускается общее Извещение, Документация о закупке, решения по каждому лоту принимает одна и та же Закупочная комиссия. Любые положения Документации о закупке, если в них прямо не</w:t>
      </w:r>
      <w:r>
        <w:rPr>
          <w:lang w:val="en-US"/>
        </w:rPr>
        <w:t> </w:t>
      </w:r>
      <w:r>
        <w:rPr/>
        <w:t>указан номер конкретного лота, относятся ко всем лотам одновременно.</w:t>
      </w:r>
    </w:p>
    <w:p>
      <w:pPr>
        <w:pStyle w:val="Style17"/>
        <w:spacing w:before="0" w:after="0"/>
        <w:rPr/>
      </w:pPr>
      <w:r>
        <w:rPr/>
        <w:t>Участник может подать одну заявку / одно окончательное предложение на любой лот, любые несколько лотов или все лоты по собственному выбору. При этом не допускается разбиение отдельного лота на части, то есть подача заявки на часть лота по отдельным видам или объемам продукции. В многолотовой закупке подача Участником по одной заявке / одному окончательному предложению на каждый лот, не считается подачей второй заявки / окончательного предложения на закупку.</w:t>
      </w:r>
    </w:p>
    <w:p>
      <w:pPr>
        <w:pStyle w:val="Style17"/>
        <w:keepNext w:val="true"/>
        <w:spacing w:before="0" w:after="0"/>
        <w:rPr/>
      </w:pPr>
      <w:r>
        <w:rPr/>
        <w:t>В случае подачи заявки / окончательного предложения на несколько лотов дополнительно должны быть соблюдены следующие требования:</w:t>
      </w:r>
    </w:p>
    <w:p>
      <w:pPr>
        <w:pStyle w:val="Style18"/>
        <w:spacing w:before="120" w:after="0"/>
        <w:rPr/>
      </w:pPr>
      <w:r>
        <w:rPr/>
        <w:t>Письмо о подаче оферты (форма 2) (</w:t>
      </w:r>
      <w:hyperlink w:anchor="Прил04_ФормыЗаявки" w:tgtFrame="#Прил04_ФормыЗаявки">
        <w:r>
          <w:rPr>
            <w:rStyle w:val="Style6"/>
          </w:rPr>
          <w:t>Приложение № 4</w:t>
        </w:r>
      </w:hyperlink>
      <w:r>
        <w:rPr/>
        <w:t>) должно содержать указание номера и названия каждого лота;</w:t>
      </w:r>
    </w:p>
    <w:p>
      <w:pPr>
        <w:pStyle w:val="Style18"/>
        <w:spacing w:before="0" w:after="0"/>
        <w:rPr/>
      </w:pPr>
      <w:r>
        <w:rPr/>
        <w:t xml:space="preserve">Коммерческое предложение (форма 3), Техническое предложение (форма 4), План распределения объемов поставки продукции (форма 4) – </w:t>
      </w:r>
      <w:hyperlink w:anchor="Прил04_ФормыЗаявки" w:tgtFrame="#Прил04_ФормыЗаявки">
        <w:r>
          <w:rPr>
            <w:rStyle w:val="Style6"/>
          </w:rPr>
          <w:t>Приложение № 4</w:t>
        </w:r>
      </w:hyperlink>
      <w:r>
        <w:rPr/>
        <w:t>, должны быть подготовлены отдельно по каждому из лотов с указанием номера и названия лота.</w:t>
      </w:r>
    </w:p>
    <w:p>
      <w:pPr>
        <w:pStyle w:val="Style17"/>
        <w:spacing w:before="120" w:after="0"/>
        <w:rPr/>
      </w:pPr>
      <w:r>
        <w:rPr/>
        <w:t>Решения, принимаемые в ходе процедуры закупки, в том числе решения в рамках рассмотрения (первых частей заявок / окончательных предложений, вторых частей заявок и ценовых предложений, рассмотрения дополнительных ценовых предложений – если проводилась процедура переторжки), оценки и сопоставления заявок, определения Победителя, признания закупки несостоявшейся, отказа от дальнейшего ее проведения и т.д., осуществляются раздельно и независимо по каждому из лотов. При этом Организатор вправе оформить по каждому лоту отдельный протокол закупки или сформировать общий по всем лотам протокол закупки, в который в отношении каждого лота вносятся сведения, подлежащие официальному размещению.</w:t>
      </w:r>
    </w:p>
    <w:p>
      <w:pPr>
        <w:pStyle w:val="Style15"/>
        <w:spacing w:before="0" w:after="0"/>
        <w:rPr/>
      </w:pPr>
      <w:bookmarkStart w:id="195" w:name="_Ref125363439"/>
      <w:bookmarkStart w:id="196" w:name="_Ref125362671"/>
      <w:bookmarkStart w:id="197" w:name="_Ref125366769"/>
      <w:bookmarkStart w:id="198" w:name="_Ref125367087"/>
      <w:bookmarkStart w:id="199" w:name="_Toc228876875"/>
      <w:bookmarkStart w:id="200" w:name="_Ref126142429"/>
      <w:bookmarkStart w:id="201" w:name="_Ref125361212"/>
      <w:bookmarkStart w:id="202" w:name="_Ref130224037"/>
      <w:bookmarkStart w:id="203" w:name="_Ref125367083"/>
      <w:r>
        <w:rPr/>
        <w:t>Порядок заключения Договора</w:t>
      </w:r>
      <w:bookmarkEnd w:id="195"/>
      <w:bookmarkEnd w:id="196"/>
      <w:bookmarkEnd w:id="197"/>
      <w:bookmarkEnd w:id="198"/>
      <w:bookmarkEnd w:id="199"/>
      <w:bookmarkEnd w:id="200"/>
      <w:bookmarkEnd w:id="201"/>
      <w:bookmarkEnd w:id="202"/>
      <w:bookmarkEnd w:id="203"/>
    </w:p>
    <w:p>
      <w:pPr>
        <w:pStyle w:val="Style16"/>
        <w:spacing w:before="360" w:after="0"/>
        <w:rPr/>
      </w:pPr>
      <w:bookmarkStart w:id="204" w:name="_Toc228876876"/>
      <w:r>
        <w:rPr/>
        <w:t>Общие положения</w:t>
      </w:r>
      <w:bookmarkEnd w:id="204"/>
    </w:p>
    <w:p>
      <w:pPr>
        <w:pStyle w:val="Style17"/>
        <w:spacing w:before="120" w:after="0"/>
        <w:rPr/>
      </w:pPr>
      <w:r>
        <w:rPr/>
        <w:t>Нормы настоящего раздела </w:t>
      </w:r>
      <w:r>
        <w:rPr/>
        <w:fldChar w:fldCharType="begin"/>
      </w:r>
      <w:r>
        <w:rPr/>
        <w:instrText xml:space="preserve"> REF _Ref126142429 \r \h </w:instrText>
      </w:r>
      <w:r>
        <w:rPr/>
        <w:fldChar w:fldCharType="separate"/>
      </w:r>
      <w:r>
        <w:rPr/>
        <w:t>5</w:t>
      </w:r>
      <w:r>
        <w:rPr/>
        <w:fldChar w:fldCharType="end"/>
      </w:r>
      <w:r>
        <w:rPr/>
        <w:t xml:space="preserve"> также применяются в отношении Единственного участника несостоявшейся закупки, с которым принято решение о заключении договора (к нему применяются те же нормы, что и в отношении Победителя).</w:t>
      </w:r>
    </w:p>
    <w:p>
      <w:pPr>
        <w:pStyle w:val="Style16"/>
        <w:spacing w:before="360" w:after="0"/>
        <w:rPr/>
      </w:pPr>
      <w:bookmarkStart w:id="205" w:name="_Toc228876877"/>
      <w:bookmarkStart w:id="206" w:name="_Ref125368755"/>
      <w:bookmarkStart w:id="207" w:name="_Ref138341423"/>
      <w:bookmarkStart w:id="208" w:name="_Ref125366947"/>
      <w:r>
        <w:rPr/>
        <w:t>Заключение Договора</w:t>
      </w:r>
      <w:bookmarkEnd w:id="205"/>
      <w:bookmarkEnd w:id="206"/>
      <w:bookmarkEnd w:id="207"/>
      <w:bookmarkEnd w:id="208"/>
    </w:p>
    <w:p>
      <w:pPr>
        <w:pStyle w:val="Style17"/>
        <w:spacing w:before="120" w:after="0"/>
        <w:rPr/>
      </w:pPr>
      <w:bookmarkStart w:id="209" w:name="_Ref130293821"/>
      <w:bookmarkStart w:id="210" w:name="_Ref125362935"/>
      <w:r>
        <w:rPr/>
        <w:t>Договор между Заказчиком и Победителем заключается не ранее чем через 10 (десять) календарных дней и не позднее чем через 20 (двадцать) календарных дней с даты официального размещения итогового протокола по результатам закупки.</w:t>
      </w:r>
      <w:bookmarkEnd w:id="209"/>
      <w:bookmarkEnd w:id="210"/>
    </w:p>
    <w:p>
      <w:pPr>
        <w:pStyle w:val="Style17"/>
        <w:spacing w:before="0" w:after="0"/>
        <w:rPr/>
      </w:pPr>
      <w:r>
        <w:rPr/>
        <w:t>Договор не может быть заключен, если это запрещено законодательством о национальном режиме .</w:t>
      </w:r>
    </w:p>
    <w:p>
      <w:pPr>
        <w:pStyle w:val="Style17"/>
        <w:spacing w:before="0" w:after="0"/>
        <w:rPr/>
      </w:pPr>
      <w:bookmarkStart w:id="211" w:name="_Hlk207818000"/>
      <w:bookmarkStart w:id="212" w:name="_Ref125363464"/>
      <w:bookmarkEnd w:id="211"/>
      <w:bookmarkEnd w:id="212"/>
      <w:r>
        <w:rPr/>
        <w:t>При осуществлении закупки товара (в том числе поставляемого Заказчику при выполнении работ, оказании услуг) в Договор при его заключении включается информация о стране происхождения товара.</w:t>
      </w:r>
    </w:p>
    <w:p>
      <w:pPr>
        <w:pStyle w:val="Style17"/>
        <w:spacing w:before="0" w:after="0"/>
        <w:rPr/>
      </w:pPr>
      <w:r>
        <w:rPr/>
        <w:t xml:space="preserve">В целях </w:t>
      </w:r>
      <w:r>
        <w:rPr>
          <w:rFonts w:eastAsia="Calibri" w:cs="Times New Roman"/>
        </w:rPr>
        <w:t>обеспечения дополнительной прозрачности финансово-хозяйственной деятельности сторон при</w:t>
      </w:r>
      <w:r>
        <w:rPr/>
        <w:t xml:space="preserve"> заключения Договора </w:t>
      </w:r>
      <w:r>
        <w:rPr>
          <w:rFonts w:eastAsia="Calibri" w:cs="Times New Roman"/>
        </w:rPr>
        <w:t>в части отсутствия возможного конфликта интересов между Заказчиком и</w:t>
      </w:r>
      <w:r>
        <w:rPr/>
        <w:t xml:space="preserve"> Участником, признанным Победителем, последний обязан направить в адрес Заказчика Справку «Сведения о цепочке собственников, включая бенефициаров (в том числе конечных)», по форме в соответствии с </w:t>
      </w:r>
      <w:hyperlink w:anchor="Прил05_ФормыПобедителя" w:tgtFrame="#Прил05_ФормыПобедителя">
        <w:r>
          <w:rPr>
            <w:rStyle w:val="Style6"/>
          </w:rPr>
          <w:t>Приложением № 5</w:t>
        </w:r>
      </w:hyperlink>
      <w:r>
        <w:rPr/>
        <w:t>, с приложением подтверждающих документов согласно перечню, установленному в Приложении 1 к указанной справке. Данные документы должны быть предоставлены в бумажной форме: по адресу, определенному в подразделе </w:t>
      </w:r>
      <w:r>
        <w:rPr/>
        <w:fldChar w:fldCharType="begin"/>
      </w:r>
      <w:r>
        <w:rPr/>
        <w:instrText xml:space="preserve"> REF _Ref125359973 \r \h </w:instrText>
      </w:r>
      <w:r>
        <w:rPr/>
        <w:fldChar w:fldCharType="separate"/>
      </w:r>
      <w:r>
        <w:rPr/>
        <w:t>1.2</w:t>
      </w:r>
      <w:r>
        <w:rPr/>
        <w:fldChar w:fldCharType="end"/>
      </w:r>
      <w:r>
        <w:rPr/>
        <w:t xml:space="preserve"> как место подачи документов в отношении цепочки собственников, включая конечных бенефициаров (в срок не позднее 3 (трех) рабочих дней с даты официального размещения Организатором итогового протокола по результатам закупки). Требуемые документы должны быть предоставлены в бумажном виде и на электронном носителе в отдельном запечатанном конверте с надписью «Документы Победителя о цепочке собственников»;</w:t>
      </w:r>
    </w:p>
    <w:p>
      <w:pPr>
        <w:pStyle w:val="Style18"/>
        <w:numPr>
          <w:ilvl w:val="0"/>
          <w:numId w:val="0"/>
        </w:numPr>
        <w:spacing w:before="0" w:after="0"/>
        <w:ind w:hanging="0" w:left="1701"/>
        <w:rPr/>
      </w:pPr>
      <w:r>
        <w:rPr/>
      </w:r>
      <w:bookmarkStart w:id="213" w:name="_Hlk207818000_Копия_1"/>
      <w:bookmarkStart w:id="214" w:name="_Ref125363464_Копия_1"/>
      <w:bookmarkStart w:id="215" w:name="_Hlk207818000_Копия_1"/>
      <w:bookmarkStart w:id="216" w:name="_Ref125363464_Копия_1"/>
      <w:bookmarkEnd w:id="215"/>
      <w:bookmarkEnd w:id="216"/>
    </w:p>
    <w:p>
      <w:pPr>
        <w:pStyle w:val="Style17"/>
        <w:spacing w:before="120" w:after="0"/>
        <w:rPr/>
      </w:pPr>
      <w:r>
        <w:rPr/>
        <w:t xml:space="preserve">В срок не позднее 3 (трех) рабочих дней с даты официального размещения Организатором итогового протокола по результатам закупки, Победитель обязан предоставить Заказчику (скан-копия в формате </w:t>
      </w:r>
      <w:bookmarkStart w:id="217" w:name="_Hlk207818034"/>
      <w:r>
        <w:rPr/>
        <w:t>Portable Document Format (</w:t>
      </w:r>
      <w:r>
        <w:rPr>
          <w:lang w:val="en-US"/>
        </w:rPr>
        <w:t>pdf</w:t>
      </w:r>
      <w:r>
        <w:rPr/>
        <w:t>)</w:t>
      </w:r>
      <w:bookmarkEnd w:id="217"/>
      <w:r>
        <w:rPr/>
        <w:t xml:space="preserve">)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tgtFrame="#Прил05_ФормыПобедителя">
        <w:r>
          <w:rPr>
            <w:rStyle w:val="Style6"/>
          </w:rPr>
          <w:t>Приложением № 5</w:t>
        </w:r>
      </w:hyperlink>
      <w:r>
        <w:rPr/>
        <w:t>.</w:t>
      </w:r>
    </w:p>
    <w:p>
      <w:pPr>
        <w:pStyle w:val="Style17"/>
        <w:keepNext w:val="true"/>
        <w:spacing w:before="0" w:after="0"/>
        <w:rPr/>
      </w:pPr>
      <w:bookmarkStart w:id="218" w:name="_Ref125551072"/>
      <w:r>
        <w:rPr/>
        <w:t>Перед заключением Договора Победитель обязан предоставить Заказчику, не позднее сроков, установленных в пункте </w:t>
      </w:r>
      <w:r>
        <w:rPr/>
        <w:fldChar w:fldCharType="begin"/>
      </w:r>
      <w:r>
        <w:rPr/>
        <w:instrText xml:space="preserve"> REF _Ref130293821 \w \h </w:instrText>
      </w:r>
      <w:r>
        <w:rPr/>
        <w:fldChar w:fldCharType="separate"/>
      </w:r>
      <w:r>
        <w:rPr/>
        <w:t>5.2.1</w:t>
      </w:r>
      <w:r>
        <w:rPr/>
        <w:fldChar w:fldCharType="end"/>
      </w:r>
      <w:r>
        <w:rPr/>
        <w:t>, в целях подтверждения своего соответствия обязательному требованию к Участникам, указанному в пункте </w:t>
      </w:r>
      <w:r>
        <w:rPr/>
        <w:fldChar w:fldCharType="begin"/>
      </w:r>
      <w:r>
        <w:rPr/>
        <w:instrText xml:space="preserve"> REF _Ref125552433 \w \h </w:instrText>
      </w:r>
      <w:r>
        <w:rPr/>
        <w:fldChar w:fldCharType="separate"/>
      </w:r>
      <w:r>
        <w:rPr/>
        <w:t>1</w:t>
      </w:r>
      <w:r>
        <w:rPr/>
        <w:fldChar w:fldCharType="end"/>
      </w:r>
      <w:r>
        <w:rPr/>
        <w:t xml:space="preserve"> подраздела </w:t>
      </w:r>
      <w:r>
        <w:rPr/>
        <w:fldChar w:fldCharType="begin"/>
      </w:r>
      <w:r>
        <w:rPr/>
        <w:instrText xml:space="preserve"> REF _Ref125361435 \w \h </w:instrText>
      </w:r>
      <w:r>
        <w:rPr/>
        <w:fldChar w:fldCharType="separate"/>
      </w:r>
      <w:r>
        <w:rPr/>
        <w:t>8.2</w:t>
      </w:r>
      <w:r>
        <w:rPr/>
        <w:fldChar w:fldCharType="end"/>
      </w:r>
      <w:r>
        <w:rPr/>
        <w:t xml:space="preserve"> (</w:t>
      </w:r>
      <w:hyperlink w:anchor="Прил03_ТребованияУчастникам" w:tgtFrame="#Прил03_ТребованияУчастникам">
        <w:r>
          <w:rPr>
            <w:rStyle w:val="Style6"/>
          </w:rPr>
          <w:t>Приложение № 3</w:t>
        </w:r>
      </w:hyperlink>
      <w:r>
        <w:rPr/>
        <w:t>), следующие документы (скан-копии в формате Portable Document Format (</w:t>
      </w:r>
      <w:r>
        <w:rPr>
          <w:lang w:val="en-US"/>
        </w:rPr>
        <w:t>pdf</w:t>
      </w:r>
      <w:r>
        <w:rPr/>
        <w:t>)):</w:t>
      </w:r>
      <w:bookmarkEnd w:id="218"/>
    </w:p>
    <w:p>
      <w:pPr>
        <w:pStyle w:val="Style18"/>
        <w:keepNext w:val="true"/>
        <w:spacing w:before="120" w:after="0"/>
        <w:rPr/>
      </w:pPr>
      <w:r>
        <w:rPr/>
        <w:t>для юридического лица:</w:t>
      </w:r>
    </w:p>
    <w:p>
      <w:pPr>
        <w:pStyle w:val="Style19"/>
        <w:widowControl/>
        <w:suppressAutoHyphens w:val="true"/>
        <w:overflowPunct w:val="true"/>
        <w:bidi w:val="0"/>
        <w:spacing w:lineRule="auto" w:line="240" w:before="120" w:after="0"/>
        <w:ind w:firstLine="397" w:left="0" w:right="0"/>
        <w:jc w:val="both"/>
        <w:rPr/>
      </w:pPr>
      <w:r>
        <w:rPr/>
        <w:t>копия устава в действующей редакции с отметкой ИФНС либо копия нотариально заверенного устава (с отметкой нотариуса);</w:t>
      </w:r>
    </w:p>
    <w:p>
      <w:pPr>
        <w:pStyle w:val="Style19"/>
        <w:widowControl/>
        <w:suppressAutoHyphens w:val="true"/>
        <w:overflowPunct w:val="true"/>
        <w:bidi w:val="0"/>
        <w:spacing w:lineRule="auto" w:line="240" w:before="0" w:after="0"/>
        <w:ind w:firstLine="397" w:left="0" w:right="0"/>
        <w:jc w:val="both"/>
        <w:rPr/>
      </w:pPr>
      <w:bookmarkStart w:id="219" w:name="_Ref125638686"/>
      <w:r>
        <w:rPr/>
        <w:t>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 заверенные Победителем;</w:t>
      </w:r>
      <w:bookmarkEnd w:id="219"/>
    </w:p>
    <w:p>
      <w:pPr>
        <w:pStyle w:val="Style19"/>
        <w:widowControl/>
        <w:suppressAutoHyphens w:val="true"/>
        <w:overflowPunct w:val="true"/>
        <w:bidi w:val="0"/>
        <w:spacing w:lineRule="auto" w:line="240" w:before="0" w:after="0"/>
        <w:ind w:firstLine="397" w:left="0" w:right="0"/>
        <w:jc w:val="both"/>
        <w:rPr/>
      </w:pPr>
      <w:r>
        <w:rPr/>
        <w:t>дополнительно предоставляется машиночитаемая доверенность (посредством информационных систем, на которых проводится закупка) на физическое лицо, которое подписывает договор;</w:t>
      </w:r>
    </w:p>
    <w:p>
      <w:pPr>
        <w:pStyle w:val="Style18"/>
        <w:spacing w:before="120" w:after="0"/>
        <w:rPr/>
      </w:pPr>
      <w:r>
        <w:rPr/>
        <w:t>для лица, зарегистрированного вне Российской Федерации: выписка из торгового реестра страны регистрации иностранного Участника;</w:t>
      </w:r>
    </w:p>
    <w:p>
      <w:pPr>
        <w:pStyle w:val="Style18"/>
        <w:spacing w:before="0" w:after="0"/>
        <w:rPr/>
      </w:pPr>
      <w:r>
        <w:rPr/>
        <w:t>для физического лица: нотариально заверенная копия всех страниц документа, удостоверяющего личность (паспорта)</w:t>
      </w:r>
      <w:bookmarkStart w:id="220" w:name="_Ref125361554"/>
      <w:r>
        <w:rPr/>
        <w:t>.</w:t>
      </w:r>
      <w:bookmarkEnd w:id="220"/>
    </w:p>
    <w:p>
      <w:pPr>
        <w:pStyle w:val="Style17"/>
        <w:spacing w:before="120" w:after="0"/>
        <w:rPr/>
      </w:pPr>
      <w:r>
        <w:rPr/>
        <w:t>Если в соответствии с законодательством и уставом Заказчика потребуется предварительное одобрение заключаемого на предложенных Победителем условиях Договора компетентными органами управления Заказчика (Общим собранием акционеров, Советом директоров и т.п.), Договор с Победителем заключается не позднее чем через 5 (пять) календарных дней с даты указанного одобрения.</w:t>
      </w:r>
    </w:p>
    <w:p>
      <w:pPr>
        <w:pStyle w:val="Style17"/>
        <w:spacing w:before="0" w:after="0"/>
        <w:rPr/>
      </w:pPr>
      <w:r>
        <w:rPr/>
        <w:t>В случае обжалования в антимонопольном органе результатов закупки Договор заключается не позднее чем через 5 (пять) календарных дней с даты вынесения решения антимонопольного органа по результатам такого обжалования (за исключением случая возврата на предыдущий этап закупки).</w:t>
      </w:r>
    </w:p>
    <w:p>
      <w:pPr>
        <w:pStyle w:val="Style17"/>
        <w:keepNext w:val="true"/>
        <w:spacing w:before="0" w:after="0"/>
        <w:rPr/>
      </w:pPr>
      <w:bookmarkStart w:id="221" w:name="_Ref132288402"/>
      <w:r>
        <w:rPr/>
        <w:t>При определении условий Договора по результатам закупки используются следующие документы с соблюдением указанной иерархии в порядке перечисления (в случае их противоречия):</w:t>
      </w:r>
      <w:bookmarkEnd w:id="221"/>
    </w:p>
    <w:p>
      <w:pPr>
        <w:pStyle w:val="Style18"/>
        <w:spacing w:before="120" w:after="0"/>
        <w:rPr/>
      </w:pPr>
      <w:r>
        <w:rPr/>
        <w:t>итоговый протокол по результатам закупки;</w:t>
      </w:r>
    </w:p>
    <w:p>
      <w:pPr>
        <w:pStyle w:val="Style18"/>
        <w:spacing w:before="0" w:after="0"/>
        <w:rPr/>
      </w:pPr>
      <w:r>
        <w:rPr/>
        <w:t>Извещение и Документация о закупке со всеми изменениями;</w:t>
      </w:r>
    </w:p>
    <w:p>
      <w:pPr>
        <w:pStyle w:val="Style18"/>
        <w:spacing w:before="0" w:after="0"/>
        <w:rPr/>
      </w:pPr>
      <w:r>
        <w:rPr/>
        <w:t>заявка Победителя со всеми дополнениями и разъяснениями.</w:t>
      </w:r>
    </w:p>
    <w:p>
      <w:pPr>
        <w:pStyle w:val="Style17"/>
        <w:spacing w:before="120" w:after="0"/>
        <w:rPr/>
      </w:pPr>
      <w:r>
        <w:rPr/>
        <w:t>Договор согласовывается и заключается с использованием функционала ЭП, в том числе подписывается усиленной квалифицированной электронной подписью уполномоченного лица Победителя и Заказчика соответственно.</w:t>
      </w:r>
    </w:p>
    <w:p>
      <w:pPr>
        <w:pStyle w:val="Style17"/>
        <w:spacing w:before="0" w:after="0"/>
        <w:rPr/>
      </w:pPr>
      <w:r>
        <w:rPr/>
        <w:t>В течение установленного в пункте </w:t>
      </w:r>
      <w:r>
        <w:rPr/>
        <w:fldChar w:fldCharType="begin"/>
      </w:r>
      <w:r>
        <w:rPr/>
        <w:instrText xml:space="preserve"> REF _Ref130293821 \r \h </w:instrText>
      </w:r>
      <w:r>
        <w:rPr/>
        <w:fldChar w:fldCharType="separate"/>
      </w:r>
      <w:r>
        <w:rPr/>
        <w:t>5.2.1</w:t>
      </w:r>
      <w:r>
        <w:rPr/>
        <w:fldChar w:fldCharType="end"/>
      </w:r>
      <w:r>
        <w:rPr/>
        <w:t xml:space="preserve"> срока Заказчик с использованием функционала ЭП направляет в адрес Победителя заполненный со своей стороны проект Договора.</w:t>
      </w:r>
    </w:p>
    <w:p>
      <w:pPr>
        <w:pStyle w:val="Style17"/>
        <w:spacing w:before="0" w:after="0"/>
        <w:rPr/>
      </w:pPr>
      <w:bookmarkStart w:id="222" w:name="_Ref49437111"/>
      <w:r>
        <w:rPr/>
        <w:t>В случае наличия у Победителя разногласий по направленному Заказчиком проекту Договора, Победитель составляет Протокол разногласий с указанием в нем своих замечаний к положениям проекта Договора, не соответствующим условиям настоящей Документации о закупке и (или) заявке Победителя (с приведением ссылок на конкретные пункты / положения данных документов, которым они не соответствуют). Протокол разногласий направляется Заказчику с использованием функционала ЭП. После рассмотрения указанного протокола разногласий Заказчик вправе направить Победителю доработанный проект Договора либо повторно направить исходный проект Договора с указанием в отдельном документе причин отказа учесть полностью или частично замечания, содержащиеся в протоколе разногласий Победителя.</w:t>
      </w:r>
      <w:bookmarkEnd w:id="222"/>
    </w:p>
    <w:p>
      <w:pPr>
        <w:pStyle w:val="Style17"/>
        <w:spacing w:before="0" w:after="0"/>
        <w:rPr/>
      </w:pPr>
      <w:bookmarkStart w:id="223" w:name="_Ref125368506"/>
      <w:r>
        <w:rPr/>
        <w:t xml:space="preserve">Сведения о заключенном Договоре в течение 3 (трех) рабочих дней со дня заключения такого Договора на ЭП вносятся Оператором ЭП в Реестр договоров в ЕИС (если размещение таких сведений допустимо Законом 223-ФЗ). Если при заключении и исполнении Договора изменятся количество, объем, цена закупаемой продукции или сроки исполнения Договора (по сравнению с указанными в итоговом протоколе по результатам закупки), то в течение 10 (десяти) календарных дней со дня внесения таких изменений в Договор </w:t>
      </w:r>
      <w:bookmarkStart w:id="224" w:name="_Hlk132806825"/>
      <w:r>
        <w:rPr/>
        <w:t>соответствующая информация с указанием измененных условий Договора также размещается в ЕИС (если размещение таких сведений допустимо Законом 223-ФЗ)</w:t>
      </w:r>
      <w:bookmarkEnd w:id="224"/>
      <w:r>
        <w:rPr/>
        <w:t>.</w:t>
      </w:r>
      <w:bookmarkEnd w:id="223"/>
    </w:p>
    <w:p>
      <w:pPr>
        <w:pStyle w:val="Style17"/>
        <w:spacing w:before="0" w:after="0"/>
        <w:rPr/>
      </w:pPr>
      <w:r>
        <w:rPr/>
        <w:t>Если до момента заключения с Договора в отношении Победителя была проведена повторная проверка в рамках мониторинга аккредитованных поставщиков (в соответствии с Положением об аккредитации), и по результатам такой проверки ему присвоен статус «не аккредитован»,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 (при наличии у него статуса «аккредитован» / «аккредитация не требуется»).</w:t>
      </w:r>
    </w:p>
    <w:p>
      <w:pPr>
        <w:pStyle w:val="Style16"/>
        <w:spacing w:before="360" w:after="0"/>
        <w:rPr/>
      </w:pPr>
      <w:bookmarkStart w:id="225" w:name="_Toc228876878"/>
      <w:bookmarkStart w:id="226" w:name="_Ref125367068"/>
      <w:r>
        <w:rPr/>
        <w:t>Уклонение Победителя от заключения Договора</w:t>
      </w:r>
      <w:bookmarkEnd w:id="225"/>
      <w:bookmarkEnd w:id="226"/>
    </w:p>
    <w:p>
      <w:pPr>
        <w:pStyle w:val="Style17"/>
        <w:keepNext w:val="true"/>
        <w:spacing w:before="120" w:after="0"/>
        <w:rPr/>
      </w:pPr>
      <w:r>
        <w:rPr/>
        <w:t>Если Победитель закупки:</w:t>
      </w:r>
    </w:p>
    <w:p>
      <w:pPr>
        <w:pStyle w:val="Style18"/>
        <w:spacing w:before="120" w:after="0"/>
        <w:rPr/>
      </w:pPr>
      <w:r>
        <w:rPr/>
        <w:t>не подпишет Договор в установленные Документацией о закупке сроки (пункт </w:t>
      </w:r>
      <w:r>
        <w:rPr/>
        <w:fldChar w:fldCharType="begin"/>
      </w:r>
      <w:r>
        <w:rPr/>
        <w:instrText xml:space="preserve"> REF _Ref130293821 \r \h </w:instrText>
      </w:r>
      <w:r>
        <w:rPr/>
        <w:fldChar w:fldCharType="separate"/>
      </w:r>
      <w:r>
        <w:rPr/>
        <w:t>5.2.1</w:t>
      </w:r>
      <w:r>
        <w:rPr/>
        <w:fldChar w:fldCharType="end"/>
      </w:r>
      <w:r>
        <w:rPr/>
        <w:t>);</w:t>
      </w:r>
    </w:p>
    <w:p>
      <w:pPr>
        <w:pStyle w:val="Style18"/>
        <w:spacing w:before="0" w:after="0"/>
        <w:rPr/>
      </w:pPr>
      <w:r>
        <w:rPr/>
        <w:t>откажется от подписания Договора на условиях, определяемых в соответствии с пунктом </w:t>
      </w:r>
      <w:r>
        <w:rPr/>
        <w:fldChar w:fldCharType="begin"/>
      </w:r>
      <w:r>
        <w:rPr/>
        <w:instrText xml:space="preserve"> REF _Ref132288402 \r \h </w:instrText>
      </w:r>
      <w:r>
        <w:rPr/>
        <w:fldChar w:fldCharType="separate"/>
      </w:r>
      <w:r>
        <w:rPr/>
        <w:t>5.2.9</w:t>
      </w:r>
      <w:r>
        <w:rPr/>
        <w:fldChar w:fldCharType="end"/>
      </w:r>
      <w:r>
        <w:rPr/>
        <w:t>;</w:t>
      </w:r>
    </w:p>
    <w:p>
      <w:pPr>
        <w:pStyle w:val="Style18"/>
        <w:spacing w:before="0" w:after="0"/>
        <w:rPr/>
      </w:pPr>
      <w:r>
        <w:rPr/>
        <w:t>не раскроет информацию в отношении всей цепочки собственников, включая бенефициаров (в том числе конечных), по установленной форме (</w:t>
      </w:r>
      <w:hyperlink w:anchor="Прил05_ФормыПобедителя" w:tgtFrame="#Прил05_ФормыПобедителя">
        <w:r>
          <w:rPr>
            <w:rStyle w:val="Style6"/>
          </w:rPr>
          <w:t>Приложение № 5</w:t>
        </w:r>
      </w:hyperlink>
      <w:r>
        <w:rPr/>
        <w:t>), с приложением подтверждающих документов;</w:t>
      </w:r>
    </w:p>
    <w:p>
      <w:pPr>
        <w:pStyle w:val="Style18"/>
        <w:spacing w:before="0" w:after="0"/>
        <w:rPr/>
      </w:pPr>
      <w:r>
        <w:rPr/>
        <w:t xml:space="preserve">не предоставит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tgtFrame="#Прил05_ФормыПобедителя">
        <w:r>
          <w:rPr>
            <w:rStyle w:val="Style6"/>
          </w:rPr>
          <w:t>Приложением № 5</w:t>
        </w:r>
      </w:hyperlink>
      <w:r>
        <w:rPr/>
        <w:t>;</w:t>
      </w:r>
    </w:p>
    <w:p>
      <w:pPr>
        <w:pStyle w:val="Style18"/>
        <w:spacing w:before="0" w:after="0"/>
        <w:rPr/>
      </w:pPr>
      <w:r>
        <w:rPr/>
        <w:t xml:space="preserve">не предоставит копии документов, обязательных к предоставлению Победителем закупки в соответствии с требованиями </w:t>
      </w:r>
      <w:hyperlink w:anchor="Прил01_ТехТребования" w:tgtFrame="#Прил01_ТехТребования">
        <w:r>
          <w:rPr>
            <w:rStyle w:val="Style6"/>
          </w:rPr>
          <w:t>Приложения № 1 – Технические требования</w:t>
        </w:r>
      </w:hyperlink>
      <w:r>
        <w:rPr/>
        <w:t xml:space="preserve"> (в случае установления таковых);</w:t>
      </w:r>
    </w:p>
    <w:p>
      <w:pPr>
        <w:pStyle w:val="Style18"/>
        <w:spacing w:before="0" w:after="0"/>
        <w:rPr/>
      </w:pPr>
      <w:r>
        <w:rPr/>
        <w:t>не предоставит обеспечение исполнения договора до момента его заключения, если Документация о закупке предусматривает обеспечение исполнения договора с соответствующими обязательствами;</w:t>
      </w:r>
    </w:p>
    <w:p>
      <w:pPr>
        <w:pStyle w:val="Style18"/>
        <w:spacing w:before="0" w:after="0"/>
        <w:rPr/>
      </w:pPr>
      <w:r>
        <w:rPr/>
        <w:t>не выполнит другие условия, прямо предусмотренные Документацией о закупке,</w:t>
      </w:r>
    </w:p>
    <w:p>
      <w:pPr>
        <w:pStyle w:val="Style21"/>
        <w:ind w:hanging="0" w:left="1134" w:right="0"/>
        <w:rPr/>
      </w:pPr>
      <w:r>
        <w:rPr/>
        <w:t>то он (по истечению установленных в подразделе </w:t>
      </w:r>
      <w:r>
        <w:rPr/>
        <w:fldChar w:fldCharType="begin"/>
      </w:r>
      <w:r>
        <w:rPr/>
        <w:instrText xml:space="preserve"> REF _Ref138341423 \r \h </w:instrText>
      </w:r>
      <w:r>
        <w:rPr/>
        <w:fldChar w:fldCharType="separate"/>
      </w:r>
      <w:r>
        <w:rPr/>
        <w:t>5.2</w:t>
      </w:r>
      <w:r>
        <w:rPr/>
        <w:fldChar w:fldCharType="end"/>
      </w:r>
      <w:r>
        <w:rPr/>
        <w:t xml:space="preserve"> сроков на заключение Договора) признается уклонившимся от заключения Договора и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p>
      <w:pPr>
        <w:pStyle w:val="Style15"/>
        <w:spacing w:before="0" w:after="0"/>
        <w:rPr/>
      </w:pPr>
      <w:bookmarkStart w:id="227" w:name="_Ref125364201"/>
      <w:bookmarkStart w:id="228" w:name="_Ref125370732"/>
      <w:bookmarkStart w:id="229" w:name="_Ref125363023"/>
      <w:bookmarkStart w:id="230" w:name="_Ref125363034"/>
      <w:bookmarkStart w:id="231" w:name="_Ref125363600"/>
      <w:bookmarkStart w:id="232" w:name="_Ref125363752"/>
      <w:bookmarkStart w:id="233" w:name="_Ref125364088"/>
      <w:bookmarkStart w:id="234" w:name="_Ref125363016"/>
      <w:bookmarkStart w:id="235" w:name="_Ref125370741"/>
      <w:bookmarkStart w:id="236" w:name="_Ref125370746"/>
      <w:bookmarkStart w:id="237" w:name="_Ref125370750"/>
      <w:bookmarkStart w:id="238" w:name="_Ref125370843"/>
      <w:bookmarkStart w:id="239" w:name="Прил01_ТехТребования"/>
      <w:bookmarkStart w:id="240" w:name="_Toc228876879"/>
      <w:r>
        <w:rPr/>
        <w:t>Приложение № 1 – Технические требования</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Style16"/>
        <w:spacing w:before="360" w:after="0"/>
        <w:rPr/>
      </w:pPr>
      <w:bookmarkStart w:id="241" w:name="_Toc228876880"/>
      <w:r>
        <w:rPr/>
        <w:t>Пояснения к Техническим требованиям</w:t>
      </w:r>
      <w:bookmarkEnd w:id="241"/>
    </w:p>
    <w:p>
      <w:pPr>
        <w:pStyle w:val="Style17"/>
        <w:spacing w:before="120" w:after="0"/>
        <w:rPr/>
      </w:pPr>
      <w:r>
        <w:rPr/>
        <w:t>Технические требования к закупаемой продукции приведены в отдельном файле (предоставляются отдельным документом в составе Документации о закупке), являющимся Приложением № 1 к Документации о закупке.</w:t>
      </w:r>
    </w:p>
    <w:p>
      <w:pPr>
        <w:pStyle w:val="Style15"/>
        <w:spacing w:before="0" w:after="0"/>
        <w:rPr/>
      </w:pPr>
      <w:bookmarkStart w:id="242" w:name="_Toc228876881"/>
      <w:bookmarkStart w:id="243" w:name="_Ref125370754"/>
      <w:bookmarkStart w:id="244" w:name="_Ref125363605"/>
      <w:bookmarkStart w:id="245" w:name="_Ref125364081"/>
      <w:bookmarkStart w:id="246" w:name="_Ref125363040"/>
      <w:bookmarkStart w:id="247" w:name="Прил02_ПроектДоговора"/>
      <w:bookmarkStart w:id="248" w:name="_Ref125364206"/>
      <w:bookmarkStart w:id="249" w:name="_Ref125363759"/>
      <w:bookmarkStart w:id="250" w:name="_Ref125361746"/>
      <w:r>
        <w:rPr/>
        <w:t>Приложение № 2 – Проект договора</w:t>
      </w:r>
      <w:bookmarkEnd w:id="242"/>
      <w:bookmarkEnd w:id="243"/>
      <w:bookmarkEnd w:id="244"/>
      <w:bookmarkEnd w:id="245"/>
      <w:bookmarkEnd w:id="246"/>
      <w:bookmarkEnd w:id="247"/>
      <w:bookmarkEnd w:id="248"/>
      <w:bookmarkEnd w:id="249"/>
      <w:bookmarkEnd w:id="250"/>
    </w:p>
    <w:p>
      <w:pPr>
        <w:pStyle w:val="Style16"/>
        <w:spacing w:before="360" w:after="0"/>
        <w:rPr/>
      </w:pPr>
      <w:bookmarkStart w:id="251" w:name="_Toc228876882"/>
      <w:r>
        <w:rPr/>
        <w:t>Пояснения к Проекту договора</w:t>
      </w:r>
      <w:bookmarkEnd w:id="251"/>
    </w:p>
    <w:p>
      <w:pPr>
        <w:pStyle w:val="Style17"/>
        <w:spacing w:before="120" w:after="0"/>
        <w:rPr/>
      </w:pPr>
      <w:r>
        <w:rPr/>
        <w:t>Проект договора, заключаемого по результатам закупки, приведен в отдельном файле (предоставляется отдельным документом в составе Документации о закупке), являющимся Приложением № 2 к Документации о закупке.</w:t>
      </w:r>
    </w:p>
    <w:p>
      <w:pPr>
        <w:pStyle w:val="Style17"/>
        <w:spacing w:before="0" w:after="0"/>
        <w:rPr/>
      </w:pPr>
      <w:r>
        <w:rPr/>
        <w:t>Все положения Проекта договора являются существенными условиями для Заказчика, за исключением пунктов договора, указанных в подразделе </w:t>
      </w:r>
      <w:r>
        <w:rPr/>
        <w:fldChar w:fldCharType="begin"/>
      </w:r>
      <w:r>
        <w:rPr/>
        <w:instrText xml:space="preserve"> REF _Ref132876309 \r \h </w:instrText>
      </w:r>
      <w:r>
        <w:rPr/>
        <w:fldChar w:fldCharType="separate"/>
      </w:r>
      <w:r>
        <w:rPr/>
        <w:t>1.2</w:t>
      </w:r>
      <w:r>
        <w:rPr/>
        <w:fldChar w:fldCharType="end"/>
      </w:r>
      <w:r>
        <w:rPr/>
        <w:t xml:space="preserve"> как «Некритичные пункты Проекта договора».</w:t>
      </w:r>
    </w:p>
    <w:p>
      <w:pPr>
        <w:pStyle w:val="Style17"/>
        <w:spacing w:before="0" w:after="0"/>
        <w:rPr/>
      </w:pPr>
      <w:r>
        <w:rPr/>
        <w:t>В соответствии с пунктом </w:t>
      </w:r>
      <w:r>
        <w:rPr/>
        <w:fldChar w:fldCharType="begin"/>
      </w:r>
      <w:r>
        <w:rPr/>
        <w:instrText xml:space="preserve"> REF _Ref49437111 \r \h </w:instrText>
      </w:r>
      <w:r>
        <w:rPr/>
        <w:fldChar w:fldCharType="separate"/>
      </w:r>
      <w:r>
        <w:rPr/>
        <w:t>5.2.12</w:t>
      </w:r>
      <w:r>
        <w:rPr/>
        <w:fldChar w:fldCharType="end"/>
      </w:r>
      <w:r>
        <w:rPr/>
        <w:t xml:space="preserve">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Если Стороны не придут к соглашению об этих изменениях, они будут обязаны подписать Договор на условиях, изложенных в Документации о закупке.</w:t>
      </w:r>
    </w:p>
    <w:p>
      <w:pPr>
        <w:pStyle w:val="Style17"/>
        <w:spacing w:before="0" w:after="0"/>
        <w:rPr/>
      </w:pPr>
      <w:r>
        <w:rPr/>
        <w:t>Одновременно с подписанием Сторонами Договора или не позднее 3 (трех) рабочих дней после подписания Договора, Сторонами должно быть подписано дополнительное соглашение, форма которого приведена в отдельном файле в формате Microsoft Word (предоставляется отдельным документом в составе Документации о закупке), касающееся вопросов подтверждения Участником информации о цепочке собственников, включая бенефициаров (в том числе конечных):</w:t>
      </w:r>
      <w:bookmarkStart w:id="252" w:name="_MON_1736255517"/>
      <w:bookmarkEnd w:id="252"/>
    </w:p>
    <w:p>
      <w:pPr>
        <w:sectPr>
          <w:headerReference w:type="default" r:id="rId13"/>
          <w:headerReference w:type="first" r:id="rId14"/>
          <w:footerReference w:type="default" r:id="rId15"/>
          <w:footerReference w:type="first" r:id="rId16"/>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1"/>
        <w:jc w:val="center"/>
        <w:rPr/>
      </w:pPr>
      <w:r>
        <w:rPr/>
        <w:drawing>
          <wp:inline distT="0" distB="0" distL="0" distR="0">
            <wp:extent cx="991235" cy="607060"/>
            <wp:effectExtent l="0" t="0" r="0" b="0"/>
            <wp:docPr id="1" name="i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0" descr=""/>
                    <pic:cNvPicPr>
                      <a:picLocks noChangeAspect="1" noChangeArrowheads="1"/>
                    </pic:cNvPicPr>
                  </pic:nvPicPr>
                  <pic:blipFill>
                    <a:blip r:embed="rId12"/>
                    <a:stretch>
                      <a:fillRect/>
                    </a:stretch>
                  </pic:blipFill>
                  <pic:spPr bwMode="auto">
                    <a:xfrm>
                      <a:off x="0" y="0"/>
                      <a:ext cx="991235" cy="607060"/>
                    </a:xfrm>
                    <a:prstGeom prst="rect">
                      <a:avLst/>
                    </a:prstGeom>
                  </pic:spPr>
                </pic:pic>
              </a:graphicData>
            </a:graphic>
          </wp:inline>
        </w:drawing>
      </w:r>
    </w:p>
    <w:p>
      <w:pPr>
        <w:pStyle w:val="Style15"/>
        <w:spacing w:before="0" w:after="0"/>
        <w:rPr/>
      </w:pPr>
      <w:bookmarkStart w:id="253" w:name="_Ref125365476"/>
      <w:bookmarkStart w:id="254" w:name="_Ref125361908"/>
      <w:bookmarkStart w:id="255" w:name="_Ref125370013"/>
      <w:bookmarkStart w:id="256" w:name="Прил03_ТребованияУчастникам"/>
      <w:bookmarkStart w:id="257" w:name="_Ref125361494"/>
      <w:bookmarkStart w:id="258" w:name="_Toc228876883"/>
      <w:r>
        <w:rPr/>
        <w:t>Приложение № 3 – Требования к Участникам</w:t>
      </w:r>
      <w:bookmarkEnd w:id="253"/>
      <w:bookmarkEnd w:id="254"/>
      <w:bookmarkEnd w:id="255"/>
      <w:bookmarkEnd w:id="256"/>
      <w:bookmarkEnd w:id="257"/>
      <w:bookmarkEnd w:id="258"/>
    </w:p>
    <w:p>
      <w:pPr>
        <w:pStyle w:val="Style16"/>
        <w:spacing w:before="360" w:after="0"/>
        <w:rPr/>
      </w:pPr>
      <w:bookmarkStart w:id="259" w:name="_Toc228876884"/>
      <w:r>
        <w:rPr/>
        <w:t>Пояснения к требованиям к Участникам</w:t>
      </w:r>
      <w:bookmarkEnd w:id="259"/>
    </w:p>
    <w:p>
      <w:pPr>
        <w:pStyle w:val="Style17"/>
        <w:spacing w:before="120" w:after="0"/>
        <w:rPr/>
      </w:pPr>
      <w:bookmarkStart w:id="260" w:name="_Hlk125628168"/>
      <w:r>
        <w:rPr/>
        <w:t>Чтобы претендовать на победу в закупке и получение права заключить Договор с Заказчиком, Участник должен отвечать нижеуказанным требованиям и включить в состав заявки документы, подтверждающие его соответствие установленным требованиям.</w:t>
      </w:r>
      <w:bookmarkEnd w:id="260"/>
    </w:p>
    <w:p>
      <w:pPr>
        <w:pStyle w:val="Style16"/>
        <w:spacing w:before="360" w:after="120"/>
        <w:rPr/>
      </w:pPr>
      <w:bookmarkStart w:id="261" w:name="_Ref125361926"/>
      <w:bookmarkStart w:id="262" w:name="_Ref125361832"/>
      <w:bookmarkStart w:id="263" w:name="_Ref125361846"/>
      <w:bookmarkStart w:id="264" w:name="_Ref125361590"/>
      <w:bookmarkStart w:id="265" w:name="_Ref125361617"/>
      <w:bookmarkStart w:id="266" w:name="_Ref125369088"/>
      <w:bookmarkStart w:id="267" w:name="_Ref125368812"/>
      <w:bookmarkStart w:id="268" w:name="_Ref125361435"/>
      <w:bookmarkStart w:id="269" w:name="_Toc228876885"/>
      <w:bookmarkStart w:id="270" w:name="_Ref125370058"/>
      <w:bookmarkStart w:id="271" w:name="_Ref125370064"/>
      <w:bookmarkStart w:id="272" w:name="_Ref125368895"/>
      <w:bookmarkStart w:id="273" w:name="_Ref125366879"/>
      <w:bookmarkStart w:id="274" w:name="_Ref125370071"/>
      <w:r>
        <w:rPr/>
        <w:t>Обязательные требования</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tbl>
      <w:tblPr>
        <w:tblW w:w="15126" w:type="dxa"/>
        <w:jc w:val="left"/>
        <w:tblInd w:w="0" w:type="dxa"/>
        <w:tblLayout w:type="fixed"/>
        <w:tblCellMar>
          <w:top w:w="0" w:type="dxa"/>
          <w:left w:w="57" w:type="dxa"/>
          <w:bottom w:w="0" w:type="dxa"/>
          <w:right w:w="57" w:type="dxa"/>
        </w:tblCellMar>
      </w:tblPr>
      <w:tblGrid>
        <w:gridCol w:w="1128"/>
        <w:gridCol w:w="5671"/>
        <w:gridCol w:w="8327"/>
      </w:tblGrid>
      <w:tr>
        <w:trPr/>
        <w:tc>
          <w:tcPr>
            <w:tcW w:w="1128" w:type="dxa"/>
            <w:tcBorders>
              <w:top w:val="single" w:sz="4" w:space="0" w:color="7F7F7F"/>
              <w:left w:val="single" w:sz="4" w:space="0" w:color="7F7F7F"/>
              <w:bottom w:val="single" w:sz="4" w:space="0" w:color="7F7F7F"/>
              <w:right w:val="single" w:sz="4" w:space="0" w:color="7F7F7F"/>
            </w:tcBorders>
          </w:tcPr>
          <w:p>
            <w:pPr>
              <w:pStyle w:val="Style21"/>
              <w:keepNext w:val="fals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5671" w:type="dxa"/>
            <w:tcBorders>
              <w:top w:val="single" w:sz="4" w:space="0" w:color="7F7F7F"/>
              <w:left w:val="single" w:sz="4" w:space="0" w:color="7F7F7F"/>
              <w:bottom w:val="single" w:sz="4" w:space="0" w:color="7F7F7F"/>
              <w:right w:val="single" w:sz="4" w:space="0" w:color="7F7F7F"/>
            </w:tcBorders>
          </w:tcPr>
          <w:p>
            <w:pPr>
              <w:pStyle w:val="Style21"/>
              <w:keepNext w:val="fals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Требования к Участнику</w:t>
            </w:r>
          </w:p>
        </w:tc>
        <w:tc>
          <w:tcPr>
            <w:tcW w:w="8327" w:type="dxa"/>
            <w:tcBorders>
              <w:top w:val="single" w:sz="4" w:space="0" w:color="7F7F7F"/>
              <w:left w:val="single" w:sz="4" w:space="0" w:color="7F7F7F"/>
              <w:bottom w:val="single" w:sz="4" w:space="0" w:color="7F7F7F"/>
              <w:right w:val="single" w:sz="4" w:space="0" w:color="7F7F7F"/>
            </w:tcBorders>
          </w:tcPr>
          <w:p>
            <w:pPr>
              <w:pStyle w:val="Style21"/>
              <w:keepNext w:val="fals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2"/>
              </w:numPr>
              <w:spacing w:lineRule="auto" w:line="240" w:before="60" w:after="60"/>
              <w:ind w:hanging="0" w:left="284"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75" w:name="_Ref125552433"/>
            <w:bookmarkStart w:id="276" w:name="_Ref125552433"/>
            <w:bookmarkEnd w:id="276"/>
          </w:p>
        </w:tc>
        <w:tc>
          <w:tcPr>
            <w:tcW w:w="567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Участник должен обладать гражданской правоспособностью в полном объеме для заключения и исполнения Договора, а также должен обладать статусом «аккредитован» в соответствии с Положением об аккредитации, либо являться лицом, указанным в пункте 3.11 Положения об аккредитации:</w:t>
            </w:r>
          </w:p>
        </w:tc>
        <w:tc>
          <w:tcPr>
            <w:tcW w:w="832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4"/>
              </w:numPr>
              <w:spacing w:lineRule="auto" w:line="240" w:before="60" w:after="60"/>
              <w:ind w:hanging="284" w:left="284" w:right="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В отношении гражданской правоспособности:</w:t>
            </w:r>
          </w:p>
          <w:p>
            <w:pPr>
              <w:pStyle w:val="Style21"/>
              <w:widowControl w:val="false"/>
              <w:numPr>
                <w:ilvl w:val="0"/>
                <w:numId w:val="15"/>
              </w:numPr>
              <w:spacing w:lineRule="auto" w:line="240" w:before="60" w:after="60"/>
              <w:ind w:hanging="284" w:left="568" w:right="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если заявка подписывается лицом, действующим на основании доверенности, предоставляется электронный образ (файл в формате Portable Document Format (*.pdf)) оригинала соответствующей доверенности либо ее нотариально заверенной копии (с указанием правомочий на подписание заявки);</w:t>
            </w:r>
          </w:p>
          <w:p>
            <w:pPr>
              <w:pStyle w:val="Style21"/>
              <w:widowControl w:val="false"/>
              <w:numPr>
                <w:ilvl w:val="0"/>
                <w:numId w:val="14"/>
              </w:numPr>
              <w:spacing w:lineRule="auto" w:line="240" w:before="60" w:after="60"/>
              <w:ind w:hanging="284" w:left="284" w:right="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В отношении аккредитации:</w:t>
            </w:r>
          </w:p>
          <w:p>
            <w:pPr>
              <w:pStyle w:val="Style21"/>
              <w:widowControl w:val="false"/>
              <w:numPr>
                <w:ilvl w:val="0"/>
                <w:numId w:val="15"/>
              </w:numPr>
              <w:spacing w:lineRule="auto" w:line="240" w:before="60" w:after="60"/>
              <w:ind w:hanging="284" w:left="568" w:right="0"/>
              <w:rPr/>
            </w:pPr>
            <w:r>
              <w:rPr>
                <w:rFonts w:eastAsia="Calibri" w:cs="Arial"/>
                <w:kern w:val="0"/>
                <w:sz w:val="26"/>
                <w:szCs w:val="22"/>
                <w:lang w:val="ru-RU" w:eastAsia="en-US" w:bidi="ar-SA"/>
              </w:rPr>
              <w:t>при наличии у Участника на момент подачи заявки статуса «аккредитован» (по результатам ранее пройденной процедуры аккредитации) / статуса «аккредитация не требуется» (в соответствии с ранее направленными сведениями для включения записи в Реестр аккредитации), и при наличии (с момента подачи Заявки на аккредитацию) изменений, оказывающих влияние на соответствие его критериям аккредитации (на текущий статус), а также следующих изменений: реорганизация, изменение наименования, места нахождения, единоличного исполнительного органа и прочих сведений, указанных ранее в Заявке на аккредитацию – декларация в составе Письма о подаче оферты (форма 2)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и обновленная Заявка на аккредитацию по установленной в Документации о закупке форме (</w:t>
            </w:r>
            <w:hyperlink w:anchor="Прил10_ФормаЗаявкиНаАккредитацию" w:tgtFrame="#Прил10_ФормаЗаявкиНаАккредитацию">
              <w:r>
                <w:rPr>
                  <w:rStyle w:val="Style6"/>
                  <w:rFonts w:eastAsia="Calibri" w:cs="Arial"/>
                  <w:kern w:val="0"/>
                  <w:sz w:val="26"/>
                  <w:szCs w:val="22"/>
                  <w:lang w:val="ru-RU" w:eastAsia="en-US" w:bidi="ar-SA"/>
                </w:rPr>
                <w:t>Приложение № 10</w:t>
              </w:r>
            </w:hyperlink>
            <w:r>
              <w:rPr>
                <w:rFonts w:eastAsia="Calibri" w:cs="Arial"/>
                <w:kern w:val="0"/>
                <w:sz w:val="26"/>
                <w:szCs w:val="22"/>
                <w:lang w:val="ru-RU" w:eastAsia="en-US" w:bidi="ar-SA"/>
              </w:rPr>
              <w:t>);</w:t>
            </w:r>
          </w:p>
          <w:p>
            <w:pPr>
              <w:pStyle w:val="Style21"/>
              <w:widowControl w:val="false"/>
              <w:numPr>
                <w:ilvl w:val="0"/>
                <w:numId w:val="15"/>
              </w:numPr>
              <w:spacing w:lineRule="auto" w:line="240" w:before="60" w:after="60"/>
              <w:ind w:hanging="284" w:left="568" w:right="0"/>
              <w:rPr/>
            </w:pPr>
            <w:r>
              <w:rPr>
                <w:rFonts w:eastAsia="Calibri" w:cs="Arial"/>
                <w:kern w:val="0"/>
                <w:sz w:val="26"/>
                <w:szCs w:val="22"/>
                <w:lang w:val="ru-RU" w:eastAsia="en-US" w:bidi="ar-SA"/>
              </w:rPr>
              <w:t>при отсутствии у Участника на момент подачи заявки статуса «аккредитован» (при условии, что Участник ранее направил Заявку на аккредитацию, но на момент подачи заявки на участие в текущей закупке результаты проверки еще не известны (отсутствует соответствующая запись в Реестре аккредитации)) – декларация в составе Письма о подаче оферты (форма 2)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w:t>
            </w:r>
          </w:p>
          <w:p>
            <w:pPr>
              <w:pStyle w:val="Style21"/>
              <w:widowControl w:val="false"/>
              <w:numPr>
                <w:ilvl w:val="0"/>
                <w:numId w:val="15"/>
              </w:numPr>
              <w:spacing w:lineRule="auto" w:line="240" w:before="60" w:after="60"/>
              <w:ind w:hanging="284" w:left="568" w:right="0"/>
              <w:rPr/>
            </w:pPr>
            <w:r>
              <w:rPr>
                <w:rFonts w:eastAsia="Calibri" w:cs="Arial"/>
                <w:kern w:val="0"/>
                <w:sz w:val="26"/>
                <w:szCs w:val="22"/>
                <w:lang w:val="ru-RU" w:eastAsia="en-US" w:bidi="ar-SA"/>
              </w:rPr>
              <w:t>при отсутствии у Участника на момент подачи заявки статуса «аккредитован» (не проходил ранее процедуру аккредитации) или наличия у Участника статуса «не аккредитован» (по результатам ранее пройденной процедуры аккредитации), а также для лиц, указанных в пункте 3.11 Положения об аккредитации (аккредитация не требуется), но которые ранее не направляли соответствующие сведения для включения записи в Реестр аккредитации – Заявка на аккредитацию по установленной в Документации о закупке форме (</w:t>
            </w:r>
            <w:hyperlink w:anchor="Прил10_ФормаЗаявкиНаАккредитацию" w:tgtFrame="#Прил10_ФормаЗаявкиНаАккредитацию">
              <w:r>
                <w:rPr>
                  <w:rStyle w:val="Style6"/>
                  <w:rFonts w:eastAsia="Calibri" w:cs="Arial"/>
                  <w:kern w:val="0"/>
                  <w:sz w:val="26"/>
                  <w:szCs w:val="22"/>
                  <w:lang w:val="ru-RU" w:eastAsia="en-US" w:bidi="ar-SA"/>
                </w:rPr>
                <w:t>Приложение № 10</w:t>
              </w:r>
            </w:hyperlink>
            <w:r>
              <w:rPr>
                <w:rFonts w:eastAsia="Calibri" w:cs="Arial"/>
                <w:kern w:val="0"/>
                <w:sz w:val="26"/>
                <w:szCs w:val="22"/>
                <w:lang w:val="ru-RU" w:eastAsia="en-US" w:bidi="ar-SA"/>
              </w:rPr>
              <w:t>).</w:t>
            </w:r>
          </w:p>
          <w:p>
            <w:pPr>
              <w:pStyle w:val="Style21"/>
              <w:widowControl w:val="false"/>
              <w:spacing w:lineRule="auto" w:line="240" w:before="60" w:after="60"/>
              <w:ind w:hanging="0" w:left="284" w:right="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 xml:space="preserve">В случае заинтересованности Участника в дополнительной оценке его финансового состояния, при условии отсутствия опубликованной в государственном информационном ресурсе бухгалтерской (финансовой) отчетности организаций (https://bo.nalog.ru), к Заявке на аккредитацию также прилагается электронная копия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 </w:t>
            </w:r>
          </w:p>
          <w:p>
            <w:pPr>
              <w:pStyle w:val="Style21"/>
              <w:widowControl w:val="false"/>
              <w:spacing w:lineRule="auto" w:line="240" w:before="60" w:after="60"/>
              <w:ind w:hanging="0" w:left="284" w:right="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вместе с Заявкой на аккредитацию:</w:t>
            </w:r>
          </w:p>
          <w:p>
            <w:pPr>
              <w:pStyle w:val="Style21"/>
              <w:widowControl w:val="false"/>
              <w:spacing w:lineRule="auto" w:line="240" w:before="60" w:after="60"/>
              <w:ind w:hanging="0" w:left="284" w:right="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w:t>
            </w:r>
            <w:r>
              <w:rPr>
                <w:rFonts w:eastAsia="Calibri" w:cs="Arial"/>
                <w:kern w:val="0"/>
                <w:sz w:val="26"/>
                <w:szCs w:val="22"/>
                <w:lang w:val="ru-RU" w:eastAsia="en-US" w:bidi="ar-SA"/>
              </w:rPr>
              <w:tab/>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21"/>
              <w:widowControl w:val="false"/>
              <w:spacing w:lineRule="auto" w:line="240" w:before="60" w:after="60"/>
              <w:ind w:hanging="0" w:left="284" w:right="0"/>
              <w:rPr/>
            </w:pPr>
            <w:r>
              <w:rPr>
                <w:rFonts w:eastAsia="Calibri" w:cs="Arial"/>
                <w:kern w:val="0"/>
                <w:sz w:val="26"/>
                <w:szCs w:val="22"/>
                <w:lang w:val="ru-RU" w:eastAsia="en-US" w:bidi="ar-SA"/>
              </w:rPr>
              <w:t>−</w:t>
            </w:r>
            <w:r>
              <w:rPr>
                <w:rFonts w:eastAsia="Calibri" w:cs="Arial"/>
                <w:kern w:val="0"/>
                <w:sz w:val="26"/>
                <w:szCs w:val="22"/>
                <w:lang w:val="ru-RU" w:eastAsia="en-US" w:bidi="ar-SA"/>
              </w:rPr>
              <w:tab/>
              <w:t xml:space="preserve">дополнительных сведений о размере всех требуемых показателей согласно данным бухгалтерской (финансовой) отчетности (по форме, представленной в </w:t>
            </w:r>
            <w:hyperlink w:anchor="Прил11_Данные_бухотчетность" w:tgtFrame="#Прил11_Данные_бухотчетность">
              <w:r>
                <w:rPr>
                  <w:rStyle w:val="Hyperlink"/>
                  <w:rFonts w:eastAsia="Calibri" w:cs="Arial"/>
                  <w:kern w:val="0"/>
                  <w:sz w:val="26"/>
                  <w:szCs w:val="22"/>
                  <w:lang w:val="ru-RU" w:eastAsia="en-US" w:bidi="ar-SA"/>
                </w:rPr>
                <w:t>Приложении № 11</w:t>
              </w:r>
            </w:hyperlink>
            <w:r>
              <w:rPr>
                <w:rFonts w:eastAsia="Calibri" w:cs="Arial"/>
                <w:kern w:val="0"/>
                <w:sz w:val="26"/>
                <w:szCs w:val="22"/>
                <w:lang w:val="ru-RU" w:eastAsia="en-US" w:bidi="ar-SA"/>
              </w:rPr>
              <w:t>).</w:t>
            </w:r>
          </w:p>
          <w:p>
            <w:pPr>
              <w:pStyle w:val="Style21"/>
              <w:widowControl w:val="false"/>
              <w:spacing w:lineRule="auto" w:line="240" w:before="60" w:after="60"/>
              <w:ind w:hanging="0" w:left="284" w:right="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Указанные документы не являются обязательными к подаче в рамках процедуры аккредитации и предоставляются по желанию Участника.</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2"/>
              </w:numPr>
              <w:spacing w:lineRule="auto" w:line="240" w:before="60" w:after="60"/>
              <w:ind w:hanging="0" w:left="284"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77" w:name="_Ref132893662"/>
            <w:bookmarkStart w:id="278" w:name="_Ref132893662"/>
            <w:bookmarkEnd w:id="278"/>
          </w:p>
        </w:tc>
        <w:tc>
          <w:tcPr>
            <w:tcW w:w="567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Участник должен являться субъектом МСП, или физическим лицом, не являющимся индивидуальным предпринимателем и применяющим специальный налоговый режим «Налог на профессиональный доход»:</w:t>
            </w:r>
          </w:p>
        </w:tc>
        <w:tc>
          <w:tcPr>
            <w:tcW w:w="832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Предоставление документов не требуется.</w:t>
            </w:r>
          </w:p>
          <w:p>
            <w:pPr>
              <w:pStyle w:val="Style21"/>
              <w:widowControl w:val="false"/>
              <w:spacing w:lineRule="auto" w:line="240" w:before="60" w:after="60"/>
              <w:rPr>
                <w:rFonts w:ascii="Times New Roman" w:hAnsi="Times New Roman" w:eastAsia="Calibri" w:cs="Arial"/>
                <w:i/>
                <w:i/>
                <w:iCs/>
                <w:kern w:val="0"/>
                <w:sz w:val="26"/>
                <w:szCs w:val="22"/>
                <w:lang w:val="ru-RU" w:eastAsia="en-US" w:bidi="ar-SA"/>
              </w:rPr>
            </w:pPr>
            <w:r>
              <w:rPr>
                <w:rFonts w:eastAsia="Calibri" w:cs="Arial"/>
                <w:i/>
                <w:iCs/>
                <w:kern w:val="0"/>
                <w:sz w:val="26"/>
                <w:szCs w:val="22"/>
                <w:lang w:val="ru-RU" w:eastAsia="en-US" w:bidi="ar-SA"/>
              </w:rPr>
              <w:t>(В рамках рассмотрения заявок Организатор проверяет наличие информации об Участнике в Реестре МСП, а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2"/>
              </w:numPr>
              <w:spacing w:lineRule="auto" w:line="240" w:before="60" w:after="60"/>
              <w:ind w:hanging="0" w:left="284"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79" w:name="_Ref139029906"/>
            <w:bookmarkStart w:id="280" w:name="_Ref139029906"/>
            <w:bookmarkEnd w:id="280"/>
          </w:p>
        </w:tc>
        <w:tc>
          <w:tcPr>
            <w:tcW w:w="567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exact" w:line="283" w:before="0" w:after="0"/>
              <w:rPr/>
            </w:pPr>
            <w:r>
              <w:rPr>
                <w:rFonts w:eastAsia="Calibri" w:cs="Arial"/>
                <w:kern w:val="0"/>
                <w:sz w:val="26"/>
                <w:szCs w:val="22"/>
                <w:lang w:val="ru-RU" w:eastAsia="en-US" w:bidi="ar-SA"/>
              </w:rPr>
              <w:t>Сведения об Участнике должны отсутствовать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w:t>
            </w:r>
            <w:r>
              <w:rPr>
                <w:rStyle w:val="FootnoteReference"/>
                <w:rFonts w:eastAsia="Calibri" w:cs="Arial"/>
                <w:kern w:val="0"/>
                <w:sz w:val="26"/>
                <w:szCs w:val="22"/>
                <w:lang w:val="ru-RU" w:eastAsia="en-US" w:bidi="ar-SA"/>
              </w:rPr>
              <w:footnoteReference w:id="11"/>
            </w:r>
            <w:r>
              <w:rPr>
                <w:rFonts w:eastAsia="Calibri" w:cs="Arial"/>
                <w:kern w:val="0"/>
                <w:sz w:val="26"/>
                <w:szCs w:val="22"/>
                <w:lang w:val="ru-RU" w:eastAsia="en-US" w:bidi="ar-SA"/>
              </w:rPr>
              <w:t>, а также Участник не должен являться подконтрольной организацией данных юридических лиц</w:t>
            </w:r>
            <w:r>
              <w:rPr>
                <w:rStyle w:val="FootnoteReference"/>
                <w:rFonts w:eastAsia="Calibri" w:cs="Arial"/>
                <w:kern w:val="0"/>
                <w:sz w:val="26"/>
                <w:szCs w:val="22"/>
                <w:lang w:val="ru-RU" w:eastAsia="en-US" w:bidi="ar-SA"/>
              </w:rPr>
              <w:footnoteReference w:id="12"/>
            </w:r>
            <w:r>
              <w:rPr>
                <w:rFonts w:eastAsia="Calibri" w:cs="Arial"/>
                <w:kern w:val="0"/>
                <w:sz w:val="26"/>
                <w:szCs w:val="22"/>
                <w:lang w:val="ru-RU" w:eastAsia="en-US" w:bidi="ar-SA"/>
              </w:rPr>
              <w:t>:</w:t>
            </w:r>
          </w:p>
        </w:tc>
        <w:tc>
          <w:tcPr>
            <w:tcW w:w="832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Предоставление документов не требуется.</w:t>
            </w:r>
          </w:p>
          <w:p>
            <w:pPr>
              <w:pStyle w:val="Style21"/>
              <w:widowControl w:val="false"/>
              <w:spacing w:lineRule="auto" w:line="240" w:before="60" w:after="60"/>
              <w:rPr>
                <w:i/>
                <w:i/>
                <w:iCs/>
              </w:rPr>
            </w:pPr>
            <w:r>
              <w:rPr>
                <w:rFonts w:eastAsia="Calibri" w:cs="Arial"/>
                <w:i/>
                <w:iCs/>
                <w:kern w:val="0"/>
                <w:sz w:val="26"/>
                <w:szCs w:val="22"/>
                <w:lang w:val="ru-RU" w:eastAsia="en-US" w:bidi="ar-SA"/>
              </w:rPr>
              <w:t>(В рамках рассмотрения заявок и (или) перед заключением договора Организатор проверяет наличие информации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«О мерах по реализации Указа Президента Российской Федерации от 3 мая 2022 г. N 252».)</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2"/>
              </w:numPr>
              <w:spacing w:lineRule="auto" w:line="240" w:before="60" w:after="60"/>
              <w:ind w:hanging="0" w:left="284"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81" w:name="_Ref186181914"/>
            <w:bookmarkStart w:id="282" w:name="_Ref186181914"/>
            <w:bookmarkEnd w:id="282"/>
          </w:p>
        </w:tc>
        <w:tc>
          <w:tcPr>
            <w:tcW w:w="567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Если в подразделе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_Ref125359973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установлен режим запрета закупки иностранной продукции и предметом закупки является оказание услуг и (или) выполнение работ (в том числе с поставкой товаров при выполнении работ и (или) оказании услуг), то Участник должен быть российским лицом:</w:t>
            </w:r>
          </w:p>
        </w:tc>
        <w:tc>
          <w:tcPr>
            <w:tcW w:w="832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Декларация о соответствии Участника данному требованию в составе Письма о подаче оферты (форма 2)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соответствующих сведений.</w:t>
            </w:r>
          </w:p>
          <w:p>
            <w:pPr>
              <w:pStyle w:val="Style21"/>
              <w:widowControl w:val="false"/>
              <w:spacing w:lineRule="auto" w:line="240" w:before="60" w:after="60"/>
              <w:rPr>
                <w:i/>
                <w:i/>
                <w:iCs/>
              </w:rPr>
            </w:pPr>
            <w:r>
              <w:rPr>
                <w:rFonts w:eastAsia="Calibri" w:cs="Arial"/>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2"/>
              </w:numPr>
              <w:spacing w:lineRule="auto" w:line="240" w:before="60" w:after="60"/>
              <w:ind w:hanging="0" w:left="284"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283" w:name="_Ref186181918"/>
            <w:bookmarkStart w:id="284" w:name="_Ref186181918"/>
            <w:bookmarkEnd w:id="284"/>
          </w:p>
        </w:tc>
        <w:tc>
          <w:tcPr>
            <w:tcW w:w="567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Если в подразделе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_Ref125359973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установлен режим ограничения закупки иностранной продукции и предметом закупки является оказание услуг и (или) выполнение работ (в том числе с поставкой товаров при выполнении закупаемых работ и (или) оказании закупаемых услуг), то Участник не должен являться иностранным лицом, при наличии заявки, соответствующей всем требованиям Документации о закупке, поданной от российского лица:</w:t>
            </w:r>
          </w:p>
        </w:tc>
        <w:tc>
          <w:tcPr>
            <w:tcW w:w="832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Декларация о принадлежности Участника к иностранному лицу или российскому лицу в составе Письма о подаче оферты (форма 2)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соответствующих сведений.</w:t>
            </w:r>
          </w:p>
          <w:p>
            <w:pPr>
              <w:pStyle w:val="Style21"/>
              <w:widowControl w:val="false"/>
              <w:spacing w:lineRule="auto" w:line="240" w:before="60" w:after="60"/>
              <w:rPr>
                <w:i/>
                <w:i/>
                <w:iCs/>
              </w:rPr>
            </w:pPr>
            <w:r>
              <w:rPr>
                <w:rFonts w:eastAsia="Calibri" w:cs="Arial"/>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bl>
    <w:p>
      <w:pPr>
        <w:pStyle w:val="Style16"/>
        <w:spacing w:before="360" w:after="120"/>
        <w:rPr/>
      </w:pPr>
      <w:bookmarkStart w:id="285" w:name="_Ref125367539"/>
      <w:bookmarkStart w:id="286" w:name="_Ref125709153"/>
      <w:bookmarkStart w:id="287" w:name="_Ref125709250"/>
      <w:bookmarkStart w:id="288" w:name="_Ref125367521"/>
      <w:bookmarkStart w:id="289" w:name="_Ref125361869"/>
      <w:bookmarkStart w:id="290" w:name="_Ref125709401"/>
      <w:bookmarkStart w:id="291" w:name="_Ref125370079"/>
      <w:bookmarkStart w:id="292" w:name="_Ref125368901"/>
      <w:bookmarkStart w:id="293" w:name="_Ref125368916"/>
      <w:bookmarkStart w:id="294" w:name="_Ref125368818"/>
      <w:bookmarkStart w:id="295" w:name="_Ref125361937"/>
      <w:bookmarkStart w:id="296" w:name="_Ref125361442"/>
      <w:bookmarkStart w:id="297" w:name="_Ref125361633"/>
      <w:bookmarkStart w:id="298" w:name="_Ref125365459"/>
      <w:bookmarkStart w:id="299" w:name="_Toc228876886"/>
      <w:bookmarkStart w:id="300" w:name="_Ref125709888"/>
      <w:bookmarkStart w:id="301" w:name="_Ref125361671"/>
      <w:bookmarkStart w:id="302" w:name="_Ref125369099"/>
      <w:r>
        <w:rPr/>
        <w:t>Специальные требования</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tbl>
      <w:tblPr>
        <w:tblW w:w="15126" w:type="dxa"/>
        <w:jc w:val="left"/>
        <w:tblInd w:w="0" w:type="dxa"/>
        <w:tblLayout w:type="fixed"/>
        <w:tblCellMar>
          <w:top w:w="0" w:type="dxa"/>
          <w:left w:w="57" w:type="dxa"/>
          <w:bottom w:w="0" w:type="dxa"/>
          <w:right w:w="57" w:type="dxa"/>
        </w:tblCellMar>
      </w:tblPr>
      <w:tblGrid>
        <w:gridCol w:w="1128"/>
        <w:gridCol w:w="5671"/>
        <w:gridCol w:w="8327"/>
      </w:tblGrid>
      <w:tr>
        <w:trPr/>
        <w:tc>
          <w:tcPr>
            <w:tcW w:w="1128" w:type="dxa"/>
            <w:tcBorders>
              <w:top w:val="single" w:sz="4" w:space="0" w:color="7F7F7F"/>
              <w:left w:val="single" w:sz="4" w:space="0" w:color="7F7F7F"/>
              <w:bottom w:val="single" w:sz="4" w:space="0" w:color="7F7F7F"/>
              <w:right w:val="single" w:sz="4" w:space="0" w:color="7F7F7F"/>
            </w:tcBorders>
          </w:tcPr>
          <w:p>
            <w:pPr>
              <w:pStyle w:val="Style21"/>
              <w:keepNext w:val="fals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5671" w:type="dxa"/>
            <w:tcBorders>
              <w:top w:val="single" w:sz="4" w:space="0" w:color="7F7F7F"/>
              <w:left w:val="single" w:sz="4" w:space="0" w:color="7F7F7F"/>
              <w:bottom w:val="single" w:sz="4" w:space="0" w:color="7F7F7F"/>
              <w:right w:val="single" w:sz="4" w:space="0" w:color="7F7F7F"/>
            </w:tcBorders>
          </w:tcPr>
          <w:p>
            <w:pPr>
              <w:pStyle w:val="Style21"/>
              <w:keepNext w:val="fals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Требования к Участнику</w:t>
            </w:r>
          </w:p>
        </w:tc>
        <w:tc>
          <w:tcPr>
            <w:tcW w:w="8327" w:type="dxa"/>
            <w:tcBorders>
              <w:top w:val="single" w:sz="4" w:space="0" w:color="7F7F7F"/>
              <w:left w:val="single" w:sz="4" w:space="0" w:color="7F7F7F"/>
              <w:bottom w:val="single" w:sz="4" w:space="0" w:color="7F7F7F"/>
              <w:right w:val="single" w:sz="4" w:space="0" w:color="7F7F7F"/>
            </w:tcBorders>
          </w:tcPr>
          <w:p>
            <w:pPr>
              <w:pStyle w:val="Style21"/>
              <w:keepNext w:val="fals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3"/>
              </w:numPr>
              <w:spacing w:lineRule="auto" w:line="240" w:before="60" w:after="60"/>
              <w:ind w:hanging="0" w:left="284"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567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Специальные требования не установлены.</w:t>
            </w:r>
          </w:p>
        </w:tc>
        <w:tc>
          <w:tcPr>
            <w:tcW w:w="832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Специальные требования не установлены.</w:t>
            </w:r>
          </w:p>
        </w:tc>
      </w:tr>
    </w:tbl>
    <w:p>
      <w:pPr>
        <w:pStyle w:val="Style16"/>
        <w:spacing w:before="360" w:after="120"/>
        <w:rPr/>
      </w:pPr>
      <w:bookmarkStart w:id="303" w:name="_Ref125362031"/>
      <w:bookmarkStart w:id="304" w:name="_Ref125369117"/>
      <w:bookmarkStart w:id="305" w:name="_Ref125370173"/>
      <w:bookmarkStart w:id="306" w:name="_Ref125370180"/>
      <w:bookmarkStart w:id="307" w:name="_Ref125370209"/>
      <w:bookmarkStart w:id="308" w:name="_Ref125709777"/>
      <w:bookmarkStart w:id="309" w:name="_Ref125709973"/>
      <w:bookmarkStart w:id="310" w:name="_Toc228876887"/>
      <w:bookmarkStart w:id="311" w:name="_Ref125361823"/>
      <w:r>
        <w:rPr/>
        <w:t>Дополнительные требования к Генеральным подрядчикам</w:t>
      </w:r>
      <w:bookmarkEnd w:id="303"/>
      <w:bookmarkEnd w:id="304"/>
      <w:bookmarkEnd w:id="305"/>
      <w:bookmarkEnd w:id="306"/>
      <w:bookmarkEnd w:id="307"/>
      <w:bookmarkEnd w:id="308"/>
      <w:bookmarkEnd w:id="309"/>
      <w:bookmarkEnd w:id="310"/>
      <w:bookmarkEnd w:id="311"/>
    </w:p>
    <w:tbl>
      <w:tblPr>
        <w:tblW w:w="15126" w:type="dxa"/>
        <w:jc w:val="left"/>
        <w:tblInd w:w="0" w:type="dxa"/>
        <w:tblLayout w:type="fixed"/>
        <w:tblCellMar>
          <w:top w:w="0" w:type="dxa"/>
          <w:left w:w="57" w:type="dxa"/>
          <w:bottom w:w="0" w:type="dxa"/>
          <w:right w:w="57" w:type="dxa"/>
        </w:tblCellMar>
      </w:tblPr>
      <w:tblGrid>
        <w:gridCol w:w="1128"/>
        <w:gridCol w:w="5671"/>
        <w:gridCol w:w="8327"/>
      </w:tblGrid>
      <w:tr>
        <w:trPr/>
        <w:tc>
          <w:tcPr>
            <w:tcW w:w="1128" w:type="dxa"/>
            <w:tcBorders>
              <w:top w:val="single" w:sz="4" w:space="0" w:color="7F7F7F"/>
              <w:left w:val="single" w:sz="4" w:space="0" w:color="7F7F7F"/>
              <w:bottom w:val="single" w:sz="4" w:space="0" w:color="7F7F7F"/>
              <w:right w:val="single" w:sz="4" w:space="0" w:color="7F7F7F"/>
            </w:tcBorders>
          </w:tcPr>
          <w:p>
            <w:pPr>
              <w:pStyle w:val="Style21"/>
              <w:keepNext w:val="fals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5671" w:type="dxa"/>
            <w:tcBorders>
              <w:top w:val="single" w:sz="4" w:space="0" w:color="7F7F7F"/>
              <w:left w:val="single" w:sz="4" w:space="0" w:color="7F7F7F"/>
              <w:bottom w:val="single" w:sz="4" w:space="0" w:color="7F7F7F"/>
              <w:right w:val="single" w:sz="4" w:space="0" w:color="7F7F7F"/>
            </w:tcBorders>
          </w:tcPr>
          <w:p>
            <w:pPr>
              <w:pStyle w:val="Style21"/>
              <w:keepNext w:val="fals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Требования к Генеральному подрядчику</w:t>
            </w:r>
          </w:p>
        </w:tc>
        <w:tc>
          <w:tcPr>
            <w:tcW w:w="8327" w:type="dxa"/>
            <w:tcBorders>
              <w:top w:val="single" w:sz="4" w:space="0" w:color="7F7F7F"/>
              <w:left w:val="single" w:sz="4" w:space="0" w:color="7F7F7F"/>
              <w:bottom w:val="single" w:sz="4" w:space="0" w:color="7F7F7F"/>
              <w:right w:val="single" w:sz="4" w:space="0" w:color="7F7F7F"/>
            </w:tcBorders>
          </w:tcPr>
          <w:p>
            <w:pPr>
              <w:pStyle w:val="Style21"/>
              <w:keepNext w:val="fals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Требования к документам, подтверждающим соответствие</w:t>
              <w:br/>
              <w:t>Генерального подрядчика установленным требованиям</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4"/>
              </w:numPr>
              <w:spacing w:lineRule="auto" w:line="240" w:before="60" w:after="60"/>
              <w:ind w:hanging="0" w:left="284"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12" w:name="_Ref125370187"/>
            <w:bookmarkStart w:id="313" w:name="_Ref125370187"/>
            <w:bookmarkEnd w:id="313"/>
          </w:p>
        </w:tc>
        <w:tc>
          <w:tcPr>
            <w:tcW w:w="567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Заявка Генерального подрядчика дополнительно должна включать сведения о распределении объемов поставки продукции между Генеральным подрядчиком и субподрядчиками:</w:t>
            </w:r>
          </w:p>
        </w:tc>
        <w:tc>
          <w:tcPr>
            <w:tcW w:w="832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Техническое предложение (форма 4)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содержащие План распределения объемов поставки продукции;</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4"/>
              </w:numPr>
              <w:spacing w:lineRule="auto" w:line="240" w:before="60" w:after="60"/>
              <w:ind w:hanging="0" w:left="284"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14" w:name="_Ref125370193"/>
            <w:bookmarkStart w:id="315" w:name="_Ref125370193"/>
            <w:bookmarkEnd w:id="315"/>
          </w:p>
        </w:tc>
        <w:tc>
          <w:tcPr>
            <w:tcW w:w="567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Соответствие каждого субподрядчика установленным требованиям (с учетом пункта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_Ref125368863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r>
            <w:r>
              <w:rPr>
                <w:sz w:val="26"/>
                <w:kern w:val="0"/>
                <w:szCs w:val="22"/>
                <w:rFonts w:eastAsia="Calibri" w:cs="Arial"/>
                <w:lang w:val="ru-RU" w:eastAsia="en-US" w:bidi="ar-SA"/>
              </w:rPr>
              <w:fldChar w:fldCharType="end"/>
            </w:r>
            <w:r>
              <w:rPr>
                <w:rFonts w:eastAsia="Calibri" w:cs="Arial"/>
                <w:kern w:val="0"/>
                <w:sz w:val="26"/>
                <w:szCs w:val="22"/>
                <w:lang w:val="ru-RU" w:eastAsia="en-US" w:bidi="ar-SA"/>
              </w:rPr>
              <w:t>) в том числе с учетом объема поставки продукции, который ему предполагается поручить в соответствии с Планом распределения объемов поставки продукции, представленным внутри Технических требованиях (форма 4)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w:t>
            </w:r>
          </w:p>
        </w:tc>
        <w:tc>
          <w:tcPr>
            <w:tcW w:w="832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Сведения и документы, аналогичные установленным в подразделах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_Ref125361442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в отношении каждого субподрядчика, подтверждающие его соответствие данным требованиям;</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4"/>
              </w:numPr>
              <w:spacing w:lineRule="auto" w:line="240" w:before="60" w:after="60"/>
              <w:ind w:hanging="0" w:left="284"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16" w:name="_Ref125553847"/>
            <w:bookmarkStart w:id="317" w:name="_Ref125553847"/>
            <w:bookmarkEnd w:id="317"/>
          </w:p>
        </w:tc>
        <w:tc>
          <w:tcPr>
            <w:tcW w:w="5671"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Дополнительные требования не установлены.</w:t>
            </w:r>
          </w:p>
        </w:tc>
        <w:tc>
          <w:tcPr>
            <w:tcW w:w="832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Дополнительные требования не установлены.</w:t>
            </w:r>
          </w:p>
        </w:tc>
      </w:tr>
    </w:tbl>
    <w:p>
      <w:pPr>
        <w:sectPr>
          <w:headerReference w:type="default" r:id="rId17"/>
          <w:headerReference w:type="first" r:id="rId18"/>
          <w:footerReference w:type="default" r:id="rId19"/>
          <w:footerReference w:type="first" r:id="rId20"/>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15"/>
        <w:spacing w:before="0" w:after="0"/>
        <w:rPr/>
      </w:pPr>
      <w:bookmarkStart w:id="318" w:name="_Toc228876888"/>
      <w:bookmarkStart w:id="319" w:name="Прил04_ФормыЗаявки"/>
      <w:bookmarkEnd w:id="319"/>
      <w:r>
        <w:rPr/>
        <w:t>Приложение № 4 – Образцы форм документов, включаемых в состав заявки</w:t>
      </w:r>
      <w:bookmarkEnd w:id="318"/>
    </w:p>
    <w:p>
      <w:pPr>
        <w:pStyle w:val="Style16"/>
        <w:spacing w:before="360" w:after="0"/>
        <w:rPr/>
      </w:pPr>
      <w:bookmarkStart w:id="320" w:name="_Toc228876889"/>
      <w:r>
        <w:rPr/>
        <w:t>Пояснения к Образцам форм документов, включаемых в состав заявки</w:t>
      </w:r>
      <w:bookmarkEnd w:id="320"/>
    </w:p>
    <w:p>
      <w:pPr>
        <w:pStyle w:val="Style17"/>
        <w:spacing w:before="120" w:after="0"/>
        <w:rPr/>
      </w:pPr>
      <w:r>
        <w:rPr/>
        <w:t xml:space="preserve">Образцы форм документов, включаемых в состав заявки (с инструкциями по их оформлению), приведены в отдельном файле (предоставляются отдельным документом в составе Документации о закупке), являющимся Приложением № 4 к Документации о закупке. </w:t>
      </w:r>
      <w:bookmarkStart w:id="321" w:name="_Hlk207818315"/>
      <w:r>
        <w:rPr/>
        <w:t>Участник при подготовке заявки обязан придерживаться установленных форм документов</w:t>
      </w:r>
      <w:bookmarkEnd w:id="321"/>
      <w:r>
        <w:rPr/>
        <w:t>.</w:t>
      </w:r>
    </w:p>
    <w:p>
      <w:pPr>
        <w:pStyle w:val="Style15"/>
        <w:spacing w:before="0" w:after="0"/>
        <w:rPr/>
      </w:pPr>
      <w:bookmarkStart w:id="322" w:name="_Toc228876890"/>
      <w:bookmarkStart w:id="323" w:name="Прил05_ФормыПобедителя"/>
      <w:bookmarkEnd w:id="323"/>
      <w:r>
        <w:rPr/>
        <w:t>Приложение № 5 – Образцы форм документов, предоставляемых Победителем</w:t>
      </w:r>
      <w:bookmarkEnd w:id="322"/>
    </w:p>
    <w:p>
      <w:pPr>
        <w:pStyle w:val="Style16"/>
        <w:spacing w:before="360" w:after="0"/>
        <w:rPr/>
      </w:pPr>
      <w:bookmarkStart w:id="324" w:name="_Toc228876891"/>
      <w:r>
        <w:rPr/>
        <w:t>Пояснения к Образцам форм документов, предоставляемых Победителем</w:t>
      </w:r>
      <w:bookmarkEnd w:id="324"/>
    </w:p>
    <w:p>
      <w:pPr>
        <w:pStyle w:val="Style17"/>
        <w:spacing w:before="120" w:after="0"/>
        <w:rPr/>
      </w:pPr>
      <w:r>
        <w:rPr/>
        <w:t>Образцы форм документов, предоставляемых Победителем (или Единственным участником, в случае признания закупки несостоявшейся и принятия решения о заключении договора с ее Единственным участником), а также дополнительные пояснения по их предоставлению и инструкции по их оформлению, приведены в подразделах </w:t>
      </w:r>
      <w:r>
        <w:rPr/>
        <w:fldChar w:fldCharType="begin"/>
      </w:r>
      <w:r>
        <w:rPr/>
        <w:instrText xml:space="preserve"> REF _Ref130395470 \r \h </w:instrText>
      </w:r>
      <w:r>
        <w:rPr/>
        <w:fldChar w:fldCharType="separate"/>
      </w:r>
      <w:r>
        <w:rPr/>
        <w:t>10.2</w:t>
      </w:r>
      <w:r>
        <w:rPr/>
        <w:fldChar w:fldCharType="end"/>
      </w:r>
      <w:r>
        <w:rPr/>
        <w:t xml:space="preserve">, </w:t>
      </w:r>
      <w:r>
        <w:rPr/>
        <w:fldChar w:fldCharType="begin"/>
      </w:r>
      <w:r>
        <w:rPr/>
        <w:instrText xml:space="preserve"> REF _Ref130395475 \r \h </w:instrText>
      </w:r>
      <w:r>
        <w:rPr/>
        <w:fldChar w:fldCharType="separate"/>
      </w:r>
      <w:r>
        <w:rPr/>
        <w:t>10.3</w:t>
      </w:r>
      <w:r>
        <w:rPr/>
        <w:fldChar w:fldCharType="end"/>
      </w:r>
      <w:r>
        <w:rPr/>
        <w:t>.</w:t>
      </w:r>
    </w:p>
    <w:p>
      <w:pPr>
        <w:pStyle w:val="Style16"/>
        <w:spacing w:before="360" w:after="0"/>
        <w:rPr/>
      </w:pPr>
      <w:bookmarkStart w:id="325" w:name="_Ref130395470"/>
      <w:bookmarkStart w:id="326" w:name="_Toc228876892"/>
      <w:r>
        <w:rPr/>
        <w:t>Форма справки «Сведения о цепочке собственников, включая бенефициаров (в том числе конечных)»</w:t>
      </w:r>
      <w:bookmarkEnd w:id="325"/>
      <w:bookmarkEnd w:id="326"/>
    </w:p>
    <w:p>
      <w:pPr>
        <w:pStyle w:val="Style17"/>
        <w:spacing w:before="120" w:after="0"/>
        <w:rPr/>
      </w:pPr>
      <w:r>
        <w:rPr/>
        <w:t>Справка «Сведения о цепочке собственников, включая бенефициаров (в том числе конечных)» предоставляется Победителем закупки (поставщиком).</w:t>
      </w:r>
    </w:p>
    <w:p>
      <w:pPr>
        <w:pStyle w:val="Style17"/>
        <w:spacing w:before="0" w:after="0"/>
        <w:rPr/>
      </w:pPr>
      <w:r>
        <w:rPr/>
        <w:t xml:space="preserve">Форма справки «Сведения о цепочке собственников, включая бенефициаров (в том числе конечных)» </w:t>
      </w:r>
      <w:r>
        <w:rPr>
          <w:lang w:val="en-US"/>
        </w:rPr>
        <w:t>c</w:t>
      </w:r>
      <w:r>
        <w:rPr/>
        <w:t xml:space="preserve"> приложением 1 «Перечень подтверждающих документов» и приложением 2 «Согласие на обработку и передачу персональных и иных охраняемых законом данных» приведена в отдельном файле в формате </w:t>
      </w:r>
      <w:r>
        <w:rPr>
          <w:lang w:val="en-US"/>
        </w:rPr>
        <w:t>Microsoft</w:t>
      </w:r>
      <w:r>
        <w:rPr/>
        <w:t xml:space="preserve"> </w:t>
      </w:r>
      <w:r>
        <w:rPr>
          <w:lang w:val="en-US"/>
        </w:rPr>
        <w:t>Word</w:t>
      </w:r>
      <w:r>
        <w:rPr/>
        <w:t>:</w:t>
      </w:r>
    </w:p>
    <w:p>
      <w:pPr>
        <w:pStyle w:val="Style21"/>
        <w:jc w:val="center"/>
        <w:rPr/>
      </w:pPr>
      <w:bookmarkStart w:id="327" w:name="_Hlk207818329"/>
      <w:bookmarkStart w:id="328" w:name="_MON_1805621314"/>
      <w:bookmarkEnd w:id="328"/>
      <w:r>
        <w:rPr/>
        <w:drawing>
          <wp:inline distT="0" distB="0" distL="0" distR="0">
            <wp:extent cx="860425" cy="389255"/>
            <wp:effectExtent l="0" t="0" r="0" b="0"/>
            <wp:docPr id="2" name="i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1" descr=""/>
                    <pic:cNvPicPr>
                      <a:picLocks noChangeAspect="1" noChangeArrowheads="1"/>
                    </pic:cNvPicPr>
                  </pic:nvPicPr>
                  <pic:blipFill>
                    <a:blip r:embed="rId21"/>
                    <a:stretch>
                      <a:fillRect/>
                    </a:stretch>
                  </pic:blipFill>
                  <pic:spPr bwMode="auto">
                    <a:xfrm>
                      <a:off x="0" y="0"/>
                      <a:ext cx="860425" cy="389255"/>
                    </a:xfrm>
                    <a:prstGeom prst="rect">
                      <a:avLst/>
                    </a:prstGeom>
                  </pic:spPr>
                </pic:pic>
              </a:graphicData>
            </a:graphic>
          </wp:inline>
        </w:drawing>
      </w:r>
      <w:bookmarkEnd w:id="327"/>
    </w:p>
    <w:p>
      <w:pPr>
        <w:pStyle w:val="Style16"/>
        <w:spacing w:before="360" w:after="0"/>
        <w:rPr/>
      </w:pPr>
      <w:bookmarkStart w:id="329" w:name="_Toc228876893"/>
      <w:bookmarkStart w:id="330" w:name="_Ref130395475"/>
      <w:r>
        <w:rPr/>
        <w:t>Форма «Заверение об обстоятельствах»</w:t>
      </w:r>
      <w:bookmarkEnd w:id="329"/>
      <w:bookmarkEnd w:id="330"/>
    </w:p>
    <w:p>
      <w:pPr>
        <w:pStyle w:val="Style17"/>
        <w:spacing w:before="120" w:after="0"/>
        <w:rPr/>
      </w:pPr>
      <w:r>
        <w:rPr/>
        <w:t>Форма Заверения об обстоятельствах предоставляется Победителем закупки (поставщиком) только при заключении договоров стоимостью свыше 100 000</w:t>
      </w:r>
      <w:r>
        <w:rPr>
          <w:lang w:val="en-US"/>
        </w:rPr>
        <w:t> </w:t>
      </w:r>
      <w:r>
        <w:rPr/>
        <w:t>000 (Ста миллионов) рублей либо договоров (без ограничения по сумме), положения которых не содержат аналогичных заверений об обстоятельствах, и предоставляется Заказчику в срок не позднее 3</w:t>
      </w:r>
      <w:r>
        <w:rPr>
          <w:lang w:val="en-US"/>
        </w:rPr>
        <w:t> </w:t>
      </w:r>
      <w:r>
        <w:rPr/>
        <w:t>(трех) рабочих дней с даты официального размещения Организатором итогового протокола по результатам закупки.</w:t>
      </w:r>
    </w:p>
    <w:p>
      <w:pPr>
        <w:pStyle w:val="Style17"/>
        <w:spacing w:before="0" w:after="0"/>
        <w:rPr/>
      </w:pPr>
      <w:r>
        <w:rPr/>
        <w:t>Победитель закупки (поставщик) должен выбрать соответствующий ему вариант Заверения об обстоятельствах, исходя из необходимости получения согласий органов управления / одобрения сделки органами управления Поставщика в соответствии с законодательством, уставом, внутренними документами и отдельными решениями органов управления Поставщика, для последующего заключения Договора по предмету настоящей закупки.</w:t>
      </w:r>
    </w:p>
    <w:p>
      <w:pPr>
        <w:pStyle w:val="Style17"/>
        <w:widowControl w:val="false"/>
        <w:spacing w:before="0" w:after="0"/>
        <w:rPr/>
      </w:pPr>
      <w:r>
        <w:rPr/>
        <w:t>Заверение об обстоятельствах следует оформить на официальном бланке Победителя закупки (поставщика) (с указанием даты и номера в соответствии с принятыми у него правилами документооборота) и заверить подписью единоличного исполнительного органа Победителя закупки (поставщика) (или иным уполномоченным лицом на основании доверенности), а также скрепить печатью (при наличии).</w:t>
      </w:r>
    </w:p>
    <w:p>
      <w:pPr>
        <w:pStyle w:val="Style17"/>
        <w:keepNext w:val="true"/>
        <w:widowControl w:val="false"/>
        <w:spacing w:before="0" w:after="0"/>
        <w:rPr/>
      </w:pPr>
      <w:r>
        <w:rPr/>
        <w:t xml:space="preserve">Форма «Заверение об обстоятельствах» приведена в отдельном файле в формате </w:t>
      </w:r>
      <w:r>
        <w:rPr>
          <w:lang w:val="en-US"/>
        </w:rPr>
        <w:t>Microsoft</w:t>
      </w:r>
      <w:r>
        <w:rPr/>
        <w:t xml:space="preserve"> </w:t>
      </w:r>
      <w:r>
        <w:rPr>
          <w:lang w:val="en-US"/>
        </w:rPr>
        <w:t>Word</w:t>
      </w:r>
      <w:r>
        <w:rPr/>
        <w:t>:</w:t>
      </w:r>
    </w:p>
    <w:p>
      <w:pPr>
        <w:pStyle w:val="Style21"/>
        <w:widowControl w:val="false"/>
        <w:spacing w:before="120" w:after="120"/>
        <w:jc w:val="center"/>
        <w:rPr/>
      </w:pPr>
      <w:bookmarkStart w:id="331" w:name="_MON_1741074184"/>
      <w:bookmarkEnd w:id="331"/>
      <w:r>
        <w:rPr/>
        <w:drawing>
          <wp:inline distT="0" distB="0" distL="0" distR="0">
            <wp:extent cx="915670" cy="475615"/>
            <wp:effectExtent l="0" t="0" r="0" b="0"/>
            <wp:docPr id="3" name="i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2" descr=""/>
                    <pic:cNvPicPr>
                      <a:picLocks noChangeAspect="1" noChangeArrowheads="1"/>
                    </pic:cNvPicPr>
                  </pic:nvPicPr>
                  <pic:blipFill>
                    <a:blip r:embed="rId22"/>
                    <a:stretch>
                      <a:fillRect/>
                    </a:stretch>
                  </pic:blipFill>
                  <pic:spPr bwMode="auto">
                    <a:xfrm>
                      <a:off x="0" y="0"/>
                      <a:ext cx="915670" cy="475615"/>
                    </a:xfrm>
                    <a:prstGeom prst="rect">
                      <a:avLst/>
                    </a:prstGeom>
                  </pic:spPr>
                </pic:pic>
              </a:graphicData>
            </a:graphic>
          </wp:inline>
        </w:drawing>
      </w:r>
    </w:p>
    <w:p>
      <w:pPr>
        <w:pStyle w:val="Style15"/>
        <w:spacing w:before="0" w:after="0"/>
        <w:rPr/>
      </w:pPr>
      <w:bookmarkStart w:id="332" w:name="_Ref125362865"/>
      <w:bookmarkStart w:id="333" w:name="_Ref125362900"/>
      <w:bookmarkStart w:id="334" w:name="_Toc228876894"/>
      <w:bookmarkStart w:id="335" w:name="Прил06_СоставЗаявки"/>
      <w:bookmarkEnd w:id="335"/>
      <w:r>
        <w:rPr/>
        <w:t>Приложение № 6 – Состав заявки</w:t>
      </w:r>
      <w:bookmarkEnd w:id="332"/>
      <w:bookmarkEnd w:id="333"/>
      <w:bookmarkEnd w:id="334"/>
    </w:p>
    <w:p>
      <w:pPr>
        <w:pStyle w:val="Style16"/>
        <w:spacing w:before="360" w:after="0"/>
        <w:rPr/>
      </w:pPr>
      <w:bookmarkStart w:id="336" w:name="_Toc228876895"/>
      <w:r>
        <w:rPr/>
        <w:t>Состав заявки</w:t>
      </w:r>
      <w:bookmarkEnd w:id="336"/>
    </w:p>
    <w:p>
      <w:pPr>
        <w:pStyle w:val="Style17"/>
        <w:spacing w:before="120" w:after="120"/>
        <w:rPr/>
      </w:pPr>
      <w:r>
        <w:rPr/>
        <w:t>Заявка на участие в закупке (окончательное предложение) должна состоять из первой части, второй части и ценового предложения, которые должны содержать следующий комплект документов (</w:t>
      </w:r>
      <w:bookmarkStart w:id="337" w:name="_Hlk207818365"/>
      <w:r>
        <w:rPr/>
        <w:t>по установленным формам и в соответствии с инструкциями, приведенными</w:t>
      </w:r>
      <w:bookmarkEnd w:id="337"/>
      <w:r>
        <w:rPr/>
        <w:t xml:space="preserve"> в </w:t>
      </w:r>
      <w:hyperlink w:anchor="Прил04_ФормыЗаявки" w:tgtFrame="#Прил04_ФормыЗаявки">
        <w:r>
          <w:rPr>
            <w:rStyle w:val="Style6"/>
          </w:rPr>
          <w:t>Приложении № 4</w:t>
        </w:r>
      </w:hyperlink>
      <w:r>
        <w:rPr/>
        <w:t>):</w:t>
      </w:r>
    </w:p>
    <w:tbl>
      <w:tblPr>
        <w:tblW w:w="8783" w:type="dxa"/>
        <w:jc w:val="left"/>
        <w:tblInd w:w="1129" w:type="dxa"/>
        <w:tblLayout w:type="fixed"/>
        <w:tblCellMar>
          <w:top w:w="0" w:type="dxa"/>
          <w:left w:w="57" w:type="dxa"/>
          <w:bottom w:w="0" w:type="dxa"/>
          <w:right w:w="57" w:type="dxa"/>
        </w:tblCellMar>
      </w:tblPr>
      <w:tblGrid>
        <w:gridCol w:w="707"/>
        <w:gridCol w:w="8075"/>
      </w:tblGrid>
      <w:tr>
        <w:trPr/>
        <w:tc>
          <w:tcPr>
            <w:tcW w:w="707"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8075"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Наименование документа</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ind w:hanging="0" w:left="360" w:right="0"/>
              <w:jc w:val="center"/>
              <w:rPr>
                <w:rFonts w:ascii="Times New Roman" w:hAnsi="Times New Roman" w:eastAsia="Calibri" w:cs="Arial"/>
                <w:b/>
                <w:bCs/>
                <w:kern w:val="0"/>
                <w:sz w:val="26"/>
                <w:szCs w:val="22"/>
                <w:lang w:val="ru-RU" w:eastAsia="en-US" w:bidi="ar-SA"/>
              </w:rPr>
            </w:pPr>
            <w:r>
              <w:rPr>
                <w:rFonts w:eastAsia="Calibri" w:cs="Arial"/>
                <w:b/>
                <w:bCs/>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rPr>
                <w:b/>
                <w:bCs/>
              </w:rPr>
            </w:pPr>
            <w:r>
              <w:rPr>
                <w:rFonts w:eastAsia="Calibri" w:cs="Arial"/>
                <w:b/>
                <w:bCs/>
                <w:kern w:val="0"/>
                <w:sz w:val="26"/>
                <w:szCs w:val="22"/>
                <w:lang w:val="ru-RU" w:eastAsia="en-US" w:bidi="ar-SA"/>
              </w:rPr>
              <w:t>Первая часть заявки (первая часть заявки, содержащиеся в окончательном предложении):</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 xml:space="preserve">Техническое предложение (форма 4), которое в том числе может включать План распределения объемов поставки продукции </w:t>
            </w:r>
            <w:r>
              <w:rPr>
                <w:rFonts w:eastAsia="Calibri" w:cs="Arial"/>
                <w:i/>
                <w:iCs/>
                <w:kern w:val="0"/>
                <w:sz w:val="26"/>
                <w:szCs w:val="22"/>
                <w:lang w:val="ru-RU" w:eastAsia="en-US" w:bidi="ar-SA"/>
              </w:rPr>
              <w:t>(без указания сведений, позволяющих каким-либо образом идентифицировать генерального подрядчика или привлекаемого им субподрядчика / соисполнителя)</w:t>
            </w:r>
            <w:r>
              <w:rPr>
                <w:rFonts w:eastAsia="Calibri" w:cs="Arial"/>
                <w:kern w:val="0"/>
                <w:sz w:val="26"/>
                <w:szCs w:val="22"/>
                <w:lang w:val="ru-RU" w:eastAsia="en-US" w:bidi="ar-SA"/>
              </w:rPr>
              <w:t>;</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Документы и сведения, предоставляемые в первой части заявки исключительно для целей проведения оценки заявок – предоставляются, если в </w:t>
            </w:r>
            <w:hyperlink w:anchor="Прил08_ПорядокОценки" w:tgtFrame="#Прил08_ПорядокОценки">
              <w:r>
                <w:rPr>
                  <w:rStyle w:val="Style6"/>
                  <w:rFonts w:eastAsia="Calibri" w:cs="Arial"/>
                  <w:kern w:val="0"/>
                  <w:sz w:val="26"/>
                  <w:szCs w:val="22"/>
                  <w:lang w:val="ru-RU" w:eastAsia="en-US" w:bidi="ar-SA"/>
                </w:rPr>
                <w:t>Порядке и критериях оценки и сопоставления заявок (Приложение № 8)</w:t>
              </w:r>
            </w:hyperlink>
            <w:r>
              <w:rPr>
                <w:rFonts w:eastAsia="Calibri" w:cs="Arial"/>
                <w:kern w:val="0"/>
                <w:sz w:val="26"/>
                <w:szCs w:val="22"/>
                <w:lang w:val="ru-RU" w:eastAsia="en-US" w:bidi="ar-SA"/>
              </w:rPr>
              <w:t xml:space="preserve"> установлены соответствующие критерии оценки, которые касаются или продукции или условий исполнения договора </w:t>
            </w:r>
            <w:r>
              <w:rPr>
                <w:rFonts w:eastAsia="Calibri" w:cs="Arial"/>
                <w:i/>
                <w:iCs/>
                <w:kern w:val="0"/>
                <w:sz w:val="26"/>
                <w:szCs w:val="22"/>
                <w:lang w:val="ru-RU" w:eastAsia="en-US" w:bidi="ar-SA"/>
              </w:rPr>
              <w:t>(такие документы и сведения не должны позволять каким-либо образом идентифицировать Участника, в том числе через сведения о материально-технических или кадровых ресурсах)</w:t>
            </w:r>
            <w:r>
              <w:rPr>
                <w:rFonts w:eastAsia="Calibri" w:cs="Arial"/>
                <w:kern w:val="0"/>
                <w:sz w:val="26"/>
                <w:szCs w:val="22"/>
                <w:lang w:val="ru-RU" w:eastAsia="en-US" w:bidi="ar-SA"/>
              </w:rPr>
              <w:t>;</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ind w:hanging="0" w:left="360" w:right="0"/>
              <w:jc w:val="center"/>
              <w:rPr>
                <w:rFonts w:ascii="Times New Roman" w:hAnsi="Times New Roman" w:eastAsia="Calibri" w:cs="Arial"/>
                <w:b/>
                <w:bCs/>
                <w:kern w:val="0"/>
                <w:sz w:val="26"/>
                <w:szCs w:val="22"/>
                <w:lang w:val="ru-RU" w:eastAsia="en-US" w:bidi="ar-SA"/>
              </w:rPr>
            </w:pPr>
            <w:r>
              <w:rPr>
                <w:rFonts w:eastAsia="Calibri" w:cs="Arial"/>
                <w:b/>
                <w:bCs/>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rPr>
                <w:b/>
                <w:bCs/>
              </w:rPr>
            </w:pPr>
            <w:r>
              <w:rPr>
                <w:rFonts w:eastAsia="Calibri" w:cs="Arial"/>
                <w:b/>
                <w:bCs/>
                <w:kern w:val="0"/>
                <w:sz w:val="26"/>
                <w:szCs w:val="22"/>
                <w:lang w:val="ru-RU" w:eastAsia="en-US" w:bidi="ar-SA"/>
              </w:rPr>
              <w:t>Вторая часть заявки:</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Письмо о подаче оферты (форма 2);</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Анкета Участника (форма 5);</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Документы, подтверждающие соответствие Участника обязательным требованиям Документации о закупке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Приложения № 3</w:t>
              </w:r>
            </w:hyperlink>
            <w:r>
              <w:rPr>
                <w:rFonts w:eastAsia="Calibri" w:cs="Arial"/>
                <w:kern w:val="0"/>
                <w:sz w:val="26"/>
                <w:szCs w:val="22"/>
                <w:lang w:val="ru-RU" w:eastAsia="en-US" w:bidi="ar-SA"/>
              </w:rPr>
              <w:t>), а также необходимые документы для прохождения (при необходимости) процедуры аккредитации – требования к подтверждающим документам приведены в указанном подразделе;</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Документы, подтверждающие соответствие Участника специальным требованиям – предоставляются, если соответствующие требования установлены в Документации о закупке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_Ref125709153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Приложения № 3</w:t>
              </w:r>
            </w:hyperlink>
            <w:r>
              <w:rPr>
                <w:rFonts w:eastAsia="Calibri" w:cs="Arial"/>
                <w:kern w:val="0"/>
                <w:sz w:val="26"/>
                <w:szCs w:val="22"/>
                <w:lang w:val="ru-RU" w:eastAsia="en-US" w:bidi="ar-SA"/>
              </w:rPr>
              <w:t>);</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Документы, подтверждающие соответствие Генерального подрядчика требованиям Документации о закупке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_Ref125709777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Приложения № 3</w:t>
              </w:r>
            </w:hyperlink>
            <w:r>
              <w:rPr>
                <w:rFonts w:eastAsia="Calibri" w:cs="Arial"/>
                <w:kern w:val="0"/>
                <w:sz w:val="26"/>
                <w:szCs w:val="22"/>
                <w:lang w:val="ru-RU" w:eastAsia="en-US" w:bidi="ar-SA"/>
              </w:rPr>
              <w:t>) – предоставляются, если Участник подает заявку от лица Генерального подрядчика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_Ref125361702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3.2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а именно:</w:t>
            </w:r>
          </w:p>
          <w:p>
            <w:pPr>
              <w:pStyle w:val="Style21"/>
              <w:widowControl w:val="false"/>
              <w:numPr>
                <w:ilvl w:val="0"/>
                <w:numId w:val="7"/>
              </w:numPr>
              <w:spacing w:lineRule="auto" w:line="240" w:before="60" w:after="60"/>
              <w:ind w:hanging="284" w:left="284" w:right="0"/>
              <w:rPr/>
            </w:pPr>
            <w:r>
              <w:rPr>
                <w:rFonts w:eastAsia="Calibri" w:cs="Arial"/>
                <w:kern w:val="0"/>
                <w:sz w:val="26"/>
                <w:szCs w:val="22"/>
                <w:lang w:val="ru-RU" w:eastAsia="en-US" w:bidi="ar-SA"/>
              </w:rPr>
              <w:t>План распределения объемов поставки продукции, представленный внутри Технических требованиях (форма 4)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w:t>
            </w:r>
          </w:p>
          <w:p>
            <w:pPr>
              <w:pStyle w:val="Style21"/>
              <w:widowControl w:val="false"/>
              <w:numPr>
                <w:ilvl w:val="0"/>
                <w:numId w:val="7"/>
              </w:numPr>
              <w:spacing w:lineRule="auto" w:line="240" w:before="60" w:after="60"/>
              <w:ind w:hanging="284" w:left="284" w:right="0"/>
              <w:rPr/>
            </w:pPr>
            <w:r>
              <w:rPr>
                <w:rFonts w:eastAsia="Calibri" w:cs="Arial"/>
                <w:kern w:val="0"/>
                <w:sz w:val="26"/>
                <w:szCs w:val="22"/>
                <w:lang w:val="ru-RU" w:eastAsia="en-US" w:bidi="ar-SA"/>
              </w:rPr>
              <w:t>прочие документы, определенные в подразделе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_Ref125709777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Приложения № 3</w:t>
              </w:r>
            </w:hyperlink>
            <w:r>
              <w:rPr>
                <w:rFonts w:eastAsia="Calibri" w:cs="Arial"/>
                <w:kern w:val="0"/>
                <w:sz w:val="26"/>
                <w:szCs w:val="22"/>
                <w:lang w:val="ru-RU" w:eastAsia="en-US" w:bidi="ar-SA"/>
              </w:rPr>
              <w:t>;</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38" w:name="_Ref132888537"/>
            <w:bookmarkStart w:id="339" w:name="_Ref132888537"/>
            <w:bookmarkEnd w:id="339"/>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Копия независимой гарантии – предоставляется при необходимости и в случае отсутствия внесенных Участником денежных средств на специальный банковский счет;</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40" w:name="_Ref130389408"/>
            <w:bookmarkStart w:id="341" w:name="_Ref130389408"/>
            <w:bookmarkEnd w:id="341"/>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Справка об опыте Участника (форма 6),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tgtFrame="#Прил08_ПорядокОценки">
              <w:r>
                <w:rPr>
                  <w:rStyle w:val="Style6"/>
                  <w:rFonts w:eastAsia="Calibri" w:cs="Arial"/>
                  <w:kern w:val="0"/>
                  <w:sz w:val="26"/>
                  <w:szCs w:val="22"/>
                  <w:lang w:val="ru-RU" w:eastAsia="en-US" w:bidi="ar-SA"/>
                </w:rPr>
                <w:t>Порядке и критериях оценки и сопоставления заявок (Приложение № 8)</w:t>
              </w:r>
            </w:hyperlink>
            <w:r>
              <w:rPr>
                <w:rFonts w:eastAsia="Calibri" w:cs="Arial"/>
                <w:kern w:val="0"/>
                <w:sz w:val="26"/>
                <w:szCs w:val="22"/>
                <w:lang w:val="ru-RU" w:eastAsia="en-US" w:bidi="ar-SA"/>
              </w:rPr>
              <w:t xml:space="preserve"> установлен соответствующий критерий оценки в части опыта;</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42" w:name="_Ref130389413"/>
            <w:bookmarkStart w:id="343" w:name="_Ref130389413"/>
            <w:bookmarkEnd w:id="343"/>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Справка о материально-технических ресурсах (форма 7),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tgtFrame="#Прил08_ПорядокОценки">
              <w:r>
                <w:rPr>
                  <w:rStyle w:val="Style6"/>
                  <w:rFonts w:eastAsia="Calibri" w:cs="Arial"/>
                  <w:kern w:val="0"/>
                  <w:sz w:val="26"/>
                  <w:szCs w:val="22"/>
                  <w:lang w:val="ru-RU" w:eastAsia="en-US" w:bidi="ar-SA"/>
                </w:rPr>
                <w:t>Порядке и критериях оценки и сопоставления заявок (Приложение № 8)</w:t>
              </w:r>
            </w:hyperlink>
            <w:r>
              <w:rPr>
                <w:rFonts w:eastAsia="Calibri" w:cs="Arial"/>
                <w:kern w:val="0"/>
                <w:sz w:val="26"/>
                <w:szCs w:val="22"/>
                <w:lang w:val="ru-RU" w:eastAsia="en-US" w:bidi="ar-SA"/>
              </w:rPr>
              <w:t xml:space="preserve"> установлен соответствующий критерий оценки в части наличия (привлечения) материально-технических ресурсов;</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44" w:name="_Ref130389419"/>
            <w:bookmarkStart w:id="345" w:name="_Ref130389419"/>
            <w:bookmarkEnd w:id="345"/>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Справка о кадровых ресурсах (форма 8),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tgtFrame="#Прил08_ПорядокОценки">
              <w:r>
                <w:rPr>
                  <w:rStyle w:val="Style6"/>
                  <w:rFonts w:eastAsia="Calibri" w:cs="Arial"/>
                  <w:kern w:val="0"/>
                  <w:sz w:val="26"/>
                  <w:szCs w:val="22"/>
                  <w:lang w:val="ru-RU" w:eastAsia="en-US" w:bidi="ar-SA"/>
                </w:rPr>
                <w:t>Порядке и критериях оценки и сопоставления заявок (Приложение № 8)</w:t>
              </w:r>
            </w:hyperlink>
            <w:r>
              <w:rPr>
                <w:rFonts w:eastAsia="Calibri" w:cs="Arial"/>
                <w:kern w:val="0"/>
                <w:sz w:val="26"/>
                <w:szCs w:val="22"/>
                <w:lang w:val="ru-RU" w:eastAsia="en-US" w:bidi="ar-SA"/>
              </w:rPr>
              <w:t xml:space="preserve"> установлен соответствующий критерий оценки в части наличия (привлечения) кадровых ресурсов;</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Справка об аффилированности Участника с изготовителем (производителем) предлагаемого товара (форма 9) – предоставляется, если Участники имеет признаки аффилированности согласно критериям, установленным в инструкции к указанной справке (дополнительно предоставляются документы, подтверждающие аффилированность по тому или иному критерию) и если в </w:t>
            </w:r>
            <w:hyperlink w:anchor="Прил08_ПорядокОценки" w:tgtFrame="#Прил08_ПорядокОценки">
              <w:r>
                <w:rPr>
                  <w:rStyle w:val="Style6"/>
                  <w:rFonts w:eastAsia="Calibri" w:cs="Arial"/>
                  <w:kern w:val="0"/>
                  <w:sz w:val="26"/>
                  <w:szCs w:val="22"/>
                  <w:lang w:val="ru-RU" w:eastAsia="en-US" w:bidi="ar-SA"/>
                </w:rPr>
                <w:t>Порядке и критериях оценки и сопоставления заявок (Приложение № 8)</w:t>
              </w:r>
            </w:hyperlink>
            <w:r>
              <w:rPr>
                <w:rFonts w:eastAsia="Calibri" w:cs="Arial"/>
                <w:kern w:val="0"/>
                <w:sz w:val="26"/>
                <w:szCs w:val="22"/>
                <w:lang w:val="ru-RU" w:eastAsia="en-US" w:bidi="ar-SA"/>
              </w:rPr>
              <w:t xml:space="preserve"> установлен соответствующий критерий оценки в части наличия аффилированности;</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Документы (или их копии), подтверждающие соответствие предлагаемой к поставке продукции требованиям, установленным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r>
              <w:rPr>
                <w:rFonts w:eastAsia="Calibri" w:cs="Arial"/>
                <w:kern w:val="0"/>
                <w:sz w:val="26"/>
                <w:szCs w:val="22"/>
                <w:lang w:val="ru-RU" w:eastAsia="en-US" w:bidi="ar-SA"/>
              </w:rPr>
              <w:t xml:space="preserve"> – предоставляются, если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r>
              <w:rPr>
                <w:rFonts w:eastAsia="Calibri" w:cs="Arial"/>
                <w:kern w:val="0"/>
                <w:sz w:val="26"/>
                <w:szCs w:val="22"/>
                <w:lang w:val="ru-RU" w:eastAsia="en-US" w:bidi="ar-SA"/>
              </w:rPr>
              <w:t xml:space="preserve"> было установлено соответствующее требование;</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ind w:hanging="0" w:left="360" w:right="0"/>
              <w:jc w:val="center"/>
              <w:rPr>
                <w:rFonts w:ascii="Times New Roman" w:hAnsi="Times New Roman" w:eastAsia="Calibri" w:cs="Arial"/>
                <w:b/>
                <w:bCs/>
                <w:kern w:val="0"/>
                <w:sz w:val="26"/>
                <w:szCs w:val="22"/>
                <w:lang w:val="ru-RU" w:eastAsia="en-US" w:bidi="ar-SA"/>
              </w:rPr>
            </w:pPr>
            <w:r>
              <w:rPr>
                <w:rFonts w:eastAsia="Calibri" w:cs="Arial"/>
                <w:b/>
                <w:bCs/>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rPr>
                <w:b/>
                <w:bCs/>
              </w:rPr>
            </w:pPr>
            <w:r>
              <w:rPr>
                <w:rFonts w:eastAsia="Calibri" w:cs="Arial"/>
                <w:b/>
                <w:bCs/>
                <w:kern w:val="0"/>
                <w:sz w:val="26"/>
                <w:szCs w:val="22"/>
                <w:lang w:val="ru-RU" w:eastAsia="en-US" w:bidi="ar-SA"/>
              </w:rPr>
              <w:t>Ценовое предложение:</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5"/>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Коммерческое предложение (включая Структуру НМЦ) (форма 3); также дополнительно предоставляется подтверждающая документация, составленная в соответствии с </w:t>
            </w:r>
            <w:hyperlink w:anchor="Прил01_ТехТребования" w:tgtFrame="#Прил01_ТехТребования">
              <w:r>
                <w:rPr>
                  <w:rStyle w:val="Style6"/>
                  <w:rFonts w:eastAsia="Calibri" w:cs="Arial"/>
                  <w:kern w:val="0"/>
                  <w:sz w:val="26"/>
                  <w:szCs w:val="22"/>
                  <w:lang w:val="ru-RU" w:eastAsia="en-US" w:bidi="ar-SA"/>
                </w:rPr>
                <w:t>Техническими требованиями (Приложение № 1)</w:t>
              </w:r>
            </w:hyperlink>
            <w:r>
              <w:rPr>
                <w:rFonts w:eastAsia="Calibri" w:cs="Arial"/>
                <w:kern w:val="0"/>
                <w:sz w:val="26"/>
                <w:szCs w:val="22"/>
                <w:lang w:val="ru-RU" w:eastAsia="en-US" w:bidi="ar-SA"/>
              </w:rPr>
              <w:t xml:space="preserve"> – только если в Технических требованиях установлены требования к документации по ценообразованию (подраздел «Требования к документации по ценообразованию на этапе закупки») либо аналогичные по смыслу.</w:t>
            </w:r>
          </w:p>
        </w:tc>
      </w:tr>
    </w:tbl>
    <w:p>
      <w:pPr>
        <w:sectPr>
          <w:headerReference w:type="default" r:id="rId23"/>
          <w:headerReference w:type="first" r:id="rId24"/>
          <w:footerReference w:type="default" r:id="rId25"/>
          <w:footerReference w:type="first" r:id="rId26"/>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17"/>
        <w:rPr>
          <w:i w:val="false"/>
          <w:i w:val="false"/>
          <w:iCs w:val="false"/>
          <w:shd w:fill="auto" w:val="clear"/>
        </w:rPr>
      </w:pPr>
      <w:r>
        <w:rPr>
          <w:rStyle w:val="Style3"/>
          <w:i w:val="false"/>
          <w:iCs w:val="false"/>
          <w:shd w:fill="auto" w:val="clear"/>
        </w:rPr>
        <w:t>Если по каким-либо причинам Участник не может предоставить какой-либо из требуемых документов, он может в составе заявки приложить составленную в произвольной форме справку, объясняющую причину отсутствия требуемого документа (однако предоставление данной справки носит исключительно информационный характер и не может являться основанием для снятия с Участника обязанности по предоставлению требуемого документа).</w:t>
      </w:r>
    </w:p>
    <w:p>
      <w:pPr>
        <w:pStyle w:val="Style15"/>
        <w:spacing w:before="0" w:after="0"/>
        <w:rPr/>
      </w:pPr>
      <w:bookmarkStart w:id="346" w:name="_Ref125365264"/>
      <w:bookmarkStart w:id="347" w:name="_Toc228876896"/>
      <w:bookmarkStart w:id="348" w:name="Прил07_ОтборочныеКритерии"/>
      <w:bookmarkEnd w:id="348"/>
      <w:r>
        <w:rPr/>
        <w:t>Приложение № 7 – Отборочные критерии рассмотрения заявок</w:t>
      </w:r>
      <w:bookmarkEnd w:id="346"/>
      <w:bookmarkEnd w:id="347"/>
    </w:p>
    <w:p>
      <w:pPr>
        <w:pStyle w:val="Style16"/>
        <w:spacing w:before="360" w:after="120"/>
        <w:rPr>
          <w:i w:val="false"/>
          <w:i w:val="false"/>
          <w:iCs w:val="false"/>
          <w:shd w:fill="auto" w:val="clear"/>
        </w:rPr>
      </w:pPr>
      <w:bookmarkStart w:id="349" w:name="_Toc228876897"/>
      <w:r>
        <w:rPr>
          <w:rStyle w:val="Style3"/>
          <w:i w:val="false"/>
          <w:iCs w:val="false"/>
          <w:shd w:fill="auto" w:val="clear"/>
        </w:rPr>
        <w:t>Отборочные критерии рассмотрения первых частей заявок (первых частей заявок, содержащихся в окончательных предложениях)</w:t>
      </w:r>
      <w:bookmarkEnd w:id="349"/>
    </w:p>
    <w:tbl>
      <w:tblPr>
        <w:tblW w:w="15126" w:type="dxa"/>
        <w:jc w:val="left"/>
        <w:tblInd w:w="0" w:type="dxa"/>
        <w:tblLayout w:type="fixed"/>
        <w:tblCellMar>
          <w:top w:w="0" w:type="dxa"/>
          <w:left w:w="57" w:type="dxa"/>
          <w:bottom w:w="0" w:type="dxa"/>
          <w:right w:w="57" w:type="dxa"/>
        </w:tblCellMar>
      </w:tblPr>
      <w:tblGrid>
        <w:gridCol w:w="1411"/>
        <w:gridCol w:w="8507"/>
        <w:gridCol w:w="3117"/>
        <w:gridCol w:w="2090"/>
      </w:tblGrid>
      <w:tr>
        <w:trPr/>
        <w:tc>
          <w:tcPr>
            <w:tcW w:w="1411"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w:t>
              <w:br/>
              <w:t>критерия</w:t>
            </w:r>
          </w:p>
        </w:tc>
        <w:tc>
          <w:tcPr>
            <w:tcW w:w="8507"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Наименование</w:t>
              <w:br/>
              <w:t>отборочного критерия</w:t>
            </w:r>
          </w:p>
        </w:tc>
        <w:tc>
          <w:tcPr>
            <w:tcW w:w="3117"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 пункта</w:t>
              <w:br/>
              <w:t>Документации о закупке</w:t>
            </w:r>
          </w:p>
        </w:tc>
        <w:tc>
          <w:tcPr>
            <w:tcW w:w="2090"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Направления</w:t>
              <w:br/>
              <w:t>оценки заявок*</w:t>
            </w:r>
          </w:p>
        </w:tc>
      </w:tr>
      <w:tr>
        <w:trPr/>
        <w:tc>
          <w:tcPr>
            <w:tcW w:w="9918" w:type="dxa"/>
            <w:gridSpan w:val="2"/>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rPr>
                <w:b/>
                <w:bCs/>
              </w:rPr>
            </w:pPr>
            <w:r>
              <w:rPr>
                <w:rFonts w:eastAsia="Calibri" w:cs="Arial"/>
                <w:b/>
                <w:bCs/>
                <w:kern w:val="0"/>
                <w:sz w:val="26"/>
                <w:szCs w:val="22"/>
                <w:lang w:val="ru-RU" w:eastAsia="en-US" w:bidi="ar-SA"/>
              </w:rPr>
              <w:t>Состав и правильность оформления первой части заявки, в том числе:</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b/>
                <w:bCs/>
              </w:rPr>
            </w:pPr>
            <w:r>
              <w:rPr>
                <w:rFonts w:eastAsia="Calibri" w:cs="Arial"/>
                <w:b/>
                <w:bCs/>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b/>
                <w:bCs/>
              </w:rPr>
            </w:pPr>
            <w:r>
              <w:rPr>
                <w:rFonts w:eastAsia="Calibri" w:cs="Arial"/>
                <w:b/>
                <w:bCs/>
                <w:kern w:val="0"/>
                <w:sz w:val="26"/>
                <w:szCs w:val="22"/>
                <w:lang w:val="ru-RU" w:eastAsia="en-US" w:bidi="ar-SA"/>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6"/>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Наличие в составе первой части заявки обязательных к предоставлению (для целей рассмотрения первых частей заявок в рамках отборочной стадии) документов в соответствии с требованиями </w:t>
            </w:r>
            <w:hyperlink w:anchor="Прил06_СоставЗаявки" w:tgtFrame="#Прил06_СоставЗаявки">
              <w:r>
                <w:rPr>
                  <w:rStyle w:val="Style6"/>
                  <w:rFonts w:eastAsia="Calibri" w:cs="Arial"/>
                  <w:kern w:val="0"/>
                  <w:sz w:val="26"/>
                  <w:szCs w:val="22"/>
                  <w:lang w:val="ru-RU" w:eastAsia="en-US" w:bidi="ar-SA"/>
                </w:rPr>
                <w:t>Приложения № 6 «Состав заявки»</w:t>
              </w:r>
            </w:hyperlink>
            <w:r>
              <w:rPr>
                <w:rFonts w:eastAsia="Calibri" w:cs="Arial"/>
                <w:kern w:val="0"/>
                <w:sz w:val="26"/>
                <w:szCs w:val="22"/>
                <w:lang w:val="ru-RU" w:eastAsia="en-US" w:bidi="ar-SA"/>
              </w:rPr>
              <w:t>, а также правильность их оформления (в т.ч. в части языка заявки)</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Style w:val="Style6"/>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_Ref125362119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4.6</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br/>
            </w:r>
            <w:hyperlink w:anchor="Прил06_СоставЗаявки" w:tgtFrame="#Прил06_СоставЗаявки">
              <w:r>
                <w:rPr>
                  <w:rStyle w:val="Style6"/>
                  <w:rFonts w:eastAsia="Calibri" w:cs="Arial"/>
                  <w:kern w:val="0"/>
                  <w:sz w:val="26"/>
                  <w:szCs w:val="22"/>
                  <w:lang w:val="ru-RU" w:eastAsia="en-US" w:bidi="ar-SA"/>
                </w:rPr>
                <w:t>Приложение № 6</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6"/>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Отсутствие в материалах (документах) первой части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6"/>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Отсутствие в материалах первой части заявки сведений об Участнике и (или) о его ценовом предложении</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9918" w:type="dxa"/>
            <w:gridSpan w:val="2"/>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rPr>
                <w:b/>
                <w:bCs/>
              </w:rPr>
            </w:pPr>
            <w:r>
              <w:rPr>
                <w:rFonts w:eastAsia="Calibri" w:cs="Arial"/>
                <w:b/>
                <w:bCs/>
                <w:kern w:val="0"/>
                <w:sz w:val="26"/>
                <w:szCs w:val="22"/>
                <w:lang w:val="ru-RU" w:eastAsia="en-US" w:bidi="ar-SA"/>
              </w:rPr>
              <w:t xml:space="preserve">Соответствие Технического предложения Участника </w:t>
            </w:r>
            <w:hyperlink w:anchor="Прил01_ТехТребования" w:tgtFrame="#Прил01_ТехТребования">
              <w:r>
                <w:rPr>
                  <w:rStyle w:val="Style6"/>
                  <w:rFonts w:eastAsia="Calibri" w:cs="Arial"/>
                  <w:b/>
                  <w:bCs/>
                  <w:kern w:val="0"/>
                  <w:sz w:val="26"/>
                  <w:szCs w:val="22"/>
                  <w:lang w:val="ru-RU" w:eastAsia="en-US" w:bidi="ar-SA"/>
                </w:rPr>
                <w:t>Техническим требованиям (Приложение № 1)</w:t>
              </w:r>
            </w:hyperlink>
            <w:r>
              <w:rPr>
                <w:rFonts w:eastAsia="Calibri" w:cs="Arial"/>
                <w:b/>
                <w:bCs/>
                <w:kern w:val="0"/>
                <w:sz w:val="26"/>
                <w:szCs w:val="22"/>
                <w:lang w:val="ru-RU" w:eastAsia="en-US" w:bidi="ar-SA"/>
              </w:rPr>
              <w:t>, в том числе:</w:t>
            </w:r>
          </w:p>
        </w:tc>
        <w:tc>
          <w:tcPr>
            <w:tcW w:w="3117"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jc w:val="center"/>
              <w:rPr>
                <w:b/>
                <w:bCs/>
              </w:rPr>
            </w:pPr>
            <w:r>
              <w:rPr>
                <w:rFonts w:eastAsia="Calibri" w:cs="Arial"/>
                <w:b/>
                <w:bCs/>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jc w:val="center"/>
              <w:rPr>
                <w:b/>
                <w:bCs/>
              </w:rPr>
            </w:pPr>
            <w:r>
              <w:rPr>
                <w:rFonts w:eastAsia="Calibri" w:cs="Arial"/>
                <w:b/>
                <w:bCs/>
                <w:kern w:val="0"/>
                <w:sz w:val="26"/>
                <w:szCs w:val="22"/>
                <w:lang w:val="ru-RU" w:eastAsia="en-US" w:bidi="ar-SA"/>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6"/>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Соответствие объемов и состава работ / услуг, технологии производства работ, предложенных Участником в Техническом предложении, требованиям, указанным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6"/>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Соответствие номенклатуры, количества и характеристик материалов / оборудования, предложенных Участником в Техническом предложении, требованиям, указанным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6"/>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Соответствие сроков (и (или) этапов) реализации Договора, предложенных Участником в Техническом предложении, указанным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r>
              <w:rPr>
                <w:rFonts w:eastAsia="Calibri" w:cs="Arial"/>
                <w:kern w:val="0"/>
                <w:sz w:val="26"/>
                <w:szCs w:val="22"/>
                <w:lang w:val="ru-RU" w:eastAsia="en-US" w:bidi="ar-SA"/>
              </w:rPr>
              <w:t xml:space="preserve"> и (или) в </w:t>
            </w:r>
            <w:hyperlink w:anchor="Прил02_ПроектДоговора" w:tgtFrame="#Прил02_ПроектДоговора">
              <w:r>
                <w:rPr>
                  <w:rStyle w:val="Style6"/>
                  <w:rFonts w:eastAsia="Calibri" w:cs="Arial"/>
                  <w:kern w:val="0"/>
                  <w:sz w:val="26"/>
                  <w:szCs w:val="22"/>
                  <w:lang w:val="ru-RU" w:eastAsia="en-US" w:bidi="ar-SA"/>
                </w:rPr>
                <w:t>Проекте договора (Приложение № 2)</w:t>
              </w:r>
            </w:hyperlink>
            <w:r>
              <w:rPr>
                <w:rFonts w:eastAsia="Calibri" w:cs="Arial"/>
                <w:kern w:val="0"/>
                <w:sz w:val="26"/>
                <w:szCs w:val="22"/>
                <w:lang w:val="ru-RU" w:eastAsia="en-US" w:bidi="ar-SA"/>
              </w:rPr>
              <w:t>, или согласие с ними в Письме о подаче оферты</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r>
              <w:rPr>
                <w:rFonts w:eastAsia="Calibri" w:cs="Arial"/>
                <w:kern w:val="0"/>
                <w:sz w:val="26"/>
                <w:szCs w:val="22"/>
                <w:lang w:val="ru-RU" w:eastAsia="en-US" w:bidi="ar-SA"/>
              </w:rPr>
              <w:t>,</w:t>
              <w:br/>
            </w:r>
            <w:hyperlink w:anchor="Прил02_ПроектДоговора" w:tgtFrame="#Прил02_ПроектДоговора">
              <w:r>
                <w:rPr>
                  <w:rStyle w:val="Style6"/>
                  <w:rFonts w:eastAsia="Calibri" w:cs="Arial"/>
                  <w:kern w:val="0"/>
                  <w:sz w:val="26"/>
                  <w:szCs w:val="22"/>
                  <w:lang w:val="ru-RU" w:eastAsia="en-US" w:bidi="ar-SA"/>
                </w:rPr>
                <w:t>Приложение № 2</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6"/>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Соответствие требованиям к гарантии на поставляемые материалы / оборудование и результаты выполненных работ, указанным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r>
              <w:rPr>
                <w:rFonts w:eastAsia="Calibri" w:cs="Arial"/>
                <w:kern w:val="0"/>
                <w:sz w:val="26"/>
                <w:szCs w:val="22"/>
                <w:lang w:val="ru-RU" w:eastAsia="en-US" w:bidi="ar-SA"/>
              </w:rPr>
              <w:t xml:space="preserve"> и (или) в </w:t>
            </w:r>
            <w:hyperlink w:anchor="Прил02_ПроектДоговора" w:tgtFrame="#Прил02_ПроектДоговора">
              <w:r>
                <w:rPr>
                  <w:rStyle w:val="Style6"/>
                  <w:rFonts w:eastAsia="Calibri" w:cs="Arial"/>
                  <w:kern w:val="0"/>
                  <w:sz w:val="26"/>
                  <w:szCs w:val="22"/>
                  <w:lang w:val="ru-RU" w:eastAsia="en-US" w:bidi="ar-SA"/>
                </w:rPr>
                <w:t>Проекте договора (Приложение № 2)</w:t>
              </w:r>
            </w:hyperlink>
          </w:p>
          <w:p>
            <w:pPr>
              <w:pStyle w:val="Style21"/>
              <w:widowControl w:val="false"/>
              <w:spacing w:lineRule="auto" w:line="240" w:before="60" w:after="60"/>
              <w:rPr>
                <w:rFonts w:ascii="Times New Roman" w:hAnsi="Times New Roman" w:eastAsia="Calibri" w:cs="Arial"/>
                <w:i/>
                <w:i/>
                <w:iCs/>
                <w:kern w:val="0"/>
                <w:sz w:val="26"/>
                <w:szCs w:val="22"/>
                <w:lang w:val="ru-RU" w:eastAsia="en-US" w:bidi="ar-SA"/>
              </w:rPr>
            </w:pPr>
            <w:r>
              <w:rPr>
                <w:rFonts w:eastAsia="Calibri" w:cs="Arial"/>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r>
              <w:rPr>
                <w:rFonts w:eastAsia="Calibri" w:cs="Arial"/>
                <w:kern w:val="0"/>
                <w:sz w:val="26"/>
                <w:szCs w:val="22"/>
                <w:lang w:val="ru-RU" w:eastAsia="en-US" w:bidi="ar-SA"/>
              </w:rPr>
              <w:t>,</w:t>
              <w:br/>
            </w:r>
            <w:hyperlink w:anchor="Прил02_ПроектДоговора" w:tgtFrame="#Прил02_ПроектДоговора">
              <w:r>
                <w:rPr>
                  <w:rStyle w:val="Style6"/>
                  <w:rFonts w:eastAsia="Calibri" w:cs="Arial"/>
                  <w:kern w:val="0"/>
                  <w:sz w:val="26"/>
                  <w:szCs w:val="22"/>
                  <w:lang w:val="ru-RU" w:eastAsia="en-US" w:bidi="ar-SA"/>
                </w:rPr>
                <w:t>Приложение № 2</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6"/>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Соответствие предлагаемой к поставке продукции дополнительным требованиям, установленным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r>
              <w:rPr>
                <w:rFonts w:eastAsia="Calibri" w:cs="Arial"/>
                <w:kern w:val="0"/>
                <w:sz w:val="26"/>
                <w:szCs w:val="22"/>
                <w:lang w:val="ru-RU" w:eastAsia="en-US" w:bidi="ar-SA"/>
              </w:rPr>
              <w:t>, с предоставлением требуемых подтверждающих документов / сведений</w:t>
            </w:r>
          </w:p>
          <w:p>
            <w:pPr>
              <w:pStyle w:val="Style21"/>
              <w:widowControl w:val="false"/>
              <w:spacing w:lineRule="auto" w:line="240" w:before="60" w:after="60"/>
              <w:rPr>
                <w:rFonts w:ascii="Times New Roman" w:hAnsi="Times New Roman" w:eastAsia="Calibri" w:cs="Arial"/>
                <w:i/>
                <w:i/>
                <w:iCs/>
                <w:kern w:val="0"/>
                <w:sz w:val="26"/>
                <w:szCs w:val="22"/>
                <w:lang w:val="ru-RU" w:eastAsia="en-US" w:bidi="ar-SA"/>
              </w:rPr>
            </w:pPr>
            <w:r>
              <w:rPr>
                <w:rFonts w:eastAsia="Calibri" w:cs="Arial"/>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bl>
    <w:p>
      <w:pPr>
        <w:pStyle w:val="Style16"/>
        <w:spacing w:before="360" w:after="120"/>
        <w:rPr>
          <w:i w:val="false"/>
          <w:i w:val="false"/>
          <w:iCs w:val="false"/>
          <w:shd w:fill="auto" w:val="clear"/>
        </w:rPr>
      </w:pPr>
      <w:bookmarkStart w:id="350" w:name="_Hlk132891087"/>
      <w:bookmarkStart w:id="351" w:name="_Toc228876899"/>
      <w:r>
        <w:rPr>
          <w:rStyle w:val="Style3"/>
          <w:i w:val="false"/>
          <w:iCs w:val="false"/>
          <w:shd w:fill="auto" w:val="clear"/>
        </w:rPr>
        <w:t>Отборочные критерии рассмотрения вторых частей заявок</w:t>
      </w:r>
      <w:bookmarkEnd w:id="350"/>
      <w:bookmarkEnd w:id="351"/>
    </w:p>
    <w:tbl>
      <w:tblPr>
        <w:tblW w:w="15126" w:type="dxa"/>
        <w:jc w:val="left"/>
        <w:tblInd w:w="0" w:type="dxa"/>
        <w:tblLayout w:type="fixed"/>
        <w:tblCellMar>
          <w:top w:w="0" w:type="dxa"/>
          <w:left w:w="57" w:type="dxa"/>
          <w:bottom w:w="0" w:type="dxa"/>
          <w:right w:w="57" w:type="dxa"/>
        </w:tblCellMar>
      </w:tblPr>
      <w:tblGrid>
        <w:gridCol w:w="1411"/>
        <w:gridCol w:w="8507"/>
        <w:gridCol w:w="3117"/>
        <w:gridCol w:w="2090"/>
      </w:tblGrid>
      <w:tr>
        <w:trPr/>
        <w:tc>
          <w:tcPr>
            <w:tcW w:w="1411"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w:t>
              <w:br/>
              <w:t>критерия</w:t>
            </w:r>
          </w:p>
        </w:tc>
        <w:tc>
          <w:tcPr>
            <w:tcW w:w="8507"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Наименование</w:t>
              <w:br/>
              <w:t>отборочного критерия</w:t>
            </w:r>
          </w:p>
        </w:tc>
        <w:tc>
          <w:tcPr>
            <w:tcW w:w="3117"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 пункта</w:t>
              <w:br/>
              <w:t>Документации о закупке</w:t>
            </w:r>
          </w:p>
        </w:tc>
        <w:tc>
          <w:tcPr>
            <w:tcW w:w="2090"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Направления</w:t>
              <w:br/>
              <w:t>оценки заявок*</w:t>
            </w:r>
          </w:p>
        </w:tc>
      </w:tr>
      <w:tr>
        <w:trPr/>
        <w:tc>
          <w:tcPr>
            <w:tcW w:w="9918" w:type="dxa"/>
            <w:gridSpan w:val="2"/>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rPr>
                <w:b/>
                <w:bCs/>
              </w:rPr>
            </w:pPr>
            <w:r>
              <w:rPr>
                <w:rFonts w:eastAsia="Calibri" w:cs="Arial"/>
                <w:b/>
                <w:bCs/>
                <w:kern w:val="0"/>
                <w:sz w:val="26"/>
                <w:szCs w:val="22"/>
                <w:lang w:val="ru-RU" w:eastAsia="en-US" w:bidi="ar-SA"/>
              </w:rPr>
              <w:t>Состав и правильность оформления второй части заявки, в том числе:</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b/>
                <w:bCs/>
              </w:rPr>
            </w:pPr>
            <w:r>
              <w:rPr>
                <w:rFonts w:eastAsia="Calibri" w:cs="Arial"/>
                <w:b/>
                <w:bCs/>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b/>
                <w:bCs/>
              </w:rPr>
            </w:pPr>
            <w:r>
              <w:rPr>
                <w:rFonts w:eastAsia="Calibri" w:cs="Arial"/>
                <w:b/>
                <w:bCs/>
                <w:kern w:val="0"/>
                <w:sz w:val="26"/>
                <w:szCs w:val="22"/>
                <w:lang w:val="ru-RU" w:eastAsia="en-US" w:bidi="ar-SA"/>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Наличие в составе второй части заявки всех обязательных к предоставлению (для целей рассмотрения вторых частей заявок в рамках отборочной стадии) документов в соответствии с требованиями </w:t>
            </w:r>
            <w:hyperlink w:anchor="Прил06_СоставЗаявки" w:tgtFrame="#Прил06_СоставЗаявки">
              <w:r>
                <w:rPr>
                  <w:rStyle w:val="Style6"/>
                  <w:rFonts w:eastAsia="Calibri" w:cs="Arial"/>
                  <w:kern w:val="0"/>
                  <w:sz w:val="26"/>
                  <w:szCs w:val="22"/>
                  <w:lang w:val="ru-RU" w:eastAsia="en-US" w:bidi="ar-SA"/>
                </w:rPr>
                <w:t>Приложения № 6 «Состав заявки»</w:t>
              </w:r>
            </w:hyperlink>
            <w:r>
              <w:rPr>
                <w:rFonts w:eastAsia="Calibri" w:cs="Arial"/>
                <w:kern w:val="0"/>
                <w:sz w:val="26"/>
                <w:szCs w:val="22"/>
                <w:lang w:val="ru-RU" w:eastAsia="en-US" w:bidi="ar-SA"/>
              </w:rPr>
              <w:t>, а также правильность их оформления (в т.ч. в части наличия должных печатей (при наличии), подписей, формы заверения, языка и валюты заявки)</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Style w:val="Style6"/>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_Ref125362119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4.6</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br/>
            </w:r>
            <w:hyperlink w:anchor="Прил06_СоставЗаявки" w:tgtFrame="#Прил06_СоставЗаявки">
              <w:r>
                <w:rPr>
                  <w:rStyle w:val="Style6"/>
                  <w:rFonts w:eastAsia="Calibri" w:cs="Arial"/>
                  <w:kern w:val="0"/>
                  <w:sz w:val="26"/>
                  <w:szCs w:val="22"/>
                  <w:lang w:val="ru-RU" w:eastAsia="en-US" w:bidi="ar-SA"/>
                </w:rPr>
                <w:t>Приложение № 6</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 Тех,</w:t>
              <w:br/>
              <w:t>Юр</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bookmarkStart w:id="352" w:name="_Ref132890414"/>
            <w:bookmarkStart w:id="353" w:name="_Ref132890414"/>
            <w:bookmarkEnd w:id="353"/>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Наличие обеспечения обязательств Участника, связанного с подачей заявки, в виде независимой гарантии и ее соответствие установленным требованиям Документации о закупке – если подразделом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_Ref125359973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предусмотрена обязанность Участников предоставить обеспечение заявки на участие в закупке и в случае отсутствия внесение денежных средств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_Ref130455226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4.18</w:t>
            </w:r>
            <w:r>
              <w:rPr>
                <w:sz w:val="26"/>
                <w:kern w:val="0"/>
                <w:szCs w:val="22"/>
                <w:rFonts w:eastAsia="Calibri" w:cs="Arial"/>
                <w:lang w:val="ru-RU" w:eastAsia="en-US" w:bidi="ar-SA"/>
              </w:rPr>
              <w:fldChar w:fldCharType="end"/>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 – в части наличия сведений в реестре,</w:t>
            </w:r>
          </w:p>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Фин – в части соответствия</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Отсутствие в материалах (документах) второй части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 Тех,</w:t>
              <w:br/>
              <w:t>Юр</w:t>
            </w:r>
          </w:p>
        </w:tc>
      </w:tr>
      <w:tr>
        <w:trPr/>
        <w:tc>
          <w:tcPr>
            <w:tcW w:w="9918" w:type="dxa"/>
            <w:gridSpan w:val="2"/>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rPr>
                <w:b/>
                <w:bCs/>
              </w:rPr>
            </w:pPr>
            <w:r>
              <w:rPr>
                <w:rFonts w:eastAsia="Calibri" w:cs="Arial"/>
                <w:b/>
                <w:bCs/>
                <w:kern w:val="0"/>
                <w:sz w:val="26"/>
                <w:szCs w:val="22"/>
                <w:lang w:val="ru-RU" w:eastAsia="en-US" w:bidi="ar-SA"/>
              </w:rPr>
              <w:t>Соответствие Письма о подаче оферты:</w:t>
            </w:r>
          </w:p>
        </w:tc>
        <w:tc>
          <w:tcPr>
            <w:tcW w:w="3117"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jc w:val="center"/>
              <w:rPr>
                <w:rFonts w:ascii="Times New Roman" w:hAnsi="Times New Roman" w:eastAsia="Calibri" w:cs="Arial"/>
                <w:b/>
                <w:bCs/>
                <w:kern w:val="0"/>
                <w:sz w:val="26"/>
                <w:szCs w:val="22"/>
                <w:lang w:val="ru-RU" w:eastAsia="en-US" w:bidi="ar-SA"/>
              </w:rPr>
            </w:pPr>
            <w:r>
              <w:rPr>
                <w:rFonts w:eastAsia="Calibri" w:cs="Arial"/>
                <w:b/>
                <w:bCs/>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jc w:val="center"/>
              <w:rPr>
                <w:rFonts w:ascii="Times New Roman" w:hAnsi="Times New Roman" w:eastAsia="Calibri" w:cs="Arial"/>
                <w:b/>
                <w:bCs/>
                <w:kern w:val="0"/>
                <w:sz w:val="26"/>
                <w:szCs w:val="22"/>
                <w:lang w:val="ru-RU" w:eastAsia="en-US" w:bidi="ar-SA"/>
              </w:rPr>
            </w:pPr>
            <w:r>
              <w:rPr>
                <w:rFonts w:eastAsia="Calibri" w:cs="Arial"/>
                <w:b/>
                <w:bCs/>
                <w:kern w:val="0"/>
                <w:sz w:val="26"/>
                <w:szCs w:val="22"/>
                <w:lang w:val="ru-RU" w:eastAsia="en-US" w:bidi="ar-SA"/>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(в том числе содержание) Письма о подаче оферты установленной форме и иным требованиям Документации о закупке, в т.ч. в части срока действия заявки</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br/>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w:t>
            </w:r>
          </w:p>
        </w:tc>
      </w:tr>
      <w:tr>
        <w:trPr/>
        <w:tc>
          <w:tcPr>
            <w:tcW w:w="9918" w:type="dxa"/>
            <w:gridSpan w:val="2"/>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rPr>
                <w:b/>
                <w:bCs/>
              </w:rPr>
            </w:pPr>
            <w:r>
              <w:rPr>
                <w:rFonts w:eastAsia="Calibri" w:cs="Arial"/>
                <w:b/>
                <w:bCs/>
                <w:kern w:val="0"/>
                <w:sz w:val="26"/>
                <w:szCs w:val="22"/>
                <w:lang w:val="ru-RU" w:eastAsia="en-US" w:bidi="ar-SA"/>
              </w:rPr>
              <w:t>Соответствие Участника установленным требованиям Документации о закупке, в том числе:</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b/>
                <w:bCs/>
              </w:rPr>
            </w:pPr>
            <w:r>
              <w:rPr>
                <w:rFonts w:eastAsia="Calibri" w:cs="Arial"/>
                <w:b/>
                <w:bCs/>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b/>
                <w:bCs/>
              </w:rPr>
            </w:pPr>
            <w:r>
              <w:rPr>
                <w:rFonts w:eastAsia="Calibri" w:cs="Arial"/>
                <w:b/>
                <w:bCs/>
                <w:kern w:val="0"/>
                <w:sz w:val="26"/>
                <w:szCs w:val="22"/>
                <w:lang w:val="ru-RU" w:eastAsia="en-US" w:bidi="ar-SA"/>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Участника пункту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_Ref125552433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обязательных требований к Участникам</w:t>
            </w:r>
          </w:p>
          <w:p>
            <w:pPr>
              <w:pStyle w:val="Style21"/>
              <w:widowControl w:val="false"/>
              <w:spacing w:lineRule="auto" w:line="240" w:before="60" w:after="60"/>
              <w:rPr>
                <w:i/>
                <w:i/>
                <w:iCs/>
              </w:rPr>
            </w:pPr>
            <w:r>
              <w:rPr>
                <w:rFonts w:eastAsia="Calibri" w:cs="Arial"/>
                <w:i/>
                <w:iCs/>
                <w:kern w:val="0"/>
                <w:sz w:val="26"/>
                <w:szCs w:val="22"/>
                <w:lang w:val="ru-RU" w:eastAsia="en-US" w:bidi="ar-SA"/>
              </w:rPr>
              <w:t>(в рамках осуществления экспертизы заявки Участника в том числе проверяется наличие у него статуса «аккредитован» / «аккредитация не требуется», или проводится процедура его аккредитации (при необходимости). 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_Ref138341423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5.2</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 Юр</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Участника пункту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_Ref132893662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обязательных требований к Участникам</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Участника пункту 3 обязательных требований к Участникам</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Участника пункту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_Ref186181914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обязательных требований к Участникам</w:t>
            </w:r>
          </w:p>
          <w:p>
            <w:pPr>
              <w:pStyle w:val="Style21"/>
              <w:widowControl w:val="false"/>
              <w:spacing w:lineRule="auto" w:line="240" w:before="60" w:after="60"/>
              <w:rPr>
                <w:i/>
                <w:i/>
                <w:iCs/>
              </w:rPr>
            </w:pPr>
            <w:r>
              <w:rPr>
                <w:rFonts w:eastAsia="Calibri" w:cs="Arial"/>
                <w:i/>
                <w:iCs/>
                <w:kern w:val="0"/>
                <w:sz w:val="26"/>
                <w:szCs w:val="22"/>
                <w:lang w:val="ru-RU" w:eastAsia="en-US" w:bidi="ar-SA"/>
              </w:rPr>
              <w:t>(пункт применяется только в случае установления режима запрета закупки иностранной продукции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_Ref132816300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4.14</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r>
              <w:rPr>
                <w:rFonts w:eastAsia="Calibri" w:cs="Arial"/>
                <w:kern w:val="0"/>
                <w:sz w:val="26"/>
                <w:szCs w:val="22"/>
                <w:lang w:val="ru-RU" w:eastAsia="en-US" w:bidi="ar-SA"/>
              </w:rPr>
              <w:t xml:space="preserve">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_Ref186181253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Участника пункту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_Ref186181918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5</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обязательных требований к Участникам</w:t>
            </w:r>
          </w:p>
          <w:p>
            <w:pPr>
              <w:pStyle w:val="Style21"/>
              <w:widowControl w:val="false"/>
              <w:spacing w:lineRule="auto" w:line="240" w:before="60" w:after="60"/>
              <w:rPr>
                <w:i/>
                <w:i/>
                <w:iCs/>
              </w:rPr>
            </w:pPr>
            <w:r>
              <w:rPr>
                <w:rFonts w:eastAsia="Calibri" w:cs="Arial"/>
                <w:i/>
                <w:iCs/>
                <w:kern w:val="0"/>
                <w:sz w:val="26"/>
                <w:szCs w:val="22"/>
                <w:lang w:val="ru-RU" w:eastAsia="en-US" w:bidi="ar-SA"/>
              </w:rPr>
              <w:t>(пункт применяется только в случае установления режима ограничения закупки иностранной продукции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_Ref132816300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4.14</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r>
              <w:rPr>
                <w:rFonts w:eastAsia="Calibri" w:cs="Arial"/>
                <w:kern w:val="0"/>
                <w:sz w:val="26"/>
                <w:szCs w:val="22"/>
                <w:lang w:val="ru-RU" w:eastAsia="en-US" w:bidi="ar-SA"/>
              </w:rPr>
              <w:t xml:space="preserve">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_Ref186181253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Участника специальным требованиям к Участникам</w:t>
            </w:r>
          </w:p>
          <w:p>
            <w:pPr>
              <w:pStyle w:val="Style21"/>
              <w:widowControl w:val="false"/>
              <w:spacing w:lineRule="auto" w:line="240" w:before="60" w:after="60"/>
              <w:rPr>
                <w:rFonts w:ascii="Times New Roman" w:hAnsi="Times New Roman" w:eastAsia="Calibri" w:cs="Arial"/>
                <w:i/>
                <w:i/>
                <w:iCs/>
                <w:kern w:val="0"/>
                <w:sz w:val="26"/>
                <w:szCs w:val="22"/>
                <w:lang w:val="ru-RU" w:eastAsia="en-US" w:bidi="ar-SA"/>
              </w:rPr>
            </w:pPr>
            <w:r>
              <w:rPr>
                <w:rFonts w:eastAsia="Calibri" w:cs="Arial"/>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_Ref125361442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Генерального подрядчика установленным в отношении его требованиям:</w:t>
            </w:r>
          </w:p>
          <w:p>
            <w:pPr>
              <w:pStyle w:val="Style21"/>
              <w:widowControl w:val="false"/>
              <w:spacing w:lineRule="auto" w:line="240" w:before="60" w:after="60"/>
              <w:rPr>
                <w:i/>
                <w:i/>
                <w:iCs/>
              </w:rPr>
            </w:pPr>
            <w:r>
              <w:rPr>
                <w:rFonts w:eastAsia="Calibri" w:cs="Arial"/>
                <w:i/>
                <w:iCs/>
                <w:kern w:val="0"/>
                <w:sz w:val="26"/>
                <w:szCs w:val="22"/>
                <w:lang w:val="ru-RU" w:eastAsia="en-US" w:bidi="ar-SA"/>
              </w:rPr>
              <w:t>(пункт применяется только в случае проведения закупки, принять участие в которой можно от лица Генерального подрядчика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_Ref125359973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1.2</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_Ref125361702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3.2</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 и заявка подана от его лица)</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b/>
                <w:bCs/>
                <w:kern w:val="0"/>
                <w:sz w:val="26"/>
                <w:szCs w:val="22"/>
                <w:lang w:val="ru-RU" w:eastAsia="en-US" w:bidi="ar-SA"/>
              </w:rPr>
            </w:pPr>
            <w:r>
              <w:rPr>
                <w:rFonts w:eastAsia="Calibri" w:cs="Arial"/>
                <w:b/>
                <w:bCs/>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b/>
                <w:bCs/>
                <w:kern w:val="0"/>
                <w:sz w:val="26"/>
                <w:szCs w:val="22"/>
                <w:lang w:val="ru-RU" w:eastAsia="en-US" w:bidi="ar-SA"/>
              </w:rPr>
            </w:pPr>
            <w:r>
              <w:rPr>
                <w:rFonts w:eastAsia="Calibri" w:cs="Arial"/>
                <w:b/>
                <w:bCs/>
                <w:kern w:val="0"/>
                <w:sz w:val="26"/>
                <w:szCs w:val="22"/>
                <w:lang w:val="ru-RU" w:eastAsia="en-US" w:bidi="ar-SA"/>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1"/>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7"/>
              </w:numPr>
              <w:spacing w:lineRule="auto" w:line="240" w:before="60" w:after="60"/>
              <w:ind w:hanging="284" w:left="284" w:right="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в части требований пунктов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_Ref125370187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_Ref125553847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3</w:t>
            </w:r>
            <w:r>
              <w:rPr>
                <w:sz w:val="26"/>
                <w:kern w:val="0"/>
                <w:szCs w:val="22"/>
                <w:rFonts w:eastAsia="Calibri" w:cs="Arial"/>
                <w:lang w:val="ru-RU" w:eastAsia="en-US" w:bidi="ar-SA"/>
              </w:rPr>
              <w:fldChar w:fldCharType="end"/>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_Ref125709777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1"/>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7"/>
              </w:numPr>
              <w:spacing w:lineRule="auto" w:line="240" w:before="60" w:after="60"/>
              <w:ind w:hanging="284" w:left="284" w:right="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в части требований пункта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_Ref125370193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2</w:t>
            </w:r>
            <w:r>
              <w:rPr>
                <w:sz w:val="26"/>
                <w:kern w:val="0"/>
                <w:szCs w:val="22"/>
                <w:rFonts w:eastAsia="Calibri" w:cs="Arial"/>
                <w:lang w:val="ru-RU" w:eastAsia="en-US" w:bidi="ar-SA"/>
              </w:rPr>
              <w:fldChar w:fldCharType="end"/>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_Ref125709777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Style w:val="Style6"/>
                  <w:rFonts w:eastAsia="Calibri" w:cs="Arial"/>
                  <w:kern w:val="0"/>
                  <w:sz w:val="26"/>
                  <w:szCs w:val="22"/>
                  <w:lang w:val="ru-RU" w:eastAsia="en-US" w:bidi="ar-SA"/>
                </w:rPr>
                <w:t>Приложение № 3</w:t>
              </w:r>
            </w:hyperlink>
            <w:r>
              <w:rPr>
                <w:rFonts w:eastAsia="Calibri" w:cs="Arial"/>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Орг, Тех</w:t>
            </w:r>
          </w:p>
        </w:tc>
      </w:tr>
      <w:tr>
        <w:trPr/>
        <w:tc>
          <w:tcPr>
            <w:tcW w:w="9918" w:type="dxa"/>
            <w:gridSpan w:val="2"/>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rPr>
                <w:b/>
                <w:bCs/>
              </w:rPr>
            </w:pPr>
            <w:r>
              <w:rPr>
                <w:rFonts w:eastAsia="Calibri" w:cs="Arial"/>
                <w:b/>
                <w:bCs/>
                <w:kern w:val="0"/>
                <w:sz w:val="26"/>
                <w:szCs w:val="22"/>
                <w:lang w:val="ru-RU" w:eastAsia="en-US" w:bidi="ar-SA"/>
              </w:rPr>
              <w:t xml:space="preserve">Соответствие Технического предложения Участника </w:t>
            </w:r>
            <w:hyperlink w:anchor="Прил01_ТехТребования" w:tgtFrame="#Прил01_ТехТребования">
              <w:r>
                <w:rPr>
                  <w:rStyle w:val="Style6"/>
                  <w:rFonts w:eastAsia="Calibri" w:cs="Arial"/>
                  <w:b/>
                  <w:bCs/>
                  <w:kern w:val="0"/>
                  <w:sz w:val="26"/>
                  <w:szCs w:val="22"/>
                  <w:lang w:val="ru-RU" w:eastAsia="en-US" w:bidi="ar-SA"/>
                </w:rPr>
                <w:t>Техническим требованиям (Приложение № 1)</w:t>
              </w:r>
            </w:hyperlink>
            <w:r>
              <w:rPr>
                <w:rFonts w:eastAsia="Calibri" w:cs="Arial"/>
                <w:b/>
                <w:bCs/>
                <w:kern w:val="0"/>
                <w:sz w:val="26"/>
                <w:szCs w:val="22"/>
                <w:lang w:val="ru-RU" w:eastAsia="en-US" w:bidi="ar-SA"/>
              </w:rPr>
              <w:t>, в том числе:</w:t>
            </w:r>
          </w:p>
        </w:tc>
        <w:tc>
          <w:tcPr>
            <w:tcW w:w="3117"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jc w:val="center"/>
              <w:rPr>
                <w:b/>
                <w:bCs/>
              </w:rPr>
            </w:pPr>
            <w:r>
              <w:rPr>
                <w:rFonts w:eastAsia="Calibri" w:cs="Arial"/>
                <w:b/>
                <w:bCs/>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jc w:val="center"/>
              <w:rPr>
                <w:b/>
                <w:bCs/>
              </w:rPr>
            </w:pPr>
            <w:r>
              <w:rPr>
                <w:rFonts w:eastAsia="Calibri" w:cs="Arial"/>
                <w:b/>
                <w:bCs/>
                <w:kern w:val="0"/>
                <w:sz w:val="26"/>
                <w:szCs w:val="22"/>
                <w:lang w:val="ru-RU" w:eastAsia="en-US" w:bidi="ar-SA"/>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предложения требованиям к стране происхождения поставляемого товара, установленным в Технических требованиях</w:t>
            </w:r>
          </w:p>
          <w:p>
            <w:pPr>
              <w:pStyle w:val="Style21"/>
              <w:widowControl w:val="false"/>
              <w:spacing w:lineRule="auto" w:line="240" w:before="60" w:after="60"/>
              <w:rPr>
                <w:rFonts w:ascii="Times New Roman" w:hAnsi="Times New Roman" w:eastAsia="Calibri" w:cs="Arial"/>
                <w:kern w:val="0"/>
                <w:sz w:val="26"/>
                <w:szCs w:val="22"/>
                <w:lang w:eastAsia="en-US" w:bidi="ar-SA"/>
              </w:rPr>
            </w:pPr>
            <w:r>
              <w:rPr>
                <w:rFonts w:eastAsia="Calibri" w:cs="Arial"/>
                <w:i/>
                <w:iCs/>
                <w:kern w:val="0"/>
                <w:sz w:val="26"/>
                <w:szCs w:val="22"/>
                <w:lang w:val="ru-RU" w:eastAsia="en-US" w:bidi="ar-SA"/>
              </w:rPr>
              <w:t>(пункт применяется только в случае исполнения Заказчиком норм в части минимальной обязательной доли закупок товаров российского происхождения (подраздел</w:t>
            </w:r>
            <w:r>
              <w:rPr>
                <w:rFonts w:eastAsia="Calibri" w:cs="Arial"/>
                <w:i/>
                <w:iCs/>
                <w:kern w:val="0"/>
                <w:sz w:val="26"/>
                <w:szCs w:val="22"/>
                <w:lang w:val="en-US" w:eastAsia="en-US" w:bidi="ar-SA"/>
              </w:rPr>
              <w:t> </w:t>
            </w:r>
            <w:r>
              <w:rPr>
                <w:rFonts w:eastAsia="Calibri" w:cs="Arial"/>
                <w:i/>
                <w:iCs/>
                <w:kern w:val="0"/>
                <w:sz w:val="26"/>
                <w:szCs w:val="22"/>
                <w:lang w:val="en-US" w:eastAsia="en-US" w:bidi="ar-SA"/>
              </w:rPr>
              <w:fldChar w:fldCharType="begin"/>
            </w:r>
            <w:r>
              <w:rPr>
                <w:sz w:val="26"/>
                <w:i/>
                <w:kern w:val="0"/>
                <w:szCs w:val="22"/>
                <w:iCs/>
                <w:rFonts w:eastAsia="Calibri" w:cs="Arial"/>
                <w:lang w:val="en-US" w:eastAsia="en-US" w:bidi="ar-SA"/>
              </w:rPr>
              <w:instrText xml:space="preserve"> REF _Ref186181253 \r \h </w:instrText>
            </w:r>
            <w:r>
              <w:rPr>
                <w:sz w:val="26"/>
                <w:i/>
                <w:kern w:val="0"/>
                <w:szCs w:val="22"/>
                <w:iCs/>
                <w:rFonts w:eastAsia="Calibri" w:cs="Arial"/>
                <w:lang w:val="en-US" w:eastAsia="en-US" w:bidi="ar-SA"/>
              </w:rPr>
              <w:fldChar w:fldCharType="separate"/>
            </w:r>
            <w:r>
              <w:rPr>
                <w:sz w:val="26"/>
                <w:i/>
                <w:kern w:val="0"/>
                <w:szCs w:val="22"/>
                <w:iCs/>
                <w:rFonts w:eastAsia="Calibri" w:cs="Arial"/>
                <w:lang w:val="en-US" w:eastAsia="en-US" w:bidi="ar-SA"/>
              </w:rPr>
              <w:t>4.14</w:t>
            </w:r>
            <w:r>
              <w:rPr>
                <w:sz w:val="26"/>
                <w:i/>
                <w:kern w:val="0"/>
                <w:szCs w:val="22"/>
                <w:iCs/>
                <w:rFonts w:eastAsia="Calibri" w:cs="Arial"/>
                <w:lang w:val="en-US" w:eastAsia="en-US" w:bidi="ar-SA"/>
              </w:rPr>
              <w:fldChar w:fldCharType="end"/>
            </w:r>
            <w:r>
              <w:rPr>
                <w:rFonts w:eastAsia="Calibri" w:cs="Arial"/>
                <w:i/>
                <w:iCs/>
                <w:kern w:val="0"/>
                <w:sz w:val="26"/>
                <w:szCs w:val="22"/>
                <w:lang w:val="ru-RU" w:eastAsia="en-US" w:bidi="ar-SA"/>
              </w:rPr>
              <w:t>))</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r>
              <w:rPr>
                <w:rFonts w:eastAsia="Calibri" w:cs="Arial"/>
                <w:kern w:val="0"/>
                <w:sz w:val="26"/>
                <w:szCs w:val="22"/>
                <w:lang w:val="ru-RU" w:eastAsia="en-US" w:bidi="ar-SA"/>
              </w:rPr>
              <w:t>подразделы</w:t>
            </w:r>
            <w:r>
              <w:rPr>
                <w:rFonts w:eastAsia="Calibri" w:cs="Arial"/>
                <w:kern w:val="0"/>
                <w:sz w:val="26"/>
                <w:szCs w:val="22"/>
                <w:lang w:val="en-US" w:eastAsia="en-US" w:bidi="ar-SA"/>
              </w:rPr>
              <w:t> </w:t>
            </w:r>
            <w:r>
              <w:rPr>
                <w:rFonts w:eastAsia="Calibri" w:cs="Arial"/>
                <w:kern w:val="0"/>
                <w:sz w:val="26"/>
                <w:szCs w:val="22"/>
                <w:lang w:val="en-US" w:eastAsia="en-US" w:bidi="ar-SA"/>
              </w:rPr>
              <w:fldChar w:fldCharType="begin"/>
            </w:r>
            <w:r>
              <w:rPr>
                <w:sz w:val="26"/>
                <w:kern w:val="0"/>
                <w:szCs w:val="22"/>
                <w:rFonts w:eastAsia="Calibri" w:cs="Arial"/>
                <w:lang w:val="en-US" w:eastAsia="en-US" w:bidi="ar-SA"/>
              </w:rPr>
              <w:instrText xml:space="preserve"> REF _Ref130281199 \r \h </w:instrText>
            </w:r>
            <w:r>
              <w:rPr>
                <w:sz w:val="26"/>
                <w:kern w:val="0"/>
                <w:szCs w:val="22"/>
                <w:rFonts w:eastAsia="Calibri" w:cs="Arial"/>
                <w:lang w:val="en-US" w:eastAsia="en-US" w:bidi="ar-SA"/>
              </w:rPr>
              <w:fldChar w:fldCharType="separate"/>
            </w:r>
            <w:r>
              <w:rPr>
                <w:sz w:val="26"/>
                <w:kern w:val="0"/>
                <w:szCs w:val="22"/>
                <w:rFonts w:eastAsia="Calibri" w:cs="Arial"/>
                <w:lang w:val="en-US" w:eastAsia="en-US" w:bidi="ar-SA"/>
              </w:rPr>
              <w:t>4.3</w:t>
            </w:r>
            <w:r>
              <w:rPr>
                <w:sz w:val="26"/>
                <w:kern w:val="0"/>
                <w:szCs w:val="22"/>
                <w:rFonts w:eastAsia="Calibri" w:cs="Arial"/>
                <w:lang w:val="en-US"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en-US" w:eastAsia="en-US" w:bidi="ar-SA"/>
              </w:rPr>
              <w:fldChar w:fldCharType="begin"/>
            </w:r>
            <w:r>
              <w:rPr>
                <w:sz w:val="26"/>
                <w:kern w:val="0"/>
                <w:szCs w:val="22"/>
                <w:rFonts w:eastAsia="Calibri" w:cs="Arial"/>
                <w:lang w:val="en-US" w:eastAsia="en-US" w:bidi="ar-SA"/>
              </w:rPr>
              <w:instrText xml:space="preserve"> REF _Ref186181253 \r \h </w:instrText>
            </w:r>
            <w:r>
              <w:rPr>
                <w:sz w:val="26"/>
                <w:kern w:val="0"/>
                <w:szCs w:val="22"/>
                <w:rFonts w:eastAsia="Calibri" w:cs="Arial"/>
                <w:lang w:val="en-US" w:eastAsia="en-US" w:bidi="ar-SA"/>
              </w:rPr>
              <w:fldChar w:fldCharType="separate"/>
            </w:r>
            <w:r>
              <w:rPr>
                <w:sz w:val="26"/>
                <w:kern w:val="0"/>
                <w:szCs w:val="22"/>
                <w:rFonts w:eastAsia="Calibri" w:cs="Arial"/>
                <w:lang w:val="en-US" w:eastAsia="en-US" w:bidi="ar-SA"/>
              </w:rPr>
              <w:t>4.14</w:t>
            </w:r>
            <w:r>
              <w:rPr>
                <w:sz w:val="26"/>
                <w:kern w:val="0"/>
                <w:szCs w:val="22"/>
                <w:rFonts w:eastAsia="Calibri" w:cs="Arial"/>
                <w:lang w:val="en-US" w:eastAsia="en-US" w:bidi="ar-SA"/>
              </w:rPr>
              <w:fldChar w:fldCharType="end"/>
            </w:r>
            <w:r>
              <w:rPr>
                <w:rFonts w:eastAsia="Calibri" w:cs="Arial"/>
                <w:kern w:val="0"/>
                <w:sz w:val="26"/>
                <w:szCs w:val="22"/>
                <w:lang w:val="en-US" w:eastAsia="en-US" w:bidi="ar-SA"/>
              </w:rPr>
              <w:br/>
            </w: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0"/>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Соответствие предлагаемой к поставке продукции иным требованиям, установленным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r>
              <w:rPr>
                <w:rFonts w:eastAsia="Calibri" w:cs="Arial"/>
                <w:kern w:val="0"/>
                <w:sz w:val="26"/>
                <w:szCs w:val="22"/>
                <w:lang w:val="ru-RU" w:eastAsia="en-US" w:bidi="ar-SA"/>
              </w:rPr>
              <w:t xml:space="preserve">, с предоставлением требуемых подтверждающих документов </w:t>
            </w:r>
            <w:r>
              <w:rPr>
                <w:rFonts w:eastAsia="Calibri" w:cs="Arial"/>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bl>
    <w:p>
      <w:pPr>
        <w:pStyle w:val="Style16"/>
        <w:spacing w:before="360" w:after="120"/>
        <w:rPr>
          <w:i w:val="false"/>
          <w:i w:val="false"/>
          <w:iCs w:val="false"/>
          <w:shd w:fill="auto" w:val="clear"/>
        </w:rPr>
      </w:pPr>
      <w:bookmarkStart w:id="354" w:name="_Toc228876900"/>
      <w:r>
        <w:rPr>
          <w:rStyle w:val="Style3"/>
          <w:i w:val="false"/>
          <w:iCs w:val="false"/>
          <w:shd w:fill="auto" w:val="clear"/>
        </w:rPr>
        <w:t>Отборочные критерии рассмотрения ценовых предложений (дополнительных ценовых предложений)</w:t>
      </w:r>
      <w:bookmarkEnd w:id="354"/>
    </w:p>
    <w:tbl>
      <w:tblPr>
        <w:tblW w:w="15126" w:type="dxa"/>
        <w:jc w:val="left"/>
        <w:tblInd w:w="0" w:type="dxa"/>
        <w:tblLayout w:type="fixed"/>
        <w:tblCellMar>
          <w:top w:w="0" w:type="dxa"/>
          <w:left w:w="57" w:type="dxa"/>
          <w:bottom w:w="0" w:type="dxa"/>
          <w:right w:w="57" w:type="dxa"/>
        </w:tblCellMar>
      </w:tblPr>
      <w:tblGrid>
        <w:gridCol w:w="1411"/>
        <w:gridCol w:w="8507"/>
        <w:gridCol w:w="3117"/>
        <w:gridCol w:w="2090"/>
      </w:tblGrid>
      <w:tr>
        <w:trPr/>
        <w:tc>
          <w:tcPr>
            <w:tcW w:w="1411"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w:t>
              <w:br/>
              <w:t>критерия</w:t>
            </w:r>
          </w:p>
        </w:tc>
        <w:tc>
          <w:tcPr>
            <w:tcW w:w="8507"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Наименование</w:t>
              <w:br/>
              <w:t>отборочного критерия</w:t>
            </w:r>
          </w:p>
        </w:tc>
        <w:tc>
          <w:tcPr>
            <w:tcW w:w="3117"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Номер пункта</w:t>
              <w:br/>
              <w:t>Документации о закупке</w:t>
            </w:r>
          </w:p>
        </w:tc>
        <w:tc>
          <w:tcPr>
            <w:tcW w:w="2090"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60" w:after="60"/>
              <w:jc w:val="center"/>
              <w:rPr>
                <w:rFonts w:ascii="Times New Roman" w:hAnsi="Times New Roman" w:eastAsia="Calibri" w:cs="Arial"/>
                <w:b/>
                <w:kern w:val="0"/>
                <w:sz w:val="26"/>
                <w:szCs w:val="22"/>
                <w:lang w:val="ru-RU" w:eastAsia="en-US" w:bidi="ar-SA"/>
              </w:rPr>
            </w:pPr>
            <w:r>
              <w:rPr>
                <w:rFonts w:eastAsia="Calibri" w:cs="Arial"/>
                <w:b/>
                <w:kern w:val="0"/>
                <w:sz w:val="26"/>
                <w:szCs w:val="22"/>
                <w:lang w:val="ru-RU" w:eastAsia="en-US" w:bidi="ar-SA"/>
              </w:rPr>
              <w:t>Направления</w:t>
              <w:br/>
              <w:t>оценки заявок*</w:t>
            </w:r>
          </w:p>
        </w:tc>
      </w:tr>
      <w:tr>
        <w:trPr/>
        <w:tc>
          <w:tcPr>
            <w:tcW w:w="9918" w:type="dxa"/>
            <w:gridSpan w:val="2"/>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rPr>
                <w:b/>
                <w:bCs/>
              </w:rPr>
            </w:pPr>
            <w:r>
              <w:rPr>
                <w:rFonts w:eastAsia="Calibri" w:cs="Arial"/>
                <w:b/>
                <w:bCs/>
                <w:kern w:val="0"/>
                <w:sz w:val="26"/>
                <w:szCs w:val="22"/>
                <w:lang w:val="ru-RU" w:eastAsia="en-US" w:bidi="ar-SA"/>
              </w:rPr>
              <w:t>Состав, содержание и правильность оформления ценового предложения, в том числе:</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b/>
                <w:bCs/>
              </w:rPr>
            </w:pPr>
            <w:r>
              <w:rPr>
                <w:rFonts w:eastAsia="Calibri" w:cs="Arial"/>
                <w:b/>
                <w:bCs/>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b/>
                <w:bCs/>
              </w:rPr>
            </w:pPr>
            <w:r>
              <w:rPr>
                <w:rFonts w:eastAsia="Calibri" w:cs="Arial"/>
                <w:b/>
                <w:bCs/>
                <w:kern w:val="0"/>
                <w:sz w:val="26"/>
                <w:szCs w:val="22"/>
                <w:lang w:val="ru-RU" w:eastAsia="en-US" w:bidi="ar-SA"/>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1"/>
              </w:numPr>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 xml:space="preserve">Соответствие ценового предложения по составу требованиям </w:t>
            </w:r>
            <w:hyperlink w:anchor="Прил06_СоставЗаявки" w:tgtFrame="#Прил06_СоставЗаявки">
              <w:r>
                <w:rPr>
                  <w:rStyle w:val="Style6"/>
                  <w:rFonts w:eastAsia="Calibri" w:cs="Arial"/>
                  <w:kern w:val="0"/>
                  <w:sz w:val="26"/>
                  <w:szCs w:val="22"/>
                  <w:lang w:val="ru-RU" w:eastAsia="en-US" w:bidi="ar-SA"/>
                </w:rPr>
                <w:t>Приложения № 6 «Состав заявки»</w:t>
              </w:r>
            </w:hyperlink>
            <w:r>
              <w:rPr>
                <w:rFonts w:eastAsia="Calibri" w:cs="Arial"/>
                <w:kern w:val="0"/>
                <w:sz w:val="26"/>
                <w:szCs w:val="22"/>
                <w:lang w:val="ru-RU" w:eastAsia="en-US" w:bidi="ar-SA"/>
              </w:rPr>
              <w:t>, а также правильности оформления документов, входящих в его состав, в том числе установленной форме и иным и иным требованиям Документации о закупке (в т.ч. в части языка и валюты заявки)</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_Ref125362119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4.6</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r>
          </w:p>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Приложение №1,</w:t>
            </w:r>
          </w:p>
          <w:p>
            <w:pPr>
              <w:pStyle w:val="Style21"/>
              <w:widowControl w:val="false"/>
              <w:spacing w:lineRule="auto" w:line="240" w:before="60" w:after="60"/>
              <w:jc w:val="center"/>
              <w:rPr>
                <w:rStyle w:val="Style6"/>
              </w:rPr>
            </w:pPr>
            <w:hyperlink w:anchor="Прил06_СоставЗаявки" w:tgtFrame="#Прил06_СоставЗаявки">
              <w:r>
                <w:rPr>
                  <w:rStyle w:val="Style6"/>
                  <w:rFonts w:eastAsia="Calibri" w:cs="Arial"/>
                  <w:kern w:val="0"/>
                  <w:sz w:val="26"/>
                  <w:szCs w:val="22"/>
                  <w:lang w:val="ru-RU" w:eastAsia="en-US" w:bidi="ar-SA"/>
                </w:rPr>
                <w:t>Приложение № 6</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Цена</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1"/>
              </w:numPr>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Отсутствие в материалах (документов) ценового предложения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_Ref132797154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4.11</w:t>
            </w:r>
            <w:r>
              <w:rPr>
                <w:sz w:val="26"/>
                <w:kern w:val="0"/>
                <w:szCs w:val="22"/>
                <w:rFonts w:eastAsia="Calibri" w:cs="Arial"/>
                <w:lang w:val="ru-RU" w:eastAsia="en-US" w:bidi="ar-SA"/>
              </w:rPr>
              <w:fldChar w:fldCharType="end"/>
            </w:r>
          </w:p>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Цена</w:t>
            </w:r>
          </w:p>
        </w:tc>
      </w:tr>
      <w:tr>
        <w:trPr/>
        <w:tc>
          <w:tcPr>
            <w:tcW w:w="9918" w:type="dxa"/>
            <w:gridSpan w:val="2"/>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rPr>
                <w:b/>
                <w:bCs/>
              </w:rPr>
            </w:pPr>
            <w:r>
              <w:rPr>
                <w:rFonts w:eastAsia="Calibri" w:cs="Arial"/>
                <w:b/>
                <w:bCs/>
                <w:kern w:val="0"/>
                <w:sz w:val="26"/>
                <w:szCs w:val="22"/>
                <w:lang w:val="ru-RU" w:eastAsia="en-US" w:bidi="ar-SA"/>
              </w:rPr>
              <w:t>Соответствие Коммерческого предложения Участника требованиям Документации о закупке, в том числе:</w:t>
            </w:r>
          </w:p>
        </w:tc>
        <w:tc>
          <w:tcPr>
            <w:tcW w:w="3117"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jc w:val="center"/>
              <w:rPr>
                <w:b/>
                <w:bCs/>
              </w:rPr>
            </w:pPr>
            <w:r>
              <w:rPr>
                <w:rFonts w:eastAsia="Calibri" w:cs="Arial"/>
                <w:b/>
                <w:bCs/>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keepNext w:val="true"/>
              <w:widowControl w:val="false"/>
              <w:spacing w:lineRule="auto" w:line="240" w:before="60" w:after="60"/>
              <w:jc w:val="center"/>
              <w:rPr>
                <w:b/>
                <w:bCs/>
              </w:rPr>
            </w:pPr>
            <w:r>
              <w:rPr>
                <w:rFonts w:eastAsia="Calibri" w:cs="Arial"/>
                <w:b/>
                <w:bCs/>
                <w:kern w:val="0"/>
                <w:sz w:val="26"/>
                <w:szCs w:val="22"/>
                <w:lang w:val="ru-RU" w:eastAsia="en-US" w:bidi="ar-SA"/>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1"/>
              </w:numPr>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Соответствие Коммерческого предложения (проверка наличия в составе заявки всех необходимых документов, оценка правильности их оформления; проверка отсутствия противоречий в представленных в составе Коммерческого предложения (и приложениях к нему) документах)</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r>
          </w:p>
          <w:p>
            <w:pPr>
              <w:pStyle w:val="Style21"/>
              <w:widowControl w:val="false"/>
              <w:spacing w:lineRule="auto" w:line="240" w:before="60" w:after="60"/>
              <w:jc w:val="center"/>
              <w:rPr/>
            </w:pPr>
            <w:r>
              <w:rPr>
                <w:rFonts w:eastAsia="Calibri" w:cs="Arial"/>
                <w:kern w:val="0"/>
                <w:sz w:val="26"/>
                <w:szCs w:val="22"/>
                <w:lang w:val="ru-RU" w:eastAsia="en-US" w:bidi="ar-SA"/>
              </w:rPr>
              <w:t>Приложение №1,</w:t>
              <w:br/>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Цена</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1"/>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Соответствие предложения установленным законодательством требованиям к предоставлению национального режима, в том числе в части указания сведений, которые подтверждают страну происхождения товара в составе заявке в форме Коммерческого предложения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w:t>
            </w:r>
          </w:p>
          <w:p>
            <w:pPr>
              <w:pStyle w:val="Style21"/>
              <w:widowControl w:val="false"/>
              <w:spacing w:lineRule="auto" w:line="240" w:before="60" w:after="60"/>
              <w:rPr>
                <w:rFonts w:ascii="Times New Roman" w:hAnsi="Times New Roman" w:eastAsia="Calibri" w:cs="Arial"/>
                <w:kern w:val="0"/>
                <w:sz w:val="26"/>
                <w:szCs w:val="22"/>
                <w:lang w:eastAsia="en-US" w:bidi="ar-SA"/>
              </w:rPr>
            </w:pPr>
            <w:r>
              <w:rPr>
                <w:rFonts w:eastAsia="Calibri" w:cs="Arial"/>
                <w:i/>
                <w:iCs/>
                <w:kern w:val="0"/>
                <w:sz w:val="26"/>
                <w:szCs w:val="22"/>
                <w:lang w:val="ru-RU" w:eastAsia="en-US" w:bidi="ar-SA"/>
              </w:rPr>
              <w:t>(пункт применяется только в случае установления режима запрета или ограничения закупки иностранной продукции, а также при исполнении Заказчиком норм в части минимальной обязательной доли закупок товаров российского происхождения (подраздел </w:t>
            </w:r>
            <w:r>
              <w:rPr>
                <w:rFonts w:eastAsia="Calibri" w:cs="Arial"/>
                <w:i/>
                <w:iCs/>
                <w:kern w:val="0"/>
                <w:sz w:val="26"/>
                <w:szCs w:val="22"/>
                <w:lang w:val="en-US" w:eastAsia="en-US" w:bidi="ar-SA"/>
              </w:rPr>
              <w:fldChar w:fldCharType="begin"/>
            </w:r>
            <w:r>
              <w:rPr>
                <w:sz w:val="26"/>
                <w:i/>
                <w:kern w:val="0"/>
                <w:szCs w:val="22"/>
                <w:iCs/>
                <w:rFonts w:eastAsia="Calibri" w:cs="Arial"/>
                <w:lang w:val="en-US" w:eastAsia="en-US" w:bidi="ar-SA"/>
              </w:rPr>
              <w:instrText xml:space="preserve"> REF _Ref186181253 \r \h </w:instrText>
            </w:r>
            <w:r>
              <w:rPr>
                <w:sz w:val="26"/>
                <w:i/>
                <w:kern w:val="0"/>
                <w:szCs w:val="22"/>
                <w:iCs/>
                <w:rFonts w:eastAsia="Calibri" w:cs="Arial"/>
                <w:lang w:val="en-US" w:eastAsia="en-US" w:bidi="ar-SA"/>
              </w:rPr>
              <w:fldChar w:fldCharType="separate"/>
            </w:r>
            <w:r>
              <w:rPr>
                <w:sz w:val="26"/>
                <w:i/>
                <w:kern w:val="0"/>
                <w:szCs w:val="22"/>
                <w:iCs/>
                <w:rFonts w:eastAsia="Calibri" w:cs="Arial"/>
                <w:lang w:val="en-US" w:eastAsia="en-US" w:bidi="ar-SA"/>
              </w:rPr>
              <w:t>4.14</w:t>
            </w:r>
            <w:r>
              <w:rPr>
                <w:sz w:val="26"/>
                <w:i/>
                <w:kern w:val="0"/>
                <w:szCs w:val="22"/>
                <w:iCs/>
                <w:rFonts w:eastAsia="Calibri" w:cs="Arial"/>
                <w:lang w:val="en-US" w:eastAsia="en-US" w:bidi="ar-SA"/>
              </w:rPr>
              <w:fldChar w:fldCharType="end"/>
            </w:r>
            <w:r>
              <w:rPr>
                <w:rFonts w:eastAsia="Calibri" w:cs="Arial"/>
                <w:i/>
                <w:iCs/>
                <w:kern w:val="0"/>
                <w:sz w:val="26"/>
                <w:szCs w:val="22"/>
                <w:lang w:val="ru-RU" w:eastAsia="en-US" w:bidi="ar-SA"/>
              </w:rPr>
              <w:t>))</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eastAsia="en-US" w:bidi="ar-SA"/>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_Ref130281199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en-US" w:eastAsia="en-US" w:bidi="ar-SA"/>
              </w:rPr>
              <w:fldChar w:fldCharType="begin"/>
            </w:r>
            <w:r>
              <w:rPr>
                <w:sz w:val="26"/>
                <w:kern w:val="0"/>
                <w:szCs w:val="22"/>
                <w:rFonts w:eastAsia="Calibri" w:cs="Arial"/>
                <w:lang w:val="en-US" w:eastAsia="en-US" w:bidi="ar-SA"/>
              </w:rPr>
              <w:instrText xml:space="preserve"> REF _Ref186181253 \r \h </w:instrText>
            </w:r>
            <w:r>
              <w:rPr>
                <w:sz w:val="26"/>
                <w:kern w:val="0"/>
                <w:szCs w:val="22"/>
                <w:rFonts w:eastAsia="Calibri" w:cs="Arial"/>
                <w:lang w:val="en-US" w:eastAsia="en-US" w:bidi="ar-SA"/>
              </w:rPr>
              <w:fldChar w:fldCharType="separate"/>
            </w:r>
            <w:r>
              <w:rPr>
                <w:sz w:val="26"/>
                <w:kern w:val="0"/>
                <w:szCs w:val="22"/>
                <w:rFonts w:eastAsia="Calibri" w:cs="Arial"/>
                <w:lang w:val="en-US" w:eastAsia="en-US" w:bidi="ar-SA"/>
              </w:rPr>
              <w:t>4.14</w:t>
            </w:r>
            <w:r>
              <w:rPr>
                <w:sz w:val="26"/>
                <w:kern w:val="0"/>
                <w:szCs w:val="22"/>
                <w:rFonts w:eastAsia="Calibri" w:cs="Arial"/>
                <w:lang w:val="en-US" w:eastAsia="en-US" w:bidi="ar-SA"/>
              </w:rPr>
              <w:fldChar w:fldCharType="end"/>
            </w:r>
          </w:p>
          <w:p>
            <w:pPr>
              <w:pStyle w:val="Style21"/>
              <w:widowControl w:val="false"/>
              <w:spacing w:lineRule="auto" w:line="240" w:before="60" w:after="60"/>
              <w:jc w:val="center"/>
              <w:rPr/>
            </w:pP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br/>
              <w:t>(форма Коммерческого предложения)</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1"/>
              </w:numPr>
              <w:spacing w:lineRule="auto" w:line="240" w:before="60" w:after="60"/>
              <w:ind w:hanging="0" w:left="170" w:right="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rPr/>
            </w:pPr>
            <w:r>
              <w:rPr>
                <w:rFonts w:eastAsia="Calibri" w:cs="Arial"/>
                <w:kern w:val="0"/>
                <w:sz w:val="26"/>
                <w:szCs w:val="22"/>
                <w:lang w:val="ru-RU" w:eastAsia="en-US" w:bidi="ar-SA"/>
              </w:rPr>
              <w:t>Соответствие подтверждающей документации, прилагаемой к</w:t>
            </w:r>
            <w:r>
              <w:rPr>
                <w:rFonts w:eastAsia="Calibri" w:cs="Arial"/>
                <w:kern w:val="0"/>
                <w:sz w:val="26"/>
                <w:szCs w:val="22"/>
                <w:lang w:val="en-US" w:eastAsia="en-US" w:bidi="ar-SA"/>
              </w:rPr>
              <w:t> </w:t>
            </w:r>
            <w:r>
              <w:rPr>
                <w:rFonts w:eastAsia="Calibri" w:cs="Arial"/>
                <w:kern w:val="0"/>
                <w:sz w:val="26"/>
                <w:szCs w:val="22"/>
                <w:lang w:val="ru-RU" w:eastAsia="en-US" w:bidi="ar-SA"/>
              </w:rPr>
              <w:t>Коммерческому приложению (форма 3) (</w:t>
            </w:r>
            <w:hyperlink w:anchor="Прил04_ФормыЗаявки" w:tgtFrame="#Прил04_ФормыЗаявки">
              <w:r>
                <w:rPr>
                  <w:rStyle w:val="Style6"/>
                  <w:rFonts w:eastAsia="Calibri" w:cs="Arial"/>
                  <w:kern w:val="0"/>
                  <w:sz w:val="26"/>
                  <w:szCs w:val="22"/>
                  <w:lang w:val="ru-RU" w:eastAsia="en-US" w:bidi="ar-SA"/>
                </w:rPr>
                <w:t>Приложение № 4</w:t>
              </w:r>
            </w:hyperlink>
            <w:r>
              <w:rPr>
                <w:rFonts w:eastAsia="Calibri" w:cs="Arial"/>
                <w:kern w:val="0"/>
                <w:sz w:val="26"/>
                <w:szCs w:val="22"/>
                <w:lang w:val="ru-RU" w:eastAsia="en-US" w:bidi="ar-SA"/>
              </w:rPr>
              <w:t xml:space="preserve">) требованиям, указанным в </w:t>
            </w:r>
            <w:hyperlink w:anchor="Прил01_ТехТребования" w:tgtFrame="#Прил01_ТехТребования">
              <w:r>
                <w:rPr>
                  <w:rStyle w:val="Style6"/>
                  <w:rFonts w:eastAsia="Calibri" w:cs="Arial"/>
                  <w:kern w:val="0"/>
                  <w:sz w:val="26"/>
                  <w:szCs w:val="22"/>
                  <w:lang w:val="ru-RU" w:eastAsia="en-US" w:bidi="ar-SA"/>
                </w:rPr>
                <w:t>Технических требованиях (Приложение № 1)</w:t>
              </w:r>
            </w:hyperlink>
          </w:p>
          <w:p>
            <w:pPr>
              <w:pStyle w:val="Style21"/>
              <w:widowControl w:val="false"/>
              <w:spacing w:lineRule="auto" w:line="240" w:before="60" w:after="60"/>
              <w:rPr/>
            </w:pPr>
            <w:r>
              <w:rPr>
                <w:rFonts w:eastAsia="Calibri" w:cs="Arial"/>
                <w:i/>
                <w:iCs/>
                <w:kern w:val="0"/>
                <w:sz w:val="26"/>
                <w:szCs w:val="22"/>
                <w:lang w:val="ru-RU" w:eastAsia="en-US" w:bidi="ar-SA"/>
              </w:rPr>
              <w:t xml:space="preserve">(пункт применяется только в случае установления соответствующих требований в </w:t>
            </w:r>
            <w:hyperlink w:anchor="Прил01_ТехТребования" w:tgtFrame="#Прил01_ТехТребования">
              <w:r>
                <w:rPr>
                  <w:rStyle w:val="Style6"/>
                  <w:rFonts w:eastAsia="Calibri" w:cs="Arial"/>
                  <w:i/>
                  <w:iCs/>
                  <w:kern w:val="0"/>
                  <w:sz w:val="26"/>
                  <w:szCs w:val="22"/>
                  <w:lang w:val="ru-RU" w:eastAsia="en-US" w:bidi="ar-SA"/>
                </w:rPr>
                <w:t>Технических требованиях (Приложение № 1)</w:t>
              </w:r>
            </w:hyperlink>
            <w:r>
              <w:rPr>
                <w:rFonts w:eastAsia="Calibri" w:cs="Arial"/>
                <w:i/>
                <w:iCs/>
                <w:kern w:val="0"/>
                <w:sz w:val="26"/>
                <w:szCs w:val="22"/>
                <w:lang w:val="ru-RU" w:eastAsia="en-US" w:bidi="ar-SA"/>
              </w:rPr>
              <w:t>)</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pPr>
            <w:hyperlink w:anchor="Прил01_ТехТребования" w:tgtFrame="#Прил01_ТехТребования">
              <w:r>
                <w:rPr>
                  <w:rStyle w:val="Style6"/>
                  <w:rFonts w:eastAsia="Calibri" w:cs="Arial"/>
                  <w:kern w:val="0"/>
                  <w:sz w:val="26"/>
                  <w:szCs w:val="22"/>
                  <w:lang w:val="ru-RU" w:eastAsia="en-US" w:bidi="ar-SA"/>
                </w:rPr>
                <w:t>Приложение № 1</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60" w:after="6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t>Цена</w:t>
            </w:r>
          </w:p>
        </w:tc>
      </w:tr>
    </w:tbl>
    <w:p>
      <w:pPr>
        <w:pStyle w:val="Style16"/>
        <w:spacing w:before="0" w:after="0"/>
        <w:rPr/>
      </w:pPr>
      <w:bookmarkStart w:id="355" w:name="_Toc228876901"/>
      <w:r>
        <w:rPr>
          <w:rStyle w:val="Style3"/>
          <w:i w:val="false"/>
          <w:iCs w:val="false"/>
          <w:shd w:fill="auto" w:val="clear"/>
        </w:rPr>
        <w:t>Дополнительные критерии проверки заявок на соответствие условиям Документации о закупке</w:t>
      </w:r>
      <w:bookmarkEnd w:id="355"/>
    </w:p>
    <w:p>
      <w:pPr>
        <w:pStyle w:val="Style21"/>
        <w:keepNext w:val="true"/>
        <w:spacing w:before="0" w:after="0"/>
        <w:rPr/>
      </w:pPr>
      <w:r>
        <w:rPr/>
        <w:t>Несоответствие одному или всем дополнительным критериям не является основанием для отклонения заявки.</w:t>
      </w:r>
    </w:p>
    <w:tbl>
      <w:tblPr>
        <w:tblW w:w="15126" w:type="dxa"/>
        <w:jc w:val="left"/>
        <w:tblInd w:w="0" w:type="dxa"/>
        <w:tblLayout w:type="fixed"/>
        <w:tblCellMar>
          <w:top w:w="0" w:type="dxa"/>
          <w:left w:w="57" w:type="dxa"/>
          <w:bottom w:w="0" w:type="dxa"/>
          <w:right w:w="57" w:type="dxa"/>
        </w:tblCellMar>
      </w:tblPr>
      <w:tblGrid>
        <w:gridCol w:w="1411"/>
        <w:gridCol w:w="8507"/>
        <w:gridCol w:w="3117"/>
        <w:gridCol w:w="2090"/>
      </w:tblGrid>
      <w:tr>
        <w:trPr/>
        <w:tc>
          <w:tcPr>
            <w:tcW w:w="1411"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0" w:after="0"/>
              <w:jc w:val="center"/>
              <w:rPr/>
            </w:pPr>
            <w:r>
              <w:rPr>
                <w:rFonts w:eastAsia="Calibri" w:cs="Arial"/>
                <w:b/>
                <w:kern w:val="0"/>
                <w:sz w:val="26"/>
                <w:szCs w:val="22"/>
                <w:lang w:val="ru-RU" w:eastAsia="en-US" w:bidi="ar-SA"/>
              </w:rPr>
              <w:t>Номер</w:t>
              <w:br/>
              <w:t>критерия</w:t>
            </w:r>
          </w:p>
        </w:tc>
        <w:tc>
          <w:tcPr>
            <w:tcW w:w="8507"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0" w:after="0"/>
              <w:jc w:val="center"/>
              <w:rPr/>
            </w:pPr>
            <w:r>
              <w:rPr>
                <w:rFonts w:eastAsia="Calibri" w:cs="Arial"/>
                <w:b/>
                <w:kern w:val="0"/>
                <w:sz w:val="26"/>
                <w:szCs w:val="22"/>
                <w:lang w:val="ru-RU" w:eastAsia="en-US" w:bidi="ar-SA"/>
              </w:rPr>
              <w:t>Наименование</w:t>
              <w:br/>
              <w:t>отборочного критерия</w:t>
            </w:r>
          </w:p>
        </w:tc>
        <w:tc>
          <w:tcPr>
            <w:tcW w:w="3117"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0" w:after="0"/>
              <w:jc w:val="center"/>
              <w:rPr/>
            </w:pPr>
            <w:r>
              <w:rPr>
                <w:rFonts w:eastAsia="Calibri" w:cs="Arial"/>
                <w:b/>
                <w:kern w:val="0"/>
                <w:sz w:val="26"/>
                <w:szCs w:val="22"/>
                <w:lang w:val="ru-RU" w:eastAsia="en-US" w:bidi="ar-SA"/>
              </w:rPr>
              <w:t>Номер пункта</w:t>
              <w:br/>
              <w:t>Документации о закупке</w:t>
            </w:r>
          </w:p>
        </w:tc>
        <w:tc>
          <w:tcPr>
            <w:tcW w:w="2090"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0" w:after="0"/>
              <w:jc w:val="center"/>
              <w:rPr/>
            </w:pPr>
            <w:r>
              <w:rPr>
                <w:rFonts w:eastAsia="Calibri" w:cs="Arial"/>
                <w:b/>
                <w:kern w:val="0"/>
                <w:sz w:val="26"/>
                <w:szCs w:val="22"/>
                <w:lang w:val="ru-RU" w:eastAsia="en-US" w:bidi="ar-SA"/>
              </w:rPr>
              <w:t>Направления</w:t>
              <w:br/>
              <w:t>оценки заявок*</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val="false"/>
              <w:numPr>
                <w:ilvl w:val="0"/>
                <w:numId w:val="12"/>
              </w:numPr>
              <w:spacing w:lineRule="auto" w:line="240" w:before="0" w:after="0"/>
              <w:jc w:val="center"/>
              <w:rPr>
                <w:rFonts w:ascii="Times New Roman" w:hAnsi="Times New Roman" w:eastAsia="Calibri" w:cs="Arial"/>
                <w:kern w:val="0"/>
                <w:sz w:val="26"/>
                <w:szCs w:val="22"/>
                <w:lang w:val="ru-RU" w:eastAsia="en-US" w:bidi="ar-SA"/>
              </w:rPr>
            </w:pPr>
            <w:r>
              <w:rPr>
                <w:rFonts w:eastAsia="Calibri" w:cs="Arial"/>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0" w:after="0"/>
              <w:rPr/>
            </w:pPr>
            <w:r>
              <w:rPr>
                <w:rFonts w:eastAsia="Calibri" w:cs="Arial"/>
                <w:kern w:val="0"/>
                <w:sz w:val="26"/>
                <w:szCs w:val="22"/>
                <w:lang w:val="ru-RU" w:eastAsia="en-US" w:bidi="ar-SA"/>
              </w:rPr>
              <w:t>Возможность применения преимущества, если в подразделе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_Ref125359973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установлен режим преимущества российской продукции, в отношении заявки с российской продукцией (на поставку товара российского происхождения (в том числе поставляемого при выполнении работ, оказании услуг)) </w:t>
            </w:r>
            <w:r>
              <w:rPr>
                <w:rFonts w:eastAsia="Calibri" w:cs="Arial"/>
                <w:i/>
                <w:iCs/>
                <w:kern w:val="0"/>
                <w:sz w:val="26"/>
                <w:szCs w:val="22"/>
                <w:lang w:val="ru-RU" w:eastAsia="en-US" w:bidi="ar-SA"/>
              </w:rPr>
              <w:t>(пункт применяется только в случае установления режима преимущества российской продукции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_Ref130985951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4.14</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0" w:after="0"/>
              <w:jc w:val="center"/>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_Ref132816300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4.14</w:t>
            </w:r>
            <w:r>
              <w:rPr>
                <w:sz w:val="26"/>
                <w:kern w:val="0"/>
                <w:szCs w:val="22"/>
                <w:rFonts w:eastAsia="Calibri" w:cs="Arial"/>
                <w:lang w:val="ru-RU" w:eastAsia="en-US" w:bidi="ar-SA"/>
              </w:rPr>
              <w:fldChar w:fldCharType="end"/>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0" w:after="0"/>
              <w:jc w:val="center"/>
              <w:rPr/>
            </w:pPr>
            <w:r>
              <w:rPr>
                <w:rFonts w:eastAsia="Calibri" w:cs="Arial"/>
                <w:kern w:val="0"/>
                <w:sz w:val="26"/>
                <w:szCs w:val="22"/>
                <w:lang w:val="ru-RU" w:eastAsia="en-US" w:bidi="ar-SA"/>
              </w:rPr>
              <w:t>Тех</w:t>
            </w:r>
          </w:p>
        </w:tc>
      </w:tr>
    </w:tbl>
    <w:p>
      <w:pPr>
        <w:pStyle w:val="Style21"/>
        <w:keepNext w:val="true"/>
        <w:tabs>
          <w:tab w:val="clear" w:pos="708"/>
          <w:tab w:val="left" w:pos="851" w:leader="none"/>
        </w:tabs>
        <w:spacing w:before="0" w:after="0"/>
        <w:rPr>
          <w:b/>
          <w:bCs/>
        </w:rPr>
      </w:pPr>
      <w:r>
        <w:rPr>
          <w:b/>
          <w:bCs/>
        </w:rPr>
        <w:t>* Направления оценки заявок:</w:t>
      </w:r>
    </w:p>
    <w:p>
      <w:pPr>
        <w:pStyle w:val="Style21"/>
        <w:widowControl/>
        <w:tabs>
          <w:tab w:val="clear" w:pos="708"/>
          <w:tab w:val="left" w:pos="1134" w:leader="none"/>
        </w:tabs>
        <w:suppressAutoHyphens w:val="true"/>
        <w:overflowPunct w:val="true"/>
        <w:bidi w:val="0"/>
        <w:spacing w:lineRule="auto" w:line="240" w:before="0" w:after="0"/>
        <w:ind w:hanging="1587" w:left="1417" w:right="0"/>
        <w:jc w:val="both"/>
        <w:rPr/>
      </w:pPr>
      <w:r>
        <w:rPr>
          <w:b/>
          <w:bCs/>
        </w:rPr>
        <w:t>Орг</w:t>
      </w:r>
      <w:r>
        <w:rPr/>
        <w:tab/>
        <w:t>–</w:t>
        <w:tab/>
        <w:t xml:space="preserve">проверка наличия в составе заявки необходимых документов для рассмотрения экспертом по своему направлению: проверка наличия в составе заявке и оценка правильности оформления Письма о подаче оферты; наличия обеспечения обязательств Участника, связанного с подачей заявки, в виде независимой гарантии (в том числе наличие сведений о ней в соответствующем реестре в ЕИС) – в случае отсутствия внесенных Участником денежных средств на специальный банковский счет </w:t>
      </w:r>
      <w:r>
        <w:rPr>
          <w:i/>
          <w:iCs/>
        </w:rPr>
        <w:t>(последние применяется только в случае установления соответствующих требований)</w:t>
      </w:r>
      <w:r>
        <w:rPr/>
        <w:t>; наличие у Участника статуса «аккредитован», либо статуса «аккредитация не требуется» (или наличие заявки на аккредитацию (при необходимости)), участвует в процедуре актуализации статуса аккредитации (при необходимости); проверка отсутствие сведений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проверка наличия информации об Участнике в Реестре МСП (https://rmsp.nalog.ru/index.html), а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 (https://npd.nalog.ru/check-status/);</w:t>
      </w:r>
    </w:p>
    <w:p>
      <w:pPr>
        <w:pStyle w:val="Style21"/>
        <w:widowControl/>
        <w:tabs>
          <w:tab w:val="clear" w:pos="708"/>
          <w:tab w:val="left" w:pos="1134" w:leader="none"/>
        </w:tabs>
        <w:suppressAutoHyphens w:val="true"/>
        <w:overflowPunct w:val="true"/>
        <w:bidi w:val="0"/>
        <w:spacing w:lineRule="auto" w:line="240" w:before="0" w:after="0"/>
        <w:ind w:hanging="1417" w:left="1417" w:right="0"/>
        <w:jc w:val="both"/>
        <w:rPr/>
      </w:pPr>
      <w:r>
        <w:rPr>
          <w:b/>
          <w:bCs/>
        </w:rPr>
        <w:t>Тех</w:t>
      </w:r>
      <w:r>
        <w:rPr/>
        <w:tab/>
        <w:t>–</w:t>
        <w:tab/>
        <w:t xml:space="preserve">проверка наличия в составе заявки всех необходимых документов для рассмотрения экспертом по своему направлению, а также правильности их оформления; </w:t>
      </w:r>
      <w:bookmarkStart w:id="356" w:name="_Hlk207818776"/>
      <w:r>
        <w:rPr/>
        <w:t>в целях применения законодательства о национальном режиме: а) при закупке товаров (в том числе поставляемых при выполнении работ, оказании услуг) – оценка сведений о стране происхождения предлагаемого к поставке товара; б) при закупке работ, услуг – оценка сведений о стране регистрации Участника (стране регистрации лица, согласно заявке выполняющего работу, оказывающего услугу)</w:t>
      </w:r>
      <w:bookmarkEnd w:id="356"/>
      <w:r>
        <w:rPr/>
        <w:t>; оценка Технических предложений и сведений, подтверждающих соответствия Участника специальным требованиям Документации о закупке; оценка квалификационных данных Участника (в рамках оценки заявок по соответствующим критериям оценки), проверка технической части подтверждающей документации, прилагаемой к Коммерческому предложению (при наличии), а также, при необходимости, технических условий исполнения Договора;</w:t>
      </w:r>
    </w:p>
    <w:p>
      <w:pPr>
        <w:pStyle w:val="Style21"/>
        <w:widowControl/>
        <w:tabs>
          <w:tab w:val="clear" w:pos="708"/>
          <w:tab w:val="left" w:pos="1134" w:leader="none"/>
        </w:tabs>
        <w:suppressAutoHyphens w:val="true"/>
        <w:overflowPunct w:val="true"/>
        <w:bidi w:val="0"/>
        <w:spacing w:lineRule="auto" w:line="240" w:before="0" w:after="0"/>
        <w:ind w:hanging="1417" w:left="1417" w:right="0"/>
        <w:jc w:val="both"/>
        <w:rPr/>
      </w:pPr>
      <w:r>
        <w:rPr>
          <w:b/>
          <w:bCs/>
        </w:rPr>
        <w:t>Юр</w:t>
      </w:r>
      <w:r>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наличия должных печатей, подписей, формы заверения, языка заявки); оценка юридических аспектов заявки, в том числе оценка правомочности подписанта доверенности (при необходимости) на основании выписки из ЕГРЮЛ (выписка из ЕГРЮЛ доступна на официальном сервисе ФНС России https://egrul.nalog.ru/index.html);</w:t>
      </w:r>
    </w:p>
    <w:p>
      <w:pPr>
        <w:pStyle w:val="Style21"/>
        <w:keepNext w:val="true"/>
        <w:widowControl w:val="false"/>
        <w:tabs>
          <w:tab w:val="clear" w:pos="708"/>
          <w:tab w:val="left" w:pos="1134" w:leader="none"/>
        </w:tabs>
        <w:suppressAutoHyphens w:val="true"/>
        <w:overflowPunct w:val="true"/>
        <w:bidi w:val="0"/>
        <w:spacing w:lineRule="auto" w:line="240" w:before="0" w:after="0"/>
        <w:ind w:hanging="1417" w:left="1417" w:right="0"/>
        <w:jc w:val="both"/>
        <w:rPr/>
      </w:pPr>
      <w:r>
        <w:rPr>
          <w:b/>
          <w:bCs/>
        </w:rPr>
        <w:t>Цена</w:t>
      </w:r>
      <w:r>
        <w:rPr/>
        <w:tab/>
        <w:t>–</w:t>
        <w:tab/>
      </w:r>
      <w:bookmarkStart w:id="357" w:name="_Hlk207818793"/>
      <w:bookmarkStart w:id="358" w:name="_Hlk207821342"/>
      <w:r>
        <w:rPr/>
        <w:t xml:space="preserve">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языка и валюты заявки); проверка отсутствия противоречий в представленных в составе Коммерческого предложения (и приложениях к нему) документах; проверка соответствия подтверждающей документации (сметная документация и т.п.), прилагаемой к Коммерческому приложению, требованиям, указанным в Технических требованиях (при наличии такой документации и если ее предоставление требовалось в Документации о закупке), в том числе в части  </w:t>
      </w:r>
      <w:bookmarkEnd w:id="357"/>
      <w:bookmarkEnd w:id="358"/>
      <w:r>
        <w:rPr/>
        <w:t xml:space="preserve"> непревышения ценового предложения участника установленного размера НМЦ.</w:t>
      </w:r>
    </w:p>
    <w:p>
      <w:pPr>
        <w:pStyle w:val="Style21"/>
        <w:widowControl w:val="false"/>
        <w:tabs>
          <w:tab w:val="clear" w:pos="708"/>
          <w:tab w:val="left" w:pos="1134" w:leader="none"/>
        </w:tabs>
        <w:suppressAutoHyphens w:val="true"/>
        <w:overflowPunct w:val="true"/>
        <w:bidi w:val="0"/>
        <w:spacing w:lineRule="auto" w:line="240" w:before="0" w:after="0"/>
        <w:ind w:hanging="1417" w:left="1417" w:right="0"/>
        <w:jc w:val="both"/>
        <w:rPr/>
      </w:pPr>
      <w:r>
        <w:rPr>
          <w:b/>
          <w:bCs/>
        </w:rPr>
        <w:t>Фин</w:t>
      </w:r>
      <w:r>
        <w:rPr/>
        <w:tab/>
        <w:t>–</w:t>
        <w:tab/>
        <w:t xml:space="preserve">оценка независимой гарантии, в том числе правильность оформления рассматриваемых документов (в т.ч. в части наличия должных печатей, подписей, формы заверения, языка и валюты заявки) </w:t>
      </w:r>
      <w:r>
        <w:rPr>
          <w:i/>
          <w:iCs/>
        </w:rPr>
        <w:t>(финансовая экспертиза проводится по инициативе эксперта по направлениям Орг, в случае наличия в заявке независимой гарантии)</w:t>
      </w:r>
      <w:r>
        <w:rPr/>
        <w:t>.</w:t>
      </w:r>
    </w:p>
    <w:p>
      <w:pPr>
        <w:sectPr>
          <w:headerReference w:type="default" r:id="rId27"/>
          <w:headerReference w:type="first" r:id="rId28"/>
          <w:footerReference w:type="default" r:id="rId29"/>
          <w:footerReference w:type="first" r:id="rId30"/>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Style w:val="Style21"/>
        <w:widowControl w:val="false"/>
        <w:spacing w:before="0" w:after="0"/>
        <w:rPr/>
      </w:pPr>
      <w:r>
        <w:rPr/>
        <w:t>В случае указания по одному критерию отбора сразу нескольких направлений оценки заявок – экспертиза на соответствие указанному критерию осуществляется в пределах компетенции эксперта (в рамках материалов (документов), являющихся предметом его экспертизы).</w:t>
      </w:r>
    </w:p>
    <w:p>
      <w:pPr>
        <w:pStyle w:val="Style15"/>
        <w:spacing w:before="0" w:after="0"/>
        <w:rPr/>
      </w:pPr>
      <w:bookmarkStart w:id="359" w:name="_Ref125361648"/>
      <w:bookmarkStart w:id="360" w:name="_Ref125361951"/>
      <w:bookmarkStart w:id="361" w:name="_Ref125366280"/>
      <w:bookmarkStart w:id="362" w:name="_Ref125369438"/>
      <w:bookmarkStart w:id="363" w:name="_Ref125366285"/>
      <w:bookmarkStart w:id="364" w:name="_Ref125368140"/>
      <w:bookmarkStart w:id="365" w:name="_Ref125368150"/>
      <w:bookmarkStart w:id="366" w:name="_Ref125368165"/>
      <w:bookmarkStart w:id="367" w:name="_Ref125368184"/>
      <w:bookmarkStart w:id="368" w:name="_Ref125368283"/>
      <w:bookmarkStart w:id="369" w:name="_Ref125368291"/>
      <w:bookmarkStart w:id="370" w:name="_Ref125368302"/>
      <w:bookmarkStart w:id="371" w:name="_Ref125368313"/>
      <w:bookmarkStart w:id="372" w:name="_Ref125368331"/>
      <w:bookmarkStart w:id="373" w:name="_Ref125369021"/>
      <w:bookmarkStart w:id="374" w:name="_Ref125366013"/>
      <w:bookmarkStart w:id="375" w:name="_Toc228876902"/>
      <w:bookmarkStart w:id="376" w:name="_Ref125368172"/>
      <w:bookmarkStart w:id="377" w:name="Прил08_ПорядокОценки"/>
      <w:bookmarkEnd w:id="377"/>
      <w:r>
        <w:rPr/>
        <w:t>Приложение № 8 – Порядок и критерии оценки и сопоставления заявок</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Style16"/>
        <w:spacing w:before="360" w:after="0"/>
        <w:rPr/>
      </w:pPr>
      <w:bookmarkStart w:id="378" w:name="_Toc228876903"/>
      <w:r>
        <w:rPr/>
        <w:t>Порядок и критерии оценки и сопоставления заявок</w:t>
      </w:r>
      <w:bookmarkEnd w:id="378"/>
    </w:p>
    <w:p>
      <w:pPr>
        <w:pStyle w:val="Style17"/>
        <w:rPr/>
      </w:pPr>
      <w:r>
        <w:rPr/>
        <w:t>Расчет итоговой оценки предпочтительности каждой заявки, успешно прошедшей отборочную стадию: рассмотрение вторых частей заявок и ценовых предложений, рассмотрение дополнительных ценовых предложений – если проводилась переторжка, осуществляется по следующим критериям оценки и в соответствии со следующим порядком оценки предпочтительности и сопоставления заявок:</w:t>
      </w:r>
    </w:p>
    <w:tbl>
      <w:tblPr>
        <w:tblW w:w="14177" w:type="dxa"/>
        <w:jc w:val="left"/>
        <w:tblInd w:w="1129" w:type="dxa"/>
        <w:tblLayout w:type="fixed"/>
        <w:tblCellMar>
          <w:top w:w="0" w:type="dxa"/>
          <w:left w:w="57" w:type="dxa"/>
          <w:bottom w:w="0" w:type="dxa"/>
          <w:right w:w="57" w:type="dxa"/>
        </w:tblCellMar>
      </w:tblPr>
      <w:tblGrid>
        <w:gridCol w:w="995"/>
        <w:gridCol w:w="1269"/>
        <w:gridCol w:w="1026"/>
        <w:gridCol w:w="1219"/>
        <w:gridCol w:w="1191"/>
        <w:gridCol w:w="1900"/>
        <w:gridCol w:w="6576"/>
      </w:tblGrid>
      <w:tr>
        <w:trPr/>
        <w:tc>
          <w:tcPr>
            <w:tcW w:w="995" w:type="dxa"/>
            <w:vMerge w:val="restart"/>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40" w:after="40"/>
              <w:ind w:hanging="0" w:left="0" w:right="-113"/>
              <w:jc w:val="center"/>
              <w:rPr>
                <w:sz w:val="18"/>
                <w:szCs w:val="18"/>
              </w:rPr>
            </w:pPr>
            <w:r>
              <w:rPr>
                <w:rFonts w:eastAsia="Calibri" w:cs="Arial"/>
                <w:b/>
                <w:kern w:val="0"/>
                <w:sz w:val="18"/>
                <w:szCs w:val="18"/>
                <w:lang w:val="ru-RU" w:eastAsia="en-US" w:bidi="ar-SA"/>
              </w:rPr>
              <w:t>Номер критерия оценки в</w:t>
            </w:r>
            <w:r>
              <w:rPr>
                <w:rFonts w:eastAsia="Calibri" w:cs="Arial"/>
                <w:b/>
                <w:kern w:val="0"/>
                <w:sz w:val="18"/>
                <w:szCs w:val="18"/>
                <w:lang w:val="en-US" w:eastAsia="en-US" w:bidi="ar-SA"/>
              </w:rPr>
              <w:t> </w:t>
            </w:r>
            <w:r>
              <w:rPr>
                <w:rFonts w:eastAsia="Calibri" w:cs="Arial"/>
                <w:b/>
                <w:kern w:val="0"/>
                <w:sz w:val="18"/>
                <w:szCs w:val="18"/>
                <w:lang w:val="ru-RU" w:eastAsia="en-US" w:bidi="ar-SA"/>
              </w:rPr>
              <w:t>структуре</w:t>
            </w:r>
          </w:p>
        </w:tc>
        <w:tc>
          <w:tcPr>
            <w:tcW w:w="1269" w:type="dxa"/>
            <w:vMerge w:val="restart"/>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40" w:after="40"/>
              <w:jc w:val="center"/>
              <w:rPr>
                <w:sz w:val="18"/>
                <w:szCs w:val="18"/>
              </w:rPr>
            </w:pPr>
            <w:r>
              <w:rPr>
                <w:rFonts w:eastAsia="Calibri" w:cs="Arial"/>
                <w:b/>
                <w:kern w:val="0"/>
                <w:sz w:val="18"/>
                <w:szCs w:val="18"/>
                <w:lang w:val="ru-RU" w:eastAsia="en-US" w:bidi="ar-SA"/>
              </w:rPr>
              <w:t>Вид критерия оценки / направление оценки заявок</w:t>
            </w:r>
          </w:p>
        </w:tc>
        <w:tc>
          <w:tcPr>
            <w:tcW w:w="2245" w:type="dxa"/>
            <w:gridSpan w:val="2"/>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40" w:after="40"/>
              <w:jc w:val="center"/>
              <w:rPr>
                <w:sz w:val="18"/>
                <w:szCs w:val="18"/>
              </w:rPr>
            </w:pPr>
            <w:r>
              <w:rPr>
                <w:rFonts w:eastAsia="Calibri" w:cs="Arial"/>
                <w:b/>
                <w:kern w:val="0"/>
                <w:sz w:val="18"/>
                <w:szCs w:val="18"/>
                <w:lang w:val="ru-RU" w:eastAsia="en-US" w:bidi="ar-SA"/>
              </w:rPr>
              <w:t>Наименование критерия оценки</w:t>
            </w:r>
          </w:p>
        </w:tc>
        <w:tc>
          <w:tcPr>
            <w:tcW w:w="1191" w:type="dxa"/>
            <w:vMerge w:val="restart"/>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40" w:after="40"/>
              <w:jc w:val="center"/>
              <w:rPr>
                <w:sz w:val="18"/>
                <w:szCs w:val="18"/>
              </w:rPr>
            </w:pPr>
            <w:r>
              <w:rPr>
                <w:rFonts w:eastAsia="Calibri" w:cs="Arial"/>
                <w:b/>
                <w:kern w:val="0"/>
                <w:sz w:val="18"/>
                <w:szCs w:val="18"/>
                <w:lang w:val="ru-RU" w:eastAsia="en-US" w:bidi="ar-SA"/>
              </w:rPr>
              <w:t>Значимость</w:t>
              <w:br/>
              <w:t>критерия оценки</w:t>
            </w:r>
          </w:p>
        </w:tc>
        <w:tc>
          <w:tcPr>
            <w:tcW w:w="1900" w:type="dxa"/>
            <w:vMerge w:val="restart"/>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40" w:after="40"/>
              <w:jc w:val="center"/>
              <w:rPr>
                <w:sz w:val="18"/>
                <w:szCs w:val="18"/>
              </w:rPr>
            </w:pPr>
            <w:r>
              <w:rPr>
                <w:rFonts w:eastAsia="Calibri" w:cs="Arial"/>
                <w:b/>
                <w:kern w:val="0"/>
                <w:sz w:val="18"/>
                <w:szCs w:val="18"/>
                <w:lang w:val="ru-RU" w:eastAsia="en-US" w:bidi="ar-SA"/>
              </w:rPr>
              <w:t>Содержание частного критерия оценки</w:t>
            </w:r>
          </w:p>
        </w:tc>
        <w:tc>
          <w:tcPr>
            <w:tcW w:w="6576" w:type="dxa"/>
            <w:vMerge w:val="restart"/>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val="false"/>
              <w:spacing w:lineRule="auto" w:line="240" w:before="40" w:after="40"/>
              <w:jc w:val="center"/>
              <w:rPr>
                <w:sz w:val="18"/>
                <w:szCs w:val="18"/>
              </w:rPr>
            </w:pPr>
            <w:r>
              <w:rPr>
                <w:rFonts w:eastAsia="Calibri" w:cs="Arial"/>
                <w:b/>
                <w:kern w:val="0"/>
                <w:sz w:val="18"/>
                <w:szCs w:val="18"/>
                <w:lang w:val="ru-RU" w:eastAsia="en-US" w:bidi="ar-SA"/>
              </w:rPr>
              <w:t>Расчет оценки предпочтительности заявки</w:t>
            </w:r>
          </w:p>
        </w:tc>
      </w:tr>
      <w:tr>
        <w:trPr/>
        <w:tc>
          <w:tcPr>
            <w:tcW w:w="995"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c>
          <w:tcPr>
            <w:tcW w:w="1269"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c>
          <w:tcPr>
            <w:tcW w:w="1026"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center"/>
              <w:rPr>
                <w:b/>
                <w:bCs/>
                <w:sz w:val="18"/>
                <w:szCs w:val="18"/>
              </w:rPr>
            </w:pPr>
            <w:r>
              <w:rPr>
                <w:rFonts w:eastAsia="Calibri" w:cs="Arial"/>
                <w:b/>
                <w:bCs/>
                <w:kern w:val="0"/>
                <w:sz w:val="18"/>
                <w:szCs w:val="18"/>
                <w:lang w:val="ru-RU" w:eastAsia="en-US" w:bidi="ar-SA"/>
              </w:rPr>
              <w:t>критерий оценки первого уровня</w:t>
            </w:r>
          </w:p>
        </w:tc>
        <w:tc>
          <w:tcPr>
            <w:tcW w:w="1219"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center"/>
              <w:rPr>
                <w:b/>
                <w:bCs/>
                <w:sz w:val="18"/>
                <w:szCs w:val="18"/>
              </w:rPr>
            </w:pPr>
            <w:r>
              <w:rPr>
                <w:rFonts w:eastAsia="Calibri" w:cs="Arial"/>
                <w:b/>
                <w:bCs/>
                <w:kern w:val="0"/>
                <w:sz w:val="18"/>
                <w:szCs w:val="18"/>
                <w:lang w:val="ru-RU" w:eastAsia="en-US" w:bidi="ar-SA"/>
              </w:rPr>
              <w:t>критерий оценки второго уровня</w:t>
            </w:r>
          </w:p>
        </w:tc>
        <w:tc>
          <w:tcPr>
            <w:tcW w:w="1191"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c>
          <w:tcPr>
            <w:tcW w:w="1900"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c>
          <w:tcPr>
            <w:tcW w:w="6576"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bidi w:val="0"/>
              <w:spacing w:lineRule="auto" w:line="240" w:before="120" w:after="0"/>
              <w:jc w:val="left"/>
              <w:rPr/>
            </w:pPr>
            <w:r>
              <w:rPr/>
            </w:r>
          </w:p>
        </w:tc>
      </w:tr>
      <w:tr>
        <w:trPr/>
        <w:tc>
          <w:tcPr>
            <w:tcW w:w="995"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19"/>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1.</w:t>
            </w:r>
          </w:p>
        </w:tc>
        <w:tc>
          <w:tcPr>
            <w:tcW w:w="1269"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19"/>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ЦЕНА</w:t>
            </w:r>
          </w:p>
        </w:tc>
        <w:tc>
          <w:tcPr>
            <w:tcW w:w="1026"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19"/>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Цена договора (заявки)</w:t>
            </w:r>
          </w:p>
        </w:tc>
        <w:tc>
          <w:tcPr>
            <w:tcW w:w="1219"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19"/>
              </w:numPr>
              <w:spacing w:lineRule="auto" w:line="240" w:before="40" w:after="40"/>
              <w:ind w:hanging="0" w:left="0" w:right="0"/>
              <w:jc w:val="center"/>
              <w:rPr>
                <w:rFonts w:ascii="Times New Roman" w:hAnsi="Times New Roman" w:cs="Times New Roman"/>
                <w:i/>
                <w:i/>
                <w:sz w:val="18"/>
                <w:szCs w:val="18"/>
              </w:rPr>
            </w:pPr>
            <w:r>
              <w:rPr>
                <w:rFonts w:cs="Times New Roman" w:ascii="Times New Roman" w:hAnsi="Times New Roman"/>
                <w:i/>
                <w:kern w:val="0"/>
                <w:sz w:val="18"/>
                <w:szCs w:val="18"/>
                <w:lang w:eastAsia="ru-RU"/>
              </w:rPr>
              <w:t>отсутствует</w:t>
            </w:r>
          </w:p>
        </w:tc>
        <w:tc>
          <w:tcPr>
            <w:tcW w:w="1191"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19"/>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90%</w:t>
              <w:br/>
              <w:t>(В</w:t>
            </w:r>
            <w:r>
              <w:rPr>
                <w:rFonts w:cs="Times New Roman" w:ascii="Times New Roman" w:hAnsi="Times New Roman"/>
                <w:kern w:val="0"/>
                <w:sz w:val="18"/>
                <w:szCs w:val="18"/>
                <w:vertAlign w:val="subscript"/>
                <w:lang w:eastAsia="ru-RU"/>
              </w:rPr>
              <w:t>1</w:t>
            </w:r>
            <w:r>
              <w:rPr>
                <w:rFonts w:cs="Times New Roman" w:ascii="Times New Roman" w:hAnsi="Times New Roman"/>
                <w:kern w:val="0"/>
                <w:sz w:val="18"/>
                <w:szCs w:val="18"/>
                <w:lang w:eastAsia="ru-RU"/>
              </w:rPr>
              <w:t xml:space="preserve"> = 0,90)</w:t>
            </w:r>
          </w:p>
        </w:tc>
        <w:tc>
          <w:tcPr>
            <w:tcW w:w="1900"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19"/>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Чем меньше цена заявки Участника, тем выше предпочтительность</w:t>
            </w:r>
          </w:p>
        </w:tc>
        <w:tc>
          <w:tcPr>
            <w:tcW w:w="6576"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19"/>
              </w:numPr>
              <w:spacing w:lineRule="auto" w:line="240" w:before="96" w:after="0"/>
              <w:ind w:hanging="0" w:left="0" w:right="0"/>
              <w:jc w:val="left"/>
              <w:rPr>
                <w:rFonts w:ascii="Times New Roman" w:hAnsi="Times New Roman" w:cs="Times New Roman"/>
                <w:sz w:val="18"/>
                <w:szCs w:val="18"/>
              </w:rPr>
            </w:pPr>
            <w:r>
              <w:rPr>
                <w:rFonts w:cs="Times New Roman" w:ascii="Times New Roman" w:hAnsi="Times New Roman"/>
                <w:kern w:val="0"/>
                <w:sz w:val="18"/>
                <w:szCs w:val="18"/>
                <w:lang w:eastAsia="ru-RU"/>
              </w:rPr>
              <w:t>Расчет оценки предпочтительности по частному критерию по методу «Математическая формула, задающая «функцию ценности»»:</w:t>
            </w:r>
          </w:p>
          <w:p>
            <w:pPr>
              <w:pStyle w:val="22"/>
              <w:widowControl w:val="false"/>
              <w:numPr>
                <w:ilvl w:val="6"/>
                <w:numId w:val="19"/>
              </w:numPr>
              <w:spacing w:lineRule="auto" w:line="240" w:before="0" w:after="0"/>
              <w:ind w:hanging="0" w:left="0" w:right="0"/>
              <w:jc w:val="center"/>
              <w:rPr>
                <w:rFonts w:ascii="Times New Roman" w:hAnsi="Times New Roman" w:cs="Times New Roman"/>
                <w:sz w:val="18"/>
                <w:szCs w:val="18"/>
              </w:rPr>
            </w:pPr>
            <w:r>
              <w:rPr/>
            </w:r>
            <m:oMath xmlns:m="http://schemas.openxmlformats.org/officeDocument/2006/math">
              <m:sSub>
                <m:e>
                  <m:r>
                    <w:rPr>
                      <w:rFonts w:ascii="Cambria Math" w:hAnsi="Cambria Math"/>
                    </w:rPr>
                    <m:t xml:space="preserve">Б</m:t>
                  </m:r>
                </m:e>
                <m:sub>
                  <m:r>
                    <w:rPr>
                      <w:rFonts w:ascii="Cambria Math" w:hAnsi="Cambria Math"/>
                    </w:rPr>
                    <m:t xml:space="preserve">1</m:t>
                  </m:r>
                </m:sub>
              </m:sSub>
              <m:r>
                <w:rPr>
                  <w:rFonts w:ascii="Cambria Math" w:hAnsi="Cambria Math"/>
                </w:rPr>
                <m:t xml:space="preserve">=</m:t>
              </m:r>
              <m:f>
                <m:num>
                  <m:sSub>
                    <m:e>
                      <m:r>
                        <w:rPr>
                          <w:rFonts w:ascii="Cambria Math" w:hAnsi="Cambria Math"/>
                        </w:rPr>
                        <m:t xml:space="preserve">ЦЕНА</m:t>
                      </m:r>
                    </m:e>
                    <m:sub>
                      <m:r>
                        <w:rPr>
                          <w:rFonts w:ascii="Cambria Math" w:hAnsi="Cambria Math"/>
                        </w:rPr>
                        <m:t xml:space="preserve">min</m:t>
                      </m:r>
                    </m:sub>
                  </m:sSub>
                </m:num>
                <m:den>
                  <m:sSub>
                    <m:e>
                      <m:r>
                        <w:rPr>
                          <w:rFonts w:ascii="Cambria Math" w:hAnsi="Cambria Math"/>
                        </w:rPr>
                        <m:t xml:space="preserve">ЦЕНА</m:t>
                      </m:r>
                    </m:e>
                    <m:sub>
                      <m:r>
                        <w:rPr>
                          <w:rFonts w:ascii="Cambria Math" w:hAnsi="Cambria Math"/>
                        </w:rPr>
                        <m:t xml:space="preserve">i</m:t>
                      </m:r>
                    </m:sub>
                  </m:sSub>
                </m:den>
              </m:f>
              <m:r>
                <w:rPr>
                  <w:rFonts w:ascii="Cambria Math" w:hAnsi="Cambria Math"/>
                </w:rPr>
                <m:t xml:space="preserve">×</m:t>
              </m:r>
              <m:r>
                <w:rPr>
                  <w:rFonts w:ascii="Cambria Math" w:hAnsi="Cambria Math"/>
                </w:rPr>
                <m:t xml:space="preserve">Ш</m:t>
              </m:r>
              <m:r>
                <w:rPr>
                  <w:rFonts w:ascii="Cambria Math" w:hAnsi="Cambria Math"/>
                </w:rPr>
                <m:t xml:space="preserve">,</m:t>
              </m:r>
            </m:oMath>
            <w:r>
              <w:fldChar w:fldCharType="begin"/>
            </w:r>
            <w:r>
              <w:rPr/>
              <w:instrText xml:space="preserve">QUOTE</w:instrText>
            </w:r>
            <w:r>
              <w:rPr/>
            </w:r>
            <w:r>
              <w:rPr/>
              <w:drawing>
                <wp:inline distT="0" distB="0" distL="0" distR="0">
                  <wp:extent cx="1009650" cy="295275"/>
                  <wp:effectExtent l="0" t="0" r="0" b="0"/>
                  <wp:docPr id="4" name="Рисунок 20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208" descr=""/>
                          <pic:cNvPicPr>
                            <a:picLocks noChangeAspect="1" noChangeArrowheads="1"/>
                          </pic:cNvPicPr>
                        </pic:nvPicPr>
                        <pic:blipFill>
                          <a:blip r:embed="rId31"/>
                          <a:stretch>
                            <a:fillRect/>
                          </a:stretch>
                        </pic:blipFill>
                        <pic:spPr bwMode="auto">
                          <a:xfrm>
                            <a:off x="0" y="0"/>
                            <a:ext cx="1009650" cy="295275"/>
                          </a:xfrm>
                          <a:prstGeom prst="rect">
                            <a:avLst/>
                          </a:prstGeom>
                        </pic:spPr>
                      </pic:pic>
                    </a:graphicData>
                  </a:graphic>
                </wp:inline>
              </w:drawing>
            </w:r>
            <w:r>
              <w:rPr/>
              <w:fldChar w:fldCharType="separate"/>
            </w:r>
            <w:r>
              <w:rPr/>
            </w:r>
            <w:r/>
            <w:r>
              <w:rPr/>
              <w:fldChar w:fldCharType="end"/>
            </w:r>
            <w:r>
              <w:rPr/>
            </w:r>
          </w:p>
          <w:p>
            <w:pPr>
              <w:pStyle w:val="22"/>
              <w:widowControl w:val="false"/>
              <w:numPr>
                <w:ilvl w:val="6"/>
                <w:numId w:val="19"/>
              </w:numPr>
              <w:spacing w:lineRule="auto" w:line="240" w:before="0" w:after="0"/>
              <w:ind w:hanging="0" w:left="0" w:right="0"/>
              <w:jc w:val="left"/>
              <w:rPr>
                <w:rFonts w:ascii="Times New Roman" w:hAnsi="Times New Roman" w:cs="Times New Roman"/>
                <w:sz w:val="18"/>
                <w:szCs w:val="18"/>
              </w:rPr>
            </w:pPr>
            <w:r>
              <w:rPr>
                <w:rFonts w:cs="Times New Roman"/>
                <w:kern w:val="0"/>
                <w:sz w:val="18"/>
                <w:szCs w:val="18"/>
                <w:lang w:eastAsia="ru-RU"/>
              </w:rPr>
              <w:t>где:</w:t>
            </w:r>
          </w:p>
          <w:p>
            <w:pPr>
              <w:pStyle w:val="22"/>
              <w:widowControl w:val="false"/>
              <w:numPr>
                <w:ilvl w:val="6"/>
                <w:numId w:val="19"/>
              </w:numPr>
              <w:tabs>
                <w:tab w:val="clear" w:pos="0"/>
                <w:tab w:val="left" w:pos="283" w:leader="none"/>
                <w:tab w:val="left" w:pos="742" w:leader="none"/>
                <w:tab w:val="left" w:pos="1167" w:leader="none"/>
              </w:tabs>
              <w:spacing w:lineRule="auto" w:line="240" w:before="0" w:after="0"/>
              <w:ind w:firstLine="283" w:left="0" w:right="0"/>
              <w:jc w:val="left"/>
              <w:rPr>
                <w:rFonts w:ascii="Times New Roman" w:hAnsi="Times New Roman" w:cs="Times New Roman"/>
                <w:sz w:val="18"/>
                <w:szCs w:val="18"/>
              </w:rPr>
            </w:pPr>
            <w:r>
              <w:rPr>
                <w:rFonts w:cs="Cantarell" w:ascii="Cantarell" w:hAnsi="Cantarell"/>
                <w:kern w:val="0"/>
                <w:sz w:val="18"/>
                <w:szCs w:val="18"/>
                <w:lang w:eastAsia="ru-RU"/>
              </w:rPr>
              <w:t>Б</w:t>
            </w:r>
            <w:r>
              <w:rPr>
                <w:rFonts w:cs="Cantarell" w:ascii="Cantarell" w:hAnsi="Cantarell"/>
                <w:kern w:val="0"/>
                <w:sz w:val="20"/>
                <w:szCs w:val="20"/>
                <w:vertAlign w:val="subscript"/>
                <w:lang w:eastAsia="ru-RU"/>
              </w:rPr>
              <w:t>1</w:t>
            </w:r>
            <w:r>
              <w:rPr>
                <w:rFonts w:cs="Times New Roman"/>
                <w:kern w:val="0"/>
                <w:sz w:val="18"/>
                <w:szCs w:val="18"/>
                <w:lang w:eastAsia="ru-RU"/>
              </w:rPr>
              <w:tab/>
              <w:t>–</w:t>
              <w:tab/>
              <w:t>рассчитанная оценка предпочтительности по данному частному критерию оценки в баллах;</w:t>
            </w:r>
          </w:p>
          <w:p>
            <w:pPr>
              <w:pStyle w:val="22"/>
              <w:widowControl w:val="false"/>
              <w:numPr>
                <w:ilvl w:val="6"/>
                <w:numId w:val="19"/>
              </w:numPr>
              <w:tabs>
                <w:tab w:val="clear" w:pos="0"/>
                <w:tab w:val="left" w:pos="742" w:leader="none"/>
                <w:tab w:val="left" w:pos="1167" w:leader="none"/>
              </w:tabs>
              <w:spacing w:lineRule="auto" w:line="240" w:before="0" w:after="0"/>
              <w:ind w:firstLine="283" w:left="0" w:right="0"/>
              <w:jc w:val="left"/>
              <w:rPr>
                <w:rFonts w:ascii="Times New Roman" w:hAnsi="Times New Roman" w:cs="Times New Roman"/>
                <w:sz w:val="18"/>
                <w:szCs w:val="18"/>
              </w:rPr>
            </w:pPr>
            <w:r>
              <w:rPr>
                <w:rFonts w:cs="Cantarell" w:ascii="Cantarell" w:hAnsi="Cantarell"/>
                <w:kern w:val="0"/>
                <w:sz w:val="18"/>
                <w:szCs w:val="18"/>
                <w:lang w:eastAsia="ru-RU"/>
              </w:rPr>
              <w:t>ЦЕНА</w:t>
            </w:r>
            <w:r>
              <w:rPr>
                <w:rFonts w:cs="Cantarell" w:ascii="Cantarell" w:hAnsi="Cantarell"/>
                <w:i/>
                <w:iCs/>
                <w:kern w:val="0"/>
                <w:sz w:val="18"/>
                <w:szCs w:val="18"/>
                <w:vertAlign w:val="subscript"/>
                <w:lang w:val="en-US" w:eastAsia="ru-RU"/>
              </w:rPr>
              <w:t>i</w:t>
            </w:r>
            <w:r>
              <w:rPr>
                <w:rFonts w:cs="Cantarell" w:ascii="Cantarell" w:hAnsi="Cantarell"/>
                <w:i/>
                <w:iCs/>
                <w:kern w:val="0"/>
                <w:sz w:val="18"/>
                <w:szCs w:val="18"/>
                <w:vertAlign w:val="subscript"/>
                <w:lang w:eastAsia="ru-RU"/>
              </w:rPr>
              <w:t> </w:t>
            </w:r>
            <w:r>
              <w:rPr>
                <w:rFonts w:cs="Times New Roman"/>
                <w:kern w:val="0"/>
                <w:sz w:val="18"/>
                <w:szCs w:val="18"/>
              </w:rPr>
              <w:t xml:space="preserve"> – </w:t>
            </w:r>
            <w:r>
              <w:rPr>
                <w:rFonts w:eastAsia="Calibri" w:cs="Times New Roman"/>
                <w:kern w:val="0"/>
                <w:sz w:val="18"/>
                <w:szCs w:val="18"/>
              </w:rPr>
              <w:t xml:space="preserve">цена договора (заявки), указанная в </w:t>
            </w:r>
            <w:r>
              <w:rPr>
                <w:rFonts w:eastAsia="Calibri" w:cs="Times New Roman"/>
                <w:kern w:val="0"/>
                <w:sz w:val="18"/>
                <w:szCs w:val="18"/>
                <w:lang w:val="en-US"/>
              </w:rPr>
              <w:t>i</w:t>
            </w:r>
            <w:r>
              <w:rPr>
                <w:rFonts w:eastAsia="Calibri" w:cs="Times New Roman"/>
                <w:kern w:val="0"/>
                <w:sz w:val="18"/>
                <w:szCs w:val="18"/>
              </w:rPr>
              <w:t xml:space="preserve">-той заявке (в Коммерческом предложении по установленной в Документации о закупке форме) допущенного Участника, </w:t>
            </w:r>
            <w:r>
              <w:rPr>
                <w:rFonts w:cs="Times New Roman"/>
                <w:kern w:val="0"/>
                <w:sz w:val="18"/>
                <w:szCs w:val="18"/>
              </w:rPr>
              <w:t>руб. без учета НДС ;</w:t>
            </w:r>
          </w:p>
          <w:p>
            <w:pPr>
              <w:pStyle w:val="22"/>
              <w:widowControl w:val="false"/>
              <w:numPr>
                <w:ilvl w:val="6"/>
                <w:numId w:val="19"/>
              </w:numPr>
              <w:tabs>
                <w:tab w:val="clear" w:pos="0"/>
                <w:tab w:val="left" w:pos="742" w:leader="none"/>
                <w:tab w:val="left" w:pos="1167" w:leader="none"/>
              </w:tabs>
              <w:spacing w:lineRule="auto" w:line="240" w:before="0" w:after="0"/>
              <w:ind w:firstLine="283" w:left="0" w:right="0"/>
              <w:jc w:val="left"/>
              <w:rPr>
                <w:rFonts w:ascii="Times New Roman" w:hAnsi="Times New Roman" w:cs="Times New Roman"/>
                <w:sz w:val="18"/>
                <w:szCs w:val="18"/>
              </w:rPr>
            </w:pPr>
            <w:r>
              <w:rPr>
                <w:rFonts w:cs="Cantarell" w:ascii="Cantarell" w:hAnsi="Cantarell"/>
                <w:kern w:val="0"/>
                <w:sz w:val="18"/>
                <w:szCs w:val="18"/>
                <w:lang w:eastAsia="ru-RU"/>
              </w:rPr>
              <w:t>ЦЕНА</w:t>
            </w:r>
            <w:r>
              <w:rPr>
                <w:rFonts w:cs="Cantarell" w:ascii="Cantarell" w:hAnsi="Cantarell"/>
                <w:i w:val="false"/>
                <w:iCs w:val="false"/>
                <w:kern w:val="0"/>
                <w:sz w:val="18"/>
                <w:szCs w:val="18"/>
                <w:vertAlign w:val="subscript"/>
                <w:lang w:val="en-US" w:eastAsia="ru-RU"/>
              </w:rPr>
              <w:t xml:space="preserve">min </w:t>
            </w:r>
            <w:r>
              <w:rPr>
                <w:rFonts w:cs="Times New Roman"/>
                <w:kern w:val="0"/>
                <w:sz w:val="18"/>
                <w:szCs w:val="18"/>
              </w:rPr>
              <w:t>– минимальная цена договора (заявки) среди всех допущенных заявок Участников, руб. без учета НДС;</w:t>
            </w:r>
          </w:p>
          <w:p>
            <w:pPr>
              <w:pStyle w:val="22"/>
              <w:widowControl w:val="false"/>
              <w:numPr>
                <w:ilvl w:val="6"/>
                <w:numId w:val="19"/>
              </w:numPr>
              <w:tabs>
                <w:tab w:val="clear" w:pos="0"/>
                <w:tab w:val="left" w:pos="742" w:leader="none"/>
                <w:tab w:val="left" w:pos="1167" w:leader="none"/>
              </w:tabs>
              <w:spacing w:lineRule="auto" w:line="240" w:before="0" w:after="0"/>
              <w:ind w:firstLine="283" w:left="0" w:right="0"/>
              <w:jc w:val="left"/>
              <w:rPr>
                <w:rFonts w:ascii="Times New Roman" w:hAnsi="Times New Roman" w:cs="Times New Roman"/>
                <w:sz w:val="18"/>
                <w:szCs w:val="18"/>
              </w:rPr>
            </w:pPr>
            <w:r>
              <w:rPr>
                <w:rFonts w:cs="Cantarell" w:ascii="Cantarell" w:hAnsi="Cantarell"/>
                <w:kern w:val="0"/>
                <w:sz w:val="18"/>
                <w:szCs w:val="18"/>
                <w:lang w:eastAsia="ru-RU"/>
              </w:rPr>
              <w:t>Ш</w:t>
            </w:r>
            <w:r>
              <w:rPr>
                <w:rFonts w:cs="Times New Roman"/>
                <w:kern w:val="0"/>
                <w:sz w:val="18"/>
                <w:szCs w:val="18"/>
                <w:lang w:eastAsia="ru-RU"/>
              </w:rPr>
              <w:tab/>
              <w:t>–</w:t>
              <w:tab/>
              <w:t xml:space="preserve">максимально возможный балл (максимальная возможная оценка предпочтительности) по шкале оценок </w:t>
            </w:r>
            <w:r>
              <w:rPr>
                <w:rFonts w:cs="Cantarell" w:ascii="Cantarell" w:hAnsi="Cantarell"/>
                <w:kern w:val="0"/>
                <w:sz w:val="18"/>
                <w:szCs w:val="18"/>
                <w:lang w:eastAsia="ru-RU"/>
              </w:rPr>
              <w:t>(Ш</w:t>
            </w:r>
            <w:r>
              <w:rPr>
                <w:rFonts w:cs="Times New Roman"/>
                <w:kern w:val="0"/>
                <w:sz w:val="18"/>
                <w:szCs w:val="18"/>
                <w:lang w:eastAsia="ru-RU"/>
              </w:rPr>
              <w:t> = 5).</w:t>
            </w:r>
          </w:p>
          <w:p>
            <w:pPr>
              <w:pStyle w:val="31"/>
              <w:widowControl w:val="false"/>
              <w:numPr>
                <w:ilvl w:val="7"/>
                <w:numId w:val="19"/>
              </w:numPr>
              <w:spacing w:lineRule="auto" w:line="240" w:before="96" w:after="0"/>
              <w:ind w:firstLine="283" w:left="0" w:right="0"/>
              <w:jc w:val="left"/>
              <w:rPr>
                <w:rFonts w:ascii="Times New Roman" w:hAnsi="Times New Roman" w:cs="Times New Roman"/>
                <w:color w:val="000000"/>
                <w:sz w:val="18"/>
                <w:szCs w:val="18"/>
              </w:rPr>
            </w:pPr>
            <w:r>
              <w:rPr>
                <w:rFonts w:cs="Times New Roman" w:ascii="Times New Roman" w:hAnsi="Times New Roman"/>
                <w:kern w:val="0"/>
                <w:sz w:val="18"/>
                <w:szCs w:val="18"/>
                <w:lang w:eastAsia="ru-RU"/>
              </w:rPr>
              <w:t>Оценка предпочтительности заявок осуществляется в едином базисе сопоставления ценовых (стоимостных) предложений, установленном в документации о закупке: без учета НДС</w:t>
            </w:r>
            <w:r>
              <w:rPr>
                <w:rFonts w:cs="Times New Roman" w:ascii="Times New Roman" w:hAnsi="Times New Roman"/>
                <w:color w:val="000000"/>
                <w:kern w:val="0"/>
                <w:sz w:val="18"/>
                <w:szCs w:val="18"/>
              </w:rPr>
              <w:t>.</w:t>
            </w:r>
          </w:p>
          <w:p>
            <w:pPr>
              <w:pStyle w:val="31"/>
              <w:widowControl w:val="false"/>
              <w:numPr>
                <w:ilvl w:val="7"/>
                <w:numId w:val="19"/>
              </w:numPr>
              <w:spacing w:lineRule="auto" w:line="240" w:before="0" w:after="0"/>
              <w:ind w:firstLine="283" w:left="0" w:right="0"/>
              <w:jc w:val="left"/>
              <w:rPr>
                <w:rFonts w:ascii="Times New Roman" w:hAnsi="Times New Roman" w:cs="Times New Roman"/>
                <w:sz w:val="18"/>
                <w:szCs w:val="18"/>
              </w:rPr>
            </w:pPr>
            <w:r>
              <w:rPr>
                <w:rFonts w:eastAsia="Times New Roman" w:cs="Times New Roman" w:ascii="Times New Roman" w:hAnsi="Times New Roman"/>
                <w:kern w:val="0"/>
                <w:sz w:val="18"/>
                <w:szCs w:val="18"/>
                <w:lang w:eastAsia="en-US"/>
              </w:rPr>
              <w:t>В случае если участник действует по упрощенной системе налогообложения, к таким участникам так же применяется базис сопоставления ценовых (стоимостных) предложений - без учета НДС.</w:t>
            </w:r>
          </w:p>
          <w:p>
            <w:pPr>
              <w:pStyle w:val="31"/>
              <w:widowControl w:val="false"/>
              <w:numPr>
                <w:ilvl w:val="7"/>
                <w:numId w:val="19"/>
              </w:numPr>
              <w:spacing w:lineRule="auto" w:line="240" w:before="0" w:after="96"/>
              <w:ind w:firstLine="283" w:left="0" w:right="0"/>
              <w:jc w:val="left"/>
              <w:rPr>
                <w:rFonts w:ascii="Times New Roman" w:hAnsi="Times New Roman" w:cs="Times New Roman"/>
                <w:sz w:val="18"/>
                <w:szCs w:val="18"/>
              </w:rPr>
            </w:pPr>
            <w:r>
              <w:rPr>
                <w:rFonts w:cs="Times New Roman" w:ascii="Times New Roman" w:hAnsi="Times New Roman"/>
                <w:kern w:val="0"/>
                <w:sz w:val="18"/>
                <w:szCs w:val="18"/>
                <w:lang w:eastAsia="ru-RU"/>
              </w:rPr>
              <w:t>Шкала оценок от 0 до 5 баллов.</w:t>
            </w:r>
          </w:p>
        </w:tc>
      </w:tr>
      <w:tr>
        <w:trPr/>
        <w:tc>
          <w:tcPr>
            <w:tcW w:w="995"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20"/>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2.</w:t>
            </w:r>
          </w:p>
          <w:p>
            <w:pPr>
              <w:pStyle w:val="31"/>
              <w:widowControl w:val="false"/>
              <w:numPr>
                <w:ilvl w:val="0"/>
              </w:numPr>
              <w:spacing w:lineRule="auto" w:line="240" w:before="40" w:after="40"/>
              <w:ind w:hanging="0" w:left="0" w:right="0"/>
              <w:rPr>
                <w:rFonts w:ascii="Times New Roman" w:hAnsi="Times New Roman" w:cs="Times New Roman"/>
                <w:kern w:val="0"/>
                <w:sz w:val="18"/>
                <w:szCs w:val="18"/>
              </w:rPr>
            </w:pPr>
            <w:r>
              <w:rPr>
                <w:rFonts w:cs="Times New Roman" w:ascii="Times New Roman" w:hAnsi="Times New Roman"/>
                <w:kern w:val="0"/>
                <w:sz w:val="18"/>
                <w:szCs w:val="18"/>
              </w:rPr>
            </w:r>
          </w:p>
        </w:tc>
        <w:tc>
          <w:tcPr>
            <w:tcW w:w="1269"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20"/>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Неценовой критерий оценки первого уровня / ТЕХ</w:t>
            </w:r>
          </w:p>
        </w:tc>
        <w:tc>
          <w:tcPr>
            <w:tcW w:w="1026"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20"/>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Квалификация (предпочти-тельность) Участника</w:t>
            </w:r>
          </w:p>
        </w:tc>
        <w:tc>
          <w:tcPr>
            <w:tcW w:w="1219"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20"/>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i/>
                <w:kern w:val="0"/>
                <w:sz w:val="18"/>
                <w:szCs w:val="18"/>
                <w:lang w:eastAsia="ru-RU"/>
              </w:rPr>
              <w:t>отсутствует</w:t>
            </w:r>
          </w:p>
        </w:tc>
        <w:tc>
          <w:tcPr>
            <w:tcW w:w="1191"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20"/>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5%</w:t>
              <w:br/>
              <w:t>(В</w:t>
            </w:r>
            <w:r>
              <w:rPr>
                <w:rFonts w:cs="Times New Roman" w:ascii="Times New Roman" w:hAnsi="Times New Roman"/>
                <w:kern w:val="0"/>
                <w:sz w:val="18"/>
                <w:szCs w:val="18"/>
                <w:vertAlign w:val="subscript"/>
                <w:lang w:eastAsia="ru-RU"/>
              </w:rPr>
              <w:t>2</w:t>
            </w:r>
            <w:r>
              <w:rPr>
                <w:rFonts w:cs="Times New Roman" w:ascii="Times New Roman" w:hAnsi="Times New Roman"/>
                <w:kern w:val="0"/>
                <w:sz w:val="18"/>
                <w:szCs w:val="18"/>
                <w:lang w:eastAsia="ru-RU"/>
              </w:rPr>
              <w:t xml:space="preserve"> = 0,05)</w:t>
            </w:r>
          </w:p>
        </w:tc>
        <w:tc>
          <w:tcPr>
            <w:tcW w:w="1900"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20"/>
              </w:numPr>
              <w:tabs>
                <w:tab w:val="clear" w:pos="0"/>
              </w:tabs>
              <w:spacing w:lineRule="auto" w:line="240" w:before="40" w:after="0"/>
              <w:ind w:hanging="0" w:left="0" w:right="0"/>
              <w:jc w:val="center"/>
              <w:rPr>
                <w:rFonts w:ascii="Times New Roman" w:hAnsi="Times New Roman" w:cs="Times New Roman"/>
                <w:sz w:val="18"/>
                <w:szCs w:val="18"/>
                <w:lang w:eastAsia="ru-RU"/>
              </w:rPr>
            </w:pPr>
            <w:r>
              <w:rPr>
                <w:rFonts w:cs="Times New Roman" w:ascii="Times New Roman" w:hAnsi="Times New Roman"/>
                <w:kern w:val="0"/>
                <w:sz w:val="18"/>
                <w:szCs w:val="18"/>
                <w:lang w:eastAsia="ru-RU"/>
              </w:rPr>
              <w:t xml:space="preserve">Чем больше опыт оказания аналогичных профилю закупки услуг </w:t>
            </w:r>
            <w:r>
              <w:rPr>
                <w:rFonts w:cs="Times New Roman" w:ascii="Times New Roman" w:hAnsi="Times New Roman"/>
                <w:kern w:val="0"/>
                <w:sz w:val="18"/>
                <w:szCs w:val="18"/>
                <w:shd w:fill="FFFF00" w:val="clear"/>
                <w:lang w:eastAsia="ru-RU"/>
              </w:rPr>
              <w:t>(</w:t>
            </w:r>
            <w:r>
              <w:rPr>
                <w:rFonts w:eastAsia="Times New Roman" w:cs="Times New Roman" w:ascii="Times New Roman" w:hAnsi="Times New Roman"/>
                <w:b/>
                <w:bCs/>
                <w:color w:val="1F2E3C"/>
                <w:kern w:val="0"/>
                <w:sz w:val="18"/>
                <w:szCs w:val="18"/>
                <w:shd w:fill="FFFF00" w:val="clear"/>
                <w:lang w:eastAsia="ru-RU"/>
              </w:rPr>
              <w:t>Установке редукционно-охладительных установок/ прокладка трубопроводов высокого давления</w:t>
            </w:r>
            <w:r>
              <w:rPr>
                <w:rFonts w:cs="Times New Roman" w:ascii="Times New Roman" w:hAnsi="Times New Roman"/>
                <w:kern w:val="0"/>
                <w:sz w:val="18"/>
                <w:szCs w:val="18"/>
                <w:shd w:fill="FFFF00" w:val="clear"/>
                <w:lang w:eastAsia="ru-RU"/>
              </w:rPr>
              <w:t>)</w:t>
            </w:r>
            <w:r>
              <w:rPr>
                <w:rFonts w:cs="Times New Roman" w:ascii="Times New Roman" w:hAnsi="Times New Roman"/>
                <w:kern w:val="0"/>
                <w:sz w:val="18"/>
                <w:szCs w:val="18"/>
                <w:shd w:fill="FFFF00" w:val="clear"/>
                <w:lang w:eastAsia="ru-RU"/>
              </w:rPr>
              <w:t xml:space="preserve"> </w:t>
            </w:r>
            <w:r>
              <w:rPr>
                <w:rFonts w:cs="Times New Roman" w:ascii="Times New Roman" w:hAnsi="Times New Roman"/>
                <w:kern w:val="0"/>
                <w:sz w:val="18"/>
                <w:szCs w:val="18"/>
                <w:lang w:eastAsia="ru-RU"/>
              </w:rPr>
              <w:t>за 5 лет предшествующих дате подачи заявки, тем выше предпочтительность.</w:t>
            </w:r>
          </w:p>
          <w:p>
            <w:pPr>
              <w:pStyle w:val="31"/>
              <w:widowControl w:val="false"/>
              <w:numPr>
                <w:ilvl w:val="7"/>
                <w:numId w:val="20"/>
              </w:numPr>
              <w:spacing w:lineRule="auto" w:line="240" w:before="0" w:after="40"/>
              <w:ind w:hanging="0" w:left="0" w:right="0"/>
              <w:jc w:val="center"/>
              <w:rPr>
                <w:rFonts w:ascii="Times New Roman" w:hAnsi="Times New Roman" w:cs="Times New Roman"/>
                <w:kern w:val="0"/>
                <w:sz w:val="18"/>
                <w:szCs w:val="18"/>
              </w:rPr>
            </w:pPr>
            <w:r>
              <w:rPr>
                <w:rFonts w:cs="Times New Roman" w:ascii="Times New Roman" w:hAnsi="Times New Roman"/>
                <w:kern w:val="0"/>
                <w:sz w:val="18"/>
                <w:szCs w:val="18"/>
              </w:rPr>
            </w:r>
          </w:p>
        </w:tc>
        <w:tc>
          <w:tcPr>
            <w:tcW w:w="6576" w:type="dxa"/>
            <w:tcBorders>
              <w:top w:val="single" w:sz="4" w:space="0" w:color="7F7F7F"/>
              <w:left w:val="single" w:sz="4" w:space="0" w:color="7F7F7F"/>
              <w:bottom w:val="single" w:sz="4" w:space="0" w:color="7F7F7F"/>
              <w:right w:val="single" w:sz="4" w:space="0" w:color="7F7F7F"/>
            </w:tcBorders>
          </w:tcPr>
          <w:p>
            <w:pPr>
              <w:pStyle w:val="Normal"/>
              <w:widowControl w:val="false"/>
              <w:numPr>
                <w:ilvl w:val="7"/>
                <w:numId w:val="27"/>
              </w:numPr>
              <w:spacing w:lineRule="auto" w:line="240" w:before="0" w:after="60"/>
              <w:ind w:firstLine="283" w:left="0" w:right="0"/>
              <w:jc w:val="left"/>
              <w:rPr>
                <w:rFonts w:ascii="Times New Roman" w:hAnsi="Times New Roman" w:eastAsia="Calibri" w:cs="Times New Roman"/>
                <w:color w:val="000000"/>
                <w:kern w:val="0"/>
                <w:sz w:val="18"/>
                <w:szCs w:val="18"/>
                <w:lang w:val="ru-RU" w:eastAsia="en-US" w:bidi="ar-SA"/>
              </w:rPr>
            </w:pPr>
            <w:r>
              <w:rPr>
                <w:rFonts w:eastAsia="Calibri" w:cs="Times New Roman"/>
                <w:color w:val="000000"/>
                <w:kern w:val="0"/>
                <w:sz w:val="18"/>
                <w:szCs w:val="18"/>
                <w:lang w:val="ru-RU" w:eastAsia="en-US" w:bidi="ar-SA"/>
              </w:rPr>
              <w:t xml:space="preserve">Расчет оценки предпочтительности по частному критерию по методу «Оценка предпочтительности посредством однозначной числовой шкалы измерений»: </w:t>
            </w:r>
          </w:p>
          <w:p>
            <w:pPr>
              <w:pStyle w:val="Normal"/>
              <w:widowControl w:val="false"/>
              <w:numPr>
                <w:ilvl w:val="7"/>
                <w:numId w:val="28"/>
              </w:numPr>
              <w:spacing w:lineRule="auto" w:line="240" w:before="0" w:after="60"/>
              <w:ind w:firstLine="283" w:left="0" w:right="0"/>
              <w:jc w:val="left"/>
              <w:rPr>
                <w:rFonts w:eastAsia="Calibri"/>
                <w:kern w:val="0"/>
                <w:lang w:val="ru-RU" w:eastAsia="en-US" w:bidi="ar-SA"/>
              </w:rPr>
            </w:pPr>
            <w:r>
              <w:rPr>
                <w:rFonts w:eastAsia="Calibri" w:cs="Times New Roman"/>
                <w:color w:val="000000"/>
                <w:kern w:val="0"/>
                <w:sz w:val="18"/>
                <w:szCs w:val="18"/>
                <w:lang w:val="ru-RU" w:eastAsia="en-US" w:bidi="ar-SA"/>
              </w:rPr>
              <w:t xml:space="preserve">Для целей проведения оценки по данному критерию Участник должен предоставить в составе 2-ой части заявки (в Справке об опыте Участника по установленной в Документации о закупке форме) сведения о ранее исполненных договорах, подтверждающих наличие совокупного опыта (в рамках одного или нескольких договоров) выполнения работ за последние 5 лет, предшествующих дате подачи заявки Участником, с учетом правоприемственности, с приложением следующих подтверждающих документов: </w:t>
            </w:r>
          </w:p>
          <w:p>
            <w:pPr>
              <w:pStyle w:val="Normal"/>
              <w:widowControl w:val="false"/>
              <w:numPr>
                <w:ilvl w:val="7"/>
                <w:numId w:val="29"/>
              </w:numPr>
              <w:spacing w:lineRule="auto" w:line="240" w:before="0" w:after="60"/>
              <w:ind w:firstLine="283" w:left="0" w:right="0"/>
              <w:jc w:val="left"/>
              <w:rPr>
                <w:highlight w:val="none"/>
                <w:shd w:fill="FFFF00" w:val="clear"/>
              </w:rPr>
            </w:pPr>
            <w:r>
              <w:rPr>
                <w:rFonts w:eastAsia="Calibri" w:cs="Times New Roman"/>
                <w:color w:val="000000"/>
                <w:kern w:val="0"/>
                <w:sz w:val="18"/>
                <w:szCs w:val="18"/>
                <w:shd w:fill="FFFF00" w:val="clear"/>
                <w:lang w:val="ru-RU" w:eastAsia="en-US" w:bidi="ar-SA"/>
              </w:rPr>
              <w:t xml:space="preserve">- копии договоров, подписанных с обеих сторон и скрепленных печатью;  </w:t>
            </w:r>
          </w:p>
          <w:p>
            <w:pPr>
              <w:pStyle w:val="Normal"/>
              <w:widowControl w:val="false"/>
              <w:numPr>
                <w:ilvl w:val="7"/>
                <w:numId w:val="30"/>
              </w:numPr>
              <w:spacing w:lineRule="auto" w:line="240" w:before="0" w:after="60"/>
              <w:ind w:firstLine="283" w:left="0" w:right="0"/>
              <w:jc w:val="left"/>
              <w:rPr>
                <w:highlight w:val="none"/>
                <w:shd w:fill="FFFF00" w:val="clear"/>
              </w:rPr>
            </w:pPr>
            <w:r>
              <w:rPr>
                <w:rFonts w:eastAsia="Calibri" w:cs="Times New Roman"/>
                <w:color w:val="000000"/>
                <w:kern w:val="0"/>
                <w:sz w:val="18"/>
                <w:szCs w:val="18"/>
                <w:shd w:fill="FFFF00" w:val="clear"/>
                <w:lang w:val="ru-RU" w:eastAsia="en-US" w:bidi="ar-SA"/>
              </w:rPr>
              <w:t xml:space="preserve"> </w:t>
            </w:r>
            <w:r>
              <w:rPr>
                <w:rFonts w:eastAsia="Calibri" w:cs="Times New Roman"/>
                <w:color w:val="000000"/>
                <w:kern w:val="0"/>
                <w:sz w:val="18"/>
                <w:szCs w:val="18"/>
                <w:shd w:fill="FFFF00" w:val="clear"/>
                <w:lang w:val="ru-RU" w:eastAsia="en-US" w:bidi="ar-SA"/>
              </w:rPr>
              <w:t>-копии документов, предусмотренных требованиями договора, подтверждающих факт его исполнения, с указанием стоимости и наименования оказанных услуг, подписанных с обеих сторон. К рассмотрению не принимаются подтверждающие документы, не указанные в «Справке об опыте Участника», а также сведения, не позволяющие явным (однозначным) образом определить опыт Участника:</w:t>
            </w:r>
          </w:p>
          <w:p>
            <w:pPr>
              <w:pStyle w:val="Normal"/>
              <w:widowControl w:val="false"/>
              <w:numPr>
                <w:ilvl w:val="7"/>
                <w:numId w:val="31"/>
              </w:numPr>
              <w:spacing w:lineRule="auto" w:line="240" w:before="0" w:after="60"/>
              <w:ind w:firstLine="283" w:left="0" w:right="0"/>
              <w:jc w:val="left"/>
              <w:rPr>
                <w:rFonts w:ascii="Times New Roman" w:hAnsi="Times New Roman" w:cs="Times New Roman"/>
                <w:color w:val="000000"/>
                <w:sz w:val="18"/>
                <w:szCs w:val="18"/>
              </w:rPr>
            </w:pPr>
            <w:r>
              <w:rPr>
                <w:rFonts w:eastAsia="Calibri" w:cs="Times New Roman"/>
                <w:color w:val="000000"/>
                <w:kern w:val="0"/>
                <w:sz w:val="18"/>
                <w:szCs w:val="18"/>
                <w:lang w:val="ru-RU" w:eastAsia="en-US" w:bidi="ar-SA"/>
              </w:rPr>
              <w:t>Порядок осуществления оценки (значение оцениваемого параметра), в зависимости от предоставленных в i-ой заявке сведений о наличии у Участника совокупного опыта за последние 5 лет, на общую сумму:</w:t>
            </w:r>
          </w:p>
          <w:tbl>
            <w:tblPr>
              <w:tblW w:w="6378" w:type="dxa"/>
              <w:jc w:val="left"/>
              <w:tblInd w:w="0" w:type="dxa"/>
              <w:tblLayout w:type="fixed"/>
              <w:tblCellMar>
                <w:top w:w="0" w:type="dxa"/>
                <w:left w:w="108" w:type="dxa"/>
                <w:bottom w:w="0" w:type="dxa"/>
                <w:right w:w="108" w:type="dxa"/>
              </w:tblCellMar>
            </w:tblPr>
            <w:tblGrid>
              <w:gridCol w:w="882"/>
              <w:gridCol w:w="5495"/>
            </w:tblGrid>
            <w:tr>
              <w:trPr>
                <w:cantSplit w:val="true"/>
              </w:trPr>
              <w:tc>
                <w:tcPr>
                  <w:tcW w:w="882" w:type="dxa"/>
                  <w:tcBorders>
                    <w:bottom w:val="single" w:sz="4" w:space="0" w:color="000000"/>
                    <w:right w:val="single" w:sz="4" w:space="0" w:color="000000"/>
                  </w:tcBorders>
                </w:tcPr>
                <w:p>
                  <w:pPr>
                    <w:pStyle w:val="Normal"/>
                    <w:widowControl w:val="false"/>
                    <w:spacing w:before="0" w:after="0"/>
                    <w:ind w:firstLine="27" w:left="0" w:right="0"/>
                    <w:jc w:val="center"/>
                    <w:rPr>
                      <w:rFonts w:ascii="Times New Roman" w:hAnsi="Times New Roman" w:cs="Times New Roman"/>
                      <w:color w:val="000000"/>
                      <w:sz w:val="18"/>
                      <w:szCs w:val="18"/>
                    </w:rPr>
                  </w:pPr>
                  <w:r>
                    <w:rPr>
                      <w:rFonts w:eastAsia="Calibri" w:cs="Times New Roman"/>
                      <w:color w:val="000000"/>
                      <w:sz w:val="18"/>
                      <w:szCs w:val="18"/>
                      <w:lang w:eastAsia="ru-RU"/>
                    </w:rPr>
                    <w:t>Б2 = 0</w:t>
                  </w:r>
                </w:p>
              </w:tc>
              <w:tc>
                <w:tcPr>
                  <w:tcW w:w="5495" w:type="dxa"/>
                  <w:tcBorders>
                    <w:left w:val="single" w:sz="4" w:space="0" w:color="000000"/>
                    <w:bottom w:val="single" w:sz="4" w:space="0" w:color="000000"/>
                  </w:tcBorders>
                </w:tcPr>
                <w:p>
                  <w:pPr>
                    <w:pStyle w:val="Normal"/>
                    <w:widowControl w:val="false"/>
                    <w:spacing w:before="0" w:after="0"/>
                    <w:ind w:firstLine="27" w:left="0" w:right="0"/>
                    <w:rPr>
                      <w:rFonts w:ascii="Times New Roman" w:hAnsi="Times New Roman" w:cs="Times New Roman"/>
                      <w:color w:val="000000"/>
                      <w:sz w:val="18"/>
                      <w:szCs w:val="18"/>
                    </w:rPr>
                  </w:pPr>
                  <w:r>
                    <w:rPr>
                      <w:rFonts w:eastAsia="Calibri" w:cs="Times New Roman"/>
                      <w:color w:val="000000"/>
                      <w:sz w:val="18"/>
                      <w:szCs w:val="18"/>
                    </w:rPr>
                    <w:t>Опыт отсутствует/Опыт не подтвержден;</w:t>
                  </w:r>
                </w:p>
              </w:tc>
            </w:tr>
            <w:tr>
              <w:trPr>
                <w:cantSplit w:val="true"/>
              </w:trPr>
              <w:tc>
                <w:tcPr>
                  <w:tcW w:w="882" w:type="dxa"/>
                  <w:tcBorders>
                    <w:top w:val="single" w:sz="4" w:space="0" w:color="000000"/>
                    <w:bottom w:val="single" w:sz="4" w:space="0" w:color="000000"/>
                    <w:right w:val="single" w:sz="4" w:space="0" w:color="000000"/>
                  </w:tcBorders>
                </w:tcPr>
                <w:p>
                  <w:pPr>
                    <w:pStyle w:val="31"/>
                    <w:widowControl w:val="false"/>
                    <w:numPr>
                      <w:ilvl w:val="7"/>
                      <w:numId w:val="20"/>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sz w:val="18"/>
                      <w:szCs w:val="18"/>
                      <w:lang w:eastAsia="ru-RU"/>
                    </w:rPr>
                    <w:t>Б</w:t>
                  </w:r>
                  <w:r>
                    <w:rPr>
                      <w:rFonts w:cs="Times New Roman" w:ascii="Times New Roman" w:hAnsi="Times New Roman"/>
                      <w:sz w:val="18"/>
                      <w:szCs w:val="18"/>
                      <w:vertAlign w:val="subscript"/>
                      <w:lang w:eastAsia="ru-RU"/>
                    </w:rPr>
                    <w:t>2</w:t>
                  </w:r>
                  <w:r>
                    <w:rPr>
                      <w:rFonts w:cs="Times New Roman" w:ascii="Times New Roman" w:hAnsi="Times New Roman"/>
                      <w:sz w:val="18"/>
                      <w:szCs w:val="18"/>
                      <w:lang w:eastAsia="ru-RU"/>
                    </w:rPr>
                    <w:t xml:space="preserve"> = 1</w:t>
                  </w:r>
                </w:p>
              </w:tc>
              <w:tc>
                <w:tcPr>
                  <w:tcW w:w="5495" w:type="dxa"/>
                  <w:tcBorders>
                    <w:top w:val="single" w:sz="4" w:space="0" w:color="000000"/>
                    <w:left w:val="single" w:sz="4" w:space="0" w:color="000000"/>
                    <w:bottom w:val="single" w:sz="4" w:space="0" w:color="000000"/>
                  </w:tcBorders>
                </w:tcPr>
                <w:p>
                  <w:pPr>
                    <w:pStyle w:val="Normal"/>
                    <w:widowControl w:val="false"/>
                    <w:spacing w:before="0" w:after="0"/>
                    <w:ind w:firstLine="27" w:left="0" w:right="0"/>
                    <w:rPr>
                      <w:rFonts w:ascii="Times New Roman" w:hAnsi="Times New Roman" w:cs="Times New Roman"/>
                      <w:color w:val="000000"/>
                      <w:sz w:val="18"/>
                      <w:szCs w:val="18"/>
                    </w:rPr>
                  </w:pPr>
                  <w:r>
                    <w:rPr>
                      <w:rFonts w:eastAsia="Calibri" w:cs="Times New Roman"/>
                      <w:color w:val="000000"/>
                      <w:sz w:val="18"/>
                      <w:szCs w:val="18"/>
                    </w:rPr>
                    <w:t xml:space="preserve">более 0% от НМЦ «без учета НДС», но менее 20% от НМЦ «без учета НДС» </w:t>
                  </w:r>
                </w:p>
                <w:p>
                  <w:pPr>
                    <w:pStyle w:val="Normal"/>
                    <w:widowControl w:val="false"/>
                    <w:spacing w:before="0" w:after="0"/>
                    <w:ind w:firstLine="27" w:left="0" w:right="0"/>
                    <w:rPr>
                      <w:rFonts w:ascii="Times New Roman" w:hAnsi="Times New Roman" w:cs="Times New Roman"/>
                      <w:color w:val="000000"/>
                      <w:sz w:val="18"/>
                      <w:szCs w:val="18"/>
                    </w:rPr>
                  </w:pPr>
                  <w:r>
                    <w:rPr>
                      <w:rFonts w:eastAsia="Calibri" w:cs="Times New Roman"/>
                      <w:color w:val="000000"/>
                      <w:sz w:val="18"/>
                      <w:szCs w:val="18"/>
                    </w:rPr>
                    <w:t>(включительно)</w:t>
                  </w:r>
                </w:p>
              </w:tc>
            </w:tr>
            <w:tr>
              <w:trPr>
                <w:cantSplit w:val="true"/>
              </w:trPr>
              <w:tc>
                <w:tcPr>
                  <w:tcW w:w="882" w:type="dxa"/>
                  <w:tcBorders>
                    <w:top w:val="single" w:sz="4" w:space="0" w:color="000000"/>
                    <w:bottom w:val="single" w:sz="4" w:space="0" w:color="000000"/>
                    <w:right w:val="single" w:sz="4" w:space="0" w:color="000000"/>
                  </w:tcBorders>
                </w:tcPr>
                <w:p>
                  <w:pPr>
                    <w:pStyle w:val="31"/>
                    <w:widowControl w:val="false"/>
                    <w:numPr>
                      <w:ilvl w:val="7"/>
                      <w:numId w:val="20"/>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sz w:val="18"/>
                      <w:szCs w:val="18"/>
                      <w:lang w:eastAsia="ru-RU"/>
                    </w:rPr>
                    <w:t>Б</w:t>
                  </w:r>
                  <w:r>
                    <w:rPr>
                      <w:rFonts w:cs="Times New Roman" w:ascii="Times New Roman" w:hAnsi="Times New Roman"/>
                      <w:sz w:val="18"/>
                      <w:szCs w:val="18"/>
                      <w:vertAlign w:val="subscript"/>
                      <w:lang w:eastAsia="ru-RU"/>
                    </w:rPr>
                    <w:t>2</w:t>
                  </w:r>
                  <w:r>
                    <w:rPr>
                      <w:rFonts w:cs="Times New Roman" w:ascii="Times New Roman" w:hAnsi="Times New Roman"/>
                      <w:sz w:val="18"/>
                      <w:szCs w:val="18"/>
                      <w:lang w:eastAsia="ru-RU"/>
                    </w:rPr>
                    <w:t xml:space="preserve"> = 2</w:t>
                  </w:r>
                </w:p>
              </w:tc>
              <w:tc>
                <w:tcPr>
                  <w:tcW w:w="5495" w:type="dxa"/>
                  <w:tcBorders>
                    <w:top w:val="single" w:sz="4" w:space="0" w:color="000000"/>
                    <w:left w:val="single" w:sz="4" w:space="0" w:color="000000"/>
                    <w:bottom w:val="single" w:sz="4" w:space="0" w:color="000000"/>
                  </w:tcBorders>
                </w:tcPr>
                <w:p>
                  <w:pPr>
                    <w:pStyle w:val="Normal"/>
                    <w:widowControl w:val="false"/>
                    <w:spacing w:before="0" w:after="0"/>
                    <w:ind w:firstLine="27" w:left="0" w:right="0"/>
                    <w:rPr>
                      <w:rFonts w:ascii="Times New Roman" w:hAnsi="Times New Roman" w:cs="Times New Roman"/>
                      <w:color w:val="000000"/>
                      <w:sz w:val="18"/>
                      <w:szCs w:val="18"/>
                    </w:rPr>
                  </w:pPr>
                  <w:r>
                    <w:rPr>
                      <w:rFonts w:eastAsia="Calibri" w:cs="Times New Roman"/>
                      <w:color w:val="000000"/>
                      <w:sz w:val="18"/>
                      <w:szCs w:val="18"/>
                    </w:rPr>
                    <w:t>более 20% от НМЦ «без учета НДС», но менее 40% от НМЦ «без учета НДС» (включительно)</w:t>
                  </w:r>
                </w:p>
              </w:tc>
            </w:tr>
            <w:tr>
              <w:trPr>
                <w:cantSplit w:val="true"/>
              </w:trPr>
              <w:tc>
                <w:tcPr>
                  <w:tcW w:w="882" w:type="dxa"/>
                  <w:tcBorders>
                    <w:top w:val="single" w:sz="4" w:space="0" w:color="000000"/>
                    <w:bottom w:val="single" w:sz="4" w:space="0" w:color="000000"/>
                    <w:right w:val="single" w:sz="4" w:space="0" w:color="000000"/>
                  </w:tcBorders>
                </w:tcPr>
                <w:p>
                  <w:pPr>
                    <w:pStyle w:val="31"/>
                    <w:widowControl w:val="false"/>
                    <w:numPr>
                      <w:ilvl w:val="7"/>
                      <w:numId w:val="20"/>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sz w:val="18"/>
                      <w:szCs w:val="18"/>
                      <w:lang w:eastAsia="ru-RU"/>
                    </w:rPr>
                    <w:t>Б</w:t>
                  </w:r>
                  <w:r>
                    <w:rPr>
                      <w:rFonts w:cs="Times New Roman" w:ascii="Times New Roman" w:hAnsi="Times New Roman"/>
                      <w:sz w:val="18"/>
                      <w:szCs w:val="18"/>
                      <w:vertAlign w:val="subscript"/>
                      <w:lang w:eastAsia="ru-RU"/>
                    </w:rPr>
                    <w:t>2</w:t>
                  </w:r>
                  <w:r>
                    <w:rPr>
                      <w:rFonts w:cs="Times New Roman" w:ascii="Times New Roman" w:hAnsi="Times New Roman"/>
                      <w:sz w:val="18"/>
                      <w:szCs w:val="18"/>
                      <w:lang w:eastAsia="ru-RU"/>
                    </w:rPr>
                    <w:t xml:space="preserve"> = 3</w:t>
                  </w:r>
                </w:p>
              </w:tc>
              <w:tc>
                <w:tcPr>
                  <w:tcW w:w="5495" w:type="dxa"/>
                  <w:tcBorders>
                    <w:top w:val="single" w:sz="4" w:space="0" w:color="000000"/>
                    <w:left w:val="single" w:sz="4" w:space="0" w:color="000000"/>
                    <w:bottom w:val="single" w:sz="4" w:space="0" w:color="000000"/>
                  </w:tcBorders>
                </w:tcPr>
                <w:p>
                  <w:pPr>
                    <w:pStyle w:val="Normal"/>
                    <w:widowControl w:val="false"/>
                    <w:spacing w:before="0" w:after="0"/>
                    <w:ind w:firstLine="27" w:left="0" w:right="0"/>
                    <w:rPr>
                      <w:rFonts w:ascii="Times New Roman" w:hAnsi="Times New Roman" w:cs="Times New Roman"/>
                      <w:color w:val="000000"/>
                      <w:sz w:val="18"/>
                      <w:szCs w:val="18"/>
                    </w:rPr>
                  </w:pPr>
                  <w:r>
                    <w:rPr>
                      <w:rFonts w:eastAsia="Calibri" w:cs="Times New Roman"/>
                      <w:color w:val="000000"/>
                      <w:sz w:val="18"/>
                      <w:szCs w:val="18"/>
                    </w:rPr>
                    <w:t>более 40% от НМЦ «без учета НДС», но менее 60% от НМЦ «без учета НДС» (включительно)</w:t>
                  </w:r>
                </w:p>
              </w:tc>
            </w:tr>
            <w:tr>
              <w:trPr>
                <w:cantSplit w:val="true"/>
              </w:trPr>
              <w:tc>
                <w:tcPr>
                  <w:tcW w:w="882" w:type="dxa"/>
                  <w:tcBorders>
                    <w:top w:val="single" w:sz="4" w:space="0" w:color="000000"/>
                    <w:bottom w:val="single" w:sz="4" w:space="0" w:color="000000"/>
                    <w:right w:val="single" w:sz="4" w:space="0" w:color="000000"/>
                  </w:tcBorders>
                </w:tcPr>
                <w:p>
                  <w:pPr>
                    <w:pStyle w:val="31"/>
                    <w:widowControl w:val="false"/>
                    <w:numPr>
                      <w:ilvl w:val="7"/>
                      <w:numId w:val="20"/>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sz w:val="18"/>
                      <w:szCs w:val="18"/>
                      <w:lang w:eastAsia="ru-RU"/>
                    </w:rPr>
                    <w:t>Б</w:t>
                  </w:r>
                  <w:r>
                    <w:rPr>
                      <w:rFonts w:cs="Times New Roman" w:ascii="Times New Roman" w:hAnsi="Times New Roman"/>
                      <w:sz w:val="18"/>
                      <w:szCs w:val="18"/>
                      <w:vertAlign w:val="subscript"/>
                      <w:lang w:eastAsia="ru-RU"/>
                    </w:rPr>
                    <w:t>2</w:t>
                  </w:r>
                  <w:r>
                    <w:rPr>
                      <w:rFonts w:cs="Times New Roman" w:ascii="Times New Roman" w:hAnsi="Times New Roman"/>
                      <w:sz w:val="18"/>
                      <w:szCs w:val="18"/>
                      <w:lang w:eastAsia="ru-RU"/>
                    </w:rPr>
                    <w:t xml:space="preserve"> = 4</w:t>
                  </w:r>
                </w:p>
              </w:tc>
              <w:tc>
                <w:tcPr>
                  <w:tcW w:w="5495" w:type="dxa"/>
                  <w:tcBorders>
                    <w:top w:val="single" w:sz="4" w:space="0" w:color="000000"/>
                    <w:left w:val="single" w:sz="4" w:space="0" w:color="000000"/>
                    <w:bottom w:val="single" w:sz="4" w:space="0" w:color="000000"/>
                  </w:tcBorders>
                </w:tcPr>
                <w:p>
                  <w:pPr>
                    <w:pStyle w:val="Normal"/>
                    <w:widowControl w:val="false"/>
                    <w:spacing w:before="0" w:after="0"/>
                    <w:ind w:firstLine="27" w:left="0" w:right="0"/>
                    <w:rPr>
                      <w:rFonts w:ascii="Times New Roman" w:hAnsi="Times New Roman" w:cs="Times New Roman"/>
                      <w:color w:val="000000"/>
                      <w:sz w:val="18"/>
                      <w:szCs w:val="18"/>
                    </w:rPr>
                  </w:pPr>
                  <w:r>
                    <w:rPr>
                      <w:rFonts w:eastAsia="Calibri" w:cs="Times New Roman"/>
                      <w:color w:val="000000"/>
                      <w:sz w:val="18"/>
                      <w:szCs w:val="18"/>
                    </w:rPr>
                    <w:t>более 60% от НМЦ «без учета НДС», но менее 80% от НМЦ «без учета НДС» (включительно)</w:t>
                  </w:r>
                </w:p>
              </w:tc>
            </w:tr>
            <w:tr>
              <w:trPr>
                <w:cantSplit w:val="true"/>
              </w:trPr>
              <w:tc>
                <w:tcPr>
                  <w:tcW w:w="882" w:type="dxa"/>
                  <w:tcBorders>
                    <w:top w:val="single" w:sz="4" w:space="0" w:color="000000"/>
                    <w:right w:val="single" w:sz="4" w:space="0" w:color="000000"/>
                  </w:tcBorders>
                </w:tcPr>
                <w:p>
                  <w:pPr>
                    <w:pStyle w:val="31"/>
                    <w:widowControl w:val="false"/>
                    <w:numPr>
                      <w:ilvl w:val="7"/>
                      <w:numId w:val="20"/>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sz w:val="18"/>
                      <w:szCs w:val="18"/>
                      <w:lang w:eastAsia="ru-RU"/>
                    </w:rPr>
                    <w:t>Б</w:t>
                  </w:r>
                  <w:r>
                    <w:rPr>
                      <w:rFonts w:cs="Times New Roman" w:ascii="Times New Roman" w:hAnsi="Times New Roman"/>
                      <w:sz w:val="18"/>
                      <w:szCs w:val="18"/>
                      <w:vertAlign w:val="subscript"/>
                      <w:lang w:eastAsia="ru-RU"/>
                    </w:rPr>
                    <w:t>2</w:t>
                  </w:r>
                  <w:r>
                    <w:rPr>
                      <w:rFonts w:cs="Times New Roman" w:ascii="Times New Roman" w:hAnsi="Times New Roman"/>
                      <w:sz w:val="18"/>
                      <w:szCs w:val="18"/>
                      <w:lang w:eastAsia="ru-RU"/>
                    </w:rPr>
                    <w:t xml:space="preserve"> = 5</w:t>
                  </w:r>
                </w:p>
              </w:tc>
              <w:tc>
                <w:tcPr>
                  <w:tcW w:w="5495" w:type="dxa"/>
                  <w:tcBorders>
                    <w:top w:val="single" w:sz="4" w:space="0" w:color="000000"/>
                    <w:left w:val="single" w:sz="4" w:space="0" w:color="000000"/>
                  </w:tcBorders>
                </w:tcPr>
                <w:p>
                  <w:pPr>
                    <w:pStyle w:val="Normal"/>
                    <w:widowControl w:val="false"/>
                    <w:spacing w:before="120" w:after="0"/>
                    <w:rPr>
                      <w:rFonts w:ascii="Times New Roman" w:hAnsi="Times New Roman" w:cs="Times New Roman"/>
                      <w:sz w:val="18"/>
                      <w:szCs w:val="18"/>
                    </w:rPr>
                  </w:pPr>
                  <w:r>
                    <w:rPr>
                      <w:rFonts w:eastAsia="Calibri" w:cs="Times New Roman"/>
                      <w:color w:val="000000"/>
                      <w:sz w:val="18"/>
                      <w:szCs w:val="18"/>
                    </w:rPr>
                    <w:t>более 80% от НМЦ «без учета НДС» и выше;</w:t>
                  </w:r>
                </w:p>
              </w:tc>
            </w:tr>
          </w:tbl>
          <w:p>
            <w:pPr>
              <w:pStyle w:val="22"/>
              <w:widowControl w:val="false"/>
              <w:numPr>
                <w:ilvl w:val="6"/>
                <w:numId w:val="20"/>
              </w:numPr>
              <w:spacing w:lineRule="auto" w:line="240" w:before="96" w:after="0"/>
              <w:ind w:hanging="0" w:left="0" w:right="0"/>
              <w:jc w:val="left"/>
              <w:rPr>
                <w:rFonts w:ascii="Times New Roman" w:hAnsi="Times New Roman" w:cs="Times New Roman"/>
                <w:sz w:val="18"/>
                <w:szCs w:val="18"/>
              </w:rPr>
            </w:pPr>
            <w:r>
              <w:rPr>
                <w:rFonts w:cs="Times New Roman"/>
                <w:kern w:val="0"/>
                <w:sz w:val="18"/>
                <w:szCs w:val="18"/>
                <w:lang w:eastAsia="ru-RU"/>
              </w:rPr>
              <w:t>где:</w:t>
            </w:r>
          </w:p>
          <w:p>
            <w:pPr>
              <w:pStyle w:val="22"/>
              <w:widowControl w:val="false"/>
              <w:numPr>
                <w:ilvl w:val="6"/>
                <w:numId w:val="20"/>
              </w:numPr>
              <w:tabs>
                <w:tab w:val="left" w:pos="0" w:leader="none"/>
                <w:tab w:val="left" w:pos="742" w:leader="none"/>
                <w:tab w:val="left" w:pos="1167" w:leader="none"/>
              </w:tabs>
              <w:spacing w:lineRule="auto" w:line="240" w:before="0" w:after="0"/>
              <w:ind w:firstLine="283" w:left="0" w:right="0"/>
              <w:jc w:val="left"/>
              <w:rPr>
                <w:rFonts w:ascii="Times New Roman" w:hAnsi="Times New Roman" w:cs="Times New Roman"/>
                <w:sz w:val="18"/>
                <w:szCs w:val="18"/>
              </w:rPr>
            </w:pPr>
            <w:r>
              <w:rPr>
                <w:rFonts w:cs="Times New Roman"/>
                <w:kern w:val="0"/>
                <w:sz w:val="18"/>
                <w:szCs w:val="18"/>
                <w:lang w:eastAsia="ru-RU"/>
              </w:rPr>
              <w:t>Б</w:t>
            </w:r>
            <w:r>
              <w:rPr>
                <w:rFonts w:cs="Times New Roman"/>
                <w:kern w:val="0"/>
                <w:sz w:val="18"/>
                <w:szCs w:val="18"/>
                <w:vertAlign w:val="subscript"/>
                <w:lang w:eastAsia="ru-RU"/>
              </w:rPr>
              <w:t>2</w:t>
            </w:r>
            <w:r>
              <w:rPr>
                <w:rFonts w:cs="Times New Roman"/>
                <w:kern w:val="0"/>
                <w:sz w:val="18"/>
                <w:szCs w:val="18"/>
                <w:lang w:eastAsia="ru-RU"/>
              </w:rPr>
              <w:tab/>
              <w:t>–</w:t>
              <w:tab/>
              <w:t>рассчитанная оценка предпочтительности по данному частному критерию оценки в баллах.</w:t>
            </w:r>
          </w:p>
          <w:p>
            <w:pPr>
              <w:pStyle w:val="31"/>
              <w:widowControl w:val="false"/>
              <w:numPr>
                <w:ilvl w:val="7"/>
                <w:numId w:val="20"/>
              </w:numPr>
              <w:spacing w:lineRule="auto" w:line="240" w:before="40" w:after="0"/>
              <w:ind w:firstLine="283" w:left="0" w:right="0"/>
              <w:jc w:val="left"/>
              <w:rPr>
                <w:rFonts w:ascii="Times New Roman" w:hAnsi="Times New Roman" w:cs="Times New Roman"/>
                <w:sz w:val="18"/>
                <w:szCs w:val="18"/>
              </w:rPr>
            </w:pPr>
            <w:r>
              <w:rPr>
                <w:rFonts w:cs="Times New Roman" w:ascii="Times New Roman" w:hAnsi="Times New Roman"/>
                <w:kern w:val="0"/>
                <w:sz w:val="18"/>
                <w:szCs w:val="18"/>
                <w:lang w:eastAsia="ru-RU"/>
              </w:rPr>
              <w:t>Опыт, несоответствующий установленным в документации о закупке требованиям  не оценивается.</w:t>
            </w:r>
          </w:p>
          <w:p>
            <w:pPr>
              <w:pStyle w:val="31"/>
              <w:widowControl w:val="false"/>
              <w:numPr>
                <w:ilvl w:val="7"/>
                <w:numId w:val="20"/>
              </w:numPr>
              <w:spacing w:lineRule="auto" w:line="240" w:before="0" w:after="40"/>
              <w:ind w:firstLine="283" w:left="0" w:right="0"/>
              <w:jc w:val="left"/>
              <w:rPr>
                <w:b/>
                <w:bCs/>
              </w:rPr>
            </w:pPr>
            <w:r>
              <w:rPr>
                <w:rFonts w:cs="Times New Roman" w:ascii="Times New Roman" w:hAnsi="Times New Roman"/>
                <w:b/>
                <w:bCs/>
                <w:kern w:val="0"/>
                <w:sz w:val="18"/>
                <w:szCs w:val="18"/>
                <w:lang w:eastAsia="ru-RU"/>
              </w:rPr>
              <w:t>Шкала оценок от 0 до 5 баллов.</w:t>
            </w:r>
          </w:p>
        </w:tc>
      </w:tr>
      <w:tr>
        <w:trPr/>
        <w:tc>
          <w:tcPr>
            <w:tcW w:w="995"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21"/>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3.</w:t>
            </w:r>
          </w:p>
        </w:tc>
        <w:tc>
          <w:tcPr>
            <w:tcW w:w="1269"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21"/>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Неценовой критерий оценки первого уровня / ОРГ</w:t>
            </w:r>
          </w:p>
        </w:tc>
        <w:tc>
          <w:tcPr>
            <w:tcW w:w="1026" w:type="dxa"/>
            <w:tcBorders>
              <w:top w:val="single" w:sz="4" w:space="0" w:color="7F7F7F"/>
              <w:left w:val="single" w:sz="4" w:space="0" w:color="7F7F7F"/>
              <w:bottom w:val="single" w:sz="4" w:space="0" w:color="7F7F7F"/>
              <w:right w:val="single" w:sz="4" w:space="0" w:color="7F7F7F"/>
            </w:tcBorders>
          </w:tcPr>
          <w:p>
            <w:pPr>
              <w:pStyle w:val="31"/>
              <w:keepNext w:val="false"/>
              <w:keepLines w:val="false"/>
              <w:widowControl w:val="false"/>
              <w:numPr>
                <w:ilvl w:val="7"/>
                <w:numId w:val="21"/>
              </w:numPr>
              <w:bidi w:val="0"/>
              <w:spacing w:lineRule="auto" w:line="240" w:before="40" w:after="40"/>
              <w:ind w:hanging="0" w:left="0" w:right="-57"/>
              <w:jc w:val="center"/>
              <w:rPr>
                <w:rFonts w:ascii="Times New Roman" w:hAnsi="Times New Roman" w:cs="Times New Roman"/>
                <w:sz w:val="18"/>
                <w:szCs w:val="18"/>
              </w:rPr>
            </w:pPr>
            <w:r>
              <w:rPr>
                <w:rFonts w:eastAsia="Calibri" w:cs="Times New Roman" w:ascii="Times New Roman" w:hAnsi="Times New Roman"/>
                <w:kern w:val="0"/>
                <w:sz w:val="18"/>
                <w:szCs w:val="18"/>
              </w:rPr>
              <w:t>Финансовое состояние (устойчивость) Участника</w:t>
            </w:r>
          </w:p>
        </w:tc>
        <w:tc>
          <w:tcPr>
            <w:tcW w:w="1219"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21"/>
              </w:numPr>
              <w:spacing w:lineRule="auto" w:line="240" w:before="40" w:after="40"/>
              <w:ind w:hanging="0" w:left="0" w:right="0"/>
              <w:jc w:val="center"/>
              <w:rPr>
                <w:rFonts w:ascii="Times New Roman" w:hAnsi="Times New Roman" w:cs="Times New Roman"/>
                <w:i/>
                <w:i/>
                <w:sz w:val="18"/>
                <w:szCs w:val="18"/>
              </w:rPr>
            </w:pPr>
            <w:r>
              <w:rPr>
                <w:rFonts w:cs="Times New Roman" w:ascii="Times New Roman" w:hAnsi="Times New Roman"/>
                <w:i/>
                <w:kern w:val="0"/>
                <w:sz w:val="18"/>
                <w:szCs w:val="18"/>
                <w:lang w:eastAsia="ru-RU"/>
              </w:rPr>
              <w:t>отсутствует</w:t>
            </w:r>
          </w:p>
        </w:tc>
        <w:tc>
          <w:tcPr>
            <w:tcW w:w="1191"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21"/>
              </w:numPr>
              <w:spacing w:lineRule="auto" w:line="240" w:before="40" w:after="40"/>
              <w:ind w:hanging="0" w:left="0" w:right="0"/>
              <w:jc w:val="center"/>
              <w:rPr>
                <w:rFonts w:ascii="Times New Roman" w:hAnsi="Times New Roman" w:cs="Times New Roman"/>
                <w:sz w:val="18"/>
                <w:szCs w:val="18"/>
              </w:rPr>
            </w:pPr>
            <w:r>
              <w:rPr>
                <w:rFonts w:cs="Times New Roman" w:ascii="Times New Roman" w:hAnsi="Times New Roman"/>
                <w:kern w:val="0"/>
                <w:sz w:val="18"/>
                <w:szCs w:val="18"/>
                <w:lang w:eastAsia="ru-RU"/>
              </w:rPr>
              <w:t>5%</w:t>
              <w:br/>
              <w:t>(В</w:t>
            </w:r>
            <w:r>
              <w:rPr>
                <w:rFonts w:cs="Times New Roman" w:ascii="Times New Roman" w:hAnsi="Times New Roman"/>
                <w:kern w:val="0"/>
                <w:sz w:val="18"/>
                <w:szCs w:val="18"/>
                <w:vertAlign w:val="subscript"/>
                <w:lang w:eastAsia="ru-RU"/>
              </w:rPr>
              <w:t>3</w:t>
            </w:r>
            <w:r>
              <w:rPr>
                <w:rFonts w:cs="Times New Roman" w:ascii="Times New Roman" w:hAnsi="Times New Roman"/>
                <w:kern w:val="0"/>
                <w:sz w:val="18"/>
                <w:szCs w:val="18"/>
                <w:lang w:eastAsia="ru-RU"/>
              </w:rPr>
              <w:t xml:space="preserve"> = 0,05)</w:t>
            </w:r>
          </w:p>
        </w:tc>
        <w:tc>
          <w:tcPr>
            <w:tcW w:w="1900"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21"/>
              </w:numPr>
              <w:spacing w:lineRule="auto" w:line="240" w:before="40" w:after="40"/>
              <w:ind w:hanging="0" w:left="0" w:right="0"/>
              <w:jc w:val="center"/>
              <w:rPr>
                <w:rFonts w:ascii="Times New Roman" w:hAnsi="Times New Roman" w:cs="Times New Roman"/>
                <w:sz w:val="18"/>
                <w:szCs w:val="18"/>
              </w:rPr>
            </w:pPr>
            <w:r>
              <w:rPr>
                <w:rFonts w:eastAsia="Calibri" w:cs="Times New Roman" w:ascii="Times New Roman" w:hAnsi="Times New Roman"/>
                <w:kern w:val="0"/>
                <w:sz w:val="18"/>
                <w:szCs w:val="18"/>
              </w:rPr>
              <w:t>Чем выше результат оценки финансового состояния (устойчивости) Участника, тем выше предпочтительность</w:t>
            </w:r>
          </w:p>
        </w:tc>
        <w:tc>
          <w:tcPr>
            <w:tcW w:w="6576" w:type="dxa"/>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ind w:firstLine="283" w:left="0" w:right="0"/>
              <w:jc w:val="left"/>
              <w:rPr>
                <w:sz w:val="18"/>
                <w:szCs w:val="18"/>
              </w:rPr>
            </w:pPr>
            <w:r>
              <w:rPr>
                <w:rFonts w:eastAsia="Calibri" w:cs="Arial"/>
                <w:kern w:val="0"/>
                <w:sz w:val="18"/>
                <w:szCs w:val="18"/>
                <w:lang w:val="ru-RU" w:eastAsia="en-US" w:bidi="ar-SA"/>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Style21"/>
              <w:widowControl w:val="false"/>
              <w:spacing w:lineRule="auto" w:line="240" w:before="40" w:after="40"/>
              <w:ind w:firstLine="283" w:left="0" w:right="0"/>
              <w:jc w:val="both"/>
              <w:rPr>
                <w:sz w:val="18"/>
                <w:szCs w:val="18"/>
              </w:rPr>
            </w:pPr>
            <w:r>
              <w:rPr>
                <w:rFonts w:eastAsia="Calibri" w:cs="Arial"/>
                <w:kern w:val="0"/>
                <w:sz w:val="18"/>
                <w:szCs w:val="18"/>
                <w:lang w:val="ru-RU" w:eastAsia="en-US" w:bidi="ar-SA"/>
              </w:rPr>
              <w:t xml:space="preserve">Порядок осуществления оценки (значение оцениваемого параметра), в зависимости от полученного Участником (с </w:t>
            </w:r>
            <w:r>
              <w:rPr/>
            </w:r>
            <m:oMath xmlns:m="http://schemas.openxmlformats.org/officeDocument/2006/math">
              <m:r>
                <w:rPr>
                  <w:rFonts w:ascii="Cambria Math" w:hAnsi="Cambria Math"/>
                </w:rPr>
                <m:t xml:space="preserve">i</m:t>
              </m:r>
            </m:oMath>
            <w:r>
              <w:rPr>
                <w:rFonts w:eastAsia="Calibri" w:cs="Arial"/>
                <w:kern w:val="0"/>
                <w:sz w:val="18"/>
                <w:szCs w:val="18"/>
                <w:lang w:val="ru-RU" w:eastAsia="en-US" w:bidi="ar-SA"/>
              </w:rPr>
              <w:t>-ой заявкой) значения расчетного балла (интегрального показателя финансового состояния) и установленной соответствующей характеристики его финансового состояния (кризисное / неустойчивое / устойчивое) по результатам проведенной в рамках аккредитации оценки его финансового состояния (устойчивости), при этом:</w:t>
            </w:r>
          </w:p>
          <w:p>
            <w:pPr>
              <w:pStyle w:val="Style21"/>
              <w:keepNext w:val="true"/>
              <w:widowControl w:val="false"/>
              <w:numPr>
                <w:ilvl w:val="0"/>
                <w:numId w:val="13"/>
              </w:numPr>
              <w:spacing w:lineRule="auto" w:line="240" w:before="40" w:after="0"/>
              <w:ind w:hanging="142" w:left="142" w:right="0"/>
              <w:jc w:val="both"/>
              <w:rPr>
                <w:sz w:val="18"/>
                <w:szCs w:val="18"/>
              </w:rPr>
            </w:pPr>
            <w:r>
              <w:rPr>
                <w:rFonts w:eastAsia="Calibri" w:cs="Arial"/>
                <w:kern w:val="0"/>
                <w:sz w:val="18"/>
                <w:szCs w:val="18"/>
                <w:lang w:val="ru-RU" w:eastAsia="en-US" w:bidi="ar-SA"/>
              </w:rPr>
              <w:t>порядок проведения оценки финансового состояния (устойчивости) Участника установлен в Приложении 4 к Положению об аккредитации</w:t>
            </w:r>
            <w:r>
              <w:rPr>
                <w:rStyle w:val="FootnoteReference"/>
                <w:rFonts w:eastAsia="Calibri" w:cs="Arial"/>
                <w:kern w:val="0"/>
                <w:sz w:val="18"/>
                <w:szCs w:val="18"/>
                <w:lang w:val="ru-RU" w:eastAsia="en-US" w:bidi="ar-SA"/>
              </w:rPr>
              <w:footnoteReference w:id="13"/>
            </w:r>
            <w:r>
              <w:rPr>
                <w:rFonts w:eastAsia="Calibri" w:cs="Arial"/>
                <w:kern w:val="0"/>
                <w:sz w:val="18"/>
                <w:szCs w:val="18"/>
                <w:lang w:val="ru-RU" w:eastAsia="en-US" w:bidi="ar-SA"/>
              </w:rPr>
              <w:t>;</w:t>
            </w:r>
          </w:p>
          <w:p>
            <w:pPr>
              <w:pStyle w:val="Style21"/>
              <w:keepNext w:val="true"/>
              <w:widowControl w:val="false"/>
              <w:numPr>
                <w:ilvl w:val="0"/>
                <w:numId w:val="13"/>
              </w:numPr>
              <w:spacing w:lineRule="auto" w:line="240" w:before="0" w:after="40"/>
              <w:ind w:hanging="142" w:left="142" w:right="0"/>
              <w:jc w:val="both"/>
              <w:rPr>
                <w:sz w:val="18"/>
                <w:szCs w:val="18"/>
              </w:rPr>
            </w:pPr>
            <w:r>
              <w:rPr>
                <w:rFonts w:eastAsia="Calibri" w:cs="Arial"/>
                <w:kern w:val="0"/>
                <w:sz w:val="18"/>
                <w:szCs w:val="18"/>
                <w:lang w:val="ru-RU" w:eastAsia="en-US" w:bidi="ar-SA"/>
              </w:rPr>
              <w:t>исходными данными для расчета интегрального показателя финансового состояния Участника являются сведения, опубликованные в государственном информационном ресурсе бухгалтерской (финансовой) отчетности организаций (https://bo.nalog.ru) за предыдущий отчетный период (год) по состоянию на дату окончания срока подачи заявок.</w:t>
            </w:r>
          </w:p>
          <w:p>
            <w:pPr>
              <w:pStyle w:val="Style21"/>
              <w:keepNext w:val="true"/>
              <w:widowControl w:val="false"/>
              <w:spacing w:lineRule="auto" w:line="240" w:before="40" w:after="40"/>
              <w:ind w:hanging="0" w:left="142" w:right="0"/>
              <w:jc w:val="both"/>
              <w:rPr>
                <w:sz w:val="18"/>
                <w:szCs w:val="18"/>
              </w:rPr>
            </w:pPr>
            <w:r>
              <w:rPr>
                <w:rFonts w:eastAsia="Calibri" w:cs="Arial"/>
                <w:kern w:val="0"/>
                <w:sz w:val="18"/>
                <w:szCs w:val="18"/>
                <w:lang w:val="ru-RU" w:eastAsia="en-US" w:bidi="ar-SA"/>
              </w:rPr>
              <w:t>Если Участник в соответствии с законодательством не размещает сведения о своей бухгалтерской (финансовой) отчетности (по формам ОКУД 0710001, 0710002) в упомянутом государственном информационном ресурсе –оценка его финансового состояния производится на основании электронной копии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 представленной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pPr>
              <w:pStyle w:val="Style21"/>
              <w:keepNext w:val="true"/>
              <w:widowControl w:val="false"/>
              <w:spacing w:lineRule="auto" w:line="240" w:before="40" w:after="40"/>
              <w:ind w:hanging="0" w:left="142" w:right="0"/>
              <w:jc w:val="both"/>
              <w:rPr>
                <w:sz w:val="18"/>
                <w:szCs w:val="18"/>
              </w:rPr>
            </w:pPr>
            <w:r>
              <w:rPr>
                <w:rFonts w:eastAsia="Calibri" w:cs="Arial"/>
                <w:kern w:val="0"/>
                <w:sz w:val="18"/>
                <w:szCs w:val="18"/>
                <w:lang w:val="ru-RU" w:eastAsia="en-US" w:bidi="ar-SA"/>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pPr>
              <w:pStyle w:val="Style21"/>
              <w:keepNext w:val="true"/>
              <w:widowControl w:val="false"/>
              <w:numPr>
                <w:ilvl w:val="0"/>
                <w:numId w:val="13"/>
              </w:numPr>
              <w:spacing w:lineRule="auto" w:line="240" w:before="40" w:after="40"/>
              <w:ind w:hanging="142" w:left="284" w:right="0"/>
              <w:jc w:val="both"/>
              <w:rPr>
                <w:sz w:val="18"/>
                <w:szCs w:val="18"/>
              </w:rPr>
            </w:pPr>
            <w:r>
              <w:rPr>
                <w:rFonts w:eastAsia="Calibri" w:cs="Arial"/>
                <w:kern w:val="0"/>
                <w:sz w:val="18"/>
                <w:szCs w:val="18"/>
                <w:lang w:val="ru-RU" w:eastAsia="en-US" w:bidi="ar-SA"/>
              </w:rPr>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21"/>
              <w:keepNext w:val="true"/>
              <w:widowControl w:val="false"/>
              <w:spacing w:lineRule="auto" w:line="240" w:before="40" w:after="40"/>
              <w:jc w:val="both"/>
              <w:rPr>
                <w:sz w:val="18"/>
                <w:szCs w:val="18"/>
              </w:rPr>
            </w:pPr>
            <w:r>
              <w:rPr>
                <w:rFonts w:eastAsia="Calibri" w:cs="Arial"/>
                <w:kern w:val="0"/>
                <w:sz w:val="18"/>
                <w:szCs w:val="18"/>
                <w:lang w:val="ru-RU" w:eastAsia="en-US" w:bidi="ar-SA"/>
              </w:rPr>
              <w:t>дополнительных сведений о размере всех требуемых показателей согласно данным бухгалтерской (финансовой) отчетности по установленной форме (</w:t>
            </w:r>
            <w:hyperlink w:anchor="Прил11_Данные_бухотчетность" w:tgtFrame="#Прил11_Данные_бухотчетность">
              <w:r>
                <w:rPr>
                  <w:rStyle w:val="Hyperlink"/>
                  <w:rFonts w:eastAsia="Calibri" w:cs="Arial"/>
                  <w:kern w:val="0"/>
                  <w:sz w:val="18"/>
                  <w:szCs w:val="18"/>
                  <w:lang w:val="ru-RU" w:eastAsia="en-US" w:bidi="ar-SA"/>
                </w:rPr>
                <w:t>Приложение № 11</w:t>
              </w:r>
            </w:hyperlink>
            <w:r>
              <w:rPr>
                <w:rFonts w:eastAsia="Calibri" w:cs="Arial"/>
                <w:kern w:val="0"/>
                <w:sz w:val="18"/>
                <w:szCs w:val="18"/>
                <w:lang w:val="ru-RU" w:eastAsia="en-US" w:bidi="ar-SA"/>
              </w:rPr>
              <w:t>).Оценка предпочтительности по частному критерию осуществляется в соответствии со следующей шкалой:</w:t>
            </w:r>
          </w:p>
          <w:tbl>
            <w:tblPr>
              <w:tblW w:w="6379" w:type="dxa"/>
              <w:jc w:val="left"/>
              <w:tblInd w:w="0" w:type="dxa"/>
              <w:tblLayout w:type="fixed"/>
              <w:tblCellMar>
                <w:top w:w="0" w:type="dxa"/>
                <w:left w:w="57" w:type="dxa"/>
                <w:bottom w:w="0" w:type="dxa"/>
                <w:right w:w="57" w:type="dxa"/>
              </w:tblCellMar>
            </w:tblPr>
            <w:tblGrid>
              <w:gridCol w:w="789"/>
              <w:gridCol w:w="5589"/>
            </w:tblGrid>
            <w:tr>
              <w:trPr/>
              <w:tc>
                <w:tcPr>
                  <w:tcW w:w="789" w:type="dxa"/>
                  <w:tcBorders>
                    <w:bottom w:val="single" w:sz="4" w:space="0" w:color="7F7F7F"/>
                    <w:right w:val="single" w:sz="4" w:space="0" w:color="7F7F7F"/>
                  </w:tcBorders>
                </w:tcPr>
                <w:p>
                  <w:pPr>
                    <w:pStyle w:val="Style21"/>
                    <w:keepNext w:val="false"/>
                    <w:keepLines w:val="false"/>
                    <w:widowControl w:val="false"/>
                    <w:spacing w:lineRule="auto" w:line="240" w:before="40" w:after="40"/>
                    <w:jc w:val="left"/>
                    <w:rPr>
                      <w:b w:val="false"/>
                      <w:bCs/>
                      <w:sz w:val="18"/>
                      <w:szCs w:val="18"/>
                    </w:rPr>
                  </w:pPr>
                  <w:r>
                    <w:rPr/>
                  </w:r>
                  <m:oMathPara xmlns:m="http://schemas.openxmlformats.org/officeDocument/2006/math">
                    <m:oMathParaPr>
                      <m:jc m:val="left"/>
                    </m:oMathParaPr>
                    <m:oMath>
                      <m:sSub>
                        <m:e>
                          <m:r>
                            <w:rPr>
                              <w:rFonts w:ascii="Cambria Math" w:hAnsi="Cambria Math"/>
                            </w:rPr>
                            <m:t xml:space="preserve">Б</m:t>
                          </m:r>
                        </m:e>
                        <m:sub>
                          <m:r>
                            <w:rPr>
                              <w:rFonts w:ascii="Cambria Math" w:hAnsi="Cambria Math"/>
                            </w:rPr>
                            <m:t xml:space="preserve">i</m:t>
                          </m:r>
                        </m:sub>
                      </m:sSub>
                      <m:r>
                        <w:rPr>
                          <w:rFonts w:ascii="Cambria Math" w:hAnsi="Cambria Math"/>
                        </w:rPr>
                        <m:t xml:space="preserve">=</m:t>
                      </m:r>
                      <m:r>
                        <w:rPr>
                          <w:rFonts w:ascii="Cambria Math" w:hAnsi="Cambria Math"/>
                        </w:rPr>
                        <m:t xml:space="preserve">0</m:t>
                      </m:r>
                    </m:oMath>
                  </m:oMathPara>
                </w:p>
              </w:tc>
              <w:tc>
                <w:tcPr>
                  <w:tcW w:w="5589" w:type="dxa"/>
                  <w:tcBorders>
                    <w:left w:val="single" w:sz="4" w:space="0" w:color="7F7F7F"/>
                    <w:bottom w:val="single" w:sz="4" w:space="0" w:color="7F7F7F"/>
                  </w:tcBorders>
                </w:tcPr>
                <w:p>
                  <w:pPr>
                    <w:pStyle w:val="Style21"/>
                    <w:keepNext w:val="true"/>
                    <w:keepLines w:val="false"/>
                    <w:widowControl w:val="false"/>
                    <w:spacing w:lineRule="auto" w:line="240" w:before="40" w:after="40"/>
                    <w:jc w:val="left"/>
                    <w:rPr>
                      <w:b w:val="false"/>
                      <w:sz w:val="18"/>
                      <w:szCs w:val="18"/>
                    </w:rPr>
                  </w:pPr>
                  <w:r>
                    <w:rPr>
                      <w:rFonts w:eastAsia="Calibri" w:cs="Arial"/>
                      <w:b w:val="false"/>
                      <w:kern w:val="0"/>
                      <w:sz w:val="18"/>
                      <w:szCs w:val="18"/>
                      <w:lang w:val="ru-RU" w:eastAsia="en-US" w:bidi="ar-SA"/>
                    </w:rPr>
                    <w:t>результат оценки финансового состояния (устойчивости): менее 0,45 баллов – Кризисное финансовое состояние</w:t>
                  </w:r>
                </w:p>
                <w:p>
                  <w:pPr>
                    <w:pStyle w:val="Style21"/>
                    <w:keepNext w:val="true"/>
                    <w:keepLines w:val="false"/>
                    <w:widowControl w:val="false"/>
                    <w:spacing w:lineRule="auto" w:line="240" w:before="40" w:after="40"/>
                    <w:jc w:val="left"/>
                    <w:rPr>
                      <w:b w:val="false"/>
                      <w:i/>
                      <w:i/>
                      <w:iCs/>
                      <w:sz w:val="18"/>
                      <w:szCs w:val="18"/>
                    </w:rPr>
                  </w:pPr>
                  <w:r>
                    <w:rPr>
                      <w:rFonts w:eastAsia="Calibri" w:cs="Arial"/>
                      <w:b w:val="false"/>
                      <w:i/>
                      <w:iCs/>
                      <w:kern w:val="0"/>
                      <w:sz w:val="18"/>
                      <w:szCs w:val="18"/>
                      <w:lang w:val="ru-RU" w:eastAsia="en-US" w:bidi="ar-SA"/>
                    </w:rPr>
                    <w:t>или</w:t>
                  </w:r>
                </w:p>
                <w:p>
                  <w:pPr>
                    <w:pStyle w:val="Style21"/>
                    <w:keepNext w:val="true"/>
                    <w:keepLines w:val="false"/>
                    <w:widowControl w:val="false"/>
                    <w:spacing w:lineRule="auto" w:line="240" w:before="40" w:after="40"/>
                    <w:jc w:val="left"/>
                    <w:rPr>
                      <w:b w:val="false"/>
                      <w:sz w:val="18"/>
                      <w:szCs w:val="18"/>
                    </w:rPr>
                  </w:pPr>
                  <w:r>
                    <w:rPr>
                      <w:rFonts w:eastAsia="Calibri" w:cs="Arial"/>
                      <w:b w:val="false"/>
                      <w:kern w:val="0"/>
                      <w:sz w:val="18"/>
                      <w:szCs w:val="18"/>
                      <w:lang w:val="ru-RU" w:eastAsia="en-US" w:bidi="ar-SA"/>
                    </w:rPr>
                    <w:t>в случае отсутствия исходных данных для оценки финансового состояния Участника, в том числе если он является:</w:t>
                  </w:r>
                </w:p>
                <w:p>
                  <w:pPr>
                    <w:pStyle w:val="Style21"/>
                    <w:keepNext w:val="true"/>
                    <w:keepLines w:val="false"/>
                    <w:widowControl w:val="false"/>
                    <w:numPr>
                      <w:ilvl w:val="0"/>
                      <w:numId w:val="13"/>
                    </w:numPr>
                    <w:spacing w:lineRule="auto" w:line="240" w:before="40" w:after="0"/>
                    <w:ind w:hanging="142" w:left="142" w:right="0"/>
                    <w:jc w:val="left"/>
                    <w:rPr>
                      <w:b w:val="false"/>
                      <w:sz w:val="18"/>
                      <w:szCs w:val="18"/>
                    </w:rPr>
                  </w:pPr>
                  <w:r>
                    <w:rPr>
                      <w:rFonts w:eastAsia="Calibri" w:cs="Arial"/>
                      <w:b w:val="false"/>
                      <w:kern w:val="0"/>
                      <w:sz w:val="18"/>
                      <w:szCs w:val="18"/>
                      <w:lang w:val="ru-RU" w:eastAsia="en-US" w:bidi="ar-SA"/>
                    </w:rPr>
                    <w:t>вновь созданным юридическим лицом, которое на дату подачи заявки на участие в закупке в соответствии с законодательством не предоставил в налоговые органы бухгалтерскую (финансовую) отчетность за завершенный финансовый год;</w:t>
                  </w:r>
                </w:p>
                <w:p>
                  <w:pPr>
                    <w:pStyle w:val="Style21"/>
                    <w:keepNext w:val="false"/>
                    <w:keepLines w:val="false"/>
                    <w:widowControl w:val="false"/>
                    <w:numPr>
                      <w:ilvl w:val="0"/>
                      <w:numId w:val="13"/>
                    </w:numPr>
                    <w:spacing w:lineRule="auto" w:line="240" w:before="0" w:after="40"/>
                    <w:ind w:hanging="142" w:left="142" w:right="0"/>
                    <w:jc w:val="left"/>
                    <w:rPr>
                      <w:b w:val="false"/>
                      <w:sz w:val="18"/>
                      <w:szCs w:val="18"/>
                    </w:rPr>
                  </w:pPr>
                  <w:r>
                    <w:rPr>
                      <w:rFonts w:eastAsia="Calibri" w:cs="Arial"/>
                      <w:b w:val="false"/>
                      <w:kern w:val="0"/>
                      <w:sz w:val="18"/>
                      <w:szCs w:val="18"/>
                      <w:lang w:val="ru-RU" w:eastAsia="en-US" w:bidi="ar-SA"/>
                    </w:rPr>
                    <w:t>физическим лицом (индивидуальным предпринимателем и (или) применяющим специальный налоговый режим «Налог на профессиональный доход»), не ведущим бухгалтерскую (финансовую) отчетность;</w:t>
                  </w:r>
                </w:p>
              </w:tc>
            </w:tr>
            <w:tr>
              <w:trPr/>
              <w:tc>
                <w:tcPr>
                  <w:tcW w:w="789" w:type="dxa"/>
                  <w:tcBorders>
                    <w:top w:val="single" w:sz="4" w:space="0" w:color="7F7F7F"/>
                    <w:bottom w:val="single" w:sz="4" w:space="0" w:color="7F7F7F"/>
                    <w:right w:val="single" w:sz="4" w:space="0" w:color="7F7F7F"/>
                  </w:tcBorders>
                </w:tcPr>
                <w:p>
                  <w:pPr>
                    <w:pStyle w:val="Style21"/>
                    <w:widowControl w:val="false"/>
                    <w:spacing w:lineRule="auto" w:line="240" w:before="40" w:after="40"/>
                    <w:jc w:val="left"/>
                    <w:rPr>
                      <w:sz w:val="18"/>
                      <w:szCs w:val="18"/>
                    </w:rPr>
                  </w:pPr>
                  <w:r>
                    <w:rPr/>
                  </w:r>
                  <m:oMathPara xmlns:m="http://schemas.openxmlformats.org/officeDocument/2006/math">
                    <m:oMathParaPr>
                      <m:jc m:val="left"/>
                    </m:oMathParaPr>
                    <m:oMath>
                      <m:sSub>
                        <m:e>
                          <m:r>
                            <w:rPr>
                              <w:rFonts w:ascii="Cambria Math" w:hAnsi="Cambria Math"/>
                            </w:rPr>
                            <m:t xml:space="preserve">Б</m:t>
                          </m:r>
                        </m:e>
                        <m:sub>
                          <m:r>
                            <w:rPr>
                              <w:rFonts w:ascii="Cambria Math" w:hAnsi="Cambria Math"/>
                            </w:rPr>
                            <m:t xml:space="preserve">i</m:t>
                          </m:r>
                        </m:sub>
                      </m:sSub>
                      <m:r>
                        <w:rPr>
                          <w:rFonts w:ascii="Cambria Math" w:hAnsi="Cambria Math"/>
                        </w:rPr>
                        <m:t xml:space="preserve">=</m:t>
                      </m:r>
                      <m:r>
                        <w:rPr>
                          <w:rFonts w:ascii="Cambria Math" w:hAnsi="Cambria Math"/>
                        </w:rPr>
                        <m:t xml:space="preserve">3</m:t>
                      </m:r>
                    </m:oMath>
                  </m:oMathPara>
                </w:p>
              </w:tc>
              <w:tc>
                <w:tcPr>
                  <w:tcW w:w="5589" w:type="dxa"/>
                  <w:tcBorders>
                    <w:top w:val="single" w:sz="4" w:space="0" w:color="7F7F7F"/>
                    <w:left w:val="single" w:sz="4" w:space="0" w:color="7F7F7F"/>
                    <w:bottom w:val="single" w:sz="4" w:space="0" w:color="7F7F7F"/>
                  </w:tcBorders>
                </w:tcPr>
                <w:p>
                  <w:pPr>
                    <w:pStyle w:val="Style21"/>
                    <w:widowControl w:val="false"/>
                    <w:spacing w:lineRule="auto" w:line="240" w:before="40" w:after="40"/>
                    <w:jc w:val="left"/>
                    <w:rPr>
                      <w:sz w:val="18"/>
                      <w:szCs w:val="18"/>
                    </w:rPr>
                  </w:pPr>
                  <w:r>
                    <w:rPr>
                      <w:rFonts w:eastAsia="Calibri" w:cs="Arial"/>
                      <w:kern w:val="0"/>
                      <w:sz w:val="18"/>
                      <w:szCs w:val="18"/>
                      <w:lang w:val="ru-RU" w:eastAsia="en-US" w:bidi="ar-SA"/>
                    </w:rPr>
                    <w:t>результат оценки финансового состояния (устойчивости): от 0,45 баллов включительно до 0,90 баллов включительно – Неустойчивое финансовое состояние;</w:t>
                  </w:r>
                </w:p>
              </w:tc>
            </w:tr>
            <w:tr>
              <w:trPr/>
              <w:tc>
                <w:tcPr>
                  <w:tcW w:w="789" w:type="dxa"/>
                  <w:tcBorders>
                    <w:top w:val="single" w:sz="4" w:space="0" w:color="7F7F7F"/>
                    <w:right w:val="single" w:sz="4" w:space="0" w:color="7F7F7F"/>
                  </w:tcBorders>
                </w:tcPr>
                <w:p>
                  <w:pPr>
                    <w:pStyle w:val="Style21"/>
                    <w:widowControl w:val="false"/>
                    <w:spacing w:lineRule="auto" w:line="240" w:before="40" w:after="40"/>
                    <w:jc w:val="left"/>
                    <w:rPr>
                      <w:sz w:val="18"/>
                      <w:szCs w:val="18"/>
                    </w:rPr>
                  </w:pPr>
                  <w:r>
                    <w:rPr/>
                  </w:r>
                  <m:oMathPara xmlns:m="http://schemas.openxmlformats.org/officeDocument/2006/math">
                    <m:oMathParaPr>
                      <m:jc m:val="left"/>
                    </m:oMathParaPr>
                    <m:oMath>
                      <m:sSub>
                        <m:e>
                          <m:r>
                            <w:rPr>
                              <w:rFonts w:ascii="Cambria Math" w:hAnsi="Cambria Math"/>
                            </w:rPr>
                            <m:t xml:space="preserve">Б</m:t>
                          </m:r>
                        </m:e>
                        <m:sub>
                          <m:r>
                            <w:rPr>
                              <w:rFonts w:ascii="Cambria Math" w:hAnsi="Cambria Math"/>
                            </w:rPr>
                            <m:t xml:space="preserve">i</m:t>
                          </m:r>
                        </m:sub>
                      </m:sSub>
                      <m:r>
                        <w:rPr>
                          <w:rFonts w:ascii="Cambria Math" w:hAnsi="Cambria Math"/>
                        </w:rPr>
                        <m:t xml:space="preserve">=</m:t>
                      </m:r>
                      <m:r>
                        <w:rPr>
                          <w:rFonts w:ascii="Cambria Math" w:hAnsi="Cambria Math"/>
                        </w:rPr>
                        <m:t xml:space="preserve">5</m:t>
                      </m:r>
                    </m:oMath>
                  </m:oMathPara>
                </w:p>
              </w:tc>
              <w:tc>
                <w:tcPr>
                  <w:tcW w:w="5589" w:type="dxa"/>
                  <w:tcBorders>
                    <w:top w:val="single" w:sz="4" w:space="0" w:color="7F7F7F"/>
                    <w:left w:val="single" w:sz="4" w:space="0" w:color="7F7F7F"/>
                  </w:tcBorders>
                </w:tcPr>
                <w:p>
                  <w:pPr>
                    <w:pStyle w:val="Style21"/>
                    <w:widowControl w:val="false"/>
                    <w:spacing w:lineRule="auto" w:line="240" w:before="40" w:after="40"/>
                    <w:jc w:val="left"/>
                    <w:rPr>
                      <w:sz w:val="18"/>
                      <w:szCs w:val="18"/>
                    </w:rPr>
                  </w:pPr>
                  <w:r>
                    <w:rPr>
                      <w:rFonts w:eastAsia="Calibri" w:cs="Arial"/>
                      <w:kern w:val="0"/>
                      <w:sz w:val="18"/>
                      <w:szCs w:val="18"/>
                      <w:lang w:val="ru-RU" w:eastAsia="en-US" w:bidi="ar-SA"/>
                    </w:rPr>
                    <w:t>результат оценки финансового состояния (устойчивости): более 0,90 баллов – Удовлетворительное финансовое состояние,</w:t>
                  </w:r>
                </w:p>
              </w:tc>
            </w:tr>
          </w:tbl>
          <w:p>
            <w:pPr>
              <w:pStyle w:val="Style21"/>
              <w:widowControl w:val="false"/>
              <w:spacing w:lineRule="auto" w:line="240" w:before="40" w:after="40"/>
              <w:jc w:val="left"/>
              <w:rPr>
                <w:sz w:val="18"/>
                <w:szCs w:val="18"/>
              </w:rPr>
            </w:pPr>
            <w:r>
              <w:rPr>
                <w:rFonts w:eastAsia="Calibri" w:cs="Arial"/>
                <w:kern w:val="0"/>
                <w:sz w:val="18"/>
                <w:szCs w:val="18"/>
                <w:lang w:val="ru-RU" w:eastAsia="en-US" w:bidi="ar-SA"/>
              </w:rPr>
              <w:t>где:</w:t>
            </w:r>
          </w:p>
          <w:p>
            <w:pPr>
              <w:pStyle w:val="Style21"/>
              <w:widowControl w:val="false"/>
              <w:spacing w:lineRule="auto" w:line="240" w:before="40" w:after="40"/>
              <w:jc w:val="left"/>
              <w:rPr>
                <w:sz w:val="18"/>
                <w:szCs w:val="18"/>
              </w:rPr>
            </w:pPr>
            <w:r>
              <w:rPr/>
            </w:r>
            <m:oMath xmlns:m="http://schemas.openxmlformats.org/officeDocument/2006/math">
              <m:sSub>
                <m:e>
                  <m:r>
                    <w:rPr>
                      <w:rFonts w:ascii="Cambria Math" w:hAnsi="Cambria Math"/>
                    </w:rPr>
                    <m:t xml:space="preserve">Б</m:t>
                  </m:r>
                </m:e>
                <m:sub>
                  <m:r>
                    <w:rPr>
                      <w:rFonts w:ascii="Cambria Math" w:hAnsi="Cambria Math"/>
                    </w:rPr>
                    <m:t xml:space="preserve">i</m:t>
                  </m:r>
                </m:sub>
              </m:sSub>
            </m:oMath>
            <w:r>
              <w:rPr>
                <w:rFonts w:eastAsia="Calibri" w:cs="Arial"/>
                <w:kern w:val="0"/>
                <w:sz w:val="18"/>
                <w:szCs w:val="18"/>
                <w:lang w:val="ru-RU" w:eastAsia="en-US" w:bidi="ar-SA"/>
              </w:rPr>
              <w:t xml:space="preserve"> – </w:t>
            </w:r>
            <w:r>
              <w:rPr>
                <w:rFonts w:eastAsia="Calibri" w:cs="Arial"/>
                <w:kern w:val="0"/>
                <w:sz w:val="18"/>
                <w:szCs w:val="18"/>
                <w:lang w:val="ru-RU" w:eastAsia="en-US" w:bidi="ar-SA"/>
              </w:rPr>
              <w:t>рассчитанная оценка предпочтительности по частному критерию оценки в баллах.</w:t>
            </w:r>
          </w:p>
          <w:p>
            <w:pPr>
              <w:pStyle w:val="Style21"/>
              <w:widowControl w:val="false"/>
              <w:spacing w:lineRule="auto" w:line="240" w:before="40" w:after="40"/>
              <w:jc w:val="left"/>
              <w:rPr>
                <w:b/>
                <w:bCs/>
              </w:rPr>
            </w:pPr>
            <w:r>
              <w:rPr>
                <w:rFonts w:eastAsia="Calibri" w:cs="Arial"/>
                <w:b/>
                <w:bCs/>
                <w:kern w:val="0"/>
                <w:sz w:val="18"/>
                <w:szCs w:val="18"/>
                <w:lang w:val="ru-RU" w:eastAsia="en-US" w:bidi="ar-SA"/>
              </w:rPr>
              <w:t>Шкала оценок от 0 до 5 баллов.</w:t>
            </w:r>
          </w:p>
          <w:p>
            <w:pPr>
              <w:pStyle w:val="Style21"/>
              <w:widowControl w:val="false"/>
              <w:spacing w:lineRule="auto" w:line="240" w:before="40" w:after="40"/>
              <w:jc w:val="left"/>
              <w:rPr>
                <w:i/>
                <w:i/>
                <w:iCs/>
                <w:sz w:val="18"/>
                <w:szCs w:val="18"/>
              </w:rPr>
            </w:pPr>
            <w:r>
              <w:rPr>
                <w:rFonts w:eastAsia="Calibri" w:cs="Arial"/>
                <w:i/>
                <w:iCs/>
                <w:kern w:val="0"/>
                <w:sz w:val="18"/>
                <w:szCs w:val="18"/>
                <w:lang w:val="ru-RU" w:eastAsia="en-US" w:bidi="ar-SA"/>
              </w:rPr>
              <w:t>(В случае участия в закупке Генерального подрядчика – балл по данному критерию присваивается исходя из оценки финансового состояния Генерального подрядчика без учета субподрядчиков.</w:t>
            </w:r>
          </w:p>
        </w:tc>
      </w:tr>
      <w:tr>
        <w:trPr/>
        <w:tc>
          <w:tcPr>
            <w:tcW w:w="4509" w:type="dxa"/>
            <w:gridSpan w:val="4"/>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left"/>
              <w:rPr>
                <w:sz w:val="18"/>
                <w:szCs w:val="18"/>
              </w:rPr>
            </w:pPr>
            <w:r>
              <w:rPr>
                <w:rFonts w:eastAsia="Calibri" w:cs="Arial"/>
                <w:kern w:val="0"/>
                <w:sz w:val="18"/>
                <w:szCs w:val="18"/>
                <w:lang w:val="ru-RU" w:eastAsia="en-US" w:bidi="ar-SA"/>
              </w:rPr>
              <w:t>Итоговая оценка предпочтительности заявки:</w:t>
            </w:r>
          </w:p>
        </w:tc>
        <w:tc>
          <w:tcPr>
            <w:tcW w:w="9667" w:type="dxa"/>
            <w:gridSpan w:val="3"/>
            <w:tcBorders>
              <w:top w:val="single" w:sz="4" w:space="0" w:color="7F7F7F"/>
              <w:left w:val="single" w:sz="4" w:space="0" w:color="7F7F7F"/>
              <w:bottom w:val="single" w:sz="4" w:space="0" w:color="7F7F7F"/>
              <w:right w:val="single" w:sz="4" w:space="0" w:color="7F7F7F"/>
            </w:tcBorders>
          </w:tcPr>
          <w:p>
            <w:pPr>
              <w:pStyle w:val="Style21"/>
              <w:widowControl w:val="false"/>
              <w:spacing w:lineRule="auto" w:line="240" w:before="40" w:after="40"/>
              <w:jc w:val="left"/>
              <w:rPr>
                <w:sz w:val="18"/>
                <w:szCs w:val="18"/>
              </w:rPr>
            </w:pPr>
            <w:r>
              <w:rPr>
                <w:rFonts w:eastAsia="Calibri" w:cs="Arial"/>
                <w:kern w:val="0"/>
                <w:sz w:val="18"/>
                <w:szCs w:val="18"/>
                <w:lang w:val="ru-RU" w:eastAsia="en-US" w:bidi="ar-SA"/>
              </w:rPr>
              <w:t xml:space="preserve">Расчет итоговой оценки предпочтительности </w:t>
            </w:r>
            <w:r>
              <w:rPr/>
            </w:r>
            <m:oMath xmlns:m="http://schemas.openxmlformats.org/officeDocument/2006/math">
              <m:r>
                <w:rPr>
                  <w:rFonts w:ascii="Cambria Math" w:hAnsi="Cambria Math"/>
                </w:rPr>
                <m:t xml:space="preserve">i</m:t>
              </m:r>
            </m:oMath>
            <w:r>
              <w:rPr>
                <w:rFonts w:eastAsia="Calibri" w:cs="Arial"/>
                <w:kern w:val="0"/>
                <w:sz w:val="18"/>
                <w:szCs w:val="18"/>
                <w:lang w:val="ru-RU" w:eastAsia="en-US" w:bidi="ar-SA"/>
              </w:rPr>
              <w:t>-ой заявки:</w:t>
            </w:r>
          </w:p>
          <w:p>
            <w:pPr>
              <w:pStyle w:val="Style21"/>
              <w:widowControl w:val="false"/>
              <w:spacing w:lineRule="auto" w:line="240" w:before="40" w:after="40"/>
              <w:jc w:val="center"/>
              <w:rPr>
                <w:i/>
                <w:i/>
                <w:sz w:val="18"/>
                <w:szCs w:val="18"/>
                <w:lang w:val="en-US"/>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ИТОГ</m:t>
                    </m:r>
                  </m:sub>
                </m:sSub>
                <m:r>
                  <w:rPr>
                    <w:rFonts w:ascii="Cambria Math" w:hAnsi="Cambria Math"/>
                  </w:rPr>
                  <m:t xml:space="preserve">=</m:t>
                </m:r>
                <m:nary>
                  <m:naryPr>
                    <m:chr m:val="∑"/>
                    <m:subHide m:val="1"/>
                    <m:supHide m:val="1"/>
                  </m:naryPr>
                  <m:sub/>
                  <m:sup/>
                  <m:e>
                    <m:d>
                      <m:dPr>
                        <m:begChr m:val="("/>
                        <m:endChr m:val=")"/>
                      </m:dPr>
                      <m:e>
                        <m:sSub>
                          <m:e>
                            <m:r>
                              <w:rPr>
                                <w:rFonts w:ascii="Cambria Math" w:hAnsi="Cambria Math"/>
                              </w:rPr>
                              <m:t xml:space="preserve">Б</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r>
                          <w:rPr>
                            <w:rFonts w:ascii="Cambria Math" w:hAnsi="Cambria Math"/>
                          </w:rPr>
                          <m:t xml:space="preserve">×</m:t>
                        </m:r>
                        <m:sSub>
                          <m:e>
                            <m:r>
                              <w:rPr>
                                <w:rFonts w:ascii="Cambria Math" w:hAnsi="Cambria Math"/>
                              </w:rPr>
                              <m:t xml:space="preserve">В</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e>
                    </m:d>
                  </m:e>
                </m:nary>
                <m:r>
                  <w:rPr>
                    <w:rFonts w:ascii="Cambria Math" w:hAnsi="Cambria Math"/>
                  </w:rPr>
                  <m:t xml:space="preserve">,</m:t>
                </m:r>
              </m:oMath>
            </m:oMathPara>
          </w:p>
          <w:p>
            <w:pPr>
              <w:pStyle w:val="Style21"/>
              <w:widowControl w:val="false"/>
              <w:spacing w:lineRule="auto" w:line="240" w:before="40" w:after="40"/>
              <w:jc w:val="left"/>
              <w:rPr>
                <w:sz w:val="18"/>
                <w:szCs w:val="18"/>
              </w:rPr>
            </w:pPr>
            <w:r>
              <w:rPr>
                <w:rFonts w:eastAsia="Calibri" w:cs="Arial"/>
                <w:kern w:val="0"/>
                <w:sz w:val="18"/>
                <w:szCs w:val="18"/>
                <w:lang w:val="ru-RU" w:eastAsia="en-US" w:bidi="ar-SA"/>
              </w:rPr>
              <w:t>где:</w:t>
            </w:r>
          </w:p>
          <w:p>
            <w:pPr>
              <w:pStyle w:val="Style21"/>
              <w:widowControl w:val="false"/>
              <w:spacing w:lineRule="auto" w:line="240" w:before="40" w:after="40"/>
              <w:jc w:val="left"/>
              <w:rPr>
                <w:sz w:val="18"/>
                <w:szCs w:val="18"/>
              </w:rPr>
            </w:pPr>
            <w:r>
              <w:rPr/>
            </w:r>
            <m:oMath xmlns:m="http://schemas.openxmlformats.org/officeDocument/2006/math">
              <m:sSub>
                <m:e>
                  <m:r>
                    <w:rPr>
                      <w:rFonts w:ascii="Cambria Math" w:hAnsi="Cambria Math"/>
                    </w:rPr>
                    <m:t xml:space="preserve">Б</m:t>
                  </m:r>
                </m:e>
                <m:sub>
                  <m:r>
                    <w:rPr>
                      <w:rFonts w:ascii="Cambria Math" w:hAnsi="Cambria Math"/>
                    </w:rPr>
                    <m:t xml:space="preserve">ИТОГ</m:t>
                  </m:r>
                </m:sub>
              </m:sSub>
            </m:oMath>
            <w:r>
              <w:rPr>
                <w:rFonts w:eastAsia="Calibri" w:cs="Arial"/>
                <w:kern w:val="0"/>
                <w:sz w:val="18"/>
                <w:szCs w:val="18"/>
                <w:lang w:val="ru-RU" w:eastAsia="en-US" w:bidi="ar-SA"/>
              </w:rPr>
              <w:t xml:space="preserve"> – </w:t>
            </w:r>
            <w:r>
              <w:rPr>
                <w:rFonts w:eastAsia="Calibri" w:cs="Arial"/>
                <w:kern w:val="0"/>
                <w:sz w:val="18"/>
                <w:szCs w:val="18"/>
                <w:lang w:val="ru-RU" w:eastAsia="en-US" w:bidi="ar-SA"/>
              </w:rPr>
              <w:t>рассчитанная итоговая оценка предпочтительности в баллах;</w:t>
            </w:r>
          </w:p>
          <w:p>
            <w:pPr>
              <w:pStyle w:val="Style21"/>
              <w:widowControl w:val="false"/>
              <w:spacing w:lineRule="auto" w:line="240" w:before="40" w:after="40"/>
              <w:jc w:val="left"/>
              <w:rPr>
                <w:sz w:val="18"/>
                <w:szCs w:val="18"/>
              </w:rPr>
            </w:pPr>
            <w:r>
              <w:rPr/>
            </w:r>
            <m:oMath xmlns:m="http://schemas.openxmlformats.org/officeDocument/2006/math">
              <m:sSub>
                <m:e>
                  <m:r>
                    <w:rPr>
                      <w:rFonts w:ascii="Cambria Math" w:hAnsi="Cambria Math"/>
                    </w:rPr>
                    <m:t xml:space="preserve">Б</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oMath>
            <w:r>
              <w:rPr>
                <w:rFonts w:eastAsia="Calibri" w:cs="Arial"/>
                <w:kern w:val="0"/>
                <w:sz w:val="18"/>
                <w:szCs w:val="18"/>
                <w:lang w:val="ru-RU" w:eastAsia="en-US" w:bidi="ar-SA"/>
              </w:rPr>
              <w:t xml:space="preserve"> – </w:t>
            </w:r>
            <w:r>
              <w:rPr>
                <w:rFonts w:eastAsia="Calibri" w:cs="Arial"/>
                <w:kern w:val="0"/>
                <w:sz w:val="18"/>
                <w:szCs w:val="18"/>
                <w:lang w:val="ru-RU" w:eastAsia="en-US" w:bidi="ar-SA"/>
              </w:rPr>
              <w:t xml:space="preserve">оценка предпочтительности по </w:t>
            </w:r>
            <w:r>
              <w:rPr/>
            </w:r>
            <m:oMath xmlns:m="http://schemas.openxmlformats.org/officeDocument/2006/math">
              <m:r>
                <w:rPr>
                  <w:rFonts w:ascii="Cambria Math" w:hAnsi="Cambria Math"/>
                </w:rPr>
                <m:t xml:space="preserve">k</m:t>
              </m:r>
            </m:oMath>
            <w:r>
              <w:rPr>
                <w:rFonts w:eastAsia="Calibri" w:cs="Arial"/>
                <w:kern w:val="0"/>
                <w:sz w:val="18"/>
                <w:szCs w:val="18"/>
                <w:lang w:val="ru-RU" w:eastAsia="en-US" w:bidi="ar-SA"/>
              </w:rPr>
              <w:t>-тому критерию оценки первого уровня в баллах;</w:t>
            </w:r>
          </w:p>
          <w:p>
            <w:pPr>
              <w:pStyle w:val="Style21"/>
              <w:widowControl w:val="false"/>
              <w:spacing w:lineRule="auto" w:line="240" w:before="40" w:after="40"/>
              <w:jc w:val="left"/>
              <w:rPr>
                <w:sz w:val="18"/>
                <w:szCs w:val="18"/>
              </w:rPr>
            </w:pPr>
            <w:r>
              <w:rPr/>
            </w:r>
            <m:oMath xmlns:m="http://schemas.openxmlformats.org/officeDocument/2006/math">
              <m:sSub>
                <m:e>
                  <m:r>
                    <w:rPr>
                      <w:rFonts w:ascii="Cambria Math" w:hAnsi="Cambria Math"/>
                    </w:rPr>
                    <m:t xml:space="preserve">В</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oMath>
            <w:r>
              <w:rPr>
                <w:rFonts w:eastAsia="Calibri" w:cs="Arial"/>
                <w:kern w:val="0"/>
                <w:sz w:val="18"/>
                <w:szCs w:val="18"/>
                <w:lang w:val="ru-RU" w:eastAsia="en-US" w:bidi="ar-SA"/>
              </w:rPr>
              <w:t xml:space="preserve"> – </w:t>
            </w:r>
            <w:r>
              <w:rPr>
                <w:rFonts w:eastAsia="Calibri" w:cs="Arial"/>
                <w:kern w:val="0"/>
                <w:sz w:val="18"/>
                <w:szCs w:val="18"/>
                <w:lang w:val="ru-RU" w:eastAsia="en-US" w:bidi="ar-SA"/>
              </w:rPr>
              <w:t xml:space="preserve">значимость </w:t>
            </w:r>
            <w:r>
              <w:rPr/>
            </w:r>
            <m:oMath xmlns:m="http://schemas.openxmlformats.org/officeDocument/2006/math">
              <m:r>
                <w:rPr>
                  <w:rFonts w:ascii="Cambria Math" w:hAnsi="Cambria Math"/>
                </w:rPr>
                <m:t xml:space="preserve">k</m:t>
              </m:r>
            </m:oMath>
            <w:r>
              <w:rPr>
                <w:rFonts w:eastAsia="Calibri" w:cs="Arial"/>
                <w:kern w:val="0"/>
                <w:sz w:val="18"/>
                <w:szCs w:val="18"/>
                <w:lang w:val="ru-RU" w:eastAsia="en-US" w:bidi="ar-SA"/>
              </w:rPr>
              <w:t xml:space="preserve">-ого критерия оценки первого уровня, выраженная в диапазоне от 1% до 100% (или от 0,01 до 1,00) – вес </w:t>
            </w:r>
            <w:r>
              <w:rPr/>
            </w:r>
            <m:oMath xmlns:m="http://schemas.openxmlformats.org/officeDocument/2006/math">
              <m:r>
                <w:rPr>
                  <w:rFonts w:ascii="Cambria Math" w:hAnsi="Cambria Math"/>
                </w:rPr>
                <m:t xml:space="preserve">k</m:t>
              </m:r>
            </m:oMath>
            <w:r>
              <w:rPr>
                <w:rFonts w:eastAsia="Calibri" w:cs="Arial"/>
                <w:kern w:val="0"/>
                <w:sz w:val="18"/>
                <w:szCs w:val="18"/>
                <w:lang w:val="ru-RU" w:eastAsia="en-US" w:bidi="ar-SA"/>
              </w:rPr>
              <w:t>-ого критерия оценки первого уровня.</w:t>
            </w:r>
          </w:p>
          <w:p>
            <w:pPr>
              <w:pStyle w:val="Style21"/>
              <w:widowControl w:val="false"/>
              <w:spacing w:lineRule="auto" w:line="240" w:before="40" w:after="40"/>
              <w:jc w:val="left"/>
              <w:rPr>
                <w:i/>
                <w:i/>
                <w:iCs/>
                <w:sz w:val="18"/>
                <w:szCs w:val="18"/>
              </w:rPr>
            </w:pPr>
            <w:r>
              <w:rPr>
                <w:rFonts w:eastAsia="Calibri" w:cs="Arial"/>
                <w:i/>
                <w:iCs/>
                <w:kern w:val="0"/>
                <w:sz w:val="18"/>
                <w:szCs w:val="18"/>
                <w:lang w:val="ru-RU" w:eastAsia="en-US" w:bidi="ar-SA"/>
              </w:rPr>
              <w:t>Расчет значений баллов по частным / обобщенным критериям оценки, а также итогового балла (итоговой оценки предпочтительности) производится до четвертого знака после запятой (в соответствии с математическими правилами округления).</w:t>
            </w:r>
          </w:p>
        </w:tc>
      </w:tr>
    </w:tbl>
    <w:p>
      <w:pPr>
        <w:pStyle w:val="Style17"/>
        <w:spacing w:before="120" w:after="0"/>
        <w:rPr/>
      </w:pPr>
      <w:r>
        <w:rPr/>
        <w:t>Итоговая оценка предпочтительности заявки формируется путем взвешенного суммирования (суммирования в баллах, умноженных на соответствующий коэффициент значимости критерия), производимого в рамках критериев одного уровня. Общая значимость всех критериев одного уровня на одной ветке иерархии составляет 100%. Вычисление оценки предпочтительности по каждому критерию и итоговой оценки предпочтительности заявки производится с точностью до десятитысячных балла.</w:t>
      </w:r>
    </w:p>
    <w:p>
      <w:pPr>
        <w:pStyle w:val="Style17"/>
        <w:spacing w:before="0" w:after="0"/>
        <w:rPr/>
      </w:pPr>
      <w:r>
        <w:rPr/>
        <w:t>В установленных случаях оценка и сопоставление заявок производится с учетом предоставления национального режима в соответствии с порядком, предусмотренном подразделом </w:t>
      </w:r>
      <w:r>
        <w:rPr/>
        <w:fldChar w:fldCharType="begin"/>
      </w:r>
      <w:r>
        <w:rPr/>
        <w:instrText xml:space="preserve"> REF _Ref132816300 \r \h </w:instrText>
      </w:r>
      <w:r>
        <w:rPr/>
        <w:fldChar w:fldCharType="separate"/>
      </w:r>
      <w:r>
        <w:rPr/>
        <w:t>4.14</w:t>
      </w:r>
      <w:r>
        <w:rPr/>
        <w:fldChar w:fldCharType="end"/>
      </w:r>
      <w:r>
        <w:rPr/>
        <w:t>.</w:t>
      </w:r>
    </w:p>
    <w:p>
      <w:pPr>
        <w:sectPr>
          <w:headerReference w:type="default" r:id="rId32"/>
          <w:headerReference w:type="first" r:id="rId33"/>
          <w:footerReference w:type="default" r:id="rId34"/>
          <w:footerReference w:type="first" r:id="rId35"/>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Style w:val="Style17"/>
        <w:spacing w:before="0" w:after="0"/>
        <w:rPr/>
      </w:pPr>
      <w:r>
        <w:rPr/>
        <w:t>Заявки участников (из числа успешно прошедших отборочную стадию рассмотрения вторых частей заявок и ценовых предложений (дополнительных ценовых предложений – если проводилась переторжка)) ранжируются по количеству набранных баллов (от наибольшего к наименьшему), присвоенных заявкам по результатам оценки.</w:t>
      </w:r>
    </w:p>
    <w:p>
      <w:pPr>
        <w:pStyle w:val="Style15"/>
        <w:spacing w:before="0" w:after="0"/>
        <w:rPr/>
      </w:pPr>
      <w:bookmarkStart w:id="379" w:name="_Ref125360420"/>
      <w:bookmarkStart w:id="380" w:name="_Toc228876904"/>
      <w:bookmarkStart w:id="381" w:name="Прил09_ОбоснованиеНМЦ"/>
      <w:bookmarkEnd w:id="381"/>
      <w:r>
        <w:rPr/>
        <w:t>Приложение № 9 – Обоснование НМЦ</w:t>
      </w:r>
      <w:bookmarkEnd w:id="379"/>
      <w:bookmarkEnd w:id="380"/>
    </w:p>
    <w:p>
      <w:pPr>
        <w:pStyle w:val="Style16"/>
        <w:spacing w:before="360" w:after="0"/>
        <w:rPr/>
      </w:pPr>
      <w:bookmarkStart w:id="382" w:name="_Toc228876905"/>
      <w:r>
        <w:rPr/>
        <w:t>Пояснения к Обоснованию НМЦ</w:t>
      </w:r>
      <w:bookmarkEnd w:id="382"/>
    </w:p>
    <w:p>
      <w:pPr>
        <w:pStyle w:val="Style17"/>
        <w:spacing w:before="120" w:after="0"/>
        <w:rPr/>
      </w:pPr>
      <w:r>
        <w:rPr/>
        <w:t>Обоснование НМЦ приведено в отдельном файле (предоставляется отдельным документом в составе Документации о закупке), являющимся Приложением № 9 к Документации о закупке.</w:t>
      </w:r>
    </w:p>
    <w:p>
      <w:pPr>
        <w:pStyle w:val="Style15"/>
        <w:spacing w:before="0" w:after="0"/>
        <w:rPr/>
      </w:pPr>
      <w:bookmarkStart w:id="383" w:name="_Toc228876906"/>
      <w:bookmarkStart w:id="384" w:name="Прил10_ФормаЗаявкиНаАккредитацию"/>
      <w:bookmarkEnd w:id="384"/>
      <w:r>
        <w:rPr/>
        <w:t>Приложение № 10 – Форма Заявки на аккредитацию</w:t>
      </w:r>
      <w:bookmarkEnd w:id="383"/>
    </w:p>
    <w:p>
      <w:pPr>
        <w:pStyle w:val="Style16"/>
        <w:spacing w:before="360" w:after="0"/>
        <w:rPr/>
      </w:pPr>
      <w:bookmarkStart w:id="385" w:name="_Toc228876907"/>
      <w:r>
        <w:rPr/>
        <w:t>Пояснения к форме Заявки на аккредитацию</w:t>
      </w:r>
      <w:bookmarkEnd w:id="385"/>
    </w:p>
    <w:p>
      <w:pPr>
        <w:pStyle w:val="Style17"/>
        <w:spacing w:before="120" w:after="0"/>
        <w:rPr/>
      </w:pPr>
      <w:r>
        <w:rPr/>
        <w:t xml:space="preserve">Форма Заявки на аккредитацию приведена в отдельном файле (предоставляется отдельным документом в составе Документации о закупке), являющимся Приложением № 10 к Документации о закупке. </w:t>
      </w:r>
    </w:p>
    <w:p>
      <w:pPr>
        <w:pStyle w:val="Style17"/>
        <w:spacing w:before="0" w:after="0"/>
        <w:rPr/>
      </w:pPr>
      <w:r>
        <w:rPr/>
        <w:t xml:space="preserve">Заявка на аккредитацию предоставляется (в установленных Документацией о закупке случаях) Участником в составе своей заявки </w:t>
      </w:r>
      <w:bookmarkStart w:id="386" w:name="_Hlk207300788"/>
      <w:r>
        <w:rPr/>
        <w:t xml:space="preserve">только в электронном виде в формате </w:t>
      </w:r>
      <w:r>
        <w:rPr>
          <w:lang w:val="en-US"/>
        </w:rPr>
        <w:t>Microsoft</w:t>
      </w:r>
      <w:r>
        <w:rPr/>
        <w:t xml:space="preserve"> </w:t>
      </w:r>
      <w:r>
        <w:rPr>
          <w:lang w:val="en-US"/>
        </w:rPr>
        <w:t>Excel</w:t>
      </w:r>
      <w:r>
        <w:rPr/>
        <w:t xml:space="preserve"> (*.</w:t>
      </w:r>
      <w:r>
        <w:rPr>
          <w:lang w:val="en-US"/>
        </w:rPr>
        <w:t>xlsx</w:t>
      </w:r>
      <w:r>
        <w:rPr/>
        <w:t>))</w:t>
      </w:r>
      <w:bookmarkEnd w:id="386"/>
      <w:r>
        <w:rPr/>
        <w:t>.</w:t>
      </w:r>
    </w:p>
    <w:p>
      <w:pPr>
        <w:pStyle w:val="Style21"/>
        <w:jc w:val="center"/>
        <w:rPr/>
      </w:pPr>
      <w:r>
        <w:rPr/>
        <w:drawing>
          <wp:inline distT="0" distB="0" distL="0" distR="0">
            <wp:extent cx="914400" cy="645160"/>
            <wp:effectExtent l="0" t="0" r="0" b="0"/>
            <wp:docPr id="5" name="i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4" descr=""/>
                    <pic:cNvPicPr>
                      <a:picLocks noChangeAspect="1" noChangeArrowheads="1"/>
                    </pic:cNvPicPr>
                  </pic:nvPicPr>
                  <pic:blipFill>
                    <a:blip r:embed="rId36"/>
                    <a:stretch>
                      <a:fillRect/>
                    </a:stretch>
                  </pic:blipFill>
                  <pic:spPr bwMode="auto">
                    <a:xfrm>
                      <a:off x="0" y="0"/>
                      <a:ext cx="914400" cy="645160"/>
                    </a:xfrm>
                    <a:prstGeom prst="rect">
                      <a:avLst/>
                    </a:prstGeom>
                  </pic:spPr>
                </pic:pic>
              </a:graphicData>
            </a:graphic>
          </wp:inline>
        </w:drawing>
      </w:r>
    </w:p>
    <w:p>
      <w:pPr>
        <w:pStyle w:val="Normal"/>
        <w:rPr/>
      </w:pPr>
      <w:r>
        <w:rPr/>
      </w:r>
    </w:p>
    <w:p>
      <w:pPr>
        <w:pStyle w:val="Style15"/>
        <w:spacing w:before="0" w:after="0"/>
        <w:rPr/>
      </w:pPr>
      <w:bookmarkStart w:id="387" w:name="_Toc228876908"/>
      <w:bookmarkStart w:id="388" w:name="Прил11_Данные_бухотчетность"/>
      <w:r>
        <w:rPr/>
        <w:t xml:space="preserve">Приложение № 11 </w:t>
      </w:r>
      <w:bookmarkEnd w:id="388"/>
      <w:r>
        <w:rPr/>
        <w:t>– форма Данных бухгалтерской (финансовой) отчетности</w:t>
      </w:r>
      <w:bookmarkEnd w:id="387"/>
    </w:p>
    <w:p>
      <w:pPr>
        <w:pStyle w:val="Style16"/>
        <w:spacing w:before="360" w:after="0"/>
        <w:rPr/>
      </w:pPr>
      <w:bookmarkStart w:id="389" w:name="_Toc228876909"/>
      <w:r>
        <w:rPr/>
        <w:t>Пояснения к форме Данных бухгалтерской (финансовой) отчетности</w:t>
      </w:r>
      <w:bookmarkEnd w:id="389"/>
      <w:r>
        <w:rPr/>
        <w:t xml:space="preserve"> </w:t>
      </w:r>
    </w:p>
    <w:p>
      <w:pPr>
        <w:pStyle w:val="Style17"/>
        <w:rPr/>
      </w:pPr>
      <w:r>
        <w:rPr/>
        <w:t>Форма Данных бухгалтерской (финансовой) отчетности приведена в отдельном файле (предоставляется отдельным документом в составе Документации о закупке), являющимся Приложением № 11 к Документации о закупке.</w:t>
      </w:r>
    </w:p>
    <w:p>
      <w:pPr>
        <w:pStyle w:val="Normal"/>
        <w:rPr/>
      </w:pPr>
      <w:r>
        <w:rPr/>
      </w:r>
    </w:p>
    <w:p>
      <w:pPr>
        <w:pStyle w:val="Normal"/>
        <w:jc w:val="center"/>
        <w:rPr/>
      </w:pPr>
      <w:bookmarkStart w:id="390" w:name="_Hlk210644436"/>
      <w:bookmarkStart w:id="391" w:name="_MON_1821256687"/>
      <w:bookmarkEnd w:id="391"/>
      <w:r>
        <w:rPr/>
        <w:drawing>
          <wp:inline distT="0" distB="0" distL="0" distR="0">
            <wp:extent cx="998855" cy="645160"/>
            <wp:effectExtent l="0" t="0" r="0" b="0"/>
            <wp:docPr id="6" name="i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5" descr=""/>
                    <pic:cNvPicPr>
                      <a:picLocks noChangeAspect="1" noChangeArrowheads="1"/>
                    </pic:cNvPicPr>
                  </pic:nvPicPr>
                  <pic:blipFill>
                    <a:blip r:embed="rId37"/>
                    <a:stretch>
                      <a:fillRect/>
                    </a:stretch>
                  </pic:blipFill>
                  <pic:spPr bwMode="auto">
                    <a:xfrm>
                      <a:off x="0" y="0"/>
                      <a:ext cx="998855" cy="645160"/>
                    </a:xfrm>
                    <a:prstGeom prst="rect">
                      <a:avLst/>
                    </a:prstGeom>
                  </pic:spPr>
                </pic:pic>
              </a:graphicData>
            </a:graphic>
          </wp:inline>
        </w:drawing>
      </w:r>
      <w:bookmarkEnd w:id="390"/>
    </w:p>
    <w:p>
      <w:pPr>
        <w:pStyle w:val="Normal"/>
        <w:jc w:val="center"/>
        <w:rPr/>
      </w:pPr>
      <w:r>
        <w:rPr/>
      </w:r>
    </w:p>
    <w:sectPr>
      <w:headerReference w:type="default" r:id="rId38"/>
      <w:headerReference w:type="first" r:id="rId39"/>
      <w:footerReference w:type="default" r:id="rId40"/>
      <w:footerReference w:type="first" r:id="rId41"/>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libri Light">
    <w:charset w:val="01"/>
    <w:family w:val="roman"/>
    <w:pitch w:val="variable"/>
  </w:font>
  <w:font w:name="Segoe UI">
    <w:charset w:val="01"/>
    <w:family w:val="roman"/>
    <w:pitch w:val="variable"/>
  </w:font>
  <w:font w:name="Liberation Sans">
    <w:altName w:val="Arial"/>
    <w:charset w:val="01"/>
    <w:family w:val="roman"/>
    <w:pitch w:val="variable"/>
  </w:font>
  <w:font w:name="Calibri">
    <w:charset w:val="01"/>
    <w:family w:val="roman"/>
    <w:pitch w:val="variable"/>
  </w:font>
  <w:font w:name="Wingdings 3">
    <w:charset w:val="01"/>
    <w:family w:val="roman"/>
    <w:pitch w:val="variable"/>
  </w:font>
  <w:font w:name="Cantarel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5</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22</w:t>
    </w:r>
    <w:r>
      <w:rPr/>
      <w:fldChar w:fldCharType="end"/>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23</w:t>
    </w:r>
    <w:r>
      <w:rPr/>
      <w:fldChar w:fldCharType="end"/>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54</w:t>
    </w:r>
    <w:r>
      <w:rPr/>
      <w:fldChar w:fldCharType="end"/>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59</w:t>
    </w:r>
    <w:r>
      <w:rPr/>
      <w:fldChar w:fldCharType="end"/>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66</w:t>
    </w:r>
    <w:r>
      <w:rPr/>
      <w:fldChar w:fldCharType="end"/>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70</w:t>
    </w:r>
    <w:r>
      <w:rPr/>
      <w:fldChar w:fldCharType="end"/>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72</w:t>
    </w:r>
    <w:r>
      <w:rPr/>
      <w:fldChar w:fldCharType="end"/>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Style23"/>
        <w:spacing w:before="80" w:after="0"/>
        <w:ind w:hanging="567" w:left="567" w:right="0"/>
        <w:jc w:val="both"/>
        <w:rPr/>
      </w:pPr>
      <w:r>
        <w:rPr>
          <w:rStyle w:val="Style5"/>
        </w:rPr>
        <w:footnoteRef/>
      </w:r>
      <w:r>
        <w:rPr/>
        <w:tab/>
        <w:t>Определенные в соответствии с Законом 422-ФЗ.</w:t>
      </w:r>
    </w:p>
  </w:footnote>
  <w:footnote w:id="3">
    <w:p>
      <w:pPr>
        <w:pStyle w:val="Style23"/>
        <w:spacing w:before="80" w:after="0"/>
        <w:ind w:hanging="567" w:left="567" w:right="0"/>
        <w:jc w:val="both"/>
        <w:rPr/>
      </w:pPr>
      <w:r>
        <w:rPr>
          <w:rStyle w:val="Style5"/>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4.13</w:t>
      </w:r>
      <w:r>
        <w:rPr/>
        <w:fldChar w:fldCharType="end"/>
      </w:r>
      <w:r>
        <w:rPr/>
        <w:t>), не допускается.</w:t>
      </w:r>
    </w:p>
  </w:footnote>
  <w:footnote w:id="4">
    <w:p>
      <w:pPr>
        <w:pStyle w:val="Style23"/>
        <w:spacing w:before="80" w:after="0"/>
        <w:ind w:hanging="567" w:left="567" w:right="0"/>
        <w:jc w:val="both"/>
        <w:rPr/>
      </w:pPr>
      <w:r>
        <w:rPr>
          <w:rStyle w:val="Style5"/>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5">
    <w:p>
      <w:pPr>
        <w:pStyle w:val="Style23"/>
        <w:spacing w:before="80" w:after="0"/>
        <w:ind w:hanging="567" w:left="567" w:right="0"/>
        <w:jc w:val="both"/>
        <w:rPr/>
      </w:pPr>
      <w:r>
        <w:rPr>
          <w:rStyle w:val="Style5"/>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4.13</w:t>
      </w:r>
      <w:r>
        <w:rPr/>
        <w:fldChar w:fldCharType="end"/>
      </w:r>
      <w:r>
        <w:rPr/>
        <w:t>), не допускается.</w:t>
      </w:r>
    </w:p>
  </w:footnote>
  <w:footnote w:id="6">
    <w:p>
      <w:pPr>
        <w:pStyle w:val="Style23"/>
        <w:spacing w:before="80" w:after="0"/>
        <w:ind w:hanging="567" w:left="567" w:right="0"/>
        <w:jc w:val="both"/>
        <w:rPr/>
      </w:pPr>
      <w:r>
        <w:rPr>
          <w:rStyle w:val="Style5"/>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7">
    <w:p>
      <w:pPr>
        <w:pStyle w:val="FootnoteText"/>
        <w:ind w:hanging="567" w:left="567" w:right="0"/>
        <w:jc w:val="both"/>
        <w:rPr>
          <w:sz w:val="22"/>
        </w:rPr>
      </w:pPr>
      <w:r>
        <w:rPr>
          <w:rStyle w:val="Style5"/>
        </w:rPr>
        <w:footnoteRef/>
      </w:r>
      <w:r>
        <w:rPr>
          <w:sz w:val="22"/>
        </w:rPr>
        <w:tab/>
        <w:t>В отношении предоставляемой Участником (в целях обеспечения проведения оценки его финансового состояния (устойчивости) в соответствии с Положением об аккредитации) бухгалтерской (финансовой) отчетности самостоятельные исправления арифметических ошибок не допускается (все изменения в отчетность должны вноситься в установленном законодательством порядке).</w:t>
      </w:r>
    </w:p>
  </w:footnote>
  <w:footnote w:id="8">
    <w:p>
      <w:pPr>
        <w:pStyle w:val="Style23"/>
        <w:spacing w:before="80" w:after="0"/>
        <w:ind w:hanging="567" w:left="567" w:right="0"/>
        <w:jc w:val="both"/>
        <w:rPr/>
      </w:pPr>
      <w:r>
        <w:rPr>
          <w:rStyle w:val="Style5"/>
        </w:rPr>
        <w:footnoteRef/>
      </w:r>
      <w:r>
        <w:rPr/>
        <w:tab/>
        <w:t>Увеличение на 15% (пятнадцать процентов) итоговой стоимости заявки (цены Договора) в случае подачи им предложения о размере платы, подлежащей внесению за заключение Договора.</w:t>
      </w:r>
    </w:p>
  </w:footnote>
  <w:footnote w:id="9">
    <w:p>
      <w:pPr>
        <w:pStyle w:val="Style23"/>
        <w:spacing w:before="80" w:after="0"/>
        <w:ind w:hanging="567" w:left="567" w:right="0"/>
        <w:jc w:val="both"/>
        <w:rPr/>
      </w:pPr>
      <w:r>
        <w:rPr>
          <w:rStyle w:val="Style5"/>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 и Победителя.</w:t>
      </w:r>
    </w:p>
  </w:footnote>
  <w:footnote w:id="10">
    <w:p>
      <w:pPr>
        <w:pStyle w:val="Style23"/>
        <w:spacing w:before="80" w:after="0"/>
        <w:ind w:hanging="567" w:left="567" w:right="0"/>
        <w:jc w:val="both"/>
        <w:rPr/>
      </w:pPr>
      <w:r>
        <w:rPr>
          <w:rStyle w:val="Style5"/>
        </w:rPr>
        <w:footnoteRef/>
      </w:r>
      <w:r>
        <w:rPr/>
        <w:tab/>
        <w:t>https://minfin.gov.ru/ru/perfomance/tax_relations/policy/bankwarranty/</w:t>
      </w:r>
    </w:p>
  </w:footnote>
  <w:footnote w:id="11">
    <w:p>
      <w:pPr>
        <w:pStyle w:val="Style23"/>
        <w:spacing w:before="80" w:after="0"/>
        <w:ind w:hanging="567" w:left="567" w:right="0"/>
        <w:jc w:val="both"/>
        <w:rPr/>
      </w:pPr>
      <w:r>
        <w:rPr>
          <w:rStyle w:val="Style5"/>
        </w:rPr>
        <w:footnoteRef/>
      </w:r>
      <w:r>
        <w:rPr/>
        <w:tab/>
        <w:t>Во исполнение Указа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p>
  </w:footnote>
  <w:footnote w:id="12">
    <w:p>
      <w:pPr>
        <w:pStyle w:val="Style23"/>
        <w:spacing w:before="80" w:after="0"/>
        <w:ind w:hanging="567" w:left="567" w:right="0"/>
        <w:jc w:val="both"/>
        <w:rPr/>
      </w:pPr>
      <w:r>
        <w:rPr>
          <w:rStyle w:val="Style5"/>
        </w:rPr>
        <w:footnoteRef/>
      </w:r>
      <w:r>
        <w:rPr/>
        <w:tab/>
        <w:t>Перед заключением договора Заказчик дополнительно проводит проверку Победителя (данная норма применима также в отношении Единственного участника несостоявшейся закупки, с которым принято решение о заключении договора) на основании документов, предоставляемых в соответствии с подразделом </w:t>
      </w:r>
      <w:r>
        <w:rPr/>
        <w:fldChar w:fldCharType="begin"/>
      </w:r>
      <w:r>
        <w:rPr/>
        <w:instrText xml:space="preserve"> REF _Ref138341423 \r \h </w:instrText>
      </w:r>
      <w:r>
        <w:rPr/>
        <w:fldChar w:fldCharType="separate"/>
      </w:r>
      <w:r>
        <w:rPr/>
        <w:t>5.2</w:t>
      </w:r>
      <w:r>
        <w:rPr/>
        <w:fldChar w:fldCharType="end"/>
      </w:r>
      <w:r>
        <w:rPr/>
        <w:t>. Если по результатам такой проверки Участник не отвечает установленным требованиям,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footnote>
  <w:footnote w:id="13">
    <w:p>
      <w:pPr>
        <w:pStyle w:val="Style23"/>
        <w:spacing w:before="80" w:after="0"/>
        <w:ind w:hanging="567" w:left="567" w:right="0"/>
        <w:jc w:val="both"/>
        <w:rPr/>
      </w:pPr>
      <w:r>
        <w:rPr>
          <w:rStyle w:val="Style5"/>
        </w:rPr>
        <w:footnoteRef/>
      </w:r>
      <w:r>
        <w:rPr/>
        <w:tab/>
        <w:t>В Положении об аккредитации используется термин Заявитель.</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Style15"/>
      <w:numFmt w:val="decimal"/>
      <w:lvlText w:val="%1."/>
      <w:lvlJc w:val="left"/>
      <w:pPr>
        <w:tabs>
          <w:tab w:val="num" w:pos="1134"/>
        </w:tabs>
        <w:ind w:left="1134" w:hanging="1134"/>
      </w:pPr>
      <w:rPr/>
    </w:lvl>
    <w:lvl w:ilvl="1">
      <w:start w:val="1"/>
      <w:pStyle w:val="Style16"/>
      <w:numFmt w:val="decimal"/>
      <w:lvlText w:val="%1.%2"/>
      <w:lvlJc w:val="left"/>
      <w:pPr>
        <w:tabs>
          <w:tab w:val="num" w:pos="1134"/>
        </w:tabs>
        <w:ind w:left="1134" w:hanging="1134"/>
      </w:pPr>
      <w:rPr/>
    </w:lvl>
    <w:lvl w:ilvl="2">
      <w:start w:val="1"/>
      <w:pStyle w:val="Style17"/>
      <w:numFmt w:val="decimal"/>
      <w:lvlText w:val="%1.%2.%3"/>
      <w:lvlJc w:val="left"/>
      <w:pPr>
        <w:tabs>
          <w:tab w:val="num" w:pos="1134"/>
        </w:tabs>
        <w:ind w:left="1134" w:hanging="1134"/>
      </w:pPr>
      <w:rPr/>
    </w:lvl>
    <w:lvl w:ilvl="3">
      <w:start w:val="1"/>
      <w:pStyle w:val="Style18"/>
      <w:numFmt w:val="russianLower"/>
      <w:lvlText w:val="%4)"/>
      <w:lvlJc w:val="left"/>
      <w:pPr>
        <w:tabs>
          <w:tab w:val="num" w:pos="1701"/>
        </w:tabs>
        <w:ind w:left="1701" w:hanging="567"/>
      </w:pPr>
      <w:rPr/>
    </w:lvl>
    <w:lvl w:ilvl="4">
      <w:start w:val="1"/>
      <w:pStyle w:val="Style19"/>
      <w:numFmt w:val="none"/>
      <w:suff w:val="nothing"/>
      <w:lvlText w:val=""/>
      <w:lvlJc w:val="left"/>
      <w:pPr>
        <w:tabs>
          <w:tab w:val="num" w:pos="0"/>
        </w:tabs>
        <w:ind w:left="0" w:hanging="0"/>
      </w:pPr>
      <w:rPr/>
    </w:lvl>
    <w:lvl w:ilvl="5">
      <w:start w:val="1"/>
      <w:numFmt w:val="none"/>
      <w:suff w:val="nothing"/>
      <w:lvlText w:val="%6"/>
      <w:lvlJc w:val="left"/>
      <w:pPr>
        <w:tabs>
          <w:tab w:val="num" w:pos="0"/>
        </w:tabs>
        <w:ind w:left="0" w:hanging="0"/>
      </w:pPr>
      <w:rPr/>
    </w:lvl>
    <w:lvl w:ilvl="6">
      <w:start w:val="1"/>
      <w:numFmt w:val="none"/>
      <w:suff w:val="nothing"/>
      <w:lvlText w:val="%7"/>
      <w:lvlJc w:val="left"/>
      <w:pPr>
        <w:tabs>
          <w:tab w:val="num" w:pos="0"/>
        </w:tabs>
        <w:ind w:left="0"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0" w:hanging="0"/>
      </w:pPr>
      <w:rPr/>
    </w:lvl>
  </w:abstractNum>
  <w:abstractNum w:abstractNumId="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decimal"/>
      <w:lvlText w:val="%1."/>
      <w:lvlJc w:val="left"/>
      <w:pPr>
        <w:tabs>
          <w:tab w:val="num" w:pos="1134"/>
        </w:tabs>
        <w:ind w:left="1134" w:hanging="1134"/>
      </w:pPr>
      <w:rPr/>
    </w:lvl>
    <w:lvl w:ilvl="1">
      <w:start w:val="1"/>
      <w:numFmt w:val="decimal"/>
      <w:lvlText w:val="%1.%2"/>
      <w:lvlJc w:val="left"/>
      <w:pPr>
        <w:tabs>
          <w:tab w:val="num" w:pos="2694"/>
        </w:tabs>
        <w:ind w:left="2694" w:hanging="1134"/>
      </w:pPr>
      <w:rPr>
        <w:sz w:val="28"/>
        <w:i w:val="false"/>
        <w:b/>
        <w:szCs w:val="28"/>
      </w:rPr>
    </w:lvl>
    <w:lvl w:ilvl="2">
      <w:start w:val="1"/>
      <w:numFmt w:val="decimal"/>
      <w:lvlText w:val="%1.%2.%3"/>
      <w:lvlJc w:val="left"/>
      <w:pPr>
        <w:tabs>
          <w:tab w:val="num" w:pos="1134"/>
        </w:tabs>
        <w:ind w:left="1134" w:hanging="1134"/>
      </w:pPr>
      <w:rPr>
        <w:sz w:val="26"/>
        <w:i w:val="false"/>
        <w:b w:val="false"/>
        <w:szCs w:val="26"/>
      </w:rPr>
    </w:lvl>
    <w:lvl w:ilvl="3">
      <w:start w:val="1"/>
      <w:numFmt w:val="decimal"/>
      <w:lvlText w:val="%1.%2.%3.%4"/>
      <w:lvlJc w:val="left"/>
      <w:pPr>
        <w:tabs>
          <w:tab w:val="num" w:pos="1134"/>
        </w:tabs>
        <w:ind w:left="1134" w:hanging="1134"/>
      </w:pPr>
      <w:rPr>
        <w:sz w:val="26"/>
        <w:i w:val="false"/>
        <w:b w:val="false"/>
        <w:szCs w:val="26"/>
      </w:rPr>
    </w:lvl>
    <w:lvl w:ilvl="4">
      <w:start w:val="1"/>
      <w:numFmt w:val="russianLower"/>
      <w:lvlText w:val="%5)"/>
      <w:lvlJc w:val="left"/>
      <w:pPr>
        <w:tabs>
          <w:tab w:val="num" w:pos="5104"/>
        </w:tabs>
        <w:ind w:left="5104"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10">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2">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lvl w:ilvl="0">
      <w:start w:val="1"/>
      <w:numFmt w:val="decimal"/>
      <w:lvlText w:val="%1."/>
      <w:lvlJc w:val="left"/>
      <w:pPr>
        <w:tabs>
          <w:tab w:val="num" w:pos="851"/>
        </w:tabs>
        <w:ind w:left="0" w:hanging="0"/>
      </w:pPr>
      <w:rPr/>
    </w:lvl>
    <w:lvl w:ilvl="1">
      <w:start w:val="1"/>
      <w:numFmt w:val="decimal"/>
      <w:lvlText w:val="%1.%2."/>
      <w:lvlJc w:val="left"/>
      <w:pPr>
        <w:tabs>
          <w:tab w:val="num" w:pos="0"/>
        </w:tabs>
        <w:ind w:left="1418" w:hanging="1418"/>
      </w:pPr>
      <w:rPr>
        <w:smallCaps w:val="false"/>
        <w:caps w:val="false"/>
        <w:dstrike w:val="false"/>
        <w:strike w:val="false"/>
        <w:vertAlign w:val="baseline"/>
        <w:position w:val="0"/>
        <w:sz w:val="28"/>
        <w:sz w:val="28"/>
        <w:spacing w:val="0"/>
        <w:i w:val="false"/>
        <w:u w:val="none"/>
        <w:b/>
        <w:szCs w:val="28"/>
        <w:iCs w:val="false"/>
        <w:bCs/>
        <w:vanish w:val="false"/>
        <w:rFonts w:ascii="Times New Roman" w:hAnsi="Times New Roman" w:cs="Times New Roman"/>
        <w:color w:val="000000"/>
      </w:rPr>
    </w:lvl>
    <w:lvl w:ilvl="2">
      <w:start w:val="1"/>
      <w:numFmt w:val="decimal"/>
      <w:lvlText w:val="%1.%2.%3."/>
      <w:lvlJc w:val="left"/>
      <w:pPr>
        <w:tabs>
          <w:tab w:val="num" w:pos="1701"/>
        </w:tabs>
        <w:ind w:left="1418" w:hanging="1418"/>
      </w:pPr>
      <w:rPr>
        <w:sz w:val="28"/>
        <w:b w:val="false"/>
        <w:szCs w:val="28"/>
        <w:bCs/>
      </w:rPr>
    </w:lvl>
    <w:lvl w:ilvl="3">
      <w:start w:val="1"/>
      <w:numFmt w:val="decimal"/>
      <w:lvlText w:val="%1.%2.%3.%4."/>
      <w:lvlJc w:val="left"/>
      <w:pPr>
        <w:tabs>
          <w:tab w:val="num" w:pos="1701"/>
        </w:tabs>
        <w:ind w:left="1418" w:hanging="1418"/>
      </w:pPr>
      <w:rPr>
        <w:smallCaps w:val="false"/>
        <w:caps w:val="false"/>
        <w:dstrike w:val="false"/>
        <w:strike w:val="false"/>
        <w:vertAlign w:val="baseline"/>
        <w:position w:val="0"/>
        <w:sz w:val="28"/>
        <w:sz w:val="28"/>
        <w:spacing w:val="0"/>
        <w:i w:val="false"/>
        <w:u w:val="none"/>
        <w:b w:val="false"/>
        <w:szCs w:val="28"/>
        <w:iCs w:val="false"/>
        <w:bCs/>
        <w:vanish w:val="false"/>
        <w:rFonts w:ascii="Times New Roman" w:hAnsi="Times New Roman" w:cs="Times New Roman"/>
        <w:color w:val="000000"/>
      </w:rPr>
    </w:lvl>
    <w:lvl w:ilvl="4">
      <w:start w:val="1"/>
      <w:numFmt w:val="russianLower"/>
      <w:lvlText w:val="%5)"/>
      <w:lvlJc w:val="left"/>
      <w:pPr>
        <w:tabs>
          <w:tab w:val="num" w:pos="1985"/>
        </w:tabs>
        <w:ind w:left="1985" w:hanging="567"/>
      </w:pPr>
      <w:rPr>
        <w:smallCaps w:val="false"/>
        <w:caps w:val="false"/>
        <w:dstrike w:val="false"/>
        <w:strike w:val="false"/>
        <w:vertAlign w:val="baseline"/>
        <w:position w:val="0"/>
        <w:sz w:val="26"/>
        <w:sz w:val="26"/>
        <w:spacing w:val="0"/>
        <w:i w:val="false"/>
        <w:u w:val="none"/>
        <w:b w:val="false"/>
        <w:iCs w:val="false"/>
        <w:bCs w:val="false"/>
        <w:vanish w:val="false"/>
        <w:rFonts w:ascii="Times New Roman" w:hAnsi="Times New Roman" w:cs="Times New Roman"/>
      </w:rPr>
    </w:lvl>
    <w:lvl w:ilvl="5">
      <w:start w:val="1"/>
      <w:numFmt w:val="bullet"/>
      <w:lvlText w:val=""/>
      <w:lvlJc w:val="left"/>
      <w:pPr>
        <w:tabs>
          <w:tab w:val="num" w:pos="1985"/>
        </w:tabs>
        <w:ind w:left="1985" w:hanging="567"/>
      </w:pPr>
      <w:rPr>
        <w:rFonts w:ascii="Symbol" w:hAnsi="Symbol" w:cs="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7">
    <w:lvl w:ilvl="0">
      <w:start w:val="1"/>
      <w:numFmt w:val="decimal"/>
      <w:lvlText w:val="%1)"/>
      <w:lvlJc w:val="left"/>
      <w:pPr>
        <w:tabs>
          <w:tab w:val="num" w:pos="0"/>
        </w:tabs>
        <w:ind w:left="2705" w:hanging="360"/>
      </w:pPr>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18">
    <w:lvl w:ilvl="0">
      <w:start w:val="1"/>
      <w:numFmt w:val="bullet"/>
      <w:lvlText w:val=""/>
      <w:lvlJc w:val="left"/>
      <w:pPr>
        <w:tabs>
          <w:tab w:val="num" w:pos="0"/>
        </w:tabs>
        <w:ind w:left="2705" w:hanging="360"/>
      </w:pPr>
      <w:rPr>
        <w:rFonts w:ascii="Symbol" w:hAnsi="Symbol" w:cs="Symbol" w:hint="default"/>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19">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6"/>
      <w:lvlJc w:val="left"/>
      <w:pPr>
        <w:tabs>
          <w:tab w:val="num" w:pos="0"/>
        </w:tabs>
        <w:ind w:left="1134" w:hanging="0"/>
      </w:pPr>
      <w:rPr>
        <w:rFonts w:cs="Times New Roman"/>
      </w:rPr>
    </w:lvl>
    <w:lvl w:ilvl="6">
      <w:start w:val="1"/>
      <w:numFmt w:val="none"/>
      <w:suff w:val="nothing"/>
      <w:lvlText w:val="%7"/>
      <w:lvlJc w:val="left"/>
      <w:pPr>
        <w:tabs>
          <w:tab w:val="num" w:pos="0"/>
        </w:tabs>
        <w:ind w:left="1701" w:hanging="0"/>
      </w:pPr>
      <w:rPr>
        <w:rFonts w:cs="Times New Roman"/>
      </w:rPr>
    </w:lvl>
    <w:lvl w:ilvl="7">
      <w:start w:val="1"/>
      <w:numFmt w:val="none"/>
      <w:suff w:val="nothing"/>
      <w:lvlText w:val="%8"/>
      <w:lvlJc w:val="left"/>
      <w:pPr>
        <w:tabs>
          <w:tab w:val="num" w:pos="0"/>
        </w:tabs>
        <w:ind w:left="0" w:hanging="0"/>
      </w:pPr>
      <w:rPr>
        <w:rFonts w:cs="Times New Roman"/>
      </w:rPr>
    </w:lvl>
    <w:lvl w:ilvl="8">
      <w:start w:val="1"/>
      <w:numFmt w:val="none"/>
      <w:suff w:val="nothing"/>
      <w:lvlText w:val="%9"/>
      <w:lvlJc w:val="left"/>
      <w:pPr>
        <w:tabs>
          <w:tab w:val="num" w:pos="0"/>
        </w:tabs>
        <w:ind w:left="1134" w:hanging="0"/>
      </w:pPr>
      <w:rPr>
        <w:rFonts w:cs="Times New Roman"/>
      </w:rPr>
    </w:lvl>
  </w:abstractNum>
  <w:abstractNum w:abstractNumId="20">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6"/>
      <w:lvlJc w:val="left"/>
      <w:pPr>
        <w:tabs>
          <w:tab w:val="num" w:pos="0"/>
        </w:tabs>
        <w:ind w:left="1134" w:hanging="0"/>
      </w:pPr>
      <w:rPr>
        <w:rFonts w:cs="Times New Roman"/>
      </w:rPr>
    </w:lvl>
    <w:lvl w:ilvl="6">
      <w:start w:val="1"/>
      <w:numFmt w:val="none"/>
      <w:suff w:val="nothing"/>
      <w:lvlText w:val="%7"/>
      <w:lvlJc w:val="left"/>
      <w:pPr>
        <w:tabs>
          <w:tab w:val="num" w:pos="0"/>
        </w:tabs>
        <w:ind w:left="1701" w:hanging="0"/>
      </w:pPr>
      <w:rPr>
        <w:rFonts w:cs="Times New Roman"/>
      </w:rPr>
    </w:lvl>
    <w:lvl w:ilvl="7">
      <w:start w:val="1"/>
      <w:numFmt w:val="none"/>
      <w:suff w:val="nothing"/>
      <w:lvlText w:val="%8"/>
      <w:lvlJc w:val="left"/>
      <w:pPr>
        <w:tabs>
          <w:tab w:val="num" w:pos="0"/>
        </w:tabs>
        <w:ind w:left="0" w:hanging="0"/>
      </w:pPr>
      <w:rPr>
        <w:rFonts w:cs="Times New Roman"/>
      </w:rPr>
    </w:lvl>
    <w:lvl w:ilvl="8">
      <w:start w:val="1"/>
      <w:numFmt w:val="none"/>
      <w:suff w:val="nothing"/>
      <w:lvlText w:val="%9"/>
      <w:lvlJc w:val="left"/>
      <w:pPr>
        <w:tabs>
          <w:tab w:val="num" w:pos="0"/>
        </w:tabs>
        <w:ind w:left="1134" w:hanging="0"/>
      </w:pPr>
      <w:rPr>
        <w:rFonts w:cs="Times New Roman"/>
      </w:rPr>
    </w:lvl>
  </w:abstractNum>
  <w:abstractNum w:abstractNumId="21">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6"/>
      <w:lvlJc w:val="left"/>
      <w:pPr>
        <w:tabs>
          <w:tab w:val="num" w:pos="0"/>
        </w:tabs>
        <w:ind w:left="1134" w:hanging="0"/>
      </w:pPr>
      <w:rPr>
        <w:rFonts w:cs="Times New Roman"/>
      </w:rPr>
    </w:lvl>
    <w:lvl w:ilvl="6">
      <w:start w:val="1"/>
      <w:numFmt w:val="none"/>
      <w:suff w:val="nothing"/>
      <w:lvlText w:val="%7"/>
      <w:lvlJc w:val="left"/>
      <w:pPr>
        <w:tabs>
          <w:tab w:val="num" w:pos="0"/>
        </w:tabs>
        <w:ind w:left="1701" w:hanging="0"/>
      </w:pPr>
      <w:rPr>
        <w:rFonts w:cs="Times New Roman"/>
      </w:rPr>
    </w:lvl>
    <w:lvl w:ilvl="7">
      <w:start w:val="1"/>
      <w:numFmt w:val="none"/>
      <w:suff w:val="nothing"/>
      <w:lvlText w:val="%8"/>
      <w:lvlJc w:val="left"/>
      <w:pPr>
        <w:tabs>
          <w:tab w:val="num" w:pos="0"/>
        </w:tabs>
        <w:ind w:left="0" w:hanging="0"/>
      </w:pPr>
      <w:rPr>
        <w:rFonts w:cs="Times New Roman"/>
      </w:rPr>
    </w:lvl>
    <w:lvl w:ilvl="8">
      <w:start w:val="1"/>
      <w:numFmt w:val="none"/>
      <w:suff w:val="nothing"/>
      <w:lvlText w:val="%9"/>
      <w:lvlJc w:val="left"/>
      <w:pPr>
        <w:tabs>
          <w:tab w:val="num" w:pos="0"/>
        </w:tabs>
        <w:ind w:left="1134" w:hanging="0"/>
      </w:pPr>
      <w:rPr>
        <w:rFonts w:cs="Times New Roman"/>
      </w:rPr>
    </w:lvl>
  </w:abstractNum>
  <w:abstractNum w:abstractNumId="22">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decimal"/>
      <w:lvlText w:val="(%4)"/>
      <w:lvlJc w:val="left"/>
      <w:pPr>
        <w:tabs>
          <w:tab w:val="num" w:pos="0"/>
        </w:tabs>
        <w:ind w:left="1701"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6"/>
      <w:lvlJc w:val="left"/>
      <w:pPr>
        <w:tabs>
          <w:tab w:val="num" w:pos="0"/>
        </w:tabs>
        <w:ind w:left="1134" w:hanging="0"/>
      </w:pPr>
      <w:rPr/>
    </w:lvl>
    <w:lvl w:ilvl="6">
      <w:start w:val="1"/>
      <w:numFmt w:val="none"/>
      <w:suff w:val="nothing"/>
      <w:lvlText w:val="%7"/>
      <w:lvlJc w:val="left"/>
      <w:pPr>
        <w:tabs>
          <w:tab w:val="num" w:pos="0"/>
        </w:tabs>
        <w:ind w:left="1701"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1134" w:hanging="0"/>
      </w:pPr>
      <w:rPr/>
    </w:lvl>
  </w:abstractNum>
  <w:abstractNum w:abstractNumId="23">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decimal"/>
      <w:lvlText w:val="(%4)"/>
      <w:lvlJc w:val="left"/>
      <w:pPr>
        <w:tabs>
          <w:tab w:val="num" w:pos="0"/>
        </w:tabs>
        <w:ind w:left="1701"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6"/>
      <w:lvlJc w:val="left"/>
      <w:pPr>
        <w:tabs>
          <w:tab w:val="num" w:pos="0"/>
        </w:tabs>
        <w:ind w:left="1134" w:hanging="0"/>
      </w:pPr>
      <w:rPr/>
    </w:lvl>
    <w:lvl w:ilvl="6">
      <w:start w:val="1"/>
      <w:numFmt w:val="none"/>
      <w:suff w:val="nothing"/>
      <w:lvlText w:val="%7"/>
      <w:lvlJc w:val="left"/>
      <w:pPr>
        <w:tabs>
          <w:tab w:val="num" w:pos="0"/>
        </w:tabs>
        <w:ind w:left="1701"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1134" w:hanging="0"/>
      </w:pPr>
      <w:rPr/>
    </w:lvl>
  </w:abstractNum>
  <w:abstractNum w:abstractNumId="24">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decimal"/>
      <w:lvlText w:val="(%4)"/>
      <w:lvlJc w:val="left"/>
      <w:pPr>
        <w:tabs>
          <w:tab w:val="num" w:pos="0"/>
        </w:tabs>
        <w:ind w:left="1701"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6"/>
      <w:lvlJc w:val="left"/>
      <w:pPr>
        <w:tabs>
          <w:tab w:val="num" w:pos="0"/>
        </w:tabs>
        <w:ind w:left="1134" w:hanging="0"/>
      </w:pPr>
      <w:rPr/>
    </w:lvl>
    <w:lvl w:ilvl="6">
      <w:start w:val="1"/>
      <w:numFmt w:val="none"/>
      <w:suff w:val="nothing"/>
      <w:lvlText w:val="%7"/>
      <w:lvlJc w:val="left"/>
      <w:pPr>
        <w:tabs>
          <w:tab w:val="num" w:pos="0"/>
        </w:tabs>
        <w:ind w:left="1701"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1134" w:hanging="0"/>
      </w:pPr>
      <w:rPr/>
    </w:lvl>
  </w:abstractNum>
  <w:abstractNum w:abstractNumId="25">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decimal"/>
      <w:lvlText w:val="(%4)"/>
      <w:lvlJc w:val="left"/>
      <w:pPr>
        <w:tabs>
          <w:tab w:val="num" w:pos="0"/>
        </w:tabs>
        <w:ind w:left="1701"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6"/>
      <w:lvlJc w:val="left"/>
      <w:pPr>
        <w:tabs>
          <w:tab w:val="num" w:pos="0"/>
        </w:tabs>
        <w:ind w:left="1134" w:hanging="0"/>
      </w:pPr>
      <w:rPr/>
    </w:lvl>
    <w:lvl w:ilvl="6">
      <w:start w:val="1"/>
      <w:numFmt w:val="none"/>
      <w:suff w:val="nothing"/>
      <w:lvlText w:val="%7"/>
      <w:lvlJc w:val="left"/>
      <w:pPr>
        <w:tabs>
          <w:tab w:val="num" w:pos="0"/>
        </w:tabs>
        <w:ind w:left="1701"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1134" w:hanging="0"/>
      </w:pPr>
      <w:rPr/>
    </w:lvl>
  </w:abstractNum>
  <w:abstractNum w:abstractNumId="26">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decimal"/>
      <w:lvlText w:val="(%4)"/>
      <w:lvlJc w:val="left"/>
      <w:pPr>
        <w:tabs>
          <w:tab w:val="num" w:pos="0"/>
        </w:tabs>
        <w:ind w:left="1701"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6"/>
      <w:lvlJc w:val="left"/>
      <w:pPr>
        <w:tabs>
          <w:tab w:val="num" w:pos="0"/>
        </w:tabs>
        <w:ind w:left="1134" w:hanging="0"/>
      </w:pPr>
      <w:rPr/>
    </w:lvl>
    <w:lvl w:ilvl="6">
      <w:start w:val="1"/>
      <w:numFmt w:val="none"/>
      <w:suff w:val="nothing"/>
      <w:lvlText w:val="%7"/>
      <w:lvlJc w:val="left"/>
      <w:pPr>
        <w:tabs>
          <w:tab w:val="num" w:pos="0"/>
        </w:tabs>
        <w:ind w:left="1701"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1134" w:hanging="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8">
    <w:abstractNumId w:val="22"/>
  </w:num>
  <w:num w:numId="29">
    <w:abstractNumId w:val="22"/>
  </w:num>
  <w:num w:numId="30">
    <w:abstractNumId w:val="22"/>
  </w:num>
  <w:num w:numId="31">
    <w:abstractNumId w:val="22"/>
  </w:num>
</w:numbering>
</file>

<file path=word/settings.xml><?xml version="1.0" encoding="utf-8"?>
<w:settings xmlns:w="http://schemas.openxmlformats.org/wordprocessingml/2006/main">
  <w:zoom w:percent="140"/>
  <w:defaultTabStop w:val="708"/>
  <w:autoHyphenation w:val="true"/>
  <w:footnotePr>
    <w:numFmt w:val="decimal"/>
    <w:footnote w:id="0"/>
    <w:footnote w:id="1"/>
  </w:footnotePr>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Arial"/>
        <w:sz w:val="26"/>
        <w:szCs w:val="22"/>
        <w:lang w:val="ru-RU" w:eastAsia="en-US" w:bidi="ar-SA"/>
      </w:rPr>
    </w:rPrDefault>
    <w:pPrDefault>
      <w:pPr>
        <w:suppressAutoHyphens w:val="true"/>
      </w:pPr>
    </w:pPrDefault>
  </w:docDefaults>
  <w:style w:type="paragraph" w:styleId="Normal">
    <w:name w:val="Normal"/>
    <w:qFormat/>
    <w:pPr>
      <w:widowControl/>
      <w:suppressAutoHyphens w:val="true"/>
      <w:overflowPunct w:val="true"/>
      <w:bidi w:val="0"/>
      <w:spacing w:lineRule="auto" w:line="240" w:before="120" w:after="0"/>
      <w:jc w:val="left"/>
    </w:pPr>
    <w:rPr>
      <w:rFonts w:ascii="Times New Roman" w:hAnsi="Times New Roman" w:eastAsia="Calibri" w:cs="Arial"/>
      <w:color w:val="auto"/>
      <w:kern w:val="0"/>
      <w:sz w:val="26"/>
      <w:szCs w:val="22"/>
      <w:lang w:val="ru-RU" w:eastAsia="en-US" w:bidi="ar-SA"/>
    </w:rPr>
  </w:style>
  <w:style w:type="paragraph" w:styleId="Heading1">
    <w:name w:val="Heading 1"/>
    <w:basedOn w:val="Normal"/>
    <w:next w:val="Normal"/>
    <w:link w:val="1"/>
    <w:qFormat/>
    <w:pPr>
      <w:keepNext w:val="true"/>
      <w:keepLines/>
      <w:pageBreakBefore/>
      <w:numPr>
        <w:ilvl w:val="0"/>
        <w:numId w:val="0"/>
      </w:numPr>
      <w:tabs>
        <w:tab w:val="clear" w:pos="708"/>
        <w:tab w:val="left" w:pos="1134" w:leader="none"/>
      </w:tabs>
      <w:spacing w:before="480" w:after="240"/>
      <w:ind w:hanging="1134" w:left="1134" w:right="0"/>
      <w:outlineLvl w:val="0"/>
    </w:pPr>
    <w:rPr>
      <w:rFonts w:ascii="Arial" w:hAnsi="Arial" w:eastAsia="Times New Roman" w:cs="Times New Roman"/>
      <w:b/>
      <w:sz w:val="40"/>
      <w:szCs w:val="26"/>
      <w:lang w:eastAsia="ru-RU"/>
    </w:rPr>
  </w:style>
  <w:style w:type="paragraph" w:styleId="Heading2">
    <w:name w:val="Heading 2"/>
    <w:basedOn w:val="Normal"/>
    <w:next w:val="Normal"/>
    <w:link w:val="21"/>
    <w:qFormat/>
    <w:pPr>
      <w:keepNext w:val="true"/>
      <w:numPr>
        <w:ilvl w:val="0"/>
        <w:numId w:val="0"/>
      </w:numPr>
      <w:tabs>
        <w:tab w:val="clear" w:pos="708"/>
        <w:tab w:val="left" w:pos="2694" w:leader="none"/>
      </w:tabs>
      <w:spacing w:before="360" w:after="120"/>
      <w:ind w:hanging="1134" w:left="2694" w:right="0"/>
      <w:outlineLvl w:val="1"/>
    </w:pPr>
    <w:rPr>
      <w:rFonts w:eastAsia="Times New Roman" w:cs="Times New Roman"/>
      <w:b/>
      <w:sz w:val="32"/>
      <w:szCs w:val="26"/>
      <w:lang w:eastAsia="ru-RU"/>
    </w:rPr>
  </w:style>
  <w:style w:type="paragraph" w:styleId="Heading3">
    <w:name w:val="Heading 3"/>
    <w:basedOn w:val="Normal"/>
    <w:next w:val="Normal"/>
    <w:link w:val="3"/>
    <w:qFormat/>
    <w:pPr>
      <w:keepNext w:val="true"/>
      <w:keepLines/>
      <w:numPr>
        <w:ilvl w:val="0"/>
        <w:numId w:val="0"/>
      </w:numPr>
      <w:spacing w:before="40" w:after="0"/>
      <w:outlineLvl w:val="2"/>
    </w:pPr>
    <w:rPr>
      <w:rFonts w:ascii="Calibri Light" w:hAnsi="Calibri Light" w:eastAsia="Arial" w:cs="Arial"/>
      <w:color w:val="1F3763"/>
      <w:sz w:val="24"/>
      <w:szCs w:val="24"/>
    </w:rPr>
  </w:style>
  <w:style w:type="paragraph" w:styleId="Heading4">
    <w:name w:val="Heading 4"/>
    <w:basedOn w:val="Normal"/>
    <w:next w:val="Normal"/>
    <w:link w:val="Heading4Char"/>
    <w:qFormat/>
    <w:pPr>
      <w:keepNext w:val="true"/>
      <w:keepLines/>
      <w:numPr>
        <w:ilvl w:val="0"/>
        <w:numId w:val="0"/>
      </w:numPr>
      <w:spacing w:before="320" w:after="200"/>
      <w:outlineLvl w:val="3"/>
    </w:pPr>
    <w:rPr>
      <w:rFonts w:ascii="Arial" w:hAnsi="Arial" w:eastAsia="Arial" w:cs="Arial"/>
      <w:b/>
      <w:bCs/>
      <w:sz w:val="26"/>
      <w:szCs w:val="26"/>
    </w:rPr>
  </w:style>
  <w:style w:type="paragraph" w:styleId="Heading5">
    <w:name w:val="Heading 5"/>
    <w:basedOn w:val="Normal"/>
    <w:next w:val="Normal"/>
    <w:link w:val="Heading5Char"/>
    <w:qFormat/>
    <w:pPr>
      <w:keepNext w:val="true"/>
      <w:keepLines/>
      <w:numPr>
        <w:ilvl w:val="0"/>
        <w:numId w:val="0"/>
      </w:numPr>
      <w:spacing w:before="320" w:after="200"/>
      <w:outlineLvl w:val="4"/>
    </w:pPr>
    <w:rPr>
      <w:rFonts w:ascii="Arial" w:hAnsi="Arial" w:eastAsia="Arial" w:cs="Arial"/>
      <w:b/>
      <w:bCs/>
      <w:sz w:val="24"/>
      <w:szCs w:val="24"/>
    </w:rPr>
  </w:style>
  <w:style w:type="paragraph" w:styleId="Heading6">
    <w:name w:val="Heading 6"/>
    <w:basedOn w:val="Normal"/>
    <w:next w:val="Normal"/>
    <w:link w:val="Heading6Char"/>
    <w:qFormat/>
    <w:pPr>
      <w:keepNext w:val="true"/>
      <w:keepLines/>
      <w:numPr>
        <w:ilvl w:val="0"/>
        <w:numId w:val="0"/>
      </w:numPr>
      <w:spacing w:before="320" w:after="200"/>
      <w:outlineLvl w:val="5"/>
    </w:pPr>
    <w:rPr>
      <w:rFonts w:ascii="Arial" w:hAnsi="Arial" w:eastAsia="Arial" w:cs="Arial"/>
      <w:b/>
      <w:bCs/>
      <w:sz w:val="22"/>
      <w:szCs w:val="22"/>
    </w:rPr>
  </w:style>
  <w:style w:type="paragraph" w:styleId="Heading7">
    <w:name w:val="Heading 7"/>
    <w:basedOn w:val="Normal"/>
    <w:next w:val="Normal"/>
    <w:link w:val="Heading7Char"/>
    <w:qFormat/>
    <w:pPr>
      <w:keepNext w:val="true"/>
      <w:keepLines/>
      <w:numPr>
        <w:ilvl w:val="0"/>
        <w:numId w:val="0"/>
      </w:numPr>
      <w:spacing w:before="320" w:after="200"/>
      <w:outlineLvl w:val="6"/>
    </w:pPr>
    <w:rPr>
      <w:rFonts w:ascii="Arial" w:hAnsi="Arial" w:eastAsia="Arial" w:cs="Arial"/>
      <w:b/>
      <w:bCs/>
      <w:i/>
      <w:iCs/>
      <w:sz w:val="22"/>
      <w:szCs w:val="22"/>
    </w:rPr>
  </w:style>
  <w:style w:type="paragraph" w:styleId="Heading8">
    <w:name w:val="Heading 8"/>
    <w:basedOn w:val="Normal"/>
    <w:next w:val="Normal"/>
    <w:link w:val="Heading8Char"/>
    <w:qFormat/>
    <w:pPr>
      <w:keepNext w:val="true"/>
      <w:keepLines/>
      <w:numPr>
        <w:ilvl w:val="0"/>
        <w:numId w:val="0"/>
      </w:numPr>
      <w:spacing w:before="320" w:after="200"/>
      <w:outlineLvl w:val="7"/>
    </w:pPr>
    <w:rPr>
      <w:rFonts w:ascii="Arial" w:hAnsi="Arial" w:eastAsia="Arial" w:cs="Arial"/>
      <w:i/>
      <w:iCs/>
      <w:sz w:val="22"/>
      <w:szCs w:val="22"/>
    </w:rPr>
  </w:style>
  <w:style w:type="paragraph" w:styleId="Heading9">
    <w:name w:val="Heading 9"/>
    <w:basedOn w:val="Normal"/>
    <w:next w:val="Normal"/>
    <w:link w:val="Heading9Char"/>
    <w:qFormat/>
    <w:pPr>
      <w:keepNext w:val="true"/>
      <w:keepLines/>
      <w:numPr>
        <w:ilvl w:val="0"/>
        <w:numId w:val="0"/>
      </w:numPr>
      <w:spacing w:before="320" w:after="200"/>
      <w:outlineLvl w:val="8"/>
    </w:pPr>
    <w:rPr>
      <w:rFonts w:ascii="Arial" w:hAnsi="Arial" w:eastAsia="Arial" w:cs="Arial"/>
      <w:i/>
      <w:iCs/>
      <w:sz w:val="21"/>
      <w:szCs w:val="21"/>
    </w:rPr>
  </w:style>
  <w:style w:type="character" w:styleId="Heading1Char">
    <w:name w:val="Heading 1 Char"/>
    <w:basedOn w:val="DefaultParagraphFont"/>
    <w:qFormat/>
    <w:rPr>
      <w:rFonts w:ascii="Arial" w:hAnsi="Arial" w:eastAsia="Arial" w:cs="Arial"/>
      <w:sz w:val="40"/>
      <w:szCs w:val="40"/>
    </w:rPr>
  </w:style>
  <w:style w:type="character" w:styleId="Heading2Char">
    <w:name w:val="Heading 2 Char"/>
    <w:basedOn w:val="DefaultParagraphFont"/>
    <w:qFormat/>
    <w:rPr>
      <w:rFonts w:ascii="Arial" w:hAnsi="Arial" w:eastAsia="Arial" w:cs="Arial"/>
      <w:sz w:val="34"/>
    </w:rPr>
  </w:style>
  <w:style w:type="character" w:styleId="Heading3Char">
    <w:name w:val="Heading 3 Char"/>
    <w:basedOn w:val="DefaultParagraphFont"/>
    <w:qFormat/>
    <w:rPr>
      <w:rFonts w:ascii="Arial" w:hAnsi="Arial" w:eastAsia="Arial" w:cs="Arial"/>
      <w:sz w:val="30"/>
      <w:szCs w:val="30"/>
    </w:rPr>
  </w:style>
  <w:style w:type="character" w:styleId="Heading4Char">
    <w:name w:val="Heading 4 Char"/>
    <w:basedOn w:val="DefaultParagraphFont"/>
    <w:qFormat/>
    <w:rPr>
      <w:rFonts w:ascii="Arial" w:hAnsi="Arial" w:eastAsia="Arial" w:cs="Arial"/>
      <w:b/>
      <w:bCs/>
      <w:sz w:val="26"/>
      <w:szCs w:val="26"/>
    </w:rPr>
  </w:style>
  <w:style w:type="character" w:styleId="Heading5Char">
    <w:name w:val="Heading 5 Char"/>
    <w:basedOn w:val="DefaultParagraphFont"/>
    <w:qFormat/>
    <w:rPr>
      <w:rFonts w:ascii="Arial" w:hAnsi="Arial" w:eastAsia="Arial" w:cs="Arial"/>
      <w:b/>
      <w:bCs/>
      <w:sz w:val="24"/>
      <w:szCs w:val="24"/>
    </w:rPr>
  </w:style>
  <w:style w:type="character" w:styleId="Heading6Char">
    <w:name w:val="Heading 6 Char"/>
    <w:basedOn w:val="DefaultParagraphFont"/>
    <w:qFormat/>
    <w:rPr>
      <w:rFonts w:ascii="Arial" w:hAnsi="Arial" w:eastAsia="Arial" w:cs="Arial"/>
      <w:b/>
      <w:bCs/>
      <w:sz w:val="22"/>
      <w:szCs w:val="22"/>
    </w:rPr>
  </w:style>
  <w:style w:type="character" w:styleId="Heading7Char">
    <w:name w:val="Heading 7 Char"/>
    <w:basedOn w:val="DefaultParagraphFont"/>
    <w:qFormat/>
    <w:rPr>
      <w:rFonts w:ascii="Arial" w:hAnsi="Arial" w:eastAsia="Arial" w:cs="Arial"/>
      <w:b/>
      <w:bCs/>
      <w:i/>
      <w:iCs/>
      <w:sz w:val="22"/>
      <w:szCs w:val="22"/>
    </w:rPr>
  </w:style>
  <w:style w:type="character" w:styleId="Heading8Char">
    <w:name w:val="Heading 8 Char"/>
    <w:basedOn w:val="DefaultParagraphFont"/>
    <w:qFormat/>
    <w:rPr>
      <w:rFonts w:ascii="Arial" w:hAnsi="Arial" w:eastAsia="Arial" w:cs="Arial"/>
      <w:i/>
      <w:iCs/>
      <w:sz w:val="22"/>
      <w:szCs w:val="22"/>
    </w:rPr>
  </w:style>
  <w:style w:type="character" w:styleId="Heading9Char">
    <w:name w:val="Heading 9 Char"/>
    <w:basedOn w:val="DefaultParagraphFont"/>
    <w:qFormat/>
    <w:rPr>
      <w:rFonts w:ascii="Arial" w:hAnsi="Arial" w:eastAsia="Arial" w:cs="Arial"/>
      <w:i/>
      <w:iCs/>
      <w:sz w:val="21"/>
      <w:szCs w:val="21"/>
    </w:rPr>
  </w:style>
  <w:style w:type="character" w:styleId="TitleChar">
    <w:name w:val="Title Char"/>
    <w:basedOn w:val="DefaultParagraphFont"/>
    <w:qFormat/>
    <w:rPr>
      <w:sz w:val="48"/>
      <w:szCs w:val="48"/>
    </w:rPr>
  </w:style>
  <w:style w:type="character" w:styleId="SubtitleChar">
    <w:name w:val="Subtitle Char"/>
    <w:basedOn w:val="DefaultParagraphFont"/>
    <w:qFormat/>
    <w:rPr>
      <w:sz w:val="24"/>
      <w:szCs w:val="24"/>
    </w:rPr>
  </w:style>
  <w:style w:type="character" w:styleId="QuoteChar">
    <w:name w:val="Quote Char"/>
    <w:link w:val="Quote"/>
    <w:qFormat/>
    <w:rPr>
      <w:i/>
    </w:rPr>
  </w:style>
  <w:style w:type="character" w:styleId="IntenseQuoteChar">
    <w:name w:val="Intense Quote Char"/>
    <w:link w:val="IntenseQuote"/>
    <w:qFormat/>
    <w:rPr>
      <w:i/>
    </w:rPr>
  </w:style>
  <w:style w:type="character" w:styleId="HeaderChar">
    <w:name w:val="Header Char"/>
    <w:basedOn w:val="DefaultParagraphFont"/>
    <w:qFormat/>
    <w:rPr/>
  </w:style>
  <w:style w:type="character" w:styleId="FooterChar">
    <w:name w:val="Footer Char"/>
    <w:basedOn w:val="DefaultParagraphFont"/>
    <w:qFormat/>
    <w:rPr/>
  </w:style>
  <w:style w:type="character" w:styleId="CaptionChar">
    <w:name w:val="Caption Char"/>
    <w:basedOn w:val="DefaultParagraphFont"/>
    <w:qFormat/>
    <w:rPr>
      <w:b/>
      <w:bCs/>
      <w:color w:val="4F81BD"/>
      <w:sz w:val="18"/>
      <w:szCs w:val="18"/>
    </w:rPr>
  </w:style>
  <w:style w:type="character" w:styleId="FootnoteTextChar">
    <w:name w:val="Footnote Text Char"/>
    <w:qFormat/>
    <w:rPr>
      <w:sz w:val="18"/>
    </w:rPr>
  </w:style>
  <w:style w:type="character" w:styleId="EndnoteTextChar">
    <w:name w:val="Endnote Text Char"/>
    <w:qFormat/>
    <w:rPr>
      <w:sz w:val="20"/>
    </w:rPr>
  </w:style>
  <w:style w:type="character" w:styleId="Style">
    <w:name w:val="Символ концевой сноски"/>
    <w:basedOn w:val="DefaultParagraphFont"/>
    <w:qFormat/>
    <w:rPr>
      <w:vertAlign w:val="superscript"/>
    </w:rPr>
  </w:style>
  <w:style w:type="character" w:styleId="EndnoteReference">
    <w:name w:val="Endnote Reference"/>
    <w:rPr>
      <w:vertAlign w:val="superscript"/>
    </w:rPr>
  </w:style>
  <w:style w:type="character" w:styleId="DefaultParagraphFont">
    <w:name w:val="Default Paragraph Font"/>
    <w:qFormat/>
    <w:rPr/>
  </w:style>
  <w:style w:type="character" w:styleId="Style1">
    <w:name w:val="Верхний колонтитул Знак"/>
    <w:basedOn w:val="DefaultParagraphFont"/>
    <w:qFormat/>
    <w:rPr/>
  </w:style>
  <w:style w:type="character" w:styleId="Style2">
    <w:name w:val="Нижний колонтитул Знак"/>
    <w:basedOn w:val="DefaultParagraphFont"/>
    <w:qFormat/>
    <w:rPr/>
  </w:style>
  <w:style w:type="character" w:styleId="Style3">
    <w:name w:val="[РГ] Инструкция для организатора"/>
    <w:basedOn w:val="DefaultParagraphFont"/>
    <w:qFormat/>
    <w:rPr>
      <w:i/>
      <w:iCs/>
      <w:shd w:fill="FFFF99" w:val="clear"/>
      <w:lang w:val="ru-RU"/>
    </w:rPr>
  </w:style>
  <w:style w:type="character" w:styleId="Style4">
    <w:name w:val="Текст сноски Знак"/>
    <w:basedOn w:val="DefaultParagraphFont"/>
    <w:qFormat/>
    <w:rPr>
      <w:sz w:val="20"/>
      <w:szCs w:val="20"/>
    </w:rPr>
  </w:style>
  <w:style w:type="character" w:styleId="Style5">
    <w:name w:val="Символ сноски"/>
    <w:qFormat/>
    <w:rPr>
      <w:vertAlign w:val="superscript"/>
    </w:rPr>
  </w:style>
  <w:style w:type="character" w:styleId="FootnoteReference">
    <w:name w:val="Footnote Reference"/>
    <w:rPr>
      <w:vertAlign w:val="superscript"/>
    </w:rPr>
  </w:style>
  <w:style w:type="character" w:styleId="Hyperlink">
    <w:name w:val="Hyper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PlaceholderText">
    <w:name w:val="Placeholder Text"/>
    <w:basedOn w:val="DefaultParagraphFont"/>
    <w:qFormat/>
    <w:rPr>
      <w:color w:val="808080"/>
    </w:rPr>
  </w:style>
  <w:style w:type="character" w:styleId="Style6">
    <w:name w:val="[РГ] Отсылка"/>
    <w:basedOn w:val="DefaultParagraphFont"/>
    <w:qFormat/>
    <w:rPr>
      <w:color w:val="000000"/>
      <w:spacing w:val="0"/>
      <w:u w:val="single"/>
      <w:shd w:fill="auto" w:val="clear"/>
      <w:lang w:val="ru-RU"/>
    </w:rPr>
  </w:style>
  <w:style w:type="character" w:styleId="Annotationreference">
    <w:name w:val="annotation reference"/>
    <w:basedOn w:val="DefaultParagraphFont"/>
    <w:qFormat/>
    <w:rPr>
      <w:sz w:val="16"/>
      <w:szCs w:val="16"/>
    </w:rPr>
  </w:style>
  <w:style w:type="character" w:styleId="Style7">
    <w:name w:val="Текст примечания Знак"/>
    <w:basedOn w:val="DefaultParagraphFont"/>
    <w:link w:val="Annotationtext"/>
    <w:qFormat/>
    <w:rPr>
      <w:sz w:val="20"/>
      <w:szCs w:val="20"/>
    </w:rPr>
  </w:style>
  <w:style w:type="character" w:styleId="Style8">
    <w:name w:val="Тема примечания Знак"/>
    <w:basedOn w:val="Style7"/>
    <w:link w:val="Annotationsubject"/>
    <w:qFormat/>
    <w:rPr>
      <w:b/>
      <w:bCs/>
      <w:sz w:val="20"/>
      <w:szCs w:val="20"/>
    </w:rPr>
  </w:style>
  <w:style w:type="character" w:styleId="Style9">
    <w:name w:val="[РГ] Инструкция для участника"/>
    <w:basedOn w:val="DefaultParagraphFont"/>
    <w:qFormat/>
    <w:rPr>
      <w:i/>
      <w:shd w:fill="D0CECE" w:val="clear"/>
      <w:lang w:val="ru-RU"/>
    </w:rPr>
  </w:style>
  <w:style w:type="character" w:styleId="FollowedHyperlink">
    <w:name w:val="FollowedHyperlink"/>
    <w:basedOn w:val="DefaultParagraphFont"/>
    <w:rPr>
      <w:color w:val="954F72"/>
      <w:u w:val="single"/>
    </w:rPr>
  </w:style>
  <w:style w:type="character" w:styleId="2">
    <w:name w:val="Пункт Знак2"/>
    <w:link w:val="Style25"/>
    <w:qFormat/>
    <w:rPr>
      <w:rFonts w:eastAsia="Times New Roman" w:cs="Times New Roman"/>
      <w:szCs w:val="26"/>
      <w:lang w:eastAsia="ru-RU"/>
    </w:rPr>
  </w:style>
  <w:style w:type="character" w:styleId="1">
    <w:name w:val="Заголовок 1 Знак"/>
    <w:basedOn w:val="DefaultParagraphFont"/>
    <w:qFormat/>
    <w:rPr>
      <w:rFonts w:ascii="Arial" w:hAnsi="Arial" w:eastAsia="Times New Roman" w:cs="Times New Roman"/>
      <w:b/>
      <w:sz w:val="40"/>
      <w:szCs w:val="26"/>
      <w:lang w:eastAsia="ru-RU"/>
    </w:rPr>
  </w:style>
  <w:style w:type="character" w:styleId="21">
    <w:name w:val="Заголовок 2 Знак"/>
    <w:basedOn w:val="DefaultParagraphFont"/>
    <w:qFormat/>
    <w:rPr>
      <w:rFonts w:eastAsia="Times New Roman" w:cs="Times New Roman"/>
      <w:b/>
      <w:sz w:val="32"/>
      <w:szCs w:val="26"/>
      <w:lang w:eastAsia="ru-RU"/>
    </w:rPr>
  </w:style>
  <w:style w:type="character" w:styleId="3">
    <w:name w:val="Заголовок 3 Знак"/>
    <w:basedOn w:val="DefaultParagraphFont"/>
    <w:qFormat/>
    <w:rPr>
      <w:rFonts w:ascii="Calibri Light" w:hAnsi="Calibri Light" w:eastAsia="Arial" w:cs="Arial"/>
      <w:color w:val="1F3763"/>
      <w:sz w:val="24"/>
      <w:szCs w:val="24"/>
    </w:rPr>
  </w:style>
  <w:style w:type="character" w:styleId="Style10">
    <w:name w:val="Текст выноски Знак"/>
    <w:basedOn w:val="DefaultParagraphFont"/>
    <w:link w:val="BalloonText"/>
    <w:qFormat/>
    <w:rPr>
      <w:rFonts w:ascii="Segoe UI" w:hAnsi="Segoe UI" w:cs="Segoe UI"/>
      <w:sz w:val="18"/>
      <w:szCs w:val="18"/>
    </w:rPr>
  </w:style>
  <w:style w:type="character" w:styleId="Style11">
    <w:name w:val="РГ_ЕПоЗ_а) Знак"/>
    <w:basedOn w:val="DefaultParagraphFont"/>
    <w:link w:val="Style28"/>
    <w:qFormat/>
    <w:rPr>
      <w:rFonts w:eastAsia="Calibri" w:cs="Times New Roman"/>
      <w:sz w:val="28"/>
      <w:szCs w:val="28"/>
    </w:rPr>
  </w:style>
  <w:style w:type="character" w:styleId="-">
    <w:name w:val="РГ_ЕПоЗ_- Знак"/>
    <w:basedOn w:val="DefaultParagraphFont"/>
    <w:link w:val="-1"/>
    <w:qFormat/>
    <w:rPr>
      <w:rFonts w:eastAsia="Times New Roman" w:cs="Times New Roman"/>
      <w:sz w:val="28"/>
      <w:szCs w:val="20"/>
      <w:lang w:eastAsia="ru-RU"/>
    </w:rPr>
  </w:style>
  <w:style w:type="character" w:styleId="Style12">
    <w:name w:val="Ссылка указателя"/>
    <w:qFormat/>
    <w:rPr/>
  </w:style>
  <w:style w:type="paragraph" w:styleId="Style13">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next w:val="Normal"/>
    <w:link w:val="CaptionChar"/>
    <w:qFormat/>
    <w:pPr>
      <w:spacing w:lineRule="auto" w:line="276"/>
    </w:pPr>
    <w:rPr>
      <w:b/>
      <w:bCs/>
      <w:color w:val="4F81BD"/>
      <w:sz w:val="18"/>
      <w:szCs w:val="18"/>
    </w:rPr>
  </w:style>
  <w:style w:type="paragraph" w:styleId="Style14">
    <w:name w:val="Указатель"/>
    <w:basedOn w:val="Normal"/>
    <w:qFormat/>
    <w:pPr>
      <w:suppressLineNumbers/>
    </w:pPr>
    <w:rPr>
      <w:rFonts w:cs="Arial Unicode MS"/>
    </w:rPr>
  </w:style>
  <w:style w:type="paragraph" w:styleId="NoSpacing">
    <w:name w:val="No Spacing"/>
    <w:qFormat/>
    <w:pPr>
      <w:widowControl/>
      <w:suppressAutoHyphens w:val="true"/>
      <w:overflowPunct w:val="true"/>
      <w:bidi w:val="0"/>
      <w:spacing w:lineRule="auto" w:line="240" w:before="0" w:after="0"/>
      <w:jc w:val="left"/>
    </w:pPr>
    <w:rPr>
      <w:rFonts w:ascii="Times New Roman" w:hAnsi="Times New Roman" w:eastAsia="Calibri" w:cs="Arial"/>
      <w:color w:val="auto"/>
      <w:kern w:val="0"/>
      <w:sz w:val="26"/>
      <w:szCs w:val="22"/>
      <w:lang w:val="ru-RU" w:eastAsia="en-US" w:bidi="ar-SA"/>
    </w:rPr>
  </w:style>
  <w:style w:type="paragraph" w:styleId="Title">
    <w:name w:val="Title"/>
    <w:basedOn w:val="Normal"/>
    <w:next w:val="Normal"/>
    <w:link w:val="TitleChar"/>
    <w:qFormat/>
    <w:pPr>
      <w:spacing w:before="300" w:after="200"/>
      <w:contextualSpacing/>
    </w:pPr>
    <w:rPr>
      <w:sz w:val="48"/>
      <w:szCs w:val="48"/>
    </w:rPr>
  </w:style>
  <w:style w:type="paragraph" w:styleId="Subtitle">
    <w:name w:val="Subtitle"/>
    <w:basedOn w:val="Normal"/>
    <w:next w:val="Normal"/>
    <w:link w:val="SubtitleChar"/>
    <w:qFormat/>
    <w:pPr>
      <w:spacing w:before="200" w:after="200"/>
    </w:pPr>
    <w:rPr>
      <w:sz w:val="24"/>
      <w:szCs w:val="24"/>
    </w:rPr>
  </w:style>
  <w:style w:type="paragraph" w:styleId="Quote">
    <w:name w:val="Quote"/>
    <w:basedOn w:val="Normal"/>
    <w:next w:val="Normal"/>
    <w:link w:val="QuoteChar"/>
    <w:qFormat/>
    <w:pPr>
      <w:ind w:hanging="0" w:left="720" w:right="720"/>
    </w:pPr>
    <w:rPr>
      <w:i/>
    </w:rPr>
  </w:style>
  <w:style w:type="paragraph" w:styleId="IntenseQuote">
    <w:name w:val="Intense Quote"/>
    <w:basedOn w:val="Normal"/>
    <w:next w:val="Normal"/>
    <w:link w:val="IntenseQuoteChar"/>
    <w:qFormat/>
    <w:pPr>
      <w:pBdr>
        <w:top w:val="single" w:sz="4" w:space="5" w:color="FFFFFF"/>
        <w:left w:val="single" w:sz="4" w:space="10" w:color="FFFFFF"/>
        <w:bottom w:val="single" w:sz="4" w:space="5" w:color="FFFFFF"/>
        <w:right w:val="single" w:sz="4" w:space="10" w:color="FFFFFF"/>
      </w:pBdr>
      <w:shd w:val="clear" w:fill="F2F2F2"/>
      <w:spacing w:before="120" w:after="0"/>
      <w:ind w:hanging="0" w:left="720" w:right="720"/>
    </w:pPr>
    <w:rPr>
      <w:i/>
    </w:rPr>
  </w:style>
  <w:style w:type="paragraph" w:styleId="EndnoteText">
    <w:name w:val="Endnote Text"/>
    <w:basedOn w:val="Normal"/>
    <w:link w:val="EndnoteTextChar"/>
    <w:pPr>
      <w:spacing w:lineRule="auto" w:line="240" w:before="120" w:after="0"/>
    </w:pPr>
    <w:rPr>
      <w:sz w:val="20"/>
    </w:rPr>
  </w:style>
  <w:style w:type="paragraph" w:styleId="IndexHeading">
    <w:name w:val="Index Heading"/>
    <w:basedOn w:val="Style13"/>
    <w:pPr/>
    <w:rPr/>
  </w:style>
  <w:style w:type="paragraph" w:styleId="TOCHeading">
    <w:name w:val="TOC Heading"/>
    <w:qFormat/>
    <w:pPr>
      <w:widowControl/>
      <w:suppressAutoHyphens w:val="true"/>
      <w:overflowPunct w:val="true"/>
      <w:bidi w:val="0"/>
      <w:spacing w:lineRule="auto" w:line="240" w:before="120" w:after="0"/>
      <w:jc w:val="left"/>
    </w:pPr>
    <w:rPr>
      <w:rFonts w:ascii="Times New Roman" w:hAnsi="Times New Roman" w:eastAsia="Calibri" w:cs="Arial"/>
      <w:color w:val="auto"/>
      <w:kern w:val="0"/>
      <w:sz w:val="26"/>
      <w:szCs w:val="22"/>
      <w:lang w:val="ru-RU" w:eastAsia="en-US" w:bidi="ar-SA"/>
    </w:rPr>
  </w:style>
  <w:style w:type="paragraph" w:styleId="Tableoffigures">
    <w:name w:val="table of figures"/>
    <w:basedOn w:val="Normal"/>
    <w:next w:val="Normal"/>
    <w:qFormat/>
    <w:pPr>
      <w:spacing w:before="120" w:after="0"/>
    </w:pPr>
    <w:rPr/>
  </w:style>
  <w:style w:type="paragraph" w:styleId="Style15">
    <w:name w:val="[РГ] Раздел"/>
    <w:basedOn w:val="Normal"/>
    <w:next w:val="Style16"/>
    <w:qFormat/>
    <w:pPr>
      <w:keepNext w:val="true"/>
      <w:pageBreakBefore/>
      <w:numPr>
        <w:ilvl w:val="0"/>
        <w:numId w:val="1"/>
      </w:numPr>
      <w:spacing w:before="0" w:after="360"/>
      <w:jc w:val="both"/>
      <w:outlineLvl w:val="0"/>
    </w:pPr>
    <w:rPr>
      <w:b/>
      <w:bCs/>
      <w:caps/>
    </w:rPr>
  </w:style>
  <w:style w:type="paragraph" w:styleId="Style16">
    <w:name w:val="[РГ] Подраздел"/>
    <w:basedOn w:val="Normal"/>
    <w:next w:val="Style17"/>
    <w:qFormat/>
    <w:pPr>
      <w:keepNext w:val="true"/>
      <w:numPr>
        <w:ilvl w:val="1"/>
        <w:numId w:val="1"/>
      </w:numPr>
      <w:spacing w:before="360" w:after="0"/>
      <w:jc w:val="both"/>
      <w:outlineLvl w:val="1"/>
    </w:pPr>
    <w:rPr>
      <w:b/>
      <w:bCs/>
    </w:rPr>
  </w:style>
  <w:style w:type="paragraph" w:styleId="Style17">
    <w:name w:val="[РГ] Пункт"/>
    <w:basedOn w:val="Normal"/>
    <w:qFormat/>
    <w:pPr>
      <w:numPr>
        <w:ilvl w:val="2"/>
        <w:numId w:val="1"/>
      </w:numPr>
      <w:jc w:val="both"/>
      <w:outlineLvl w:val="2"/>
    </w:pPr>
    <w:rPr/>
  </w:style>
  <w:style w:type="paragraph" w:styleId="Style18">
    <w:name w:val="[РГ] Подпункт"/>
    <w:basedOn w:val="Normal"/>
    <w:qFormat/>
    <w:pPr>
      <w:numPr>
        <w:ilvl w:val="3"/>
        <w:numId w:val="1"/>
      </w:numPr>
      <w:jc w:val="both"/>
      <w:outlineLvl w:val="3"/>
    </w:pPr>
    <w:rPr/>
  </w:style>
  <w:style w:type="paragraph" w:styleId="Style19">
    <w:name w:val="[РГ] Перечисление"/>
    <w:basedOn w:val="Normal"/>
    <w:qFormat/>
    <w:pPr>
      <w:numPr>
        <w:ilvl w:val="4"/>
        <w:numId w:val="1"/>
      </w:numPr>
      <w:jc w:val="both"/>
      <w:outlineLvl w:val="4"/>
    </w:pPr>
    <w:rPr/>
  </w:style>
  <w:style w:type="paragraph" w:styleId="Style20">
    <w:name w:val="[РГ] Заголовок"/>
    <w:basedOn w:val="Normal"/>
    <w:next w:val="Style21"/>
    <w:qFormat/>
    <w:pPr>
      <w:keepNext w:val="true"/>
      <w:pageBreakBefore/>
      <w:spacing w:before="0" w:after="360"/>
      <w:jc w:val="both"/>
    </w:pPr>
    <w:rPr>
      <w:b/>
      <w:bCs/>
      <w:caps/>
    </w:rPr>
  </w:style>
  <w:style w:type="paragraph" w:styleId="Style21">
    <w:name w:val="[РГ] Текст"/>
    <w:basedOn w:val="Normal"/>
    <w:qFormat/>
    <w:pPr>
      <w:jc w:val="both"/>
    </w:pPr>
    <w:rPr/>
  </w:style>
  <w:style w:type="paragraph" w:styleId="Style22">
    <w:name w:val="Колонтитул"/>
    <w:basedOn w:val="Normal"/>
    <w:qFormat/>
    <w:pPr/>
    <w:rPr/>
  </w:style>
  <w:style w:type="paragraph" w:styleId="Header">
    <w:name w:val="Header"/>
    <w:basedOn w:val="Normal"/>
    <w:link w:val="Style1"/>
    <w:pPr>
      <w:spacing w:before="0" w:after="120"/>
      <w:jc w:val="center"/>
    </w:pPr>
    <w:rPr/>
  </w:style>
  <w:style w:type="paragraph" w:styleId="Footer">
    <w:name w:val="Footer"/>
    <w:basedOn w:val="Normal"/>
    <w:link w:val="Style2"/>
    <w:pPr>
      <w:jc w:val="right"/>
    </w:pPr>
    <w:rPr/>
  </w:style>
  <w:style w:type="paragraph" w:styleId="FootnoteText">
    <w:name w:val="Footnote Text"/>
    <w:basedOn w:val="Normal"/>
    <w:link w:val="Style4"/>
    <w:pPr>
      <w:spacing w:before="0" w:after="0"/>
    </w:pPr>
    <w:rPr>
      <w:sz w:val="20"/>
      <w:szCs w:val="20"/>
    </w:rPr>
  </w:style>
  <w:style w:type="paragraph" w:styleId="Style23">
    <w:name w:val="[РГ] Сноска"/>
    <w:basedOn w:val="FootnoteText"/>
    <w:qFormat/>
    <w:pPr>
      <w:spacing w:before="80" w:after="0"/>
      <w:ind w:hanging="567" w:left="567" w:right="0"/>
      <w:jc w:val="both"/>
    </w:pPr>
    <w:rPr>
      <w:sz w:val="22"/>
    </w:rPr>
  </w:style>
  <w:style w:type="paragraph" w:styleId="TOC2">
    <w:name w:val="TOC 2"/>
    <w:basedOn w:val="Normal"/>
    <w:next w:val="Normal"/>
    <w:pPr>
      <w:tabs>
        <w:tab w:val="clear" w:pos="708"/>
        <w:tab w:val="left" w:pos="851" w:leader="none"/>
        <w:tab w:val="right" w:pos="9923" w:leader="none"/>
      </w:tabs>
      <w:spacing w:before="120" w:after="120"/>
      <w:ind w:hanging="851" w:left="851" w:right="0"/>
    </w:pPr>
    <w:rPr/>
  </w:style>
  <w:style w:type="paragraph" w:styleId="TOC1">
    <w:name w:val="TOC 1"/>
    <w:basedOn w:val="Normal"/>
    <w:next w:val="Normal"/>
    <w:pPr>
      <w:keepNext w:val="true"/>
      <w:tabs>
        <w:tab w:val="clear" w:pos="708"/>
        <w:tab w:val="left" w:pos="851" w:leader="none"/>
        <w:tab w:val="right" w:pos="9923" w:leader="none"/>
      </w:tabs>
      <w:spacing w:before="120" w:after="120"/>
      <w:ind w:hanging="851" w:left="851" w:right="0"/>
    </w:pPr>
    <w:rPr>
      <w:b/>
      <w:caps/>
    </w:rPr>
  </w:style>
  <w:style w:type="paragraph" w:styleId="TOC3">
    <w:name w:val="TOC 3"/>
    <w:basedOn w:val="Normal"/>
    <w:next w:val="Normal"/>
    <w:pPr>
      <w:spacing w:lineRule="auto" w:line="259" w:before="0" w:after="100"/>
      <w:ind w:hanging="0" w:left="440" w:right="0"/>
    </w:pPr>
    <w:rPr>
      <w:rFonts w:ascii="Calibri" w:hAnsi="Calibri" w:eastAsia="Arial"/>
      <w:sz w:val="22"/>
      <w:lang w:eastAsia="ru-RU"/>
    </w:rPr>
  </w:style>
  <w:style w:type="paragraph" w:styleId="TOC4">
    <w:name w:val="TOC 4"/>
    <w:basedOn w:val="Normal"/>
    <w:next w:val="Normal"/>
    <w:pPr>
      <w:spacing w:lineRule="auto" w:line="259" w:before="0" w:after="100"/>
      <w:ind w:hanging="0" w:left="660" w:right="0"/>
    </w:pPr>
    <w:rPr>
      <w:rFonts w:ascii="Calibri" w:hAnsi="Calibri" w:eastAsia="Arial"/>
      <w:sz w:val="22"/>
      <w:lang w:eastAsia="ru-RU"/>
    </w:rPr>
  </w:style>
  <w:style w:type="paragraph" w:styleId="TOC5">
    <w:name w:val="TOC 5"/>
    <w:basedOn w:val="Normal"/>
    <w:next w:val="Normal"/>
    <w:pPr>
      <w:spacing w:lineRule="auto" w:line="259" w:before="0" w:after="100"/>
      <w:ind w:hanging="0" w:left="880" w:right="0"/>
    </w:pPr>
    <w:rPr>
      <w:rFonts w:ascii="Calibri" w:hAnsi="Calibri" w:eastAsia="Arial"/>
      <w:sz w:val="22"/>
      <w:lang w:eastAsia="ru-RU"/>
    </w:rPr>
  </w:style>
  <w:style w:type="paragraph" w:styleId="TOC6">
    <w:name w:val="TOC 6"/>
    <w:basedOn w:val="Normal"/>
    <w:next w:val="Normal"/>
    <w:pPr>
      <w:spacing w:lineRule="auto" w:line="259" w:before="0" w:after="100"/>
      <w:ind w:hanging="0" w:left="1100" w:right="0"/>
    </w:pPr>
    <w:rPr>
      <w:rFonts w:ascii="Calibri" w:hAnsi="Calibri" w:eastAsia="Arial"/>
      <w:sz w:val="22"/>
      <w:lang w:eastAsia="ru-RU"/>
    </w:rPr>
  </w:style>
  <w:style w:type="paragraph" w:styleId="TOC7">
    <w:name w:val="TOC 7"/>
    <w:basedOn w:val="Normal"/>
    <w:next w:val="Normal"/>
    <w:pPr>
      <w:spacing w:lineRule="auto" w:line="259" w:before="0" w:after="100"/>
      <w:ind w:hanging="0" w:left="1320" w:right="0"/>
    </w:pPr>
    <w:rPr>
      <w:rFonts w:ascii="Calibri" w:hAnsi="Calibri" w:eastAsia="Arial"/>
      <w:sz w:val="22"/>
      <w:lang w:eastAsia="ru-RU"/>
    </w:rPr>
  </w:style>
  <w:style w:type="paragraph" w:styleId="TOC8">
    <w:name w:val="TOC 8"/>
    <w:basedOn w:val="Normal"/>
    <w:next w:val="Normal"/>
    <w:pPr>
      <w:spacing w:lineRule="auto" w:line="259" w:before="0" w:after="100"/>
      <w:ind w:hanging="0" w:left="1540" w:right="0"/>
    </w:pPr>
    <w:rPr>
      <w:rFonts w:ascii="Calibri" w:hAnsi="Calibri" w:eastAsia="Arial"/>
      <w:sz w:val="22"/>
      <w:lang w:eastAsia="ru-RU"/>
    </w:rPr>
  </w:style>
  <w:style w:type="paragraph" w:styleId="TOC9">
    <w:name w:val="TOC 9"/>
    <w:basedOn w:val="Normal"/>
    <w:next w:val="Normal"/>
    <w:pPr>
      <w:spacing w:lineRule="auto" w:line="259" w:before="0" w:after="100"/>
      <w:ind w:hanging="0" w:left="1760" w:right="0"/>
    </w:pPr>
    <w:rPr>
      <w:rFonts w:ascii="Calibri" w:hAnsi="Calibri" w:eastAsia="Arial"/>
      <w:sz w:val="22"/>
      <w:lang w:eastAsia="ru-RU"/>
    </w:rPr>
  </w:style>
  <w:style w:type="paragraph" w:styleId="Annotationtext">
    <w:name w:val="annotation text"/>
    <w:basedOn w:val="Normal"/>
    <w:link w:val="Style7"/>
    <w:qFormat/>
    <w:pPr/>
    <w:rPr>
      <w:sz w:val="20"/>
      <w:szCs w:val="20"/>
    </w:rPr>
  </w:style>
  <w:style w:type="paragraph" w:styleId="Annotationsubject">
    <w:name w:val="annotation subject"/>
    <w:basedOn w:val="Annotationtext"/>
    <w:next w:val="Annotationtext"/>
    <w:link w:val="Style8"/>
    <w:qFormat/>
    <w:pPr/>
    <w:rPr>
      <w:b/>
      <w:bCs/>
    </w:rPr>
  </w:style>
  <w:style w:type="paragraph" w:styleId="Style24">
    <w:name w:val="[РГ] Альтернатива / Дополнение"/>
    <w:basedOn w:val="Style21"/>
    <w:next w:val="Style21"/>
    <w:qFormat/>
    <w:pPr/>
    <w:rPr>
      <w:i/>
      <w:shd w:fill="CCECFF" w:val="clear"/>
    </w:rPr>
  </w:style>
  <w:style w:type="paragraph" w:styleId="Revision">
    <w:name w:val="Revision"/>
    <w:qFormat/>
    <w:pPr>
      <w:widowControl/>
      <w:suppressAutoHyphens w:val="true"/>
      <w:overflowPunct w:val="true"/>
      <w:bidi w:val="0"/>
      <w:spacing w:lineRule="auto" w:line="240" w:before="0" w:after="0"/>
      <w:jc w:val="left"/>
    </w:pPr>
    <w:rPr>
      <w:rFonts w:ascii="Times New Roman" w:hAnsi="Times New Roman" w:eastAsia="Calibri" w:cs="Arial"/>
      <w:color w:val="auto"/>
      <w:kern w:val="0"/>
      <w:sz w:val="26"/>
      <w:szCs w:val="22"/>
      <w:lang w:val="ru-RU" w:eastAsia="en-US" w:bidi="ar-SA"/>
    </w:rPr>
  </w:style>
  <w:style w:type="paragraph" w:styleId="ListParagraph">
    <w:name w:val="List Paragraph"/>
    <w:basedOn w:val="Normal"/>
    <w:qFormat/>
    <w:pPr>
      <w:spacing w:before="120" w:after="0"/>
      <w:ind w:hanging="0" w:left="720" w:right="0"/>
      <w:contextualSpacing/>
    </w:pPr>
    <w:rPr/>
  </w:style>
  <w:style w:type="paragraph" w:styleId="Style25">
    <w:name w:val="Пункт"/>
    <w:basedOn w:val="Normal"/>
    <w:link w:val="2"/>
    <w:qFormat/>
    <w:pPr>
      <w:numPr>
        <w:ilvl w:val="2"/>
        <w:numId w:val="9"/>
      </w:numPr>
      <w:jc w:val="both"/>
    </w:pPr>
    <w:rPr>
      <w:rFonts w:eastAsia="Times New Roman" w:cs="Times New Roman"/>
      <w:szCs w:val="26"/>
      <w:lang w:eastAsia="ru-RU"/>
    </w:rPr>
  </w:style>
  <w:style w:type="paragraph" w:styleId="Style26">
    <w:name w:val="Подпункт"/>
    <w:basedOn w:val="Style25"/>
    <w:qFormat/>
    <w:pPr>
      <w:numPr>
        <w:ilvl w:val="3"/>
        <w:numId w:val="9"/>
      </w:numPr>
      <w:tabs>
        <w:tab w:val="clear" w:pos="708"/>
      </w:tabs>
      <w:ind w:hanging="360" w:left="2880" w:right="0"/>
    </w:pPr>
    <w:rPr/>
  </w:style>
  <w:style w:type="paragraph" w:styleId="Style27">
    <w:name w:val="Подподпункт"/>
    <w:basedOn w:val="Style26"/>
    <w:qFormat/>
    <w:pPr>
      <w:numPr>
        <w:ilvl w:val="4"/>
        <w:numId w:val="9"/>
      </w:numPr>
      <w:ind w:hanging="360" w:left="3600" w:right="0"/>
    </w:pPr>
    <w:rPr/>
  </w:style>
  <w:style w:type="paragraph" w:styleId="BalloonText">
    <w:name w:val="Balloon Text"/>
    <w:basedOn w:val="Normal"/>
    <w:link w:val="Style10"/>
    <w:qFormat/>
    <w:pPr>
      <w:spacing w:before="0" w:after="0"/>
    </w:pPr>
    <w:rPr>
      <w:rFonts w:ascii="Segoe UI" w:hAnsi="Segoe UI" w:cs="Segoe UI"/>
      <w:sz w:val="18"/>
      <w:szCs w:val="18"/>
    </w:rPr>
  </w:style>
  <w:style w:type="paragraph" w:styleId="11">
    <w:name w:val="РГ_ЕПоЗ_1."/>
    <w:basedOn w:val="Normal"/>
    <w:qFormat/>
    <w:pPr>
      <w:keepNext w:val="true"/>
      <w:numPr>
        <w:ilvl w:val="0"/>
        <w:numId w:val="16"/>
      </w:numPr>
      <w:tabs>
        <w:tab w:val="clear" w:pos="708"/>
        <w:tab w:val="left" w:pos="1418" w:leader="none"/>
      </w:tabs>
      <w:spacing w:before="480" w:after="0"/>
      <w:jc w:val="both"/>
      <w:outlineLvl w:val="0"/>
    </w:pPr>
    <w:rPr>
      <w:rFonts w:eastAsia="Times New Roman" w:cs="Times New Roman"/>
      <w:b/>
      <w:sz w:val="28"/>
      <w:szCs w:val="28"/>
      <w:lang w:eastAsia="ru-RU"/>
    </w:rPr>
  </w:style>
  <w:style w:type="paragraph" w:styleId="111">
    <w:name w:val="РГ_ЕПоЗ_1.1"/>
    <w:basedOn w:val="Normal"/>
    <w:qFormat/>
    <w:pPr>
      <w:keepNext w:val="true"/>
      <w:numPr>
        <w:ilvl w:val="1"/>
        <w:numId w:val="16"/>
      </w:numPr>
      <w:tabs>
        <w:tab w:val="clear" w:pos="708"/>
        <w:tab w:val="left" w:pos="1418" w:leader="none"/>
      </w:tabs>
      <w:spacing w:before="360" w:after="0"/>
      <w:ind w:hanging="567" w:left="1134" w:right="0"/>
      <w:jc w:val="both"/>
      <w:outlineLvl w:val="1"/>
    </w:pPr>
    <w:rPr>
      <w:rFonts w:eastAsia="Times New Roman" w:cs="Times New Roman"/>
      <w:b/>
      <w:sz w:val="28"/>
      <w:szCs w:val="28"/>
      <w:lang w:eastAsia="ru-RU"/>
    </w:rPr>
  </w:style>
  <w:style w:type="paragraph" w:styleId="Style28">
    <w:name w:val="РГ_ЕПоЗ_а)"/>
    <w:basedOn w:val="ListParagraph"/>
    <w:link w:val="Style11"/>
    <w:qFormat/>
    <w:pPr>
      <w:numPr>
        <w:ilvl w:val="4"/>
        <w:numId w:val="16"/>
      </w:numPr>
      <w:spacing w:before="120" w:after="0"/>
      <w:contextualSpacing w:val="false"/>
      <w:jc w:val="both"/>
    </w:pPr>
    <w:rPr>
      <w:rFonts w:eastAsia="Calibri" w:cs="Times New Roman"/>
      <w:sz w:val="28"/>
      <w:szCs w:val="28"/>
    </w:rPr>
  </w:style>
  <w:style w:type="paragraph" w:styleId="1111">
    <w:name w:val="РГ_ЕПоЗ_1.1.1.1"/>
    <w:basedOn w:val="Normal"/>
    <w:qFormat/>
    <w:pPr>
      <w:numPr>
        <w:ilvl w:val="3"/>
        <w:numId w:val="16"/>
      </w:numPr>
      <w:tabs>
        <w:tab w:val="clear" w:pos="708"/>
        <w:tab w:val="left" w:pos="1843" w:leader="none"/>
      </w:tabs>
      <w:jc w:val="both"/>
    </w:pPr>
    <w:rPr>
      <w:rFonts w:eastAsia="Times New Roman" w:cs="Times New Roman"/>
      <w:sz w:val="28"/>
      <w:szCs w:val="28"/>
      <w:lang w:eastAsia="ru-RU"/>
    </w:rPr>
  </w:style>
  <w:style w:type="paragraph" w:styleId="-1">
    <w:name w:val="РГ_ЕПоЗ_-"/>
    <w:basedOn w:val="Normal"/>
    <w:link w:val="-"/>
    <w:qFormat/>
    <w:pPr>
      <w:numPr>
        <w:ilvl w:val="5"/>
        <w:numId w:val="16"/>
      </w:numPr>
      <w:tabs>
        <w:tab w:val="clear" w:pos="708"/>
        <w:tab w:val="left" w:pos="2552" w:leader="none"/>
      </w:tabs>
      <w:spacing w:before="0" w:after="0"/>
      <w:jc w:val="both"/>
    </w:pPr>
    <w:rPr>
      <w:rFonts w:eastAsia="Times New Roman" w:cs="Times New Roman"/>
      <w:sz w:val="28"/>
      <w:szCs w:val="20"/>
      <w:lang w:eastAsia="ru-RU"/>
    </w:rPr>
  </w:style>
  <w:style w:type="paragraph" w:styleId="1112">
    <w:name w:val="РГ_ЕПоЗ_1.1.1"/>
    <w:basedOn w:val="Normal"/>
    <w:qFormat/>
    <w:pPr>
      <w:numPr>
        <w:ilvl w:val="2"/>
        <w:numId w:val="16"/>
      </w:numPr>
      <w:tabs>
        <w:tab w:val="clear" w:pos="708"/>
        <w:tab w:val="left" w:pos="1134" w:leader="none"/>
      </w:tabs>
      <w:jc w:val="both"/>
    </w:pPr>
    <w:rPr>
      <w:rFonts w:eastAsia="Times New Roman" w:cs="Times New Roman"/>
      <w:sz w:val="28"/>
      <w:szCs w:val="28"/>
      <w:lang w:eastAsia="ru-RU"/>
    </w:rPr>
  </w:style>
  <w:style w:type="paragraph" w:styleId="31">
    <w:name w:val="УРОВЕНЬ_Абзац_тип3"/>
    <w:qFormat/>
    <w:pPr>
      <w:keepNext w:val="false"/>
      <w:keepLines w:val="false"/>
      <w:pageBreakBefore w:val="false"/>
      <w:widowControl/>
      <w:numPr>
        <w:ilvl w:val="0"/>
        <w:numId w:val="0"/>
      </w:numPr>
      <w:tabs>
        <w:tab w:val="clear" w:pos="708"/>
        <w:tab w:val="left" w:pos="0" w:leader="none"/>
      </w:tabs>
      <w:suppressAutoHyphens w:val="true"/>
      <w:overflowPunct w:val="true"/>
      <w:bidi w:val="0"/>
      <w:spacing w:lineRule="exact" w:line="360" w:before="0" w:after="0"/>
      <w:ind w:hanging="0" w:left="0" w:right="0"/>
      <w:jc w:val="both"/>
    </w:pPr>
    <w:rPr>
      <w:rFonts w:ascii="Calibri" w:hAnsi="Calibri" w:eastAsia="Calibri" w:cs="Arial"/>
      <w:b w:val="false"/>
      <w:bCs w:val="false"/>
      <w:i w:val="false"/>
      <w:iCs w:val="false"/>
      <w:caps w:val="false"/>
      <w:smallCaps w:val="false"/>
      <w:strike w:val="false"/>
      <w:dstrike w:val="false"/>
      <w:vanish w:val="false"/>
      <w:color w:val="auto"/>
      <w:spacing w:val="0"/>
      <w:kern w:val="0"/>
      <w:position w:val="0"/>
      <w:sz w:val="22"/>
      <w:sz w:val="22"/>
      <w:szCs w:val="22"/>
      <w:u w:val="none"/>
      <w:vertAlign w:val="baseline"/>
      <w:lang w:val="ru-RU" w:eastAsia="en-US" w:bidi="ar-SA"/>
    </w:rPr>
  </w:style>
  <w:style w:type="paragraph" w:styleId="22">
    <w:name w:val="УРОВЕНЬ_Абзац_тип2"/>
    <w:qFormat/>
    <w:pPr>
      <w:keepNext w:val="false"/>
      <w:keepLines w:val="false"/>
      <w:pageBreakBefore w:val="false"/>
      <w:widowControl/>
      <w:numPr>
        <w:ilvl w:val="0"/>
        <w:numId w:val="0"/>
      </w:numPr>
      <w:tabs>
        <w:tab w:val="clear" w:pos="708"/>
        <w:tab w:val="left" w:pos="0" w:leader="none"/>
      </w:tabs>
      <w:suppressAutoHyphens w:val="true"/>
      <w:overflowPunct w:val="true"/>
      <w:bidi w:val="0"/>
      <w:spacing w:lineRule="exact" w:line="360" w:before="0" w:after="0"/>
      <w:ind w:hanging="0" w:left="720" w:right="0"/>
      <w:jc w:val="both"/>
    </w:pPr>
    <w:rPr>
      <w:rFonts w:ascii="Times New Roman" w:hAnsi="Times New Roman" w:eastAsia="Calibri" w:cs="Times New Roman"/>
      <w:b w:val="false"/>
      <w:bCs w:val="false"/>
      <w:i w:val="false"/>
      <w:iCs w:val="false"/>
      <w:caps w:val="false"/>
      <w:smallCaps w:val="false"/>
      <w:strike w:val="false"/>
      <w:dstrike w:val="false"/>
      <w:vanish w:val="false"/>
      <w:color w:val="auto"/>
      <w:spacing w:val="0"/>
      <w:kern w:val="0"/>
      <w:position w:val="0"/>
      <w:sz w:val="26"/>
      <w:sz w:val="26"/>
      <w:szCs w:val="26"/>
      <w:u w:val="none"/>
      <w:vertAlign w:val="baseline"/>
      <w:lang w:val="ru-RU" w:eastAsia="en-US" w:bidi="ar-SA"/>
    </w:rPr>
  </w:style>
  <w:style w:type="paragraph" w:styleId="Style29">
    <w:name w:val="Содержимое таблицы"/>
    <w:basedOn w:val="Normal"/>
    <w:qFormat/>
    <w:pPr>
      <w:widowControl w:val="false"/>
      <w:suppressLineNumbers/>
    </w:pPr>
    <w:rPr/>
  </w:style>
  <w:style w:type="paragraph" w:styleId="Style30">
    <w:name w:val="Заголовок таблицы"/>
    <w:basedOn w:val="Style29"/>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hyperlink" Target="https://www.roseltorg.ru/knowledge_db/docs?55" TargetMode="External"/><Relationship Id="rId4" Type="http://schemas.openxmlformats.org/officeDocument/2006/relationships/hyperlink" Target="http://nikitina-nv@dgk.ru" TargetMode="External"/><Relationship Id="rId5" Type="http://schemas.openxmlformats.org/officeDocument/2006/relationships/header" Target="head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image" Target="media/image1.wmf"/><Relationship Id="rId13" Type="http://schemas.openxmlformats.org/officeDocument/2006/relationships/header" Target="header4.xml"/><Relationship Id="rId14" Type="http://schemas.openxmlformats.org/officeDocument/2006/relationships/header" Target="header5.xml"/><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header" Target="header6.xml"/><Relationship Id="rId18" Type="http://schemas.openxmlformats.org/officeDocument/2006/relationships/header" Target="head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image" Target="media/image2.wmf"/><Relationship Id="rId22" Type="http://schemas.openxmlformats.org/officeDocument/2006/relationships/image" Target="media/image3.wmf"/><Relationship Id="rId23" Type="http://schemas.openxmlformats.org/officeDocument/2006/relationships/header" Target="header8.xml"/><Relationship Id="rId24" Type="http://schemas.openxmlformats.org/officeDocument/2006/relationships/header" Target="header9.xml"/><Relationship Id="rId25" Type="http://schemas.openxmlformats.org/officeDocument/2006/relationships/footer" Target="footer10.xml"/><Relationship Id="rId26" Type="http://schemas.openxmlformats.org/officeDocument/2006/relationships/footer" Target="footer11.xml"/><Relationship Id="rId27" Type="http://schemas.openxmlformats.org/officeDocument/2006/relationships/header" Target="header10.xml"/><Relationship Id="rId28" Type="http://schemas.openxmlformats.org/officeDocument/2006/relationships/header" Target="header11.xml"/><Relationship Id="rId29" Type="http://schemas.openxmlformats.org/officeDocument/2006/relationships/footer" Target="footer12.xml"/><Relationship Id="rId30" Type="http://schemas.openxmlformats.org/officeDocument/2006/relationships/footer" Target="footer13.xml"/><Relationship Id="rId31" Type="http://schemas.openxmlformats.org/officeDocument/2006/relationships/image" Target="media/image4.png"/><Relationship Id="rId32" Type="http://schemas.openxmlformats.org/officeDocument/2006/relationships/header" Target="header12.xml"/><Relationship Id="rId33" Type="http://schemas.openxmlformats.org/officeDocument/2006/relationships/header" Target="header13.xml"/><Relationship Id="rId34" Type="http://schemas.openxmlformats.org/officeDocument/2006/relationships/footer" Target="footer14.xml"/><Relationship Id="rId35" Type="http://schemas.openxmlformats.org/officeDocument/2006/relationships/footer" Target="footer15.xml"/><Relationship Id="rId36" Type="http://schemas.openxmlformats.org/officeDocument/2006/relationships/image" Target="media/image5.wmf"/><Relationship Id="rId37" Type="http://schemas.openxmlformats.org/officeDocument/2006/relationships/image" Target="media/image6.wmf"/><Relationship Id="rId38" Type="http://schemas.openxmlformats.org/officeDocument/2006/relationships/header" Target="header14.xml"/><Relationship Id="rId39" Type="http://schemas.openxmlformats.org/officeDocument/2006/relationships/header" Target="header15.xml"/><Relationship Id="rId40" Type="http://schemas.openxmlformats.org/officeDocument/2006/relationships/footer" Target="footer16.xml"/><Relationship Id="rId41" Type="http://schemas.openxmlformats.org/officeDocument/2006/relationships/footer" Target="footer17.xml"/><Relationship Id="rId42" Type="http://schemas.openxmlformats.org/officeDocument/2006/relationships/footnotes" Target="footnotes.xml"/><Relationship Id="rId43" Type="http://schemas.openxmlformats.org/officeDocument/2006/relationships/numbering" Target="numbering.xml"/><Relationship Id="rId44" Type="http://schemas.openxmlformats.org/officeDocument/2006/relationships/fontTable" Target="fontTable.xml"/><Relationship Id="rId4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130</TotalTime>
  <Application>AlterOffice/2026.2.0.0$Linux_X86_64 LibreOffice_project/bc4ef1adf80b36c7a6365f8ed6cbf29021361edd</Application>
  <AppVersion>15.0000</AppVersion>
  <Pages>73</Pages>
  <Words>19431</Words>
  <Characters>134544</Characters>
  <CharactersWithSpaces>151209</CharactersWithSpaces>
  <Paragraphs>1112</Paragraphs>
  <Company>ПАО РусГидро; ИнКонТех</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2023-08-16T07:54:00Z</dcterms:created>
  <dc:creator>Владимир Щербаков</dc:creator>
  <dc:description/>
  <cp:keywords>Типовая форма</cp:keywords>
  <dc:language>ru-RU</dc:language>
  <cp:lastModifiedBy>nikitina_nv@DGK.RU</cp:lastModifiedBy>
  <dcterms:modified xsi:type="dcterms:W3CDTF">2026-09-16T16:15:11Z</dcterms:modified>
  <cp:revision>175</cp:revision>
  <dc:subject>Альбом типовых форм</dc:subject>
  <dc:title>Документация о закупке</dc:title>
</cp:coreProperties>
</file>

<file path=docProps/custom.xml><?xml version="1.0" encoding="utf-8"?>
<Properties xmlns="http://schemas.openxmlformats.org/officeDocument/2006/custom-properties" xmlns:vt="http://schemas.openxmlformats.org/officeDocument/2006/docPropsVTypes"/>
</file>