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left="5387"/>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left="5103"/>
        <w:rPr>
          <w:sz w:val="24"/>
          <w:szCs w:val="24"/>
        </w:rPr>
      </w:pPr>
      <w:r>
        <w:rPr>
          <w:sz w:val="24"/>
          <w:szCs w:val="24"/>
        </w:rPr>
      </w:r>
    </w:p>
    <w:p>
      <w:pPr>
        <w:pStyle w:val="Normal"/>
        <w:widowControl w:val="false"/>
        <w:spacing w:before="0" w:after="0"/>
        <w:ind w:firstLine="284" w:left="5103"/>
        <w:rPr>
          <w:sz w:val="24"/>
          <w:szCs w:val="24"/>
        </w:rPr>
      </w:pPr>
      <w:r>
        <w:rPr>
          <w:sz w:val="24"/>
          <w:szCs w:val="24"/>
        </w:rPr>
        <w:t>__________________Д.А. Богонатов</w:t>
      </w:r>
    </w:p>
    <w:p>
      <w:pPr>
        <w:pStyle w:val="Normal"/>
        <w:widowControl w:val="false"/>
        <w:spacing w:lineRule="auto" w:line="276" w:before="0" w:after="0"/>
        <w:ind w:firstLine="5387"/>
        <w:rPr>
          <w:sz w:val="24"/>
          <w:szCs w:val="24"/>
        </w:rPr>
      </w:pPr>
      <w:r>
        <w:rPr>
          <w:sz w:val="24"/>
          <w:szCs w:val="24"/>
        </w:rPr>
        <w:t xml:space="preserve">«___»_______________ 2026г </w:t>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3"/>
          <w:shd w:fill="auto" w:val="clear"/>
        </w:rPr>
        <w:t>ОКПД2 80.20.10.000 Оказание услуг по техническому обслуживанию системы охранного телевидения, охранной сигнализации СП Нерюнгринская ГРЭС п. Серебряный Бор, Чульманская ТЭЦ п. Чульман, НВК г. Нерюнгри</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41023008-ЭКСП БЕЗ-2027-ДГК-НерГРЭС</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Раздел,1,[РГ] Раздел,1,[РГ] Подраздел,2,[РГ] Подраздел,2,[РГ] Подраздел,2,[РГ] Подраздел,2,[РГ] Подраздел,2,[РГ] Пункт,3,[РГ] Пункт,3,[РГ] Пункт,3,[РГ] Пункт,3,[РГ] Подпункт,4,[РГ] Подпункт,4,[РГ] Подпункт,4,[РГ] Подпункт,4,[РГ] Перечисление,5,[РГ] Перечисление,5,[РГ] Перечисление,5,[РГ] Перечисление,5" \h</w:instrText>
          </w:r>
          <w:r>
            <w:rPr>
              <w:webHidden/>
              <w:rStyle w:val="Style12"/>
              <w:vanish w:val="false"/>
            </w:rPr>
            <w:fldChar w:fldCharType="separate"/>
          </w:r>
          <w:hyperlink w:anchor="_Toc228877668" w:tgtFrame="#_Toc228877668">
            <w:r>
              <w:rPr>
                <w:webHidden/>
              </w:rPr>
              <w:fldChar w:fldCharType="begin"/>
            </w:r>
            <w:r>
              <w:rPr>
                <w:webHidden/>
              </w:rPr>
              <w:instrText xml:space="preserve">PAGEREF _Toc228877668 \h</w:instrText>
            </w:r>
            <w:r>
              <w:rPr>
                <w:webHidden/>
              </w:rPr>
              <w:fldChar w:fldCharType="separate"/>
            </w:r>
            <w:r>
              <w:rPr>
                <w:webHidden/>
                <w:rStyle w:val="Style12"/>
                <w:vanish w:val="false"/>
              </w:rPr>
              <w:t>Сокращения</w:t>
              <w:tab/>
              <w:t>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69" w:tgtFrame="#_Toc228877669">
            <w:r>
              <w:rPr>
                <w:webHidden/>
              </w:rPr>
              <w:fldChar w:fldCharType="begin"/>
            </w:r>
            <w:r>
              <w:rPr>
                <w:webHidden/>
              </w:rPr>
              <w:instrText xml:space="preserve">PAGEREF _Toc228877669 \h</w:instrText>
            </w:r>
            <w:r>
              <w:rPr>
                <w:webHidden/>
              </w:rPr>
              <w:fldChar w:fldCharType="separate"/>
            </w:r>
            <w:r>
              <w:rPr>
                <w:webHidden/>
                <w:rStyle w:val="Style12"/>
                <w:vanish w:val="false"/>
              </w:rPr>
              <w:t>Термины и определения</w:t>
              <w:tab/>
              <w:t>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0" w:tgtFrame="#_Toc228877670">
            <w:r>
              <w:rPr>
                <w:webHidden/>
                <w:rStyle w:val="Style12"/>
                <w:vanish w:val="false"/>
              </w:rPr>
              <w:t>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_Toc228877670 \h</w:instrText>
            </w:r>
            <w:r>
              <w:rPr>
                <w:webHidden/>
              </w:rPr>
              <w:fldChar w:fldCharType="separate"/>
            </w:r>
            <w:r>
              <w:rPr>
                <w:rStyle w:val="Style12"/>
              </w:rPr>
              <w:t>Основные сведения о закупке</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1" w:tgtFrame="#_Toc228877671">
            <w:r>
              <w:rPr>
                <w:webHidden/>
                <w:rStyle w:val="Style12"/>
                <w:vanish w:val="false"/>
              </w:rPr>
              <w:t>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_Toc228877671 \h</w:instrText>
            </w:r>
            <w:r>
              <w:rPr>
                <w:webHidden/>
              </w:rPr>
              <w:fldChar w:fldCharType="separate"/>
            </w:r>
            <w:r>
              <w:rPr>
                <w:rStyle w:val="Style12"/>
              </w:rPr>
              <w:t>Статус настоящего раздела</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2" w:tgtFrame="#_Toc228877672">
            <w:r>
              <w:rPr>
                <w:webHidden/>
                <w:rStyle w:val="Style12"/>
                <w:vanish w:val="false"/>
              </w:rPr>
              <w:t>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_Toc228877672 \h</w:instrText>
            </w:r>
            <w:r>
              <w:rPr>
                <w:webHidden/>
              </w:rPr>
              <w:fldChar w:fldCharType="separate"/>
            </w:r>
            <w:r>
              <w:rPr>
                <w:rStyle w:val="Style12"/>
              </w:rPr>
              <w:t>Информация о проводимой закупке</w:t>
              <w:tab/>
              <w:t>11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3" w:tgtFrame="#_Toc228877673">
            <w:r>
              <w:rPr>
                <w:webHidden/>
                <w:rStyle w:val="Style12"/>
                <w:vanish w:val="false"/>
              </w:rPr>
              <w:t>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_Toc228877673 \h</w:instrText>
            </w:r>
            <w:r>
              <w:rPr>
                <w:webHidden/>
              </w:rPr>
              <w:fldChar w:fldCharType="separate"/>
            </w:r>
            <w:r>
              <w:rPr>
                <w:rStyle w:val="Style12"/>
              </w:rPr>
              <w:t>Общие положения</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4" w:tgtFrame="#_Toc228877674">
            <w:r>
              <w:rPr>
                <w:webHidden/>
                <w:rStyle w:val="Style12"/>
                <w:vanish w:val="false"/>
              </w:rPr>
              <w:t>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_Toc228877674 \h</w:instrText>
            </w:r>
            <w:r>
              <w:rPr>
                <w:webHidden/>
              </w:rPr>
              <w:fldChar w:fldCharType="separate"/>
            </w:r>
            <w:r>
              <w:rPr>
                <w:rStyle w:val="Style12"/>
              </w:rPr>
              <w:t>Общие сведения о закупке</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5" w:tgtFrame="#_Toc228877675">
            <w:r>
              <w:rPr>
                <w:webHidden/>
                <w:rStyle w:val="Style12"/>
                <w:vanish w:val="false"/>
              </w:rPr>
              <w:t>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_Toc228877675 \h</w:instrText>
            </w:r>
            <w:r>
              <w:rPr>
                <w:webHidden/>
              </w:rPr>
              <w:fldChar w:fldCharType="separate"/>
            </w:r>
            <w:r>
              <w:rPr>
                <w:rStyle w:val="Style12"/>
              </w:rPr>
              <w:t>Правовой статус документов</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6" w:tgtFrame="#_Toc228877676">
            <w:r>
              <w:rPr>
                <w:webHidden/>
                <w:rStyle w:val="Style12"/>
                <w:vanish w:val="false"/>
              </w:rPr>
              <w:t>2.3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_Toc228877676 \h</w:instrText>
            </w:r>
            <w:r>
              <w:rPr>
                <w:webHidden/>
              </w:rPr>
              <w:fldChar w:fldCharType="separate"/>
            </w:r>
            <w:r>
              <w:rPr>
                <w:rStyle w:val="Style12"/>
              </w:rPr>
              <w:t>Обжалование</w:t>
              <w:tab/>
              <w:t>17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7" w:tgtFrame="#_Toc228877677">
            <w:r>
              <w:rPr>
                <w:webHidden/>
                <w:rStyle w:val="Style12"/>
                <w:vanish w:val="false"/>
              </w:rPr>
              <w:t>2.4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_Toc228877677 \h</w:instrText>
            </w:r>
            <w:r>
              <w:rPr>
                <w:webHidden/>
              </w:rPr>
              <w:fldChar w:fldCharType="separate"/>
            </w:r>
            <w:r>
              <w:rPr>
                <w:rStyle w:val="Style12"/>
              </w:rPr>
              <w:t>Особые положения при проведении закупки с использованием ЭП</w:t>
              <w:tab/>
              <w:t>18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8" w:tgtFrame="#_Toc228877678">
            <w:r>
              <w:rPr>
                <w:webHidden/>
                <w:rStyle w:val="Style12"/>
                <w:vanish w:val="false"/>
              </w:rPr>
              <w:t>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_Toc228877678 \h</w:instrText>
            </w:r>
            <w:r>
              <w:rPr>
                <w:webHidden/>
              </w:rPr>
              <w:fldChar w:fldCharType="separate"/>
            </w:r>
            <w:r>
              <w:rPr>
                <w:rStyle w:val="Style12"/>
              </w:rPr>
              <w:t>Прочие положения</w:t>
              <w:tab/>
              <w:t>18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9" w:tgtFrame="#_Toc228877679">
            <w:r>
              <w:rPr>
                <w:webHidden/>
                <w:rStyle w:val="Style12"/>
                <w:vanish w:val="false"/>
              </w:rPr>
              <w:t>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_Toc228877679 \h</w:instrText>
            </w:r>
            <w:r>
              <w:rPr>
                <w:webHidden/>
              </w:rPr>
              <w:fldChar w:fldCharType="separate"/>
            </w:r>
            <w:r>
              <w:rPr>
                <w:rStyle w:val="Style12"/>
              </w:rPr>
              <w:t>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0" w:tgtFrame="#_Toc228877680">
            <w:r>
              <w:rPr>
                <w:webHidden/>
                <w:rStyle w:val="Style12"/>
                <w:vanish w:val="false"/>
              </w:rPr>
              <w:t>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_Toc228877680 \h</w:instrText>
            </w:r>
            <w:r>
              <w:rPr>
                <w:webHidden/>
              </w:rPr>
              <w:fldChar w:fldCharType="separate"/>
            </w:r>
            <w:r>
              <w:rPr>
                <w:rStyle w:val="Style12"/>
              </w:rPr>
              <w:t>Общие 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1" w:tgtFrame="#_Toc228877681">
            <w:r>
              <w:rPr>
                <w:webHidden/>
                <w:rStyle w:val="Style12"/>
                <w:vanish w:val="false"/>
              </w:rPr>
              <w:t>3.2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_Toc228877681 \h</w:instrText>
            </w:r>
            <w:r>
              <w:rPr>
                <w:webHidden/>
              </w:rPr>
              <w:fldChar w:fldCharType="separate"/>
            </w:r>
            <w:r>
              <w:rPr>
                <w:rStyle w:val="Style12"/>
              </w:rPr>
              <w:t>Генеральные подрядчики</w:t>
              <w:tab/>
              <w:t>19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82" w:tgtFrame="#_Toc228877682">
            <w:r>
              <w:rPr>
                <w:webHidden/>
                <w:rStyle w:val="Style12"/>
                <w:vanish w:val="false"/>
              </w:rPr>
              <w:t>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Порядок проведения закупки</w:t>
              <w:tab/>
              <w:t>2</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3" w:tgtFrame="#_Toc228877683">
            <w:r>
              <w:rPr>
                <w:webHidden/>
                <w:rStyle w:val="Style12"/>
                <w:vanish w:val="false"/>
              </w:rPr>
              <w:t>4.1</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Общий порядок проведения закупки</w:t>
              <w:tab/>
              <w:t>2</w:t>
            </w:r>
          </w:hyperlink>
          <w:r>
            <w:rPr>
              <w:rFonts w:eastAsia="Arial" w:ascii="Calibri" w:hAnsi="Calibri" w:asciiTheme="minorHAnsi" w:eastAsiaTheme="minorEastAsia" w:hAnsiTheme="minorHAnsi"/>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4" w:tgtFrame="#_Toc228877684">
            <w:r>
              <w:rPr>
                <w:webHidden/>
                <w:rStyle w:val="Style12"/>
                <w:vanish w:val="false"/>
              </w:rPr>
              <w:t>4.2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_Toc228877684 \h</w:instrText>
            </w:r>
            <w:r>
              <w:rPr>
                <w:webHidden/>
              </w:rPr>
              <w:fldChar w:fldCharType="separate"/>
            </w:r>
            <w:r>
              <w:rPr>
                <w:rStyle w:val="Style12"/>
              </w:rPr>
              <w:t>Официальное размещение Извещения и Документации о закупке</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5" w:tgtFrame="#_Toc228877685">
            <w:r>
              <w:rPr>
                <w:webHidden/>
                <w:rStyle w:val="Style12"/>
                <w:vanish w:val="false"/>
              </w:rPr>
              <w:t>4.3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_Toc228877685 \h</w:instrText>
            </w:r>
            <w:r>
              <w:rPr>
                <w:webHidden/>
              </w:rPr>
              <w:fldChar w:fldCharType="separate"/>
            </w:r>
            <w:r>
              <w:rPr>
                <w:rStyle w:val="Style12"/>
              </w:rPr>
              <w:t>Подготовка заявки</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6" w:tgtFrame="#_Toc228877686">
            <w:r>
              <w:rPr>
                <w:webHidden/>
                <w:rStyle w:val="Style12"/>
                <w:vanish w:val="false"/>
              </w:rPr>
              <w:t>4.4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Разъяснение Документации о закупке</w:t>
              <w:tab/>
              <w:t>2</w:t>
            </w:r>
          </w:hyperlink>
          <w:r>
            <w:rPr>
              <w:rFonts w:eastAsia="Arial" w:ascii="Calibri" w:hAnsi="Calibri" w:asciiTheme="minorHAnsi" w:eastAsiaTheme="minorEastAsia" w:hAnsiTheme="minorHAnsi"/>
              <w:sz w:val="24"/>
              <w:szCs w:val="24"/>
              <w:lang w:eastAsia="ru-RU"/>
              <w14:ligatures w14:val="standardContextual"/>
            </w:rPr>
            <w:t>5</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7" w:tgtFrame="#_Toc228877687">
            <w:r>
              <w:rPr>
                <w:webHidden/>
                <w:rStyle w:val="Style12"/>
                <w:vanish w:val="false"/>
              </w:rPr>
              <w:t>4.5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_Toc228877687 \h</w:instrText>
            </w:r>
            <w:r>
              <w:rPr>
                <w:webHidden/>
              </w:rPr>
              <w:fldChar w:fldCharType="separate"/>
            </w:r>
            <w:r>
              <w:rPr>
                <w:rStyle w:val="Style12"/>
              </w:rPr>
              <w:t>Изменения Извещения и (или) Документации о закупке</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8" w:tgtFrame="#_Toc228877688">
            <w:r>
              <w:rPr>
                <w:webHidden/>
                <w:rStyle w:val="Style12"/>
                <w:vanish w:val="false"/>
              </w:rPr>
              <w:t>4.6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_Toc228877688 \h</w:instrText>
            </w:r>
            <w:r>
              <w:rPr>
                <w:webHidden/>
              </w:rPr>
              <w:fldChar w:fldCharType="separate"/>
            </w:r>
            <w:r>
              <w:rPr>
                <w:rStyle w:val="Style12"/>
              </w:rPr>
              <w:t>Подача заявок и их прием</w:t>
              <w:tab/>
              <w:t>26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9" w:tgtFrame="#_Toc228877689">
            <w:r>
              <w:rPr>
                <w:webHidden/>
                <w:rStyle w:val="Style12"/>
                <w:vanish w:val="false"/>
              </w:rPr>
              <w:t>4.7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_Toc228877689 \h</w:instrText>
            </w:r>
            <w:r>
              <w:rPr>
                <w:webHidden/>
              </w:rPr>
              <w:fldChar w:fldCharType="separate"/>
            </w:r>
            <w:r>
              <w:rPr>
                <w:rStyle w:val="Style12"/>
              </w:rPr>
              <w:t>Изменение и отзыв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0" w:tgtFrame="#_Toc228877690">
            <w:r>
              <w:rPr>
                <w:webHidden/>
                <w:rStyle w:val="Style12"/>
                <w:vanish w:val="false"/>
              </w:rPr>
              <w:t>4.8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_Toc228877690 \h</w:instrText>
            </w:r>
            <w:r>
              <w:rPr>
                <w:webHidden/>
              </w:rPr>
              <w:fldChar w:fldCharType="separate"/>
            </w:r>
            <w:r>
              <w:rPr>
                <w:rStyle w:val="Style12"/>
              </w:rPr>
              <w:t>Открытие доступа к первым частям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1" w:tgtFrame="#_Toc228877691">
            <w:r>
              <w:rPr>
                <w:webHidden/>
                <w:rStyle w:val="Style12"/>
                <w:vanish w:val="false"/>
              </w:rPr>
              <w:t>4.9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_Toc228877691 \h</w:instrText>
            </w:r>
            <w:r>
              <w:rPr>
                <w:webHidden/>
              </w:rPr>
              <w:fldChar w:fldCharType="separate"/>
            </w:r>
            <w:r>
              <w:rPr>
                <w:rStyle w:val="Style12"/>
              </w:rPr>
              <w:t>Рассмотрение первых частей заявок (отборочная стадия)</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2" w:tgtFrame="#_Toc228877692">
            <w:r>
              <w:rPr>
                <w:webHidden/>
                <w:rStyle w:val="Style12"/>
                <w:vanish w:val="false"/>
              </w:rPr>
              <w:t>4.10</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_Toc228877692 \h</w:instrText>
            </w:r>
            <w:r>
              <w:rPr>
                <w:webHidden/>
              </w:rPr>
              <w:fldChar w:fldCharType="separate"/>
            </w:r>
            <w:r>
              <w:rPr>
                <w:rStyle w:val="Style12"/>
              </w:rPr>
              <w:t>Открытие доступа ко вторым частям заявок и ценовым предложениям</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3" w:tgtFrame="#_Toc228877693">
            <w:r>
              <w:rPr>
                <w:webHidden/>
                <w:rStyle w:val="Style12"/>
                <w:vanish w:val="false"/>
              </w:rPr>
              <w:t>4.11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_Toc228877693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4" w:tgtFrame="#_Toc228877694">
            <w:r>
              <w:rPr>
                <w:webHidden/>
                <w:rStyle w:val="Style12"/>
                <w:vanish w:val="false"/>
              </w:rPr>
              <w:t>4.12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_Toc228877694 \h</w:instrText>
            </w:r>
            <w:r>
              <w:rPr>
                <w:webHidden/>
              </w:rPr>
              <w:fldChar w:fldCharType="separate"/>
            </w:r>
            <w:r>
              <w:rPr>
                <w:rStyle w:val="Style12"/>
              </w:rPr>
              <w:t>Дополнительные запросы разъяснений заявок</w:t>
              <w:tab/>
              <w:t>32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5" w:tgtFrame="#_Toc228877695">
            <w:r>
              <w:rPr>
                <w:webHidden/>
                <w:rStyle w:val="Style12"/>
                <w:vanish w:val="false"/>
              </w:rPr>
              <w:t>4.13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_Toc228877695 \h</w:instrText>
            </w:r>
            <w:r>
              <w:rPr>
                <w:webHidden/>
              </w:rPr>
              <w:fldChar w:fldCharType="separate"/>
            </w:r>
            <w:r>
              <w:rPr>
                <w:rStyle w:val="Style12"/>
              </w:rPr>
              <w:t>Оценка и сопоставление заявок</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6" w:tgtFrame="#_Toc228877696">
            <w:r>
              <w:rPr>
                <w:webHidden/>
                <w:rStyle w:val="Style12"/>
                <w:vanish w:val="false"/>
              </w:rPr>
              <w:t>4.14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_Toc228877696 \h</w:instrText>
            </w:r>
            <w:r>
              <w:rPr>
                <w:webHidden/>
              </w:rPr>
              <w:fldChar w:fldCharType="separate"/>
            </w:r>
            <w:r>
              <w:rPr>
                <w:rStyle w:val="Style12"/>
              </w:rPr>
              <w:t>Применение законодательства о национальном режиме</w:t>
              <w:tab/>
              <w:t>34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8" w:tgtFrame="#_Toc228877698">
            <w:r>
              <w:rPr>
                <w:webHidden/>
                <w:rStyle w:val="Style12"/>
                <w:vanish w:val="false"/>
              </w:rPr>
              <w:t>4.15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_Toc228877698 \h</w:instrText>
            </w:r>
            <w:r>
              <w:rPr>
                <w:webHidden/>
              </w:rPr>
              <w:fldChar w:fldCharType="separate"/>
            </w:r>
            <w:r>
              <w:rPr>
                <w:rStyle w:val="Style12"/>
              </w:rPr>
              <w:t>Подведение итогов закупки (определение Победителя)</w:t>
              <w:tab/>
              <w:t>36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9" w:tgtFrame="#_Toc228877699">
            <w:r>
              <w:rPr>
                <w:webHidden/>
                <w:rStyle w:val="Style12"/>
                <w:vanish w:val="false"/>
              </w:rPr>
              <w:t>4.16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_Toc228877699 \h</w:instrText>
            </w:r>
            <w:r>
              <w:rPr>
                <w:webHidden/>
              </w:rPr>
              <w:fldChar w:fldCharType="separate"/>
            </w:r>
            <w:r>
              <w:rPr>
                <w:rStyle w:val="Style12"/>
              </w:rPr>
              <w:t>Признание закупки несостоявшейся</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0" w:tgtFrame="#_Toc228877700">
            <w:r>
              <w:rPr>
                <w:webHidden/>
                <w:rStyle w:val="Style12"/>
                <w:vanish w:val="false"/>
              </w:rPr>
              <w:t>4.17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_Toc228877700 \h</w:instrText>
            </w:r>
            <w:r>
              <w:rPr>
                <w:webHidden/>
              </w:rPr>
              <w:fldChar w:fldCharType="separate"/>
            </w:r>
            <w:r>
              <w:rPr>
                <w:rStyle w:val="Style12"/>
              </w:rPr>
              <w:t>Отказ от проведения закупки (отмена закупки)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1" w:tgtFrame="#_Toc228877701">
            <w:r>
              <w:rPr>
                <w:webHidden/>
                <w:rStyle w:val="Style12"/>
                <w:vanish w:val="false"/>
              </w:rPr>
              <w:t>4.18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_Toc228877701 \h</w:instrText>
            </w:r>
            <w:r>
              <w:rPr>
                <w:webHidden/>
              </w:rPr>
              <w:fldChar w:fldCharType="separate"/>
            </w:r>
            <w:r>
              <w:rPr>
                <w:rStyle w:val="Style12"/>
              </w:rPr>
              <w:t>Особенности проведения закупки с необходимостью обеспечения заявки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2" w:tgtFrame="#_Toc228877702">
            <w:r>
              <w:rPr>
                <w:webHidden/>
                <w:rStyle w:val="Style12"/>
                <w:vanish w:val="false"/>
              </w:rPr>
              <w:t>4.19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_Toc228877702 \h</w:instrText>
            </w:r>
            <w:r>
              <w:rPr>
                <w:webHidden/>
              </w:rPr>
              <w:fldChar w:fldCharType="separate"/>
            </w:r>
            <w:r>
              <w:rPr>
                <w:rStyle w:val="Style12"/>
              </w:rPr>
              <w:t>Особенности проведения многолотовой закупки</w:t>
              <w:tab/>
              <w:t>43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4" w:tgtFrame="#_Toc228877704">
            <w:r>
              <w:rPr>
                <w:webHidden/>
                <w:rStyle w:val="Style12"/>
                <w:vanish w:val="false"/>
              </w:rPr>
              <w:t>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_Toc228877704 \h</w:instrText>
            </w:r>
            <w:r>
              <w:rPr>
                <w:webHidden/>
              </w:rPr>
              <w:fldChar w:fldCharType="separate"/>
            </w:r>
            <w:r>
              <w:rPr>
                <w:rStyle w:val="Style12"/>
              </w:rPr>
              <w:t>Порядок заключения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5" w:tgtFrame="#_Toc228877705">
            <w:r>
              <w:rPr>
                <w:webHidden/>
                <w:rStyle w:val="Style12"/>
                <w:vanish w:val="false"/>
              </w:rPr>
              <w:t>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_Toc228877705 \h</w:instrText>
            </w:r>
            <w:r>
              <w:rPr>
                <w:webHidden/>
              </w:rPr>
              <w:fldChar w:fldCharType="separate"/>
            </w:r>
            <w:r>
              <w:rPr>
                <w:rStyle w:val="Style12"/>
              </w:rPr>
              <w:t>Общие положения</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6" w:tgtFrame="#_Toc228877706">
            <w:r>
              <w:rPr>
                <w:webHidden/>
                <w:rStyle w:val="Style12"/>
                <w:vanish w:val="false"/>
              </w:rPr>
              <w:t>5.2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_Toc228877706 \h</w:instrText>
            </w:r>
            <w:r>
              <w:rPr>
                <w:webHidden/>
              </w:rPr>
              <w:fldChar w:fldCharType="separate"/>
            </w:r>
            <w:r>
              <w:rPr>
                <w:rStyle w:val="Style12"/>
              </w:rPr>
              <w:t>Заключение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7" w:tgtFrame="#_Toc228877707">
            <w:r>
              <w:rPr>
                <w:webHidden/>
                <w:rStyle w:val="Style12"/>
                <w:vanish w:val="false"/>
              </w:rPr>
              <w:t>5.3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_Toc228877707 \h</w:instrText>
            </w:r>
            <w:r>
              <w:rPr>
                <w:webHidden/>
              </w:rPr>
              <w:fldChar w:fldCharType="separate"/>
            </w:r>
            <w:r>
              <w:rPr>
                <w:rStyle w:val="Style12"/>
              </w:rPr>
              <w:t>Уклонение Победителя от заключения Договора</w:t>
              <w:tab/>
              <w:t>46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8" w:tgtFrame="#_Toc228877708">
            <w:r>
              <w:rPr>
                <w:webHidden/>
                <w:rStyle w:val="Style12"/>
                <w:vanish w:val="false"/>
              </w:rPr>
              <w:t>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_Toc228877708 \h</w:instrText>
            </w:r>
            <w:r>
              <w:rPr>
                <w:webHidden/>
              </w:rPr>
              <w:fldChar w:fldCharType="separate"/>
            </w:r>
            <w:r>
              <w:rPr>
                <w:rStyle w:val="Style12"/>
              </w:rPr>
              <w:t>Приложение № 1 – Технические требования</w:t>
              <w:tab/>
              <w:t>48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9" w:tgtFrame="#_Toc228877709">
            <w:r>
              <w:rPr>
                <w:webHidden/>
                <w:rStyle w:val="Style12"/>
                <w:vanish w:val="false"/>
              </w:rPr>
              <w:t>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_Toc228877709 \h</w:instrText>
            </w:r>
            <w:r>
              <w:rPr>
                <w:webHidden/>
              </w:rPr>
              <w:fldChar w:fldCharType="separate"/>
            </w:r>
            <w:r>
              <w:rPr>
                <w:rStyle w:val="Style12"/>
              </w:rPr>
              <w:t>Пояснения к Техническим требованиям</w:t>
              <w:tab/>
              <w:t>48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0" w:tgtFrame="#_Toc228877710">
            <w:r>
              <w:rPr>
                <w:webHidden/>
                <w:rStyle w:val="Style12"/>
                <w:vanish w:val="false"/>
              </w:rPr>
              <w:t>7.</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_Toc228877710 \h</w:instrText>
            </w:r>
            <w:r>
              <w:rPr>
                <w:webHidden/>
              </w:rPr>
              <w:fldChar w:fldCharType="separate"/>
            </w:r>
            <w:r>
              <w:rPr>
                <w:rStyle w:val="Style12"/>
              </w:rPr>
              <w:t>Приложение № 2 – Проект договора</w:t>
              <w:tab/>
              <w:t>49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1" w:tgtFrame="#_Toc228877711">
            <w:r>
              <w:rPr>
                <w:webHidden/>
                <w:rStyle w:val="Style12"/>
                <w:vanish w:val="false"/>
              </w:rPr>
              <w:t>7.1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_Toc228877711 \h</w:instrText>
            </w:r>
            <w:r>
              <w:rPr>
                <w:webHidden/>
              </w:rPr>
              <w:fldChar w:fldCharType="separate"/>
            </w:r>
            <w:r>
              <w:rPr>
                <w:rStyle w:val="Style12"/>
              </w:rPr>
              <w:t>Пояснения к Проекту договора</w:t>
              <w:tab/>
              <w:t>49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2" w:tgtFrame="#_Toc228877712">
            <w:r>
              <w:rPr>
                <w:webHidden/>
                <w:rStyle w:val="Style12"/>
                <w:vanish w:val="false"/>
              </w:rPr>
              <w:t>8.</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_Toc228877712 \h</w:instrText>
            </w:r>
            <w:r>
              <w:rPr>
                <w:webHidden/>
              </w:rPr>
              <w:fldChar w:fldCharType="separate"/>
            </w:r>
            <w:r>
              <w:rPr>
                <w:rStyle w:val="Style12"/>
              </w:rPr>
              <w:t>Приложение № 3 – Требования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3" w:tgtFrame="#_Toc228877713">
            <w:r>
              <w:rPr>
                <w:webHidden/>
                <w:rStyle w:val="Style12"/>
                <w:vanish w:val="false"/>
              </w:rPr>
              <w:t>8.1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_Toc228877713 \h</w:instrText>
            </w:r>
            <w:r>
              <w:rPr>
                <w:webHidden/>
              </w:rPr>
              <w:fldChar w:fldCharType="separate"/>
            </w:r>
            <w:r>
              <w:rPr>
                <w:rStyle w:val="Style12"/>
              </w:rPr>
              <w:t>Пояснения к требованиям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4" w:tgtFrame="#_Toc228877714">
            <w:r>
              <w:rPr>
                <w:webHidden/>
                <w:rStyle w:val="Style12"/>
                <w:vanish w:val="false"/>
              </w:rPr>
              <w:t>8.2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_Toc228877714 \h</w:instrText>
            </w:r>
            <w:r>
              <w:rPr>
                <w:webHidden/>
              </w:rPr>
              <w:fldChar w:fldCharType="separate"/>
            </w:r>
            <w:r>
              <w:rPr>
                <w:rStyle w:val="Style12"/>
              </w:rPr>
              <w:t>Обязательные требования</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5" w:tgtFrame="#_Toc228877715">
            <w:r>
              <w:rPr>
                <w:webHidden/>
                <w:rStyle w:val="Style12"/>
                <w:vanish w:val="false"/>
              </w:rPr>
              <w:t>8.3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_Toc228877715 \h</w:instrText>
            </w:r>
            <w:r>
              <w:rPr>
                <w:webHidden/>
              </w:rPr>
              <w:fldChar w:fldCharType="separate"/>
            </w:r>
            <w:r>
              <w:rPr>
                <w:rStyle w:val="Style12"/>
              </w:rPr>
              <w:t>Специальные требования</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6" w:tgtFrame="#_Toc228877716">
            <w:r>
              <w:rPr>
                <w:webHidden/>
                <w:rStyle w:val="Style12"/>
                <w:vanish w:val="false"/>
              </w:rPr>
              <w:t>8.4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_Toc228877716 \h</w:instrText>
            </w:r>
            <w:r>
              <w:rPr>
                <w:webHidden/>
              </w:rPr>
              <w:fldChar w:fldCharType="separate"/>
            </w:r>
            <w:r>
              <w:rPr>
                <w:rStyle w:val="Style12"/>
              </w:rPr>
              <w:t>Дополнительные требования к Генеральным подрядчикам</w:t>
              <w:tab/>
              <w:t>54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7" w:tgtFrame="#_Toc228877717">
            <w:r>
              <w:rPr>
                <w:webHidden/>
                <w:rStyle w:val="Style12"/>
                <w:vanish w:val="false"/>
              </w:rPr>
              <w:t>9.</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_Toc228877717 \h</w:instrText>
            </w:r>
            <w:r>
              <w:rPr>
                <w:webHidden/>
              </w:rPr>
              <w:fldChar w:fldCharType="separate"/>
            </w:r>
            <w:r>
              <w:rPr>
                <w:rStyle w:val="Style12"/>
              </w:rPr>
              <w:t>Приложение № 4 – Образцы форм документов, включаемых в состав заявки</w:t>
              <w:tab/>
              <w:t>56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8" w:tgtFrame="#_Toc228877718">
            <w:r>
              <w:rPr>
                <w:webHidden/>
                <w:rStyle w:val="Style12"/>
                <w:vanish w:val="false"/>
              </w:rPr>
              <w:t>9.1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_Toc228877718 \h</w:instrText>
            </w:r>
            <w:r>
              <w:rPr>
                <w:webHidden/>
              </w:rPr>
              <w:fldChar w:fldCharType="separate"/>
            </w:r>
            <w:r>
              <w:rPr>
                <w:rStyle w:val="Style12"/>
              </w:rPr>
              <w:t>Пояснения к Образцам форм документов, включаемых в состав заявки</w:t>
              <w:tab/>
              <w:t>56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9" w:tgtFrame="#_Toc228877719">
            <w:r>
              <w:rPr>
                <w:webHidden/>
                <w:rStyle w:val="Style12"/>
                <w:vanish w:val="false"/>
              </w:rPr>
              <w:t>10.</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_Toc228877719 \h</w:instrText>
            </w:r>
            <w:r>
              <w:rPr>
                <w:webHidden/>
              </w:rPr>
              <w:fldChar w:fldCharType="separate"/>
            </w:r>
            <w:r>
              <w:rPr>
                <w:rStyle w:val="Style12"/>
              </w:rPr>
              <w:t>Приложение № 5 – Образцы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0" w:tgtFrame="#_Toc228877720">
            <w:r>
              <w:rPr>
                <w:webHidden/>
                <w:rStyle w:val="Style12"/>
                <w:vanish w:val="false"/>
              </w:rPr>
              <w:t>10.1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_Toc228877720 \h</w:instrText>
            </w:r>
            <w:r>
              <w:rPr>
                <w:webHidden/>
              </w:rPr>
              <w:fldChar w:fldCharType="separate"/>
            </w:r>
            <w:r>
              <w:rPr>
                <w:rStyle w:val="Style12"/>
              </w:rPr>
              <w:t>Пояснения к Образцам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1" w:tgtFrame="#_Toc228877721">
            <w:r>
              <w:rPr>
                <w:webHidden/>
                <w:rStyle w:val="Style12"/>
                <w:vanish w:val="false"/>
              </w:rPr>
              <w:t>10.2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_Toc228877721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2" w:tgtFrame="#_Toc228877722">
            <w:r>
              <w:rPr>
                <w:webHidden/>
                <w:rStyle w:val="Style12"/>
                <w:vanish w:val="false"/>
              </w:rPr>
              <w:t>10.3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_Toc228877722 \h</w:instrText>
            </w:r>
            <w:r>
              <w:rPr>
                <w:webHidden/>
              </w:rPr>
              <w:fldChar w:fldCharType="separate"/>
            </w:r>
            <w:r>
              <w:rPr>
                <w:rStyle w:val="Style12"/>
              </w:rPr>
              <w:t>Форма «Заверение об обстоятельствах»</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3" w:tgtFrame="#_Toc228877723">
            <w:r>
              <w:rPr>
                <w:webHidden/>
                <w:rStyle w:val="Style12"/>
                <w:vanish w:val="false"/>
              </w:rPr>
              <w:t>11.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_Toc228877723 \h</w:instrText>
            </w:r>
            <w:r>
              <w:rPr>
                <w:webHidden/>
              </w:rPr>
              <w:fldChar w:fldCharType="separate"/>
            </w:r>
            <w:r>
              <w:rPr>
                <w:rStyle w:val="Style12"/>
              </w:rPr>
              <w:t>Приложение № 6 – Состав заявки</w:t>
              <w:tab/>
              <w:t>55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4" w:tgtFrame="#_Toc228877724">
            <w:r>
              <w:rPr>
                <w:webHidden/>
                <w:rStyle w:val="Style12"/>
                <w:vanish w:val="false"/>
              </w:rPr>
              <w:t>11.1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_Toc228877724 \h</w:instrText>
            </w:r>
            <w:r>
              <w:rPr>
                <w:webHidden/>
              </w:rPr>
              <w:fldChar w:fldCharType="separate"/>
            </w:r>
            <w:r>
              <w:rPr>
                <w:rStyle w:val="Style12"/>
              </w:rPr>
              <w:t>Состав заявки</w:t>
              <w:tab/>
              <w:t>55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5" w:tgtFrame="#_Toc228877725">
            <w:r>
              <w:rPr>
                <w:webHidden/>
                <w:rStyle w:val="Style12"/>
                <w:vanish w:val="false"/>
              </w:rPr>
              <w:t>12.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_Toc228877725 \h</w:instrText>
            </w:r>
            <w:r>
              <w:rPr>
                <w:webHidden/>
              </w:rPr>
              <w:fldChar w:fldCharType="separate"/>
            </w:r>
            <w:r>
              <w:rPr>
                <w:rStyle w:val="Style12"/>
              </w:rPr>
              <w:t>Приложение № 7 – Отборочные критерии рассмотрения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6" w:tgtFrame="#_Toc228877726">
            <w:r>
              <w:rPr>
                <w:webHidden/>
                <w:rStyle w:val="Style12"/>
                <w:vanish w:val="false"/>
              </w:rPr>
              <w:t>12.1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_Toc228877726 \h</w:instrText>
            </w:r>
            <w:r>
              <w:rPr>
                <w:webHidden/>
              </w:rPr>
              <w:fldChar w:fldCharType="separate"/>
            </w:r>
            <w:r>
              <w:rPr>
                <w:rStyle w:val="Style12"/>
              </w:rPr>
              <w:t>Отборочные критерии рассмотрения первых частей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7" w:tgtFrame="#_Toc228877727">
            <w:r>
              <w:rPr>
                <w:webHidden/>
                <w:rStyle w:val="Style12"/>
                <w:vanish w:val="false"/>
              </w:rPr>
              <w:t>12.2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_Toc228877727 \h</w:instrText>
            </w:r>
            <w:r>
              <w:rPr>
                <w:webHidden/>
              </w:rPr>
              <w:fldChar w:fldCharType="separate"/>
            </w:r>
            <w:r>
              <w:rPr>
                <w:rStyle w:val="Style12"/>
              </w:rPr>
              <w:t>Дополнительные критерии проверки первых частей заявок на соответствия условиям Документации о закупке</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8" w:tgtFrame="#_Toc228877728">
            <w:r>
              <w:rPr>
                <w:webHidden/>
                <w:rStyle w:val="Style12"/>
                <w:vanish w:val="false"/>
              </w:rPr>
              <w:t>12.3</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вторых частей заявок</w:t>
              <w:tab/>
            </w:r>
          </w:hyperlink>
          <w:r>
            <w:rPr/>
            <w:t>59</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29" w:tgtFrame="#_Toc228877729">
            <w:r>
              <w:rPr>
                <w:webHidden/>
                <w:rStyle w:val="Style12"/>
                <w:vanish w:val="false"/>
              </w:rPr>
              <w:t>12.4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ценовых предложений</w:t>
              <w:tab/>
              <w:t>6</w:t>
            </w:r>
          </w:hyperlink>
          <w:r>
            <w:rPr>
              <w:rFonts w:eastAsia="Arial" w:ascii="Calibri" w:hAnsi="Calibri" w:asciiTheme="minorHAnsi" w:eastAsiaTheme="minorEastAsia" w:hAnsiTheme="minorHAnsi"/>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0" w:tgtFrame="#_Toc228877730">
            <w:r>
              <w:rPr>
                <w:webHidden/>
                <w:rStyle w:val="Style12"/>
                <w:vanish w:val="false"/>
              </w:rPr>
              <w:t>12.5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_Toc228877730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1" w:tgtFrame="#_Toc228877731">
            <w:r>
              <w:rPr>
                <w:webHidden/>
                <w:rStyle w:val="Style12"/>
                <w:vanish w:val="false"/>
              </w:rPr>
              <w:t>13.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_Toc228877731 \h</w:instrText>
            </w:r>
            <w:r>
              <w:rPr>
                <w:webHidden/>
              </w:rPr>
              <w:fldChar w:fldCharType="separate"/>
            </w:r>
            <w:r>
              <w:rPr>
                <w:rStyle w:val="Style12"/>
              </w:rPr>
              <w:t>Приложение № 8 – Порядок и критерии оценки и сопоставления заявок</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2" w:tgtFrame="#_Toc228877732">
            <w:r>
              <w:rPr>
                <w:webHidden/>
                <w:rStyle w:val="Style12"/>
                <w:vanish w:val="false"/>
              </w:rPr>
              <w:t>13.1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_Toc228877732 \h</w:instrText>
            </w:r>
            <w:r>
              <w:rPr>
                <w:webHidden/>
              </w:rPr>
              <w:fldChar w:fldCharType="separate"/>
            </w:r>
            <w:r>
              <w:rPr>
                <w:rStyle w:val="Style12"/>
              </w:rPr>
              <w:t>Порядок и критерии оценки и сопоставления заявок</w:t>
              <w:tab/>
              <w:t>65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3" w:tgtFrame="#_Toc228877733">
            <w:r>
              <w:rPr>
                <w:webHidden/>
                <w:rStyle w:val="Style12"/>
                <w:vanish w:val="false"/>
              </w:rPr>
              <w:t>14.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_Toc228877733 \h</w:instrText>
            </w:r>
            <w:r>
              <w:rPr>
                <w:webHidden/>
              </w:rPr>
              <w:fldChar w:fldCharType="separate"/>
            </w:r>
            <w:r>
              <w:rPr>
                <w:rStyle w:val="Style12"/>
              </w:rPr>
              <w:t>Приложение № 9 – Обоснование НМЦ</w:t>
              <w:tab/>
              <w:t>70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4" w:tgtFrame="#_Toc228877734">
            <w:r>
              <w:rPr>
                <w:webHidden/>
                <w:rStyle w:val="Style12"/>
                <w:vanish w:val="false"/>
              </w:rPr>
              <w:t>14.1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_Toc228877734 \h</w:instrText>
            </w:r>
            <w:r>
              <w:rPr>
                <w:webHidden/>
              </w:rPr>
              <w:fldChar w:fldCharType="separate"/>
            </w:r>
            <w:r>
              <w:rPr>
                <w:rStyle w:val="Style12"/>
              </w:rPr>
              <w:t>Пояснения к Обоснованию НМЦ</w:t>
              <w:tab/>
              <w:t>70</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5" w:tgtFrame="#_Toc228877735">
            <w:r>
              <w:rPr>
                <w:webHidden/>
                <w:rStyle w:val="Style12"/>
                <w:vanish w:val="false"/>
              </w:rPr>
              <w:t>15.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10 – Форма Заявки на аккредитацию</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6" w:tgtFrame="#_Toc228877736">
            <w:r>
              <w:rPr>
                <w:webHidden/>
                <w:rStyle w:val="Style12"/>
                <w:vanish w:val="false"/>
              </w:rPr>
              <w:t>15.1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_Toc228877736 \h</w:instrText>
            </w:r>
            <w:r>
              <w:rPr>
                <w:webHidden/>
              </w:rPr>
              <w:fldChar w:fldCharType="separate"/>
            </w:r>
            <w:r>
              <w:rPr>
                <w:rStyle w:val="Style12"/>
              </w:rPr>
              <w:t>Пояснения к форме Заявки на аккредитацию</w:t>
              <w:tab/>
              <w:t>71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7" w:tgtFrame="#_Toc228877737">
            <w:r>
              <w:rPr>
                <w:webHidden/>
                <w:rStyle w:val="Style12"/>
                <w:vanish w:val="false"/>
              </w:rPr>
              <w:t>16.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11 – форма Данных бухгалтерской (финансовой) отчетности</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8" w:tgtFrame="#_Toc228877738">
            <w:r>
              <w:rPr>
                <w:webHidden/>
                <w:rStyle w:val="Style12"/>
                <w:vanish w:val="false"/>
              </w:rPr>
              <w:t>16.1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_Toc228877738 \h</w:instrText>
            </w:r>
            <w:r>
              <w:rPr>
                <w:webHidden/>
              </w:rPr>
              <w:fldChar w:fldCharType="separate"/>
            </w:r>
            <w:r>
              <w:rPr>
                <w:rStyle w:val="Style12"/>
              </w:rPr>
              <w:t>Пояснения к форме Данных бухгалтерской (финансовой) отчетности</w:t>
              <w:tab/>
              <w:t>72</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7668"/>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28877669"/>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Ref125359988"/>
      <w:bookmarkStart w:id="4" w:name="_Toc228877670"/>
      <w:r>
        <w:rPr/>
        <w:t>Основные сведения о закупке</w:t>
      </w:r>
      <w:bookmarkEnd w:id="3"/>
      <w:bookmarkEnd w:id="4"/>
    </w:p>
    <w:p>
      <w:pPr>
        <w:pStyle w:val="Style16"/>
        <w:spacing w:before="360" w:after="0"/>
        <w:rPr/>
      </w:pPr>
      <w:bookmarkStart w:id="5" w:name="_Toc228877671"/>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32876309"/>
      <w:bookmarkStart w:id="7" w:name="_Toc228877672"/>
      <w:bookmarkStart w:id="8" w:name="_Ref125359973"/>
      <w:bookmarkStart w:id="9" w:name="_Ref127270076"/>
      <w:r>
        <w:rPr/>
        <w:t>Информация о проводимой закупке</w:t>
      </w:r>
      <w:bookmarkEnd w:id="6"/>
      <w:bookmarkEnd w:id="7"/>
      <w:bookmarkEnd w:id="8"/>
      <w:bookmarkEnd w:id="9"/>
    </w:p>
    <w:tbl>
      <w:tblPr>
        <w:tblStyle w:val="961"/>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4"/>
        <w:gridCol w:w="5812"/>
      </w:tblGrid>
      <w:tr>
        <w:trPr/>
        <w:tc>
          <w:tcPr>
            <w:tcW w:w="112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2" w:type="dxa"/>
            <w:tcBorders/>
          </w:tcPr>
          <w:p>
            <w:pPr>
              <w:pStyle w:val="Style21"/>
              <w:widowControl/>
              <w:suppressAutoHyphens w:val="true"/>
              <w:spacing w:lineRule="auto" w:line="240" w:before="60" w:after="60"/>
              <w:rPr/>
            </w:pPr>
            <w:r>
              <w:rPr>
                <w:rFonts w:eastAsia="Calibri" w:cs="Arial"/>
                <w:kern w:val="0"/>
                <w:sz w:val="26"/>
                <w:szCs w:val="22"/>
                <w:shd w:fill="auto" w:val="clear"/>
                <w:lang w:val="ru-RU" w:eastAsia="en-US" w:bidi="ar-SA"/>
              </w:rPr>
              <w:t>Лот №  41023008-ЭКСП БЕЗ-2027-ДГК-НерГРЭС</w:t>
            </w:r>
            <w:r>
              <w:rPr>
                <w:rStyle w:val="Style3"/>
                <w:rFonts w:eastAsia="Calibri" w:cs="Arial"/>
                <w:kern w:val="0"/>
                <w:sz w:val="26"/>
                <w:szCs w:val="22"/>
                <w:shd w:fill="auto" w:val="clear"/>
                <w:lang w:val="ru-RU" w:eastAsia="en-US" w:bidi="ar-SA"/>
              </w:rPr>
              <w:t xml:space="preserve"> ОКПД2 80.20.10.000 Оказание услуг по техническому обслуживанию системы охранного телевидения, охранной сигнализации СП Нерюнгринская ГРЭС п. Серебряный Бор, Чульманская ТЭЦ п. Чульман, НВК г. Нерюнгри</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2"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2" w:type="dxa"/>
            <w:tcBorders/>
          </w:tcPr>
          <w:p>
            <w:pPr>
              <w:pStyle w:val="Normal"/>
              <w:widowControl/>
              <w:suppressAutoHyphens w:val="tru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suppressAutoHyphens w:val="tru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Участники:</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2" w:type="dxa"/>
            <w:tcBorders/>
          </w:tcPr>
          <w:p>
            <w:pPr>
              <w:pStyle w:val="Style21"/>
              <w:widowControl/>
              <w:suppressAutoHyphens w:val="true"/>
              <w:spacing w:lineRule="auto" w:line="240" w:before="60" w:after="60"/>
              <w:ind w:hanging="0" w:left="0" w:right="34"/>
              <w:rPr>
                <w:b w:val="false"/>
                <w:sz w:val="20"/>
                <w:szCs w:val="20"/>
                <w:u w:val="none"/>
                <w14:ligatures w14: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highlight w:val="none"/>
                <w14:ligatures w14:val="none"/>
              </w:rPr>
            </w:pPr>
            <w:r>
              <w:rPr>
                <w:rFonts w:eastAsia="Calibri" w:cs="Arial"/>
                <w:kern w:val="0"/>
                <w:sz w:val="26"/>
                <w:szCs w:val="26"/>
                <w:lang w:val="ru-RU" w:eastAsia="en-US" w:bidi="ar-SA"/>
              </w:rPr>
              <w:t>Контактный телефон: +7 (4212) 26-41-48</w:t>
            </w:r>
          </w:p>
          <w:p>
            <w:pPr>
              <w:pStyle w:val="Normal"/>
              <w:widowControl w:val="false"/>
              <w:suppressAutoHyphens w:val="true"/>
              <w:spacing w:lineRule="auto" w:line="240" w:before="60" w:after="60"/>
              <w:ind w:hanging="0"/>
              <w:jc w:val="left"/>
              <w:rPr>
                <w:rFonts w:ascii="Times New Roman" w:hAnsi="Times New Roman" w:eastAsia="Calibri" w:cs="Arial"/>
                <w:kern w:val="0"/>
                <w:lang w:val="ru-RU" w:eastAsia="en-US" w:bidi="ar-SA"/>
              </w:rPr>
            </w:pPr>
            <w:r>
              <w:rPr>
                <w:rFonts w:eastAsia="Calibri" w:cs="Arial"/>
                <w:b/>
                <w:bCs/>
                <w:kern w:val="0"/>
                <w:sz w:val="26"/>
                <w:szCs w:val="26"/>
                <w:highlight w:val="white"/>
                <w:lang w:val="ru-RU" w:eastAsia="en-US" w:bidi="ar-SA"/>
              </w:rPr>
              <w:t xml:space="preserve">По вопросу заключения Договора обращаться к </w:t>
            </w:r>
            <w:r>
              <w:rPr>
                <w:rFonts w:eastAsia="Calibri" w:cs="Arial"/>
                <w:b w:val="false"/>
                <w:bCs/>
                <w:i/>
                <w:kern w:val="0"/>
                <w:sz w:val="26"/>
                <w:szCs w:val="26"/>
                <w:highlight w:val="white"/>
                <w:lang w:val="ru-RU" w:eastAsia="en-US" w:bidi="ar-SA"/>
              </w:rPr>
              <w:t>Специалист ОБ и СП СП «НГРЭС» Гудис Игорь Романович. Тел. (41147) 95-300 доб. 15417</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2" w:type="dxa"/>
            <w:tcBorders/>
          </w:tcPr>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b/>
                <w:szCs w:val="20"/>
                <w14:ligatures w14:val="none"/>
              </w:rPr>
            </w:pPr>
            <w:r>
              <w:rPr>
                <w:rFonts w:eastAsia="Calibri" w:cs="Arial"/>
                <w:kern w:val="0"/>
                <w:sz w:val="26"/>
                <w:szCs w:val="26"/>
                <w:lang w:val="ru-RU" w:eastAsia="en-US" w:bidi="ar-SA"/>
              </w:rPr>
              <w:t>Контактный телефон: +7(4212) 26-41-48</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2" w:type="dxa"/>
            <w:tcBorders/>
          </w:tcPr>
          <w:p>
            <w:pPr>
              <w:pStyle w:val="Style21"/>
              <w:widowControl/>
              <w:suppressAutoHyphens w:val="true"/>
              <w:spacing w:lineRule="auto" w:line="240" w:before="60" w:after="60"/>
              <w:ind w:hanging="0" w:left="0" w:right="34"/>
              <w:rPr>
                <w:sz w:val="26"/>
                <w:szCs w:val="26"/>
                <w:highlight w:val="none"/>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«05» октября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5 603 600,00 руб., без учета НДС.</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suppressAutoHyphens w:val="tru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2"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475086"/>
            <w:bookmarkStart w:id="37" w:name="_Ref125475086"/>
            <w:bookmarkEnd w:id="37"/>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25360779"/>
            <w:bookmarkStart w:id="39" w:name="_Ref125360779"/>
            <w:bookmarkEnd w:id="39"/>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«06» октября 2026 г.</w:t>
            </w:r>
          </w:p>
          <w:p>
            <w:pPr>
              <w:pStyle w:val="Style21"/>
              <w:widowControl/>
              <w:suppressAutoHyphens w:val="true"/>
              <w:spacing w:lineRule="auto" w:line="240" w:before="60" w:after="60"/>
              <w:rPr/>
            </w:pPr>
            <w:r>
              <w:rPr>
                <w:rFonts w:eastAsia="Calibri" w:cs="Arial"/>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«15» октября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«15» октября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6197"/>
            <w:bookmarkStart w:id="41" w:name="_Ref125476197"/>
            <w:bookmarkEnd w:id="41"/>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2733"/>
            <w:bookmarkStart w:id="43" w:name="_Ref125362733"/>
            <w:bookmarkEnd w:id="43"/>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«22» октября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32898515"/>
            <w:bookmarkStart w:id="45" w:name="_Ref132898515"/>
            <w:bookmarkEnd w:id="45"/>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«06» ноября 2026 г.</w:t>
            </w:r>
          </w:p>
          <w:p>
            <w:pPr>
              <w:pStyle w:val="Style21"/>
              <w:widowControl/>
              <w:suppressAutoHyphens w:val="true"/>
              <w:spacing w:lineRule="auto" w:line="240" w:before="60" w:after="60"/>
              <w:rPr>
                <w:rStyle w:val="Style3"/>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57"/>
            <w:bookmarkStart w:id="47" w:name="_Ref125362757"/>
            <w:bookmarkEnd w:id="47"/>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«06» ноября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25366047"/>
            <w:bookmarkStart w:id="49" w:name="_Ref125366047"/>
            <w:bookmarkEnd w:id="49"/>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1769"/>
            <w:bookmarkStart w:id="51" w:name="_Ref125361769"/>
            <w:bookmarkEnd w:id="51"/>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606"/>
            <w:bookmarkStart w:id="53" w:name="_Ref125366606"/>
            <w:bookmarkEnd w:id="53"/>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6813"/>
            <w:bookmarkStart w:id="55" w:name="_Ref125366813"/>
            <w:bookmarkEnd w:id="55"/>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2" w:type="dxa"/>
            <w:tcBorders/>
          </w:tcPr>
          <w:p>
            <w:pPr>
              <w:pStyle w:val="Style21"/>
              <w:keepNext w:val="true"/>
              <w:widowControl/>
              <w:suppressAutoHyphens w:val="true"/>
              <w:spacing w:lineRule="auto" w:line="240" w:before="60" w:after="60"/>
              <w:rPr/>
            </w:pPr>
            <w:r>
              <w:rPr>
                <w:rFonts w:eastAsia="Calibri" w:cs="Arial"/>
                <w:kern w:val="0"/>
                <w:sz w:val="26"/>
                <w:szCs w:val="22"/>
                <w:lang w:val="ru-RU" w:eastAsia="en-US" w:bidi="ar-SA"/>
              </w:rPr>
              <w:t>Для подачи документов в бумажной форме:</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Контактное лицо (Ф.И.О.):</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Гудис Игорь Романович</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Почтовый адрес:</w:t>
            </w:r>
          </w:p>
          <w:p>
            <w:pPr>
              <w:pStyle w:val="Style21"/>
              <w:widowControl/>
              <w:suppressAutoHyphens w:val="true"/>
              <w:spacing w:lineRule="auto" w:line="240" w:before="60" w:after="60"/>
              <w:rPr>
                <w:lang w:val="ru-RU"/>
              </w:rPr>
            </w:pPr>
            <w:r>
              <w:rPr>
                <w:rFonts w:eastAsia="Calibri" w:cs="Arial"/>
                <w:i/>
                <w:iCs/>
                <w:kern w:val="0"/>
                <w:sz w:val="26"/>
                <w:szCs w:val="22"/>
                <w:lang w:val="ru-RU" w:eastAsia="en-US" w:bidi="ar-SA"/>
              </w:rPr>
              <w:t>678995, Республика Саха (Якутия) г. Нерюнгри, пгт. Серебряный Бор, СП «Нерюнгринская ГРЭС»</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8490"/>
            <w:bookmarkStart w:id="57" w:name="_Ref125368490"/>
            <w:bookmarkEnd w:id="57"/>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4"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2"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tc>
      </w:tr>
    </w:tbl>
    <w:p>
      <w:pPr>
        <w:pStyle w:val="Style15"/>
        <w:spacing w:before="0" w:after="0"/>
        <w:rPr/>
      </w:pPr>
      <w:bookmarkStart w:id="58" w:name="_Ref125360073"/>
      <w:bookmarkStart w:id="59" w:name="_Ref125360337"/>
      <w:bookmarkStart w:id="60" w:name="_Toc228877673"/>
      <w:r>
        <w:rPr/>
        <w:t>Общие положения</w:t>
      </w:r>
      <w:bookmarkEnd w:id="58"/>
      <w:bookmarkEnd w:id="59"/>
      <w:bookmarkEnd w:id="60"/>
    </w:p>
    <w:p>
      <w:pPr>
        <w:pStyle w:val="Style16"/>
        <w:spacing w:before="360" w:after="0"/>
        <w:rPr/>
      </w:pPr>
      <w:bookmarkStart w:id="61" w:name="_Toc228877674"/>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228877675"/>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Ref125363536"/>
      <w:bookmarkStart w:id="65" w:name="_Toc22887767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228877677"/>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228877678"/>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Ref125361210"/>
      <w:bookmarkStart w:id="71" w:name="_Toc228877679"/>
      <w:r>
        <w:rPr/>
        <w:t>Требования к Участникам</w:t>
      </w:r>
      <w:bookmarkEnd w:id="70"/>
      <w:bookmarkEnd w:id="71"/>
    </w:p>
    <w:p>
      <w:pPr>
        <w:pStyle w:val="Style16"/>
        <w:spacing w:before="360" w:after="0"/>
        <w:rPr/>
      </w:pPr>
      <w:bookmarkStart w:id="72" w:name="_Ref127524530"/>
      <w:bookmarkStart w:id="73" w:name="_Toc22887768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Toc224743790"/>
      <w:bookmarkStart w:id="79" w:name="_Toc228877681"/>
      <w:bookmarkStart w:id="80" w:name="_Toc224743788"/>
      <w:bookmarkStart w:id="81" w:name="_Toc224743787"/>
      <w:bookmarkStart w:id="82" w:name="_Toc224743786"/>
      <w:bookmarkStart w:id="83" w:name="_Toc224743784"/>
      <w:bookmarkStart w:id="84" w:name="_Toc224743783"/>
      <w:bookmarkStart w:id="85" w:name="_Toc224743782"/>
      <w:bookmarkStart w:id="86" w:name="_Toc224743781"/>
      <w:bookmarkStart w:id="87" w:name="_Toc224743793"/>
      <w:bookmarkStart w:id="88" w:name="_Ref125361969_Копия_1"/>
      <w:bookmarkStart w:id="89" w:name="_Toc224743791"/>
      <w:bookmarkStart w:id="90" w:name="_Ref125361702"/>
      <w:bookmarkStart w:id="91" w:name="_Toc224743789"/>
      <w:bookmarkStart w:id="92" w:name="_Toc224743792"/>
      <w:bookmarkStart w:id="93" w:name="_Toc224743800"/>
      <w:bookmarkStart w:id="94" w:name="_Toc224743799"/>
      <w:bookmarkStart w:id="95" w:name="_Toc224743797"/>
      <w:bookmarkStart w:id="96" w:name="_Toc224743796"/>
      <w:bookmarkStart w:id="97" w:name="_Toc224743795"/>
      <w:bookmarkStart w:id="98" w:name="_Toc224743794"/>
      <w:bookmarkStart w:id="99" w:name="_Toc224743798"/>
      <w:bookmarkStart w:id="100" w:name="_Ref125361976_Копия_1"/>
      <w:bookmarkStart w:id="101" w:name="_Toc224743785"/>
      <w:bookmarkStart w:id="102" w:name="_Toc224743801"/>
      <w:bookmarkEnd w:id="78"/>
      <w:bookmarkEnd w:id="80"/>
      <w:bookmarkEnd w:id="81"/>
      <w:bookmarkEnd w:id="82"/>
      <w:bookmarkEnd w:id="83"/>
      <w:bookmarkEnd w:id="84"/>
      <w:bookmarkEnd w:id="85"/>
      <w:bookmarkEnd w:id="86"/>
      <w:bookmarkEnd w:id="87"/>
      <w:bookmarkEnd w:id="88"/>
      <w:bookmarkEnd w:id="89"/>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9"/>
      <w:bookmarkEnd w:id="90"/>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105" w:name="_Ref125367974"/>
      <w:bookmarkStart w:id="106" w:name="_Toc228877682"/>
      <w:bookmarkStart w:id="107" w:name="_Ref125367098"/>
      <w:bookmarkStart w:id="108" w:name="_Ref125367107"/>
      <w:bookmarkStart w:id="109" w:name="_Ref125361211"/>
      <w:r>
        <w:rPr/>
        <w:t>Порядок проведения закупки</w:t>
      </w:r>
      <w:bookmarkEnd w:id="105"/>
      <w:bookmarkEnd w:id="106"/>
      <w:bookmarkEnd w:id="107"/>
      <w:bookmarkEnd w:id="108"/>
      <w:bookmarkEnd w:id="109"/>
    </w:p>
    <w:p>
      <w:pPr>
        <w:pStyle w:val="Style16"/>
        <w:spacing w:before="360" w:after="0"/>
        <w:rPr/>
      </w:pPr>
      <w:bookmarkStart w:id="110" w:name="_Ref126141932"/>
      <w:bookmarkStart w:id="111" w:name="_Toc228877683"/>
      <w:r>
        <w:rPr/>
        <w:t>Общий порядок проведения закупки</w:t>
      </w:r>
      <w:bookmarkEnd w:id="110"/>
      <w:bookmarkEnd w:id="111"/>
    </w:p>
    <w:p>
      <w:pPr>
        <w:pStyle w:val="Style17"/>
        <w:keepNext w:val="true"/>
        <w:spacing w:before="120" w:after="120"/>
        <w:rPr/>
      </w:pPr>
      <w:r>
        <w:rPr/>
        <w:t>Закупка проводится в следующем порядке:</w:t>
      </w:r>
    </w:p>
    <w:tbl>
      <w:tblPr>
        <w:tblStyle w:val="961"/>
        <w:tblW w:w="14607" w:type="dxa"/>
        <w:jc w:val="left"/>
        <w:tblInd w:w="710"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656"/>
        <w:gridCol w:w="2693"/>
        <w:gridCol w:w="2269"/>
        <w:gridCol w:w="2408"/>
      </w:tblGrid>
      <w:tr>
        <w:trPr/>
        <w:tc>
          <w:tcPr>
            <w:tcW w:w="372" w:type="dxa"/>
            <w:tcBorders>
              <w:left w:val="nil"/>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4234" w:type="dxa"/>
            <w:gridSpan w:val="6"/>
            <w:tcBorders>
              <w:right w:val="nil"/>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Arial"/>
                <w:b/>
                <w:bCs/>
                <w:kern w:val="0"/>
                <w:sz w:val="24"/>
                <w:szCs w:val="24"/>
                <w:lang w:val="ru-RU" w:eastAsia="en-US" w:bidi="ar-SA"/>
              </w:rPr>
              <w:t>Официальное размещение Извещения и Документации о закупке (подраздел </w:t>
            </w:r>
            <w:r>
              <w:rPr>
                <w:rFonts w:eastAsia="Calibri" w:cs="Arial"/>
                <w:b/>
                <w:bCs/>
                <w:kern w:val="0"/>
                <w:sz w:val="24"/>
                <w:szCs w:val="24"/>
                <w:lang w:val="ru-RU" w:eastAsia="en-US" w:bidi="ar-SA"/>
              </w:rPr>
              <w:fldChar w:fldCharType="begin"/>
            </w:r>
            <w:r>
              <w:rPr>
                <w:sz w:val="24"/>
                <w:b/>
                <w:kern w:val="0"/>
                <w:szCs w:val="24"/>
                <w:bCs/>
                <w:rFonts w:eastAsia="Calibri" w:cs="Arial"/>
                <w:lang w:val="ru-RU" w:eastAsia="en-US" w:bidi="ar-SA"/>
              </w:rPr>
              <w:instrText xml:space="preserve"> REF _Ref130286532 \r \h </w:instrText>
            </w:r>
            <w:r>
              <w:rPr>
                <w:sz w:val="24"/>
                <w:b/>
                <w:kern w:val="0"/>
                <w:szCs w:val="24"/>
                <w:bCs/>
                <w:rFonts w:eastAsia="Calibri" w:cs="Arial"/>
                <w:lang w:val="ru-RU" w:eastAsia="en-US" w:bidi="ar-SA"/>
              </w:rPr>
              <w:fldChar w:fldCharType="separate"/>
            </w:r>
            <w:r>
              <w:rPr>
                <w:sz w:val="24"/>
                <w:b/>
                <w:kern w:val="0"/>
                <w:szCs w:val="24"/>
                <w:bCs/>
                <w:rFonts w:eastAsia="Calibri" w:cs="Arial"/>
                <w:lang w:val="ru-RU" w:eastAsia="en-US" w:bidi="ar-SA"/>
              </w:rPr>
              <w:t>4.2</w:t>
            </w:r>
            <w:r>
              <w:rPr>
                <w:sz w:val="24"/>
                <w:b/>
                <w:kern w:val="0"/>
                <w:szCs w:val="24"/>
                <w:bCs/>
                <w:rFonts w:eastAsia="Calibri" w:cs="Arial"/>
                <w:lang w:val="ru-RU" w:eastAsia="en-US" w:bidi="ar-SA"/>
              </w:rPr>
              <w:fldChar w:fldCharType="end"/>
            </w:r>
            <w:r>
              <w:rPr>
                <w:rFonts w:eastAsia="Calibri" w:cs="Arial"/>
                <w:b/>
                <w:bCs/>
                <w:kern w:val="0"/>
                <w:sz w:val="24"/>
                <w:szCs w:val="24"/>
                <w:lang w:val="ru-RU" w:eastAsia="en-US" w:bidi="ar-SA"/>
              </w:rPr>
              <w:t>)</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Подготовка заявки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_Ref130281199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Предоставление разъяснений положений Документации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_Ref130394205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269"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Внесение изменений в Извещение и (или) Документацию о закупке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_Ref125362076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18"/>
                <w:szCs w:val="18"/>
                <w:lang w:val="ru-RU" w:eastAsia="en-US" w:bidi="ar-SA"/>
              </w:rPr>
              <w:t>(опциональная процедура закупки)</w:t>
            </w:r>
          </w:p>
        </w:tc>
        <w:tc>
          <w:tcPr>
            <w:tcW w:w="2408" w:type="dxa"/>
            <w:vMerge w:val="restart"/>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Отказ от проведения закупки (отмена закупки)</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_Ref132816134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Подача заявок и их прием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Изменение и отзыв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_Ref125362130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826" w:type="dxa"/>
            <w:gridSpan w:val="5"/>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 первым частям заявок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_Ref132816188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4.8</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408" w:type="dxa"/>
            <w:tcBorders>
              <w:bottom w:val="nil"/>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Рассмотрение первых частей заявок (отборочная стадия)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_Ref125362364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4.9</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Направление дополнительных запросов разъяснений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restart"/>
            <w:tcBorders>
              <w:top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Признание закупки</w:t>
              <w:br/>
              <w:t>несостоявшейся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_Ref125364149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408" w:type="dxa"/>
            <w:vMerge w:val="restart"/>
            <w:tcBorders>
              <w:top w:val="nil"/>
              <w:right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_Ref132816141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ко вторым частям заявок</w:t>
              <w:br/>
              <w:t>и ценовым предложениям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_Ref132801184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4.10</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1552"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righ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 и ценовых предложений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_Ref132797154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4.11</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656" w:type="dxa"/>
            <w:tcBorders>
              <w:lef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Применение законодательства о национальном режиме</w:t>
              <w:br/>
              <w:t>(</w:t>
            </w:r>
            <w:r>
              <w:rPr>
                <w:rFonts w:eastAsia="Calibri" w:cs="Arial"/>
                <w:bCs/>
                <w:kern w:val="0"/>
                <w:sz w:val="24"/>
                <w:szCs w:val="24"/>
                <w:u w:val="single"/>
                <w:lang w:val="ru-RU" w:eastAsia="en-US" w:bidi="ar-SA"/>
              </w:rPr>
              <w:t>предоставление национального режима / запрета, ограничения</w:t>
            </w:r>
            <w:r>
              <w:rPr>
                <w:rFonts w:eastAsia="Calibri" w:cs="Arial"/>
                <w:bCs/>
                <w:kern w:val="0"/>
                <w:sz w:val="24"/>
                <w:szCs w:val="24"/>
                <w:lang w:val="ru-RU" w:eastAsia="en-US" w:bidi="ar-SA"/>
              </w:rPr>
              <w:t>)</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_Ref186219943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vAlign w:val="center"/>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Оценка и сопоставление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_Ref125362626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_Ref132816300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557" w:type="dxa"/>
            <w:gridSpan w:val="4"/>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Подведение итогов закупки (определение Победителя)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_Ref125362658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864" w:type="dxa"/>
            <w:gridSpan w:val="3"/>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Заключение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_Ref138341423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p>
            <w:pPr>
              <w:pStyle w:val="Style21"/>
              <w:widowControl/>
              <w:suppressAutoHyphens w:val="true"/>
              <w:spacing w:lineRule="auto" w:line="240" w:before="0" w:after="0"/>
              <w:jc w:val="center"/>
              <w:rPr>
                <w:bCs/>
                <w:sz w:val="24"/>
                <w:szCs w:val="24"/>
              </w:rPr>
            </w:pPr>
            <w:r>
              <w:rPr>
                <w:bCs/>
                <w:sz w:val="24"/>
                <w:szCs w:val="24"/>
              </w:rPr>
            </w:r>
          </w:p>
        </w:tc>
        <w:tc>
          <w:tcPr>
            <w:tcW w:w="7370" w:type="dxa"/>
            <w:gridSpan w:val="3"/>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Уклонение Победителя от заключения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_Ref125367068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115" w:name="_Ref130281199"/>
      <w:bookmarkStart w:id="116" w:name="_Ref130394681"/>
      <w:bookmarkStart w:id="117" w:name="_Toc228877685"/>
      <w:r>
        <w:rPr/>
        <w:t>Подготовка заявки</w:t>
      </w:r>
      <w:bookmarkEnd w:id="115"/>
      <w:bookmarkEnd w:id="116"/>
      <w:bookmarkEnd w:id="117"/>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25" w:name="_Toc228877686"/>
      <w:bookmarkStart w:id="126" w:name="_Ref130394802"/>
      <w:bookmarkStart w:id="127" w:name="_Ref130394785"/>
      <w:bookmarkStart w:id="128" w:name="_Ref125361260"/>
      <w:bookmarkStart w:id="129" w:name="_Ref130394205"/>
      <w:bookmarkStart w:id="130" w:name="_Ref125366672"/>
      <w:bookmarkStart w:id="131" w:name="_Ref125362071"/>
      <w:r>
        <w:rPr/>
        <w:t>Разъяснение Документации о закупке</w:t>
      </w:r>
      <w:bookmarkEnd w:id="125"/>
      <w:bookmarkEnd w:id="126"/>
      <w:bookmarkEnd w:id="127"/>
      <w:bookmarkEnd w:id="128"/>
      <w:bookmarkEnd w:id="129"/>
      <w:bookmarkEnd w:id="130"/>
      <w:bookmarkEnd w:id="131"/>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36" w:name="_Ref125550844"/>
      <w:r>
        <w:rPr/>
        <w:t>в пределах срока действия заявок и с уведомлением Участников, подавших заявки.</w:t>
      </w:r>
      <w:bookmarkEnd w:id="136"/>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37" w:name="_Ref125362119"/>
      <w:bookmarkStart w:id="138" w:name="_Toc228877688"/>
      <w:r>
        <w:rPr/>
        <w:t>Подача заявок и их прием</w:t>
      </w:r>
      <w:bookmarkEnd w:id="137"/>
      <w:bookmarkEnd w:id="138"/>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40" w:name="_Toc228877689"/>
      <w:bookmarkStart w:id="141" w:name="_Ref125362192"/>
      <w:bookmarkStart w:id="142" w:name="_Ref125363819"/>
      <w:bookmarkStart w:id="143" w:name="_Ref125362130"/>
      <w:bookmarkStart w:id="144" w:name="_Ref125365136"/>
      <w:r>
        <w:rPr/>
        <w:t>Изменение и отзыв заявок</w:t>
      </w:r>
      <w:bookmarkEnd w:id="140"/>
      <w:bookmarkEnd w:id="141"/>
      <w:bookmarkEnd w:id="142"/>
      <w:bookmarkEnd w:id="143"/>
      <w:bookmarkEnd w:id="144"/>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45" w:name="_Ref132816188"/>
      <w:bookmarkStart w:id="146" w:name="_Toc228877690"/>
      <w:r>
        <w:rPr/>
        <w:t>Открытие доступа к первым частям заявок</w:t>
      </w:r>
      <w:bookmarkEnd w:id="145"/>
      <w:bookmarkEnd w:id="146"/>
    </w:p>
    <w:p>
      <w:pPr>
        <w:pStyle w:val="Style17"/>
        <w:spacing w:before="120" w:after="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17"/>
        <w:spacing w:before="0" w:after="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16"/>
        <w:spacing w:before="360" w:after="0"/>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9" w:name="_Ref125362425"/>
      <w:bookmarkStart w:id="160" w:name="_Ref125362381"/>
      <w:bookmarkStart w:id="161" w:name="_Ref125362464"/>
      <w:bookmarkStart w:id="162" w:name="_Toc228877694"/>
      <w:bookmarkStart w:id="163" w:name="_Ref125362610"/>
      <w:r>
        <w:rPr/>
        <w:t>Дополнительные запросы разъяснений заявок</w:t>
      </w:r>
      <w:bookmarkEnd w:id="159"/>
      <w:bookmarkEnd w:id="160"/>
      <w:bookmarkEnd w:id="161"/>
      <w:bookmarkEnd w:id="162"/>
      <w:bookmarkEnd w:id="163"/>
    </w:p>
    <w:p>
      <w:pPr>
        <w:pStyle w:val="Style17"/>
        <w:spacing w:before="120" w:after="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67" w:name="_Ref125369041"/>
      <w:bookmarkStart w:id="168" w:name="_Ref125369308"/>
      <w:bookmarkStart w:id="169" w:name="_Ref125362626"/>
      <w:bookmarkStart w:id="170" w:name="_Ref125365335"/>
      <w:bookmarkStart w:id="171" w:name="_Ref125365519"/>
      <w:bookmarkStart w:id="172" w:name="_Ref125366534"/>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74" w:name="_Ref130458671"/>
      <w:bookmarkStart w:id="175" w:name="_Ref125366064"/>
      <w:bookmarkStart w:id="176" w:name="_Ref132816300"/>
      <w:bookmarkStart w:id="177" w:name="_Ref186219943"/>
      <w:bookmarkStart w:id="178" w:name="_Ref125369991"/>
      <w:bookmarkStart w:id="179" w:name="_Ref125370507"/>
      <w:bookmarkStart w:id="180" w:name="_Toc228877696"/>
      <w:bookmarkStart w:id="181" w:name="_Ref13098595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89" w:name="_Ref125364187"/>
      <w:bookmarkStart w:id="190" w:name="_Ref125365570"/>
      <w:bookmarkStart w:id="191" w:name="_Ref125366796"/>
      <w:bookmarkStart w:id="192" w:name="_Ref125366631"/>
      <w:bookmarkStart w:id="193" w:name="_Ref125365305"/>
      <w:bookmarkStart w:id="194" w:name="_Toc228877699"/>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17"/>
        <w:keepNext w:val="true"/>
        <w:spacing w:before="120" w:after="0"/>
        <w:rPr/>
      </w:pPr>
      <w:bookmarkStart w:id="196" w:name="_Ref214290552"/>
      <w:r>
        <w:rPr/>
        <w:t>Закупка признается несостоявшейся в следующих случаях:</w:t>
      </w:r>
      <w:bookmarkEnd w:id="196"/>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200" w:name="_Ref132816141"/>
      <w:bookmarkStart w:id="201" w:name="_Toc228877700"/>
      <w:bookmarkStart w:id="202" w:name="_Ref126141962"/>
      <w:bookmarkStart w:id="203" w:name="_Ref132816134"/>
      <w:bookmarkStart w:id="204" w:name="_Toc224743821"/>
      <w:bookmarkStart w:id="205" w:name="_Toc224743823"/>
      <w:bookmarkStart w:id="206" w:name="_Toc224743822"/>
      <w:bookmarkStart w:id="207" w:name="_Toc224743824"/>
      <w:bookmarkEnd w:id="204"/>
      <w:bookmarkEnd w:id="205"/>
      <w:bookmarkEnd w:id="206"/>
      <w:bookmarkEnd w:id="207"/>
      <w:r>
        <w:rPr/>
        <w:t>Отказ от проведения закупки</w:t>
      </w:r>
      <w:bookmarkEnd w:id="202"/>
      <w:r>
        <w:rPr/>
        <w:t xml:space="preserve"> (отмена закупки)</w:t>
      </w:r>
      <w:bookmarkEnd w:id="200"/>
      <w:bookmarkEnd w:id="201"/>
      <w:bookmarkEnd w:id="203"/>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215" w:name="_Toc228877704"/>
      <w:bookmarkStart w:id="216" w:name="_Ref126142429"/>
      <w:bookmarkStart w:id="217" w:name="_Ref130224037"/>
      <w:bookmarkStart w:id="218" w:name="_Ref125361212"/>
      <w:bookmarkStart w:id="219" w:name="_Ref125363439"/>
      <w:bookmarkStart w:id="220" w:name="_Ref125362671"/>
      <w:bookmarkStart w:id="221" w:name="_Ref125367083"/>
      <w:bookmarkStart w:id="222" w:name="_Ref125366769"/>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16"/>
        <w:spacing w:before="360" w:after="0"/>
        <w:rPr/>
      </w:pPr>
      <w:bookmarkStart w:id="224" w:name="_Toc228877705"/>
      <w:r>
        <w:rPr/>
        <w:t>Общие положения</w:t>
      </w:r>
      <w:bookmarkEnd w:id="22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17"/>
        <w:spacing w:before="120" w:after="0"/>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bookmarkStart w:id="231" w:name="_Ref125363464"/>
      <w:bookmarkEnd w:id="231"/>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32" w:name="_Ref125363464_Копия_1"/>
      <w:bookmarkStart w:id="233" w:name="_Ref125363464_Копия_1"/>
      <w:bookmarkEnd w:id="233"/>
    </w:p>
    <w:p>
      <w:pPr>
        <w:pStyle w:val="Style17"/>
        <w:spacing w:before="12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34"/>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36"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6"/>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37"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7"/>
    </w:p>
    <w:p>
      <w:pPr>
        <w:pStyle w:val="Style17"/>
        <w:spacing w:before="0" w:after="0"/>
        <w:rPr/>
      </w:pPr>
      <w:bookmarkStart w:id="238"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9"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9"/>
      <w:r>
        <w:rPr/>
        <w:t>.</w:t>
      </w:r>
      <w:bookmarkEnd w:id="238"/>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40" w:name="_Ref125367068"/>
      <w:bookmarkStart w:id="241" w:name="_Toc228877707"/>
      <w:r>
        <w:rPr/>
        <w:t>Уклонение Победителя от заключения Договора</w:t>
      </w:r>
      <w:bookmarkEnd w:id="240"/>
      <w:bookmarkEnd w:id="241"/>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42" w:name="_Ref125364088"/>
      <w:bookmarkStart w:id="243" w:name="Прил01_ТехТребования"/>
      <w:bookmarkStart w:id="244" w:name="_Ref125370843"/>
      <w:bookmarkStart w:id="245" w:name="_Toc228877708"/>
      <w:bookmarkStart w:id="246" w:name="_Ref125363016"/>
      <w:bookmarkStart w:id="247" w:name="_Ref125364201"/>
      <w:bookmarkStart w:id="248" w:name="_Ref125363752"/>
      <w:bookmarkStart w:id="249" w:name="_Ref125370746"/>
      <w:bookmarkStart w:id="250" w:name="_Ref125370732"/>
      <w:bookmarkStart w:id="251" w:name="_Ref125370741"/>
      <w:bookmarkStart w:id="252" w:name="_Ref125370750"/>
      <w:bookmarkStart w:id="253" w:name="_Ref125363034"/>
      <w:bookmarkStart w:id="254" w:name="_Ref125363023"/>
      <w:bookmarkStart w:id="255" w:name="_Ref125363600"/>
      <w:r>
        <w:rPr/>
        <w:t>Приложение № 1 – Технические требования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Style16"/>
        <w:spacing w:before="360" w:after="0"/>
        <w:rPr/>
      </w:pPr>
      <w:bookmarkStart w:id="256" w:name="_Toc228877709"/>
      <w:r>
        <w:rPr/>
        <w:t>Пояснения к Техническим требованиям</w:t>
      </w:r>
      <w:bookmarkEnd w:id="256"/>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57" w:name="_Ref125363759"/>
      <w:bookmarkStart w:id="258" w:name="_Ref125364206"/>
      <w:bookmarkStart w:id="259" w:name="_Toc228877710"/>
      <w:bookmarkStart w:id="260" w:name="_Ref125370754"/>
      <w:bookmarkStart w:id="261" w:name="Прил02_ПроектДоговора"/>
      <w:bookmarkStart w:id="262" w:name="_Ref125361746"/>
      <w:bookmarkStart w:id="263" w:name="_Ref125363040"/>
      <w:bookmarkStart w:id="264" w:name="_Ref125364081"/>
      <w:bookmarkStart w:id="265" w:name="_Ref125363605"/>
      <w:r>
        <w:rPr/>
        <w:t>Приложение № 2 – Проект договора</w:t>
      </w:r>
      <w:bookmarkEnd w:id="257"/>
      <w:bookmarkEnd w:id="258"/>
      <w:bookmarkEnd w:id="259"/>
      <w:bookmarkEnd w:id="260"/>
      <w:bookmarkEnd w:id="261"/>
      <w:bookmarkEnd w:id="262"/>
      <w:bookmarkEnd w:id="263"/>
      <w:bookmarkEnd w:id="264"/>
      <w:bookmarkEnd w:id="265"/>
    </w:p>
    <w:p>
      <w:pPr>
        <w:pStyle w:val="Style16"/>
        <w:spacing w:before="360" w:after="0"/>
        <w:rPr/>
      </w:pPr>
      <w:bookmarkStart w:id="266" w:name="_Toc228877711"/>
      <w:r>
        <w:rPr/>
        <w:t>Пояснения к Проекту договора</w:t>
      </w:r>
      <w:bookmarkEnd w:id="266"/>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7" w:name="_MON_1736255517"/>
      <w:bookmarkEnd w:id="267"/>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45160"/>
            <wp:effectExtent l="0" t="0" r="0" b="0"/>
            <wp:docPr id="1" name="_x005F_x0000_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0" descr=""/>
                    <pic:cNvPicPr>
                      <a:picLocks noChangeAspect="1" noChangeArrowheads="1"/>
                    </pic:cNvPicPr>
                  </pic:nvPicPr>
                  <pic:blipFill>
                    <a:blip r:embed="rId12"/>
                    <a:stretch>
                      <a:fillRect/>
                    </a:stretch>
                  </pic:blipFill>
                  <pic:spPr bwMode="auto">
                    <a:xfrm>
                      <a:off x="0" y="0"/>
                      <a:ext cx="991235" cy="645160"/>
                    </a:xfrm>
                    <a:prstGeom prst="rect">
                      <a:avLst/>
                    </a:prstGeom>
                  </pic:spPr>
                </pic:pic>
              </a:graphicData>
            </a:graphic>
          </wp:inline>
        </w:drawing>
      </w:r>
    </w:p>
    <w:p>
      <w:pPr>
        <w:pStyle w:val="Style15"/>
        <w:spacing w:before="0" w:after="0"/>
        <w:rPr/>
      </w:pPr>
      <w:bookmarkStart w:id="268" w:name="_Ref125361494"/>
      <w:bookmarkStart w:id="269" w:name="_Ref125361908"/>
      <w:bookmarkStart w:id="270" w:name="_Ref125365476"/>
      <w:bookmarkStart w:id="271" w:name="_Ref125370013"/>
      <w:bookmarkStart w:id="272" w:name="Прил03_ТребованияУчастникам"/>
      <w:bookmarkStart w:id="273" w:name="_Toc228877712"/>
      <w:r>
        <w:rPr/>
        <w:t>Приложение № 3 – Требования к Участникам</w:t>
      </w:r>
      <w:bookmarkEnd w:id="268"/>
      <w:bookmarkEnd w:id="269"/>
      <w:bookmarkEnd w:id="270"/>
      <w:bookmarkEnd w:id="271"/>
      <w:bookmarkEnd w:id="272"/>
      <w:bookmarkEnd w:id="273"/>
    </w:p>
    <w:p>
      <w:pPr>
        <w:pStyle w:val="Style16"/>
        <w:spacing w:before="360" w:after="0"/>
        <w:rPr/>
      </w:pPr>
      <w:bookmarkStart w:id="274" w:name="_Toc228877713"/>
      <w:r>
        <w:rPr/>
        <w:t>Пояснения к требованиям к Участникам</w:t>
      </w:r>
      <w:bookmarkEnd w:id="274"/>
    </w:p>
    <w:p>
      <w:pPr>
        <w:pStyle w:val="Style17"/>
        <w:spacing w:before="120" w:after="0"/>
        <w:rPr/>
      </w:pPr>
      <w:bookmarkStart w:id="275"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5"/>
    </w:p>
    <w:p>
      <w:pPr>
        <w:pStyle w:val="Style16"/>
        <w:spacing w:before="360" w:after="120"/>
        <w:rPr/>
      </w:pPr>
      <w:bookmarkStart w:id="276" w:name="_Ref125361617"/>
      <w:bookmarkStart w:id="277" w:name="_Ref125361590"/>
      <w:bookmarkStart w:id="278" w:name="_Ref125361832"/>
      <w:bookmarkStart w:id="279" w:name="_Ref125361846"/>
      <w:bookmarkStart w:id="280" w:name="_Ref125368895"/>
      <w:bookmarkStart w:id="281" w:name="_Ref125366879"/>
      <w:bookmarkStart w:id="282" w:name="_Ref125361435"/>
      <w:bookmarkStart w:id="283" w:name="_Toc228877714"/>
      <w:bookmarkStart w:id="284" w:name="_Ref125368812"/>
      <w:bookmarkStart w:id="285" w:name="_Ref125361926"/>
      <w:bookmarkStart w:id="286" w:name="_Ref125369088"/>
      <w:bookmarkStart w:id="287" w:name="_Ref125370058"/>
      <w:bookmarkStart w:id="288" w:name="_Ref125370064"/>
      <w:bookmarkStart w:id="289" w:name="_Ref125370071"/>
      <w:r>
        <w:rPr/>
        <w:t>Обязательные требования</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0" w:name="_Ref125552433"/>
            <w:bookmarkStart w:id="291" w:name="_Ref125552433"/>
            <w:bookmarkEnd w:id="29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numPr>
                <w:ilvl w:val="0"/>
                <w:numId w:val="14"/>
              </w:numPr>
              <w:suppressAutoHyphens w:val="true"/>
              <w:spacing w:lineRule="auto" w:line="240" w:before="60" w:after="60"/>
              <w:ind w:hanging="284" w:left="568"/>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numPr>
                <w:ilvl w:val="0"/>
                <w:numId w:val="14"/>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2" w:name="_Ref132893662"/>
            <w:bookmarkStart w:id="293" w:name="_Ref132893662"/>
            <w:bookmarkEnd w:id="293"/>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4" w:name="_Ref139029906"/>
            <w:bookmarkStart w:id="295" w:name="_Ref139029906"/>
            <w:bookmarkEnd w:id="29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6" w:name="_Ref186220330"/>
            <w:bookmarkStart w:id="297" w:name="_Ref186220330"/>
            <w:bookmarkEnd w:id="297"/>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8" w:name="_Ref186220335"/>
            <w:bookmarkStart w:id="299" w:name="_Ref186220335"/>
            <w:bookmarkEnd w:id="299"/>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300" w:name="_Ref125368901"/>
      <w:bookmarkStart w:id="301" w:name="_Ref125709888"/>
      <w:bookmarkStart w:id="302" w:name="_Ref125370079"/>
      <w:bookmarkStart w:id="303" w:name="_Ref125361633"/>
      <w:bookmarkStart w:id="304" w:name="_Ref125361671"/>
      <w:bookmarkStart w:id="305" w:name="_Ref125361442"/>
      <w:bookmarkStart w:id="306" w:name="_Ref125368818"/>
      <w:bookmarkStart w:id="307" w:name="_Ref125367521"/>
      <w:bookmarkStart w:id="308" w:name="_Ref125368916"/>
      <w:bookmarkStart w:id="309" w:name="_Toc228877715"/>
      <w:bookmarkStart w:id="310" w:name="_Ref125361937"/>
      <w:bookmarkStart w:id="311" w:name="_Ref125367539"/>
      <w:bookmarkStart w:id="312" w:name="_Ref125365459"/>
      <w:bookmarkStart w:id="313" w:name="_Ref125709153"/>
      <w:bookmarkStart w:id="314" w:name="_Ref125361869"/>
      <w:bookmarkStart w:id="315" w:name="_Ref125709401"/>
      <w:bookmarkStart w:id="316" w:name="_Ref125369099"/>
      <w:bookmarkStart w:id="317" w:name="_Ref125709250"/>
      <w:r>
        <w:rPr/>
        <w:t>Специальные требования</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Style21"/>
              <w:widowControl/>
              <w:suppressAutoHyphens w:val="true"/>
              <w:spacing w:lineRule="auto" w:line="240" w:before="60" w:after="60"/>
              <w:rPr>
                <w:lang w:val="en-US"/>
              </w:rPr>
            </w:pPr>
            <w:r>
              <w:rPr>
                <w:rFonts w:eastAsia="Calibri" w:cs="Arial"/>
                <w:kern w:val="0"/>
                <w:sz w:val="26"/>
                <w:szCs w:val="22"/>
                <w:lang w:val="ru-RU" w:eastAsia="en-US" w:bidi="ar-SA"/>
              </w:rPr>
              <w:t>Специальные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Специальные требования не установлены.</w:t>
            </w:r>
          </w:p>
        </w:tc>
      </w:tr>
    </w:tbl>
    <w:p>
      <w:pPr>
        <w:pStyle w:val="Style16"/>
        <w:spacing w:before="360" w:after="120"/>
        <w:rPr/>
      </w:pPr>
      <w:bookmarkStart w:id="318" w:name="_Ref125361823"/>
      <w:bookmarkStart w:id="319" w:name="_Ref125362031"/>
      <w:bookmarkStart w:id="320" w:name="_Ref125369117"/>
      <w:bookmarkStart w:id="321" w:name="_Ref125370180"/>
      <w:bookmarkStart w:id="322" w:name="_Ref125370209"/>
      <w:bookmarkStart w:id="323" w:name="_Ref125709777"/>
      <w:bookmarkStart w:id="324" w:name="_Ref125709973"/>
      <w:bookmarkStart w:id="325" w:name="_Toc228877716"/>
      <w:bookmarkStart w:id="326" w:name="_Ref125370173"/>
      <w:bookmarkStart w:id="327" w:name="_Toc224743841"/>
      <w:bookmarkStart w:id="328" w:name="_Toc224743846"/>
      <w:bookmarkStart w:id="329" w:name="_Toc224743850"/>
      <w:bookmarkEnd w:id="327"/>
      <w:bookmarkEnd w:id="328"/>
      <w:bookmarkEnd w:id="329"/>
      <w:r>
        <w:rPr/>
        <w:t>Дополнительные требования к Генеральным подрядчикам</w:t>
      </w:r>
      <w:bookmarkEnd w:id="318"/>
      <w:bookmarkEnd w:id="319"/>
      <w:bookmarkEnd w:id="320"/>
      <w:bookmarkEnd w:id="321"/>
      <w:bookmarkEnd w:id="322"/>
      <w:bookmarkEnd w:id="323"/>
      <w:bookmarkEnd w:id="324"/>
      <w:bookmarkEnd w:id="325"/>
      <w:bookmarkEnd w:id="32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0" w:name="_Ref125370187"/>
            <w:bookmarkStart w:id="331" w:name="_Ref125370187"/>
            <w:bookmarkEnd w:id="33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2" w:name="_Ref125370193"/>
            <w:bookmarkStart w:id="333" w:name="_Ref125370193"/>
            <w:bookmarkEnd w:id="333"/>
          </w:p>
        </w:tc>
        <w:tc>
          <w:tcPr>
            <w:tcW w:w="5671"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4" w:name="_Ref125553847"/>
            <w:bookmarkStart w:id="335" w:name="_Ref125553847"/>
            <w:bookmarkEnd w:id="33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36" w:name="Прил04_ФормыЗаявки"/>
      <w:bookmarkStart w:id="337" w:name="_Toc228877717"/>
      <w:bookmarkEnd w:id="336"/>
      <w:r>
        <w:rPr/>
        <w:t>Приложение № 4 – Образцы форм документов, включаемых в состав заявки</w:t>
      </w:r>
      <w:bookmarkEnd w:id="337"/>
    </w:p>
    <w:p>
      <w:pPr>
        <w:pStyle w:val="Style16"/>
        <w:spacing w:before="360" w:after="0"/>
        <w:rPr/>
      </w:pPr>
      <w:bookmarkStart w:id="338" w:name="_Toc228877718"/>
      <w:r>
        <w:rPr/>
        <w:t>Пояснения к Образцам форм документов, включаемых в состав заявки</w:t>
      </w:r>
      <w:bookmarkEnd w:id="338"/>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39" w:name="_Toc228877719"/>
      <w:bookmarkStart w:id="340" w:name="Прил05_ФормыПобедителя"/>
      <w:bookmarkEnd w:id="340"/>
      <w:r>
        <w:rPr/>
        <w:t>Приложение № 5 – Образцы форм документов, предоставляемых Победителем</w:t>
      </w:r>
      <w:bookmarkEnd w:id="339"/>
    </w:p>
    <w:p>
      <w:pPr>
        <w:pStyle w:val="Style16"/>
        <w:spacing w:before="360" w:after="0"/>
        <w:rPr/>
      </w:pPr>
      <w:bookmarkStart w:id="341" w:name="_Toc228877720"/>
      <w:r>
        <w:rPr/>
        <w:t>Пояснения к Образцам форм документов, предоставляемых Победителем</w:t>
      </w:r>
      <w:bookmarkEnd w:id="341"/>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42" w:name="_Ref130395470"/>
      <w:bookmarkStart w:id="343" w:name="_Toc228877721"/>
      <w:r>
        <w:rPr/>
        <w:t>Форма справки «Сведения о цепочке собственников, включая бенефициаров (в том числе конечных)»</w:t>
      </w:r>
      <w:bookmarkEnd w:id="342"/>
      <w:bookmarkEnd w:id="343"/>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44" w:name="_MON_1805621314"/>
      <w:bookmarkEnd w:id="344"/>
      <w:r>
        <w:rPr/>
        <w:drawing>
          <wp:inline distT="0" distB="0" distL="0" distR="0">
            <wp:extent cx="960755" cy="381000"/>
            <wp:effectExtent l="0" t="0" r="0" b="0"/>
            <wp:docPr id="2" name="_x005F_x0000_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 descr=""/>
                    <pic:cNvPicPr>
                      <a:picLocks noChangeAspect="1" noChangeArrowheads="1"/>
                    </pic:cNvPicPr>
                  </pic:nvPicPr>
                  <pic:blipFill>
                    <a:blip r:embed="rId21"/>
                    <a:stretch>
                      <a:fillRect/>
                    </a:stretch>
                  </pic:blipFill>
                  <pic:spPr bwMode="auto">
                    <a:xfrm>
                      <a:off x="0" y="0"/>
                      <a:ext cx="960755" cy="381000"/>
                    </a:xfrm>
                    <a:prstGeom prst="rect">
                      <a:avLst/>
                    </a:prstGeom>
                  </pic:spPr>
                </pic:pic>
              </a:graphicData>
            </a:graphic>
          </wp:inline>
        </w:drawing>
      </w:r>
    </w:p>
    <w:p>
      <w:pPr>
        <w:pStyle w:val="Style16"/>
        <w:spacing w:before="360" w:after="0"/>
        <w:rPr/>
      </w:pPr>
      <w:bookmarkStart w:id="345" w:name="_Toc228877722"/>
      <w:bookmarkStart w:id="346" w:name="_Ref130395475"/>
      <w:r>
        <w:rPr/>
        <w:t>Форма «Заверение об обстоятельствах»</w:t>
      </w:r>
      <w:bookmarkEnd w:id="345"/>
      <w:bookmarkEnd w:id="346"/>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47" w:name="_MON_1741074184"/>
      <w:bookmarkEnd w:id="347"/>
      <w:r>
        <w:rPr/>
        <w:drawing>
          <wp:inline distT="0" distB="0" distL="0" distR="0">
            <wp:extent cx="991235" cy="387985"/>
            <wp:effectExtent l="0" t="0" r="0" b="0"/>
            <wp:docPr id="3" name="_x005F_x0000_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5F_x0000_i2" descr=""/>
                    <pic:cNvPicPr>
                      <a:picLocks noChangeAspect="1" noChangeArrowheads="1"/>
                    </pic:cNvPicPr>
                  </pic:nvPicPr>
                  <pic:blipFill>
                    <a:blip r:embed="rId22"/>
                    <a:stretch>
                      <a:fillRect/>
                    </a:stretch>
                  </pic:blipFill>
                  <pic:spPr bwMode="auto">
                    <a:xfrm>
                      <a:off x="0" y="0"/>
                      <a:ext cx="991235" cy="387985"/>
                    </a:xfrm>
                    <a:prstGeom prst="rect">
                      <a:avLst/>
                    </a:prstGeom>
                  </pic:spPr>
                </pic:pic>
              </a:graphicData>
            </a:graphic>
          </wp:inline>
        </w:drawing>
      </w:r>
    </w:p>
    <w:p>
      <w:pPr>
        <w:pStyle w:val="Style15"/>
        <w:spacing w:before="0" w:after="0"/>
        <w:rPr/>
      </w:pPr>
      <w:bookmarkStart w:id="348" w:name="_Toc228877723"/>
      <w:bookmarkStart w:id="349" w:name="_Ref125362865"/>
      <w:bookmarkStart w:id="350" w:name="_Ref125362900"/>
      <w:bookmarkStart w:id="351" w:name="Прил06_СоставЗаявки"/>
      <w:bookmarkEnd w:id="351"/>
      <w:r>
        <w:rPr/>
        <w:t>Приложение № 6 – Состав заявки</w:t>
      </w:r>
      <w:bookmarkEnd w:id="348"/>
      <w:bookmarkEnd w:id="349"/>
      <w:bookmarkEnd w:id="350"/>
    </w:p>
    <w:p>
      <w:pPr>
        <w:pStyle w:val="Style16"/>
        <w:spacing w:before="360" w:after="0"/>
        <w:rPr/>
      </w:pPr>
      <w:bookmarkStart w:id="352" w:name="_Toc228877724"/>
      <w:r>
        <w:rPr/>
        <w:t>Состав заявки</w:t>
      </w:r>
      <w:bookmarkEnd w:id="352"/>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961"/>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Первая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3" w:name="_Ref132888537"/>
            <w:bookmarkStart w:id="354" w:name="_Ref132888537"/>
            <w:bookmarkEnd w:id="354"/>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5" w:name="_Ref130389408"/>
            <w:bookmarkStart w:id="356" w:name="_Ref130389408"/>
            <w:bookmarkEnd w:id="356"/>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7" w:name="_Ref130389413"/>
            <w:bookmarkStart w:id="358" w:name="_Ref130389413"/>
            <w:bookmarkEnd w:id="358"/>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9" w:name="_Ref130389419"/>
            <w:bookmarkStart w:id="360" w:name="_Ref130389419"/>
            <w:bookmarkEnd w:id="360"/>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61" w:name="_Ref125365264"/>
      <w:bookmarkStart w:id="362" w:name="_Toc228877725"/>
      <w:bookmarkStart w:id="363" w:name="Прил07_ОтборочныеКритерии"/>
      <w:bookmarkEnd w:id="363"/>
      <w:r>
        <w:rPr>
          <w:rStyle w:val="Style3"/>
          <w:i w:val="false"/>
          <w:iCs w:val="false"/>
          <w:shd w:fill="auto" w:val="clear"/>
        </w:rPr>
        <w:t>Приложение №</w:t>
      </w:r>
      <w:r>
        <w:rPr/>
        <w:t> 7 – Отборочные критерии рассмотрения заявок</w:t>
      </w:r>
      <w:bookmarkEnd w:id="361"/>
      <w:bookmarkEnd w:id="362"/>
    </w:p>
    <w:p>
      <w:pPr>
        <w:pStyle w:val="Style16"/>
        <w:spacing w:before="360" w:after="120"/>
        <w:rPr>
          <w:rStyle w:val="Style3"/>
          <w:i w:val="false"/>
          <w:i w:val="false"/>
          <w:iCs w:val="false"/>
          <w:shd w:fill="auto" w:val="clear"/>
        </w:rPr>
      </w:pPr>
      <w:bookmarkStart w:id="364" w:name="_Toc228877726"/>
      <w:r>
        <w:rPr>
          <w:rStyle w:val="Style3"/>
          <w:i w:val="false"/>
          <w:iCs w:val="false"/>
          <w:shd w:fill="auto" w:val="clear"/>
        </w:rPr>
        <w:t>Отборочные критерии рассмотрения первых частей заявок</w:t>
      </w:r>
      <w:bookmarkEnd w:id="364"/>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5" w:name="_Toc228877728"/>
      <w:bookmarkStart w:id="366" w:name="_Hlk132891087"/>
      <w:r>
        <w:rPr>
          <w:rStyle w:val="Style3"/>
          <w:i w:val="false"/>
          <w:iCs w:val="false"/>
          <w:shd w:fill="auto" w:val="clear"/>
        </w:rPr>
        <w:t>Отборочные критерии рассмотрения вторых частей заявок</w:t>
      </w:r>
      <w:bookmarkEnd w:id="365"/>
      <w:bookmarkEnd w:id="36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tc>
          <w:tcPr>
            <w:tcW w:w="140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09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56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6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7" w:name="_Ref132890414"/>
            <w:bookmarkStart w:id="368" w:name="_Ref132890414"/>
            <w:bookmarkEnd w:id="368"/>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567"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56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_Ref186219943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9" w:name="_Toc228877729"/>
      <w:r>
        <w:rPr>
          <w:rStyle w:val="Style3"/>
          <w:i w:val="false"/>
          <w:iCs w:val="false"/>
          <w:shd w:fill="auto" w:val="clear"/>
        </w:rPr>
        <w:t>Отборочные критерии рассмотрения ценовых предложений</w:t>
      </w:r>
      <w:bookmarkEnd w:id="36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0" w:after="0"/>
              <w:ind w:hanging="0" w:left="17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0" w:after="0"/>
              <w:jc w:val="left"/>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p>
            <w:pPr>
              <w:pStyle w:val="Style21"/>
              <w:widowControl/>
              <w:suppressAutoHyphens w:val="true"/>
              <w:spacing w:lineRule="auto" w:line="240" w:before="0" w:after="0"/>
              <w:jc w:val="left"/>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suppressAutoHyphens w:val="true"/>
              <w:spacing w:lineRule="exact" w:line="227" w:before="0" w:after="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rPr>
          <w:rStyle w:val="Style3"/>
          <w:i w:val="false"/>
          <w:i w:val="false"/>
          <w:iCs w:val="false"/>
          <w:shd w:fill="auto" w:val="clear"/>
        </w:rPr>
      </w:pPr>
      <w:bookmarkStart w:id="370" w:name="_Toc228877730"/>
      <w:r>
        <w:rPr>
          <w:rStyle w:val="Style3"/>
          <w:i w:val="false"/>
          <w:iCs w:val="false"/>
          <w:shd w:fill="auto" w:val="clear"/>
        </w:rPr>
        <w:t>Дополнительные критерии проверки заявок на соответствие условиям Документации о закупке</w:t>
      </w:r>
      <w:bookmarkEnd w:id="370"/>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12" w:type="dxa"/>
            <w:tcBorders/>
          </w:tcPr>
          <w:p>
            <w:pPr>
              <w:pStyle w:val="Style21"/>
              <w:widowControl/>
              <w:numPr>
                <w:ilvl w:val="0"/>
                <w:numId w:val="12"/>
              </w:numPr>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exact" w:line="283" w:before="0" w:after="0"/>
              <w:jc w:val="left"/>
              <w:rPr>
                <w:rStyle w:val="Style6"/>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spacing w:lineRule="auto" w:line="240" w:before="0" w:after="0"/>
        <w:ind w:hanging="1701" w:left="1701"/>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spacing w:lineRule="auto" w:line="240" w:before="0" w:after="0"/>
        <w:ind w:hanging="1701" w:left="1701"/>
        <w:jc w:val="both"/>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spacing w:lineRule="auto" w:line="240" w:before="0" w:after="0"/>
        <w:ind w:hanging="1701" w:left="1701"/>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spacing w:lineRule="auto" w:line="240" w:before="0" w:after="0"/>
        <w:ind w:hanging="1701" w:left="1701"/>
        <w:jc w:val="both"/>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spacing w:lineRule="auto" w:line="240" w:before="0" w:after="0"/>
        <w:ind w:hanging="1701" w:left="1701"/>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spacing w:lineRule="auto" w:line="240" w:before="0" w:after="0"/>
        <w:jc w:val="both"/>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71" w:name="_Ref125366280"/>
      <w:bookmarkStart w:id="372" w:name="_Ref125366285"/>
      <w:bookmarkStart w:id="373" w:name="_Ref125368140"/>
      <w:bookmarkStart w:id="374" w:name="_Ref125368150"/>
      <w:bookmarkStart w:id="375" w:name="_Ref125368165"/>
      <w:bookmarkStart w:id="376" w:name="_Ref125369438"/>
      <w:bookmarkStart w:id="377" w:name="_Ref125361648"/>
      <w:bookmarkStart w:id="378" w:name="_Ref125361951"/>
      <w:bookmarkStart w:id="379" w:name="_Ref125366013"/>
      <w:bookmarkStart w:id="380" w:name="_Ref125368313"/>
      <w:bookmarkStart w:id="381" w:name="_Ref125368331"/>
      <w:bookmarkStart w:id="382" w:name="_Ref125369021"/>
      <w:bookmarkStart w:id="383" w:name="_Toc228877731"/>
      <w:bookmarkStart w:id="384" w:name="_Ref125368172"/>
      <w:bookmarkStart w:id="385" w:name="_Ref125368184"/>
      <w:bookmarkStart w:id="386" w:name="_Ref125368283"/>
      <w:bookmarkStart w:id="387" w:name="_Ref125368291"/>
      <w:bookmarkStart w:id="388" w:name="Прил08_ПорядокОценки"/>
      <w:bookmarkStart w:id="389" w:name="_Ref125368302"/>
      <w:bookmarkEnd w:id="388"/>
      <w:r>
        <w:rPr/>
        <w:t>Приложение № 8 – Порядок и критерии оценки и сопоставления заявок</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9"/>
    </w:p>
    <w:p>
      <w:pPr>
        <w:pStyle w:val="Style16"/>
        <w:spacing w:before="360" w:after="0"/>
        <w:rPr/>
      </w:pPr>
      <w:bookmarkStart w:id="390" w:name="_Toc228877732"/>
      <w:r>
        <w:rPr/>
        <w:t>Порядок и критерии оценки и сопоставления заявок</w:t>
      </w:r>
      <w:bookmarkEnd w:id="390"/>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961"/>
        <w:tblW w:w="14095"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051"/>
        <w:gridCol w:w="1269"/>
        <w:gridCol w:w="1141"/>
        <w:gridCol w:w="1617"/>
        <w:gridCol w:w="1249"/>
        <w:gridCol w:w="1900"/>
        <w:gridCol w:w="5867"/>
      </w:tblGrid>
      <w:tr>
        <w:trPr/>
        <w:tc>
          <w:tcPr>
            <w:tcW w:w="1051" w:type="dxa"/>
            <w:vMerge w:val="restart"/>
            <w:tcBorders/>
          </w:tcPr>
          <w:p>
            <w:pPr>
              <w:pStyle w:val="Style21"/>
              <w:keepNext w:val="true"/>
              <w:keepLines w:val="false"/>
              <w:widowControl/>
              <w:suppressAutoHyphens w:val="tru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758" w:type="dxa"/>
            <w:gridSpan w:val="2"/>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24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5867"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1051"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26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141"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617"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24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900"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5867" w:type="dxa"/>
            <w:vMerge w:val="continue"/>
            <w:tcBorders/>
          </w:tcPr>
          <w:p>
            <w:pPr>
              <w:pStyle w:val="Style21"/>
              <w:widowControl/>
              <w:suppressAutoHyphens w:val="true"/>
              <w:spacing w:lineRule="auto" w:line="240" w:before="40" w:after="40"/>
              <w:jc w:val="center"/>
              <w:rPr>
                <w:sz w:val="18"/>
                <w:szCs w:val="18"/>
              </w:rPr>
            </w:pPr>
            <w:r>
              <w:rPr>
                <w:sz w:val="18"/>
                <w:szCs w:val="18"/>
              </w:rPr>
            </w:r>
          </w:p>
        </w:tc>
      </w:tr>
      <w:tr>
        <w:trPr/>
        <w:tc>
          <w:tcPr>
            <w:tcW w:w="105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14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617"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5867" w:type="dxa"/>
            <w:tcBorders/>
          </w:tcPr>
          <w:p>
            <w:pPr>
              <w:pStyle w:val="31"/>
              <w:numPr>
                <w:ilvl w:val="7"/>
                <w:numId w:val="19"/>
              </w:numPr>
              <w:suppressAutoHyphens w:val="true"/>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numPr>
                <w:ilvl w:val="6"/>
                <w:numId w:val="19"/>
              </w:numPr>
              <w:suppressAutoHyphens w:val="true"/>
              <w:spacing w:lineRule="auto" w:line="240" w:before="0" w:after="0"/>
              <w:ind w:hanging="0" w:left="0" w:right="0"/>
              <w:jc w:val="center"/>
              <w:rPr>
                <w:rFonts w:ascii="Times New Roman" w:hAnsi="Times New Roman" w:cs="Times New Roman"/>
                <w:sz w:val="18"/>
                <w:szCs w:val="18"/>
              </w:rPr>
            </w:pPr>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27"/>
                          <a:stretch>
                            <a:fillRect/>
                          </a:stretch>
                        </pic:blipFill>
                        <pic:spPr bwMode="auto">
                          <a:xfrm>
                            <a:off x="0" y="0"/>
                            <a:ext cx="1009650" cy="295275"/>
                          </a:xfrm>
                          <a:prstGeom prst="rect">
                            <a:avLst/>
                          </a:prstGeom>
                        </pic:spPr>
                      </pic:pic>
                    </a:graphicData>
                  </a:graphic>
                </wp:inline>
              </w:drawing>
            </w:r>
            <w:r>
              <w:rPr>
                <w:sz w:val="18"/>
                <w:szCs w:val="18"/>
              </w:rPr>
              <w:fldChar w:fldCharType="separate"/>
            </w:r>
            <w:r>
              <w:rPr>
                <w:sz w:val="18"/>
                <w:szCs w:val="18"/>
              </w:rPr>
            </w:r>
            <w:r>
              <w:rPr>
                <w:sz w:val="18"/>
                <w:szCs w:val="18"/>
              </w:rPr>
            </w:r>
            <w:r>
              <w:rPr>
                <w:sz w:val="18"/>
                <w:szCs w:val="18"/>
              </w:rPr>
              <w:fldChar w:fldCharType="end"/>
            </w:r>
            <w:r>
              <w:rPr>
                <w:rFonts w:cs="Times New Roman"/>
                <w:sz w:val="18"/>
                <w:szCs w:val="18"/>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p>
          <w:p>
            <w:pPr>
              <w:pStyle w:val="22"/>
              <w:numPr>
                <w:ilvl w:val="6"/>
                <w:numId w:val="19"/>
              </w:numPr>
              <w:suppressAutoHyphens w:val="true"/>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19"/>
              </w:numPr>
              <w:tabs>
                <w:tab w:val="clear" w:pos="0"/>
                <w:tab w:val="left" w:pos="283"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ЦЕНА</w:t>
            </w:r>
            <w:r>
              <w:rPr>
                <w:rFonts w:cs="Times New Roman"/>
                <w:kern w:val="0"/>
                <w:sz w:val="14"/>
                <w:szCs w:val="18"/>
                <w:lang w:eastAsia="ru-RU"/>
              </w:rPr>
              <w:t>i</w:t>
            </w:r>
            <w:r>
              <w:rPr>
                <w:rFonts w:cs="Times New Roman"/>
                <w:kern w:val="0"/>
                <w:sz w:val="18"/>
                <w:szCs w:val="18"/>
                <w:lang w:eastAsia="ru-RU"/>
              </w:rPr>
              <w:t>  – цена договора (заявки), указанная в i-той заявке (в Коммерческом предложении по установленной в Документации о закупке форме) допущенного Участника, руб. без учета НДС ;</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ЦЕНА</w:t>
            </w:r>
            <w:r>
              <w:rPr>
                <w:rFonts w:cs="Times New Roman"/>
                <w:kern w:val="0"/>
                <w:sz w:val="14"/>
                <w:szCs w:val="18"/>
                <w:lang w:eastAsia="ru-RU"/>
              </w:rPr>
              <w:t>min</w:t>
            </w:r>
            <w:r>
              <w:rPr>
                <w:rFonts w:cs="Times New Roman"/>
                <w:kern w:val="0"/>
                <w:sz w:val="18"/>
                <w:szCs w:val="18"/>
                <w:lang w:eastAsia="ru-RU"/>
              </w:rPr>
              <w:t xml:space="preserve"> – минимальная цена договора (заявки) среди всех допущенных заявок Участников, руб. без учета НДС;</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numPr>
                <w:ilvl w:val="7"/>
                <w:numId w:val="19"/>
              </w:numPr>
              <w:suppressAutoHyphens w:val="true"/>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numPr>
                <w:ilvl w:val="7"/>
                <w:numId w:val="19"/>
              </w:numPr>
              <w:suppressAutoHyphens w:val="true"/>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numPr>
                <w:ilvl w:val="7"/>
                <w:numId w:val="19"/>
              </w:numPr>
              <w:suppressAutoHyphens w:val="true"/>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numPr>
                <w:ilvl w:val="0"/>
                <w:numId w:val="0"/>
              </w:numPr>
              <w:suppressAutoHyphens w:val="true"/>
              <w:spacing w:lineRule="auto" w:line="240" w:before="40" w:after="40"/>
              <w:ind w:hanging="0" w:left="0" w:right="0"/>
              <w:rPr>
                <w:rFonts w:ascii="Times New Roman" w:hAnsi="Times New Roman" w:cs="Times New Roman"/>
                <w:sz w:val="18"/>
                <w:szCs w:val="18"/>
              </w:rPr>
            </w:pPr>
            <w:r>
              <w:rPr>
                <w:rFonts w:cs="Times New Roman" w:ascii="Times New Roman" w:hAnsi="Times New Roman"/>
                <w:sz w:val="18"/>
                <w:szCs w:val="18"/>
              </w:rPr>
            </w:r>
          </w:p>
        </w:tc>
        <w:tc>
          <w:tcPr>
            <w:tcW w:w="126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14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617"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0"/>
              </w:numPr>
              <w:tabs>
                <w:tab w:val="clear" w:pos="0"/>
              </w:tabs>
              <w:suppressAutoHyphens w:val="true"/>
              <w:spacing w:lineRule="auto" w:line="240" w:before="40" w:after="0"/>
              <w:ind w:hanging="0" w:left="0" w:right="0"/>
              <w:jc w:val="center"/>
              <w:rPr>
                <w:rFonts w:ascii="Times New Roman" w:hAnsi="Times New Roman" w:cs="Times New Roman"/>
                <w:sz w:val="18"/>
                <w:szCs w:val="18"/>
                <w:lang w:eastAsia="ru-RU"/>
                <w14:ligatures w14:val="none"/>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b/>
                <w:bCs/>
                <w:kern w:val="0"/>
                <w:sz w:val="18"/>
                <w:szCs w:val="18"/>
                <w:highlight w:val="yellow"/>
                <w:lang w:eastAsia="ru-RU"/>
              </w:rPr>
              <w:t xml:space="preserve">(работы  по техническому обслуживанию средств ИТСО) </w:t>
            </w:r>
            <w:r>
              <w:rPr>
                <w:rFonts w:cs="Times New Roman" w:ascii="Times New Roman" w:hAnsi="Times New Roman"/>
                <w:kern w:val="0"/>
                <w:sz w:val="18"/>
                <w:szCs w:val="18"/>
                <w:highlight w:val="yellow"/>
                <w:lang w:eastAsia="ru-RU"/>
              </w:rPr>
              <w:t xml:space="preserve"> </w:t>
            </w:r>
            <w:r>
              <w:rPr>
                <w:rFonts w:cs="Times New Roman" w:ascii="Times New Roman" w:hAnsi="Times New Roman"/>
                <w:kern w:val="0"/>
                <w:sz w:val="18"/>
                <w:szCs w:val="18"/>
                <w:lang w:eastAsia="ru-RU"/>
              </w:rPr>
              <w:t>за 5 лет предшествующих дате подачи заявки, тем выше предпочтительность.</w:t>
            </w:r>
          </w:p>
          <w:p>
            <w:pPr>
              <w:pStyle w:val="31"/>
              <w:numPr>
                <w:ilvl w:val="7"/>
                <w:numId w:val="20"/>
              </w:numPr>
              <w:suppressAutoHyphens w:val="true"/>
              <w:spacing w:lineRule="auto" w:line="240" w:before="0" w:after="40"/>
              <w:ind w:hanging="0" w:left="0" w:right="0"/>
              <w:jc w:val="center"/>
              <w:rPr>
                <w:rFonts w:ascii="Times New Roman" w:hAnsi="Times New Roman" w:cs="Times New Roman"/>
                <w:sz w:val="18"/>
                <w:szCs w:val="18"/>
              </w:rPr>
            </w:pPr>
            <w:r>
              <w:rPr>
                <w:rFonts w:cs="Times New Roman" w:ascii="Times New Roman" w:hAnsi="Times New Roman"/>
                <w:sz w:val="18"/>
                <w:szCs w:val="18"/>
              </w:rPr>
            </w:r>
          </w:p>
        </w:tc>
        <w:tc>
          <w:tcPr>
            <w:tcW w:w="5867" w:type="dxa"/>
            <w:tcBorders/>
          </w:tcPr>
          <w:p>
            <w:pPr>
              <w:pStyle w:val="Normal"/>
              <w:widowControl/>
              <w:numPr>
                <w:ilvl w:val="7"/>
                <w:numId w:val="27"/>
              </w:numPr>
              <w:suppressAutoHyphens w:val="true"/>
              <w:spacing w:lineRule="auto" w:line="240" w:before="0" w:after="6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numPr>
                <w:ilvl w:val="7"/>
                <w:numId w:val="28"/>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numPr>
                <w:ilvl w:val="7"/>
                <w:numId w:val="29"/>
              </w:numPr>
              <w:suppressAutoHyphens w:val="true"/>
              <w:spacing w:lineRule="auto" w:line="240" w:before="0" w:after="0"/>
              <w:ind w:firstLine="283" w:left="0" w:right="0"/>
              <w:jc w:val="left"/>
              <w:rPr>
                <w:color w:themeColor="text1"/>
                <w:highlight w:val="none"/>
                <w:shd w:fill="FFFF00" w:val="clear"/>
              </w:rPr>
            </w:pPr>
            <w:r>
              <w:rPr>
                <w:rFonts w:eastAsia="Calibri" w:cs="Times New Roman"/>
                <w:color w:val="000000" w:themeColor="text1"/>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numPr>
                <w:ilvl w:val="7"/>
                <w:numId w:val="30"/>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shd w:fill="FFFF00" w:val="clear"/>
                <w:lang w:val="ru-RU" w:eastAsia="en-US" w:bidi="ar-SA"/>
              </w:rPr>
              <w:t xml:space="preserve"> </w:t>
            </w:r>
            <w:r>
              <w:rPr>
                <w:rFonts w:eastAsia="Calibri" w:cs="Times New Roman"/>
                <w:color w:val="000000" w:themeColor="text1"/>
                <w:kern w:val="0"/>
                <w:sz w:val="18"/>
                <w:szCs w:val="18"/>
                <w:shd w:fill="FFFF00" w:val="clear"/>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r>
              <w:rPr>
                <w:rFonts w:eastAsia="Calibri" w:cs="Times New Roman"/>
                <w:color w:val="000000" w:themeColor="text1"/>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numPr>
                <w:ilvl w:val="7"/>
                <w:numId w:val="31"/>
              </w:numPr>
              <w:suppressAutoHyphens w:val="true"/>
              <w:spacing w:lineRule="auto" w:line="240" w:before="0" w:after="60"/>
              <w:ind w:firstLine="283" w:left="0" w:right="0"/>
              <w:jc w:val="left"/>
              <w:rPr>
                <w:rFonts w:ascii="Times New Roman" w:hAnsi="Times New Roman" w:cs="Times New Roman"/>
                <w:color w:val="000000" w:themeColor="text1"/>
                <w:sz w:val="18"/>
                <w:szCs w:val="18"/>
              </w:rPr>
            </w:pPr>
            <w:r>
              <w:rPr>
                <w:rFonts w:eastAsia="Calibri" w:cs="Times New Roman"/>
                <w:color w:val="000000" w:themeColor="text1"/>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56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83"/>
              <w:gridCol w:w="4785"/>
            </w:tblGrid>
            <w:tr>
              <w:trPr>
                <w:cantSplit w:val="true"/>
              </w:trPr>
              <w:tc>
                <w:tcPr>
                  <w:tcW w:w="883" w:type="dxa"/>
                  <w:tcBorders>
                    <w:bottom w:val="single" w:sz="4" w:space="0" w:color="000000"/>
                    <w:right w:val="single" w:sz="4" w:space="0" w:color="000000"/>
                  </w:tcBorders>
                </w:tcPr>
                <w:p>
                  <w:pPr>
                    <w:pStyle w:val="Normal"/>
                    <w:numPr>
                      <w:ilvl w:val="0"/>
                      <w:numId w:val="0"/>
                    </w:numPr>
                    <w:spacing w:before="0" w:after="0"/>
                    <w:ind w:firstLine="27" w:left="0"/>
                    <w:jc w:val="center"/>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lang w:eastAsia="ru-RU"/>
                    </w:rPr>
                    <w:t>Б2 = 0</w:t>
                  </w:r>
                </w:p>
              </w:tc>
              <w:tc>
                <w:tcPr>
                  <w:tcW w:w="4785" w:type="dxa"/>
                  <w:tcBorders>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rPr>
                    <w:t>Опыт отсутствует/Опыт не подтвержден;</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 xml:space="preserve">более 0% от НМЦ «без учета НДС», но менее 20% от НМЦ «без учета НДС» </w:t>
                  </w:r>
                </w:p>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20% от НМЦ «без учета НДС», но менее 40%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40% от НМЦ «без учета НДС», но менее 60%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60% от НМЦ «без учета НДС», но менее 80% от НМЦ «без учета НДС» (включительно)</w:t>
                  </w:r>
                </w:p>
              </w:tc>
            </w:tr>
            <w:tr>
              <w:trPr>
                <w:cantSplit w:val="true"/>
              </w:trPr>
              <w:tc>
                <w:tcPr>
                  <w:tcW w:w="883" w:type="dxa"/>
                  <w:tcBorders>
                    <w:top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4785" w:type="dxa"/>
                  <w:tcBorders>
                    <w:top w:val="single" w:sz="4" w:space="0" w:color="000000"/>
                    <w:left w:val="single" w:sz="4" w:space="0" w:color="000000"/>
                  </w:tcBorders>
                </w:tcPr>
                <w:p>
                  <w:pPr>
                    <w:pStyle w:val="Normal"/>
                    <w:spacing w:before="120" w:after="0"/>
                    <w:rPr>
                      <w:rFonts w:ascii="Times New Roman" w:hAnsi="Times New Roman" w:cs="Times New Roman"/>
                      <w:sz w:val="18"/>
                      <w:szCs w:val="18"/>
                    </w:rPr>
                  </w:pPr>
                  <w:r>
                    <w:rPr>
                      <w:rFonts w:eastAsia="Calibri" w:cs="Times New Roman"/>
                      <w:color w:val="000000" w:themeColor="text1"/>
                      <w:sz w:val="18"/>
                      <w:szCs w:val="18"/>
                    </w:rPr>
                    <w:t>более 80% от НМЦ «без учета НДС» и выше;</w:t>
                  </w:r>
                </w:p>
              </w:tc>
            </w:tr>
          </w:tbl>
          <w:p>
            <w:pPr>
              <w:pStyle w:val="22"/>
              <w:numPr>
                <w:ilvl w:val="6"/>
                <w:numId w:val="20"/>
              </w:numPr>
              <w:suppressAutoHyphens w:val="true"/>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20"/>
              </w:numPr>
              <w:tabs>
                <w:tab w:val="left" w:pos="0"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numPr>
                <w:ilvl w:val="7"/>
                <w:numId w:val="20"/>
              </w:numPr>
              <w:suppressAutoHyphens w:val="true"/>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numPr>
                <w:ilvl w:val="7"/>
                <w:numId w:val="20"/>
              </w:numPr>
              <w:suppressAutoHyphens w:val="true"/>
              <w:spacing w:lineRule="auto" w:line="240" w:before="0" w:after="4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141" w:type="dxa"/>
            <w:tcBorders/>
          </w:tcPr>
          <w:p>
            <w:pPr>
              <w:pStyle w:val="31"/>
              <w:numPr>
                <w:ilvl w:val="7"/>
                <w:numId w:val="21"/>
              </w:numPr>
              <w:suppressAutoHyphens w:val="true"/>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617"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5867" w:type="dxa"/>
            <w:tcBorders/>
          </w:tcPr>
          <w:p>
            <w:pPr>
              <w:pStyle w:val="Style21"/>
              <w:widowControl/>
              <w:suppressAutoHyphens w:val="tru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8"/>
              </w:numPr>
              <w:suppressAutoHyphens w:val="true"/>
              <w:spacing w:lineRule="auto" w:line="240" w:before="40" w:after="0"/>
              <w:ind w:hanging="142" w:left="142"/>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numPr>
                <w:ilvl w:val="0"/>
                <w:numId w:val="18"/>
              </w:numPr>
              <w:suppressAutoHyphens w:val="true"/>
              <w:spacing w:lineRule="auto" w:line="240" w:before="0" w:after="40"/>
              <w:ind w:hanging="142" w:left="142"/>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8"/>
              </w:numPr>
              <w:suppressAutoHyphens w:val="true"/>
              <w:spacing w:lineRule="auto" w:line="240" w:before="40" w:after="40"/>
              <w:ind w:hanging="142" w:left="284"/>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suppressAutoHyphens w:val="tru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961"/>
              <w:tblW w:w="566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89"/>
              <w:gridCol w:w="4876"/>
            </w:tblGrid>
            <w:tr>
              <w:trPr/>
              <w:tc>
                <w:tcPr>
                  <w:tcW w:w="789" w:type="dxa"/>
                  <w:tcBorders>
                    <w:top w:val="nil"/>
                    <w:left w:val="nil"/>
                  </w:tcBorders>
                </w:tcPr>
                <w:p>
                  <w:pPr>
                    <w:pStyle w:val="Style21"/>
                    <w:keepNext w:val="false"/>
                    <w:keepLines w:val="false"/>
                    <w:widowControl/>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4876" w:type="dxa"/>
                  <w:tcBorders>
                    <w:top w:val="nil"/>
                    <w:right w:val="nil"/>
                  </w:tcBorders>
                </w:tcPr>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8"/>
                    </w:numPr>
                    <w:suppressAutoHyphens w:val="true"/>
                    <w:spacing w:lineRule="auto" w:line="240" w:before="40" w:after="0"/>
                    <w:ind w:hanging="142" w:left="142"/>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8"/>
                    </w:numPr>
                    <w:suppressAutoHyphens w:val="true"/>
                    <w:spacing w:lineRule="auto" w:line="240" w:before="0" w:after="40"/>
                    <w:ind w:hanging="142" w:left="142"/>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left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4876" w:type="dxa"/>
                  <w:tcBorders>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left w:val="nil"/>
                    <w:bottom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4876" w:type="dxa"/>
                  <w:tcBorders>
                    <w:bottom w:val="nil"/>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Шкала оценок от 0 до 5 баллов.</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078" w:type="dxa"/>
            <w:gridSpan w:val="4"/>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016" w:type="dxa"/>
            <w:gridSpan w:val="3"/>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91" w:name="_Ref125360420"/>
      <w:bookmarkStart w:id="392" w:name="_Toc228877733"/>
      <w:bookmarkStart w:id="393" w:name="Прил09_ОбоснованиеНМЦ"/>
      <w:bookmarkEnd w:id="393"/>
      <w:r>
        <w:rPr/>
        <w:t>Приложение № 9 – Обоснование НМЦ</w:t>
      </w:r>
      <w:bookmarkEnd w:id="391"/>
      <w:bookmarkEnd w:id="392"/>
    </w:p>
    <w:p>
      <w:pPr>
        <w:pStyle w:val="Style16"/>
        <w:spacing w:before="360" w:after="0"/>
        <w:rPr/>
      </w:pPr>
      <w:bookmarkStart w:id="394" w:name="_Toc228877734"/>
      <w:r>
        <w:rPr/>
        <w:t>Пояснения к Обоснованию НМЦ</w:t>
      </w:r>
      <w:bookmarkEnd w:id="394"/>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95" w:name="_Toc228877735"/>
      <w:bookmarkStart w:id="396" w:name="Прил10_ФормаЗаявкиНаАккредитацию"/>
      <w:bookmarkEnd w:id="396"/>
      <w:r>
        <w:rPr/>
        <w:t>Приложение № 10 – Форма Заявки на аккредитацию</w:t>
      </w:r>
      <w:bookmarkEnd w:id="395"/>
    </w:p>
    <w:p>
      <w:pPr>
        <w:pStyle w:val="Style16"/>
        <w:spacing w:before="360" w:after="0"/>
        <w:rPr/>
      </w:pPr>
      <w:bookmarkStart w:id="397" w:name="_Toc228877736"/>
      <w:r>
        <w:rPr/>
        <w:t>Пояснения к форме Заявки на аккредитацию</w:t>
      </w:r>
      <w:bookmarkEnd w:id="397"/>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8"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8"/>
      <w:r>
        <w:rPr/>
        <w:t>.</w:t>
      </w:r>
    </w:p>
    <w:p>
      <w:pPr>
        <w:pStyle w:val="Style21"/>
        <w:jc w:val="center"/>
        <w:rPr/>
      </w:pPr>
      <w:r>
        <w:rPr/>
        <w:drawing>
          <wp:inline distT="0" distB="0" distL="0" distR="0">
            <wp:extent cx="960755" cy="661035"/>
            <wp:effectExtent l="0" t="0" r="0" b="0"/>
            <wp:docPr id="5" name="_x005F_x0000_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5F_x0000_i4" descr=""/>
                    <pic:cNvPicPr>
                      <a:picLocks noChangeAspect="1" noChangeArrowheads="1"/>
                    </pic:cNvPicPr>
                  </pic:nvPicPr>
                  <pic:blipFill>
                    <a:blip r:embed="rId32"/>
                    <a:stretch>
                      <a:fillRect/>
                    </a:stretch>
                  </pic:blipFill>
                  <pic:spPr bwMode="auto">
                    <a:xfrm>
                      <a:off x="0" y="0"/>
                      <a:ext cx="960755" cy="661035"/>
                    </a:xfrm>
                    <a:prstGeom prst="rect">
                      <a:avLst/>
                    </a:prstGeom>
                  </pic:spPr>
                </pic:pic>
              </a:graphicData>
            </a:graphic>
          </wp:inline>
        </w:drawing>
      </w:r>
    </w:p>
    <w:p>
      <w:pPr>
        <w:pStyle w:val="Style15"/>
        <w:spacing w:before="0" w:after="0"/>
        <w:rPr/>
      </w:pPr>
      <w:bookmarkStart w:id="399" w:name="_Toc228877737"/>
      <w:bookmarkStart w:id="400" w:name="Прил11_Данные_бухотчетность"/>
      <w:r>
        <w:rPr/>
        <w:t xml:space="preserve">Приложение № 11 </w:t>
      </w:r>
      <w:bookmarkEnd w:id="400"/>
      <w:r>
        <w:rPr/>
        <w:t>– форма Данных бухгалтерской (финансовой) отчетности</w:t>
      </w:r>
      <w:bookmarkEnd w:id="399"/>
    </w:p>
    <w:p>
      <w:pPr>
        <w:pStyle w:val="Style16"/>
        <w:spacing w:before="360" w:after="0"/>
        <w:rPr/>
      </w:pPr>
      <w:bookmarkStart w:id="401" w:name="_Toc228877738"/>
      <w:r>
        <w:rPr/>
        <w:t>Пояснения к форме Данных бухгалтерской (финансовой) отчетности</w:t>
      </w:r>
      <w:bookmarkEnd w:id="401"/>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02" w:name="_Hlk210644436"/>
      <w:bookmarkStart w:id="403" w:name="_MON_1821256687"/>
      <w:bookmarkEnd w:id="403"/>
      <w:r>
        <w:rPr/>
        <w:drawing>
          <wp:inline distT="0" distB="0" distL="0" distR="0">
            <wp:extent cx="975995" cy="637540"/>
            <wp:effectExtent l="0" t="0" r="0" b="0"/>
            <wp:docPr id="6" name="_x005F_x0000_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x005F_x0000_i5" descr=""/>
                    <pic:cNvPicPr>
                      <a:picLocks noChangeAspect="1" noChangeArrowheads="1"/>
                    </pic:cNvPicPr>
                  </pic:nvPicPr>
                  <pic:blipFill>
                    <a:blip r:embed="rId33"/>
                    <a:stretch>
                      <a:fillRect/>
                    </a:stretch>
                  </pic:blipFill>
                  <pic:spPr bwMode="auto">
                    <a:xfrm>
                      <a:off x="0" y="0"/>
                      <a:ext cx="975995" cy="637540"/>
                    </a:xfrm>
                    <a:prstGeom prst="rect">
                      <a:avLst/>
                    </a:prstGeom>
                  </pic:spPr>
                </pic:pic>
              </a:graphicData>
            </a:graphic>
          </wp:inline>
        </w:drawing>
      </w:r>
      <w:bookmarkEnd w:id="402"/>
    </w:p>
    <w:p>
      <w:pPr>
        <w:pStyle w:val="Normal"/>
        <w:jc w:val="center"/>
        <w:rPr/>
      </w:pPr>
      <w:r>
        <w:rPr/>
      </w:r>
    </w:p>
    <w:sectPr>
      <w:headerReference w:type="default" r:id="rId34"/>
      <w:headerReference w:type="first" r:id="rId35"/>
      <w:footerReference w:type="default" r:id="rId36"/>
      <w:footerReference w:type="first" r:id="rId3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47</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52</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67</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72</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31" w:customStyle="1">
    <w:name w:val="УРОВЕНЬ_Абзац_тип3"/>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0" w:right="0"/>
      <w:jc w:val="both"/>
    </w:pPr>
    <w:rPr>
      <w:rFonts w:ascii="Calibri" w:hAnsi="Calibri" w:eastAsia="Calibri" w:cs="Arial" w:cstheme="minorBidi" w:eastAsiaTheme="minorHAnsi"/>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14:ligatures w14:val="none"/>
    </w:rPr>
  </w:style>
  <w:style w:type="paragraph" w:styleId="22" w:customStyle="1">
    <w:name w:val="УРОВЕНЬ_Абзац_тип2"/>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720" w:right="0"/>
      <w:jc w:val="both"/>
    </w:pPr>
    <w:rPr>
      <w:rFonts w:ascii="Times New Roman" w:hAnsi="Times New Roman" w:eastAsia="Calibri" w:cs="Times New Roman" w:eastAsiaTheme="minorHAnsi"/>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styleId="49">
    <w:name w:val="Table Grid Light"/>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51">
    <w:name w:val="Plain Table 2"/>
    <w:basedOn w:val="93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52">
    <w:name w:val="Plain Table 3"/>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53">
    <w:name w:val="Plain Table 4"/>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54">
    <w:name w:val="Plain Table 5"/>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93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56">
    <w:name w:val="Grid Table 1 Light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57">
    <w:name w:val="Grid Table 1 Light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58">
    <w:name w:val="Grid Table 1 Light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59">
    <w:name w:val="Grid Table 1 Light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60">
    <w:name w:val="Grid Table 1 Light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61">
    <w:name w:val="Grid Table 1 Light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62">
    <w:name w:val="Grid Table 2"/>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93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77">
    <w:name w:val="Grid Table 4 - Accent 1"/>
    <w:basedOn w:val="93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78">
    <w:name w:val="Grid Table 4 - Accent 2"/>
    <w:basedOn w:val="93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79">
    <w:name w:val="Grid Table 4 - Accent 3"/>
    <w:basedOn w:val="93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
    <w:name w:val="Grid Table 4 - Accent 4"/>
    <w:basedOn w:val="93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1">
    <w:name w:val="Grid Table 4 - Accent 5"/>
    <w:basedOn w:val="93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2">
    <w:name w:val="Grid Table 4 - Accent 6"/>
    <w:basedOn w:val="93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3">
    <w:name w:val="Grid Table 5 Dark"/>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84">
    <w:name w:val="Grid Table 5 Dark- Accent 1"/>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85">
    <w:name w:val="Grid Table 5 Dark - Accent 2"/>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86">
    <w:name w:val="Grid Table 5 Dark - Accent 3"/>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87">
    <w:name w:val="Grid Table 5 Dark- Accent 4"/>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88">
    <w:name w:val="Grid Table 5 Dark - Accent 5"/>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89">
    <w:name w:val="Grid Table 5 Dark - Accent 6"/>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90">
    <w:name w:val="Grid Table 6 Colorful"/>
    <w:basedOn w:val="93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1">
    <w:name w:val="Grid Table 6 Colorful - Accent 1"/>
    <w:basedOn w:val="93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92">
    <w:name w:val="Grid Table 6 Colorful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3">
    <w:name w:val="Grid Table 6 Colorful - Accent 3"/>
    <w:basedOn w:val="93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94">
    <w:name w:val="Grid Table 6 Colorful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95">
    <w:name w:val="Grid Table 6 Colorful - Accent 5"/>
    <w:basedOn w:val="93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6">
    <w:name w:val="Grid Table 6 Colorful - Accent 6"/>
    <w:basedOn w:val="93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7">
    <w:name w:val="Grid Table 7 Colorful"/>
    <w:basedOn w:val="93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93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val="3664A9"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3664A9"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val="3664A9"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93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93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val="606060"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606060"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val="606060"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93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93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left w:val="none"/>
          <w:bottom w:val="none"/>
          <w:right w:val="single" w:color="000000" w:themeColor="accent5" w:sz="4" w:space="0"/>
        </w:tcBorders>
        <w:shd w:color="FFFFFF"/>
      </w:tcPr>
    </w:tblStylePr>
    <w:tblStylePr w:type="firstRow">
      <w:rPr>
        <w:b/>
        <w:color w:val="245D8D"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45D8D" w:themeColor="accent5" w:themeShade="95"/>
        <w:sz w:val="22"/>
      </w:rPr>
      <w:tblPr/>
      <w:tcPr>
        <w:tcBorders>
          <w:top w:val="none"/>
          <w:left w:val="single" w:color="000000" w:themeColor="accent5" w:sz="4" w:space="0"/>
          <w:bottom w:val="none"/>
          <w:right w:val="none"/>
        </w:tcBorders>
        <w:shd w:color="FFFFFF"/>
      </w:tcPr>
    </w:tblStylePr>
    <w:tblStylePr w:type="lastRow">
      <w:rPr>
        <w:b/>
        <w:color w:val="245D8D"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93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left w:val="none"/>
          <w:bottom w:val="none"/>
          <w:right w:val="single" w:color="000000" w:themeColor="accent6" w:sz="4" w:space="0"/>
        </w:tcBorders>
        <w:shd w:color="FFFFFF"/>
      </w:tcPr>
    </w:tblStylePr>
    <w:tblStylePr w:type="firstRow">
      <w:rPr>
        <w:b/>
        <w:color w:val="426429"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426429" w:themeColor="accent6" w:themeShade="95"/>
        <w:sz w:val="22"/>
      </w:rPr>
      <w:tblPr/>
      <w:tcPr>
        <w:tcBorders>
          <w:top w:val="none"/>
          <w:left w:val="single" w:color="000000" w:themeColor="accent6" w:sz="4" w:space="0"/>
          <w:bottom w:val="none"/>
          <w:right w:val="none"/>
        </w:tcBorders>
        <w:shd w:color="FFFFFF"/>
      </w:tcPr>
    </w:tblStylePr>
    <w:tblStylePr w:type="lastRow">
      <w:rPr>
        <w:b/>
        <w:color w:val="426429"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93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932"/>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932"/>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932"/>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932"/>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932"/>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932"/>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93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93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93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93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93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93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93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9">
    <w:name w:val="List Table 3 - Accent 1"/>
    <w:basedOn w:val="93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0">
    <w:name w:val="List Table 3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21">
    <w:name w:val="List Table 3 - Accent 3"/>
    <w:basedOn w:val="93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22">
    <w:name w:val="List Table 3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23">
    <w:name w:val="List Table 3 - Accent 5"/>
    <w:basedOn w:val="93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24">
    <w:name w:val="List Table 3 - Accent 6"/>
    <w:basedOn w:val="93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25">
    <w:name w:val="List Table 4"/>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26">
    <w:name w:val="List Table 4 - Accent 1"/>
    <w:basedOn w:val="93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7">
    <w:name w:val="List Table 4 - Accent 2"/>
    <w:basedOn w:val="93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28">
    <w:name w:val="List Table 4 - Accent 3"/>
    <w:basedOn w:val="93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29">
    <w:name w:val="List Table 4 - Accent 4"/>
    <w:basedOn w:val="93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30">
    <w:name w:val="List Table 4 - Accent 5"/>
    <w:basedOn w:val="93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31">
    <w:name w:val="List Table 4 - Accent 6"/>
    <w:basedOn w:val="93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32">
    <w:name w:val="List Table 5 Dark"/>
    <w:basedOn w:val="93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3">
    <w:name w:val="List Table 5 Dark - Accent 1"/>
    <w:basedOn w:val="93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4">
    <w:name w:val="List Table 5 Dark - Accent 2"/>
    <w:basedOn w:val="93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5">
    <w:name w:val="List Table 5 Dark - Accent 3"/>
    <w:basedOn w:val="93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6">
    <w:name w:val="List Table 5 Dark - Accent 4"/>
    <w:basedOn w:val="93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7">
    <w:name w:val="List Table 5 Dark - Accent 5"/>
    <w:basedOn w:val="93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8">
    <w:name w:val="List Table 5 Dark - Accent 6"/>
    <w:basedOn w:val="93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9">
    <w:name w:val="List Table 6 Colorful"/>
    <w:basedOn w:val="93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0">
    <w:name w:val="List Table 6 Colorful - Accent 1"/>
    <w:basedOn w:val="93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1">
    <w:name w:val="List Table 6 Colorful - Accent 2"/>
    <w:basedOn w:val="93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2">
    <w:name w:val="List Table 6 Colorful - Accent 3"/>
    <w:basedOn w:val="93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3">
    <w:name w:val="List Table 6 Colorful - Accent 4"/>
    <w:basedOn w:val="93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4">
    <w:name w:val="List Table 6 Colorful - Accent 5"/>
    <w:basedOn w:val="93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5">
    <w:name w:val="List Table 6 Colorful - Accent 6"/>
    <w:basedOn w:val="93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
    <w:name w:val="List Table 7 Colorful"/>
    <w:basedOn w:val="932"/>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val="4A4A4A" w:themeColor="text1" w:themeTint="80" w:themeShade="95"/>
        <w:sz w:val="22"/>
      </w:rPr>
      <w:tblPr/>
    </w:tblStylePr>
  </w:style>
  <w:style w:type="table" w:styleId="147">
    <w:name w:val="List Table 7 Colorful - Accent 1"/>
    <w:basedOn w:val="932"/>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left w:val="none"/>
          <w:bottom w:val="none"/>
          <w:right w:val="single" w:color="000000" w:themeColor="accent1" w:sz="4" w:space="0"/>
        </w:tcBorders>
        <w:shd w:color="FFFFFF"/>
      </w:tcPr>
    </w:tblStylePr>
    <w:tblStylePr w:type="firstRow">
      <w:rPr>
        <w:i/>
        <w:color w:val="254374"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254374" w:themeColor="accent1" w:themeShade="95"/>
        <w:sz w:val="22"/>
      </w:rPr>
      <w:tblPr/>
      <w:tcPr>
        <w:tcBorders>
          <w:top w:val="none"/>
          <w:left w:val="single" w:color="000000" w:themeColor="accent1" w:sz="4" w:space="0"/>
          <w:bottom w:val="none"/>
          <w:right w:val="none"/>
        </w:tcBorders>
        <w:shd w:color="FFFFFF"/>
      </w:tcPr>
    </w:tblStylePr>
    <w:tblStylePr w:type="lastRow">
      <w:rPr>
        <w:i/>
        <w:color w:val="254374"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val="254374" w:themeColor="accent1" w:themeShade="95"/>
        <w:sz w:val="22"/>
      </w:rPr>
      <w:tblPr/>
    </w:tblStylePr>
  </w:style>
  <w:style w:type="table" w:styleId="148">
    <w:name w:val="List Table 7 Colorful - Accent 2"/>
    <w:basedOn w:val="932"/>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val="C95712" w:themeColor="accent2" w:themeTint="97" w:themeShade="95"/>
        <w:sz w:val="22"/>
      </w:rPr>
      <w:tblPr/>
    </w:tblStylePr>
  </w:style>
  <w:style w:type="table" w:styleId="149">
    <w:name w:val="List Table 7 Colorful - Accent 3"/>
    <w:basedOn w:val="932"/>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val="757575"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757575"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val="757575"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val="757575" w:themeColor="accent3" w:themeTint="98" w:themeShade="95"/>
        <w:sz w:val="22"/>
      </w:rPr>
      <w:tblPr/>
    </w:tblStylePr>
  </w:style>
  <w:style w:type="table" w:styleId="150">
    <w:name w:val="List Table 7 Colorful - Accent 4"/>
    <w:basedOn w:val="932"/>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val="CD9600" w:themeColor="accent4" w:themeTint="9a" w:themeShade="95"/>
        <w:sz w:val="22"/>
      </w:rPr>
      <w:tblPr/>
    </w:tblStylePr>
  </w:style>
  <w:style w:type="table" w:styleId="151">
    <w:name w:val="List Table 7 Colorful - Accent 5"/>
    <w:basedOn w:val="932"/>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val="2E78B1"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E78B1"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val="2E78B1"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val="2E78B1" w:themeColor="accent5" w:themeTint="9a" w:themeShade="95"/>
        <w:sz w:val="22"/>
      </w:rPr>
      <w:tblPr/>
    </w:tblStylePr>
  </w:style>
  <w:style w:type="table" w:styleId="152">
    <w:name w:val="List Table 7 Colorful - Accent 6"/>
    <w:basedOn w:val="932"/>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val="5F8F3C"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5F8F3C"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val="5F8F3C"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val="5F8F3C" w:themeColor="accent6" w:themeTint="98" w:themeShade="95"/>
        <w:sz w:val="22"/>
      </w:rPr>
      <w:tblPr/>
    </w:tblStylePr>
  </w:style>
  <w:style w:type="table" w:styleId="153">
    <w:name w:val="Lined - Accent"/>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54">
    <w:name w:val="Lined - Accent 1"/>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55">
    <w:name w:val="Lined - Accent 2"/>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56">
    <w:name w:val="Lined - Accent 3"/>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57">
    <w:name w:val="Lined - Accent 4"/>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58">
    <w:name w:val="Lined - Accent 5"/>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59">
    <w:name w:val="Lined - Accent 6"/>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0">
    <w:name w:val="Bordered &amp; Lined - Accent"/>
    <w:basedOn w:val="932"/>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61">
    <w:name w:val="Bordered &amp; Lined - Accent 1"/>
    <w:basedOn w:val="932"/>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62">
    <w:name w:val="Bordered &amp; Lined - Accent 2"/>
    <w:basedOn w:val="932"/>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63">
    <w:name w:val="Bordered &amp; Lined - Accent 3"/>
    <w:basedOn w:val="932"/>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64">
    <w:name w:val="Bordered &amp; Lined - Accent 4"/>
    <w:basedOn w:val="932"/>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65">
    <w:name w:val="Bordered &amp; Lined - Accent 5"/>
    <w:basedOn w:val="932"/>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66">
    <w:name w:val="Bordered &amp; Lined - Accent 6"/>
    <w:basedOn w:val="932"/>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7">
    <w:name w:val="Bordered"/>
    <w:basedOn w:val="93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68">
    <w:name w:val="Bordered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69">
    <w:name w:val="Bordered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70">
    <w:name w:val="Bordered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71">
    <w:name w:val="Bordered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72">
    <w:name w:val="Bordered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73">
    <w:name w:val="Bordered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932">
    <w:name w:val="Normal Table"/>
    <w:uiPriority w:val="99"/>
    <w:semiHidden/>
    <w:unhideWhenUsed/>
    <w:tblPr>
      <w:tblCellMar>
        <w:left w:w="108" w:type="dxa"/>
        <w:top w:w="0" w:type="dxa"/>
        <w:right w:w="108" w:type="dxa"/>
        <w:bottom w:w="0" w:type="dxa"/>
      </w:tblCellMar>
    </w:tblPr>
  </w:style>
  <w:style w:type="table" w:customStyle="1" w:styleId="961">
    <w:name w:val="[РГ] Таблица"/>
    <w:basedOn w:val="932"/>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962">
    <w:name w:val="Table Grid"/>
    <w:basedOn w:val="932"/>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4.png"/><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2.xml"/><Relationship Id="rId31" Type="http://schemas.openxmlformats.org/officeDocument/2006/relationships/footer" Target="footer13.xml"/><Relationship Id="rId32" Type="http://schemas.openxmlformats.org/officeDocument/2006/relationships/image" Target="media/image5.wmf"/><Relationship Id="rId33" Type="http://schemas.openxmlformats.org/officeDocument/2006/relationships/image" Target="media/image6.wmf"/><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Application>AlterOffice/2026.2.0.0$Linux_X86_64 LibreOffice_project/bc4ef1adf80b36c7a6365f8ed6cbf29021361edd</Application>
  <AppVersion>15.0000</AppVersion>
  <Pages>72</Pages>
  <Words>18925</Words>
  <Characters>130278</Characters>
  <CharactersWithSpaces>146393</CharactersWithSpaces>
  <Paragraphs>1089</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2026-10-05T10:48:20Z</dcterms:modified>
  <cp:revision>164</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