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jc w:val="center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firstLine="0"/>
        <w:jc w:val="right"/>
        <w:keepLines/>
        <w:keepNext/>
        <w:spacing w:before="0" w:before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 </w:t>
      </w:r>
      <w:r>
        <w:rPr>
          <w:sz w:val="24"/>
          <w:szCs w:val="24"/>
        </w:rPr>
      </w:r>
    </w:p>
    <w:p>
      <w:pPr>
        <w:ind w:left="0" w:firstLine="0"/>
        <w:jc w:val="right"/>
        <w:keepLines/>
        <w:keepNext/>
        <w:spacing w:before="0" w:beforeAutospacing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– Заместитель Генерального директора </w:t>
      </w:r>
      <w:r>
        <w:rPr>
          <w:sz w:val="24"/>
          <w:szCs w:val="24"/>
        </w:rPr>
      </w:r>
    </w:p>
    <w:p>
      <w:pPr>
        <w:ind w:left="0" w:firstLine="0"/>
        <w:jc w:val="right"/>
        <w:keepLines/>
        <w:keepNext/>
        <w:spacing w:before="0" w:before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 управлению ресурсами </w:t>
      </w:r>
      <w:r/>
      <w:r/>
      <w:r>
        <w:rPr>
          <w:sz w:val="24"/>
          <w:szCs w:val="24"/>
        </w:rPr>
        <w:t xml:space="preserve">АО «ДГК»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jc w:val="right"/>
        <w:keepLines/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387" w:firstLine="0"/>
        <w:jc w:val="right"/>
        <w:keepLines/>
        <w:keepNext/>
        <w:spacing w:line="276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0"/>
        <w:jc w:val="right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</w:t>
      </w:r>
      <w:r>
        <w:rPr>
          <w:sz w:val="24"/>
          <w:szCs w:val="24"/>
        </w:rPr>
        <w:t xml:space="preserve">_» _</w:t>
      </w:r>
      <w:r>
        <w:rPr>
          <w:sz w:val="24"/>
          <w:szCs w:val="24"/>
        </w:rPr>
        <w:t xml:space="preserve">______________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37"/>
        <w:ind w:left="4536"/>
        <w:keepNext/>
      </w:pPr>
      <w:r/>
      <w:r/>
    </w:p>
    <w:p>
      <w:pPr>
        <w:pStyle w:val="1137"/>
      </w:pPr>
      <w:r/>
      <w:r/>
    </w:p>
    <w:p>
      <w:pPr>
        <w:pStyle w:val="1137"/>
      </w:pPr>
      <w:r/>
      <w:r/>
    </w:p>
    <w:p>
      <w:pPr>
        <w:pStyle w:val="1137"/>
      </w:pPr>
      <w:r/>
      <w:r/>
    </w:p>
    <w:p>
      <w:pPr>
        <w:pStyle w:val="1137"/>
      </w:pPr>
      <w:r/>
      <w:r/>
    </w:p>
    <w:p>
      <w:pPr>
        <w:pStyle w:val="1137"/>
      </w:pPr>
      <w:r/>
      <w:r/>
    </w:p>
    <w:p>
      <w:pPr>
        <w:pStyle w:val="1137"/>
        <w:jc w:val="center"/>
        <w:keepNext/>
        <w:rPr>
          <w:b/>
          <w:bCs/>
          <w:caps/>
          <w:color w:val="000000" w:themeColor="text1"/>
        </w:rPr>
        <w:outlineLvl w:val="2"/>
      </w:pPr>
      <w:r>
        <w:rPr>
          <w:b/>
          <w:bCs/>
          <w:caps/>
          <w:color w:val="000000" w:themeColor="text1"/>
        </w:rPr>
        <w:t xml:space="preserve">Документация о закупке</w:t>
      </w:r>
      <w:r>
        <w:rPr>
          <w:b/>
          <w:bCs/>
          <w:caps/>
          <w:color w:val="000000" w:themeColor="text1"/>
        </w:rPr>
      </w:r>
      <w:r>
        <w:rPr>
          <w:b/>
          <w:bCs/>
          <w:caps/>
          <w:color w:val="000000" w:themeColor="text1"/>
        </w:rPr>
      </w:r>
    </w:p>
    <w:p>
      <w:pPr>
        <w:ind w:firstLine="0"/>
        <w:jc w:val="center"/>
        <w:spacing w:before="60" w:after="60"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прос предложений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в электронной форме,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br/>
        <w:t xml:space="preserve">участниками которого могут быть только субъекты МСП,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на право заключения договора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ОКПД2 43.39.19.190 Выполнение ремонтных работ помещений, прилегающей территории Исполнительного аппарата расположенных по адресу: г. Хабаровск, ул. Шеронова 65»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  <w:lang w:eastAsia="en-US"/>
        </w:rPr>
      </w:r>
    </w:p>
    <w:p>
      <w:pPr>
        <w:ind w:firstLine="0"/>
        <w:jc w:val="center"/>
        <w:spacing w:before="60" w:after="6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Лот №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11002006-РЕМ ПРОД-2026-ДГК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</w:r>
    </w:p>
    <w:p>
      <w:pPr>
        <w:ind w:right="-108" w:firstLine="0"/>
        <w:jc w:val="left"/>
        <w:spacing w:before="60" w:after="60" w:line="240" w:lineRule="auto"/>
        <w:rPr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ind w:right="-108" w:firstLine="0"/>
        <w:jc w:val="center"/>
        <w:spacing w:before="60" w:after="60" w:line="240" w:lineRule="auto"/>
        <w:rPr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i w:val="0"/>
          <w:iCs w:val="0"/>
          <w:sz w:val="28"/>
          <w:szCs w:val="28"/>
          <w:lang w:eastAsia="en-US"/>
        </w:rPr>
      </w:r>
      <w:r>
        <w:rPr>
          <w:rFonts w:ascii="Times New Roman" w:hAnsi="Times New Roman" w:cs="Times New Roman"/>
          <w:bCs/>
          <w:i/>
        </w:rPr>
      </w:r>
      <w:r>
        <w:rPr>
          <w:rFonts w:ascii="Times New Roman" w:hAnsi="Times New Roman" w:cs="Times New Roman"/>
          <w:bCs/>
          <w:i/>
        </w:rPr>
      </w:r>
    </w:p>
    <w:p>
      <w:pPr>
        <w:ind w:left="-108" w:right="-108" w:firstLine="0"/>
        <w:jc w:val="center"/>
        <w:spacing w:before="60" w:after="60" w:line="240" w:lineRule="auto"/>
        <w:rPr>
          <w:bCs/>
          <w:i/>
          <w:sz w:val="22"/>
          <w:szCs w:val="22"/>
          <w14:ligatures w14:val="none"/>
        </w:rPr>
      </w:pPr>
      <w:r>
        <w:rPr>
          <w:sz w:val="28"/>
          <w:szCs w:val="28"/>
          <w:lang w:eastAsia="en-US"/>
        </w:rPr>
      </w:r>
      <w:r>
        <w:rPr>
          <w:bCs/>
          <w:i/>
          <w:sz w:val="22"/>
          <w:szCs w:val="22"/>
          <w14:ligatures w14:val="none"/>
        </w:rPr>
      </w:r>
      <w:r>
        <w:rPr>
          <w:bCs/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1137"/>
        <w:jc w:val="center"/>
        <w:keepNext/>
        <w:spacing w:before="240"/>
        <w:rPr>
          <w:rStyle w:val="1142"/>
        </w:rPr>
      </w:pPr>
      <w:r>
        <w:rPr>
          <w:rStyle w:val="1142"/>
        </w:rPr>
      </w:r>
      <w:r>
        <w:rPr>
          <w:rStyle w:val="1142"/>
        </w:rPr>
      </w:r>
      <w:r>
        <w:rPr>
          <w:rStyle w:val="1142"/>
        </w:rPr>
      </w:r>
    </w:p>
    <w:p>
      <w:pPr>
        <w:pStyle w:val="1136"/>
        <w:outlineLvl w:val="2"/>
      </w:pPr>
      <w:r>
        <w:t xml:space="preserve">Содержание</w:t>
      </w:r>
      <w:r/>
    </w:p>
    <w:p>
      <w:pPr>
        <w:pStyle w:val="1150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49" w:anchor="_Toc49" w:history="1">
        <w:r>
          <w:rPr>
            <w:rStyle w:val="1147"/>
          </w:rPr>
        </w:r>
        <w:r>
          <w:rPr>
            <w:rStyle w:val="1147"/>
          </w:rPr>
          <w:t xml:space="preserve">Сокращения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</w:t>
          <w:fldChar w:fldCharType="end"/>
        </w:r>
      </w:hyperlink>
      <w:r/>
      <w:r/>
    </w:p>
    <w:p>
      <w:pPr>
        <w:pStyle w:val="1150"/>
        <w:tabs>
          <w:tab w:val="right" w:pos="9923" w:leader="none"/>
        </w:tabs>
      </w:pPr>
      <w:r/>
      <w:hyperlink w:tooltip="#_Toc50" w:anchor="_Toc50" w:history="1">
        <w:r>
          <w:rPr>
            <w:rStyle w:val="1147"/>
          </w:rPr>
        </w:r>
        <w:r>
          <w:rPr>
            <w:rStyle w:val="1147"/>
          </w:rPr>
          <w:t xml:space="preserve">Термины и определения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7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Основные сведения о закупке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11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Статус настоящего раздела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11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Информация о проводимой закупке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11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Общие положения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15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Общие сведения о закупке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15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Правовой статус документов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15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Обжалование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16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Особые положения при проведении закупки с использованием ЭП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17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Прочие положения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17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Требования к </w:t>
        </w:r>
        <w:r>
          <w:rPr>
            <w:rStyle w:val="1147"/>
          </w:rPr>
          <w:t xml:space="preserve">У</w:t>
        </w:r>
        <w:r>
          <w:rPr>
            <w:rStyle w:val="1147"/>
          </w:rPr>
          <w:t xml:space="preserve">частникам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18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Общие требования к Участникам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18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Генеральные подрядчики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18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Порядок проведения закупки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20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Общий порядок проведения закупки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20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Официальное размещение Извещения и Документации о закупке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22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Подготовка заявки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22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Разъяснение Документации о закупке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25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Изменения </w:t>
        </w:r>
        <w:r>
          <w:rPr>
            <w:rStyle w:val="1147"/>
          </w:rPr>
          <w:t xml:space="preserve">Извещени</w:t>
        </w:r>
        <w:r>
          <w:rPr>
            <w:rStyle w:val="1147"/>
          </w:rPr>
          <w:t xml:space="preserve">я</w:t>
        </w:r>
        <w:r>
          <w:rPr>
            <w:rStyle w:val="1147"/>
          </w:rPr>
          <w:t xml:space="preserve"> </w:t>
        </w:r>
        <w:r>
          <w:rPr>
            <w:rStyle w:val="1147"/>
          </w:rPr>
          <w:t xml:space="preserve">и</w:t>
        </w:r>
        <w:r>
          <w:rPr>
            <w:rStyle w:val="1147"/>
          </w:rPr>
          <w:t xml:space="preserve"> </w:t>
        </w:r>
        <w:r>
          <w:rPr>
            <w:rStyle w:val="1147"/>
          </w:rPr>
          <w:t xml:space="preserve">(или)</w:t>
        </w:r>
        <w:r>
          <w:rPr>
            <w:rStyle w:val="1147"/>
          </w:rPr>
          <w:t xml:space="preserve"> </w:t>
        </w:r>
        <w:r>
          <w:rPr>
            <w:rStyle w:val="1147"/>
          </w:rPr>
          <w:t xml:space="preserve">Документаци</w:t>
        </w:r>
        <w:r>
          <w:rPr>
            <w:rStyle w:val="1147"/>
          </w:rPr>
          <w:t xml:space="preserve">и</w:t>
        </w:r>
        <w:r>
          <w:rPr>
            <w:rStyle w:val="1147"/>
          </w:rPr>
          <w:t xml:space="preserve"> о закупке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26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69" w:anchor="_Toc69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Подача заявок и их прием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_Toc69 \h</w:instrText>
          <w:fldChar w:fldCharType="separate"/>
          <w:t xml:space="preserve">27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70" w:anchor="_Toc70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Изменение и отзыв заявок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_Toc70 \h</w:instrText>
          <w:fldChar w:fldCharType="separate"/>
          <w:t xml:space="preserve">27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71" w:anchor="_Toc71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Открытие доступа к первым частям заявок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_Toc71 \h</w:instrText>
          <w:fldChar w:fldCharType="separate"/>
          <w:t xml:space="preserve">28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72" w:anchor="_Toc72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Рассмотрение </w:t>
        </w:r>
        <w:r>
          <w:rPr>
            <w:rStyle w:val="1147"/>
          </w:rPr>
          <w:t xml:space="preserve">первых частей </w:t>
        </w:r>
        <w:r>
          <w:rPr>
            <w:rStyle w:val="1147"/>
          </w:rPr>
          <w:t xml:space="preserve">заявок</w:t>
        </w:r>
        <w:r>
          <w:rPr>
            <w:rStyle w:val="1147"/>
          </w:rPr>
          <w:t xml:space="preserve"> </w:t>
        </w:r>
        <w:r>
          <w:rPr>
            <w:rStyle w:val="1147"/>
          </w:rPr>
          <w:t xml:space="preserve">(</w:t>
        </w:r>
        <w:r>
          <w:rPr>
            <w:rStyle w:val="1147"/>
          </w:rPr>
          <w:t xml:space="preserve">отборочная стадия</w:t>
        </w:r>
        <w:r>
          <w:rPr>
            <w:rStyle w:val="1147"/>
          </w:rPr>
          <w:t xml:space="preserve">)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_Toc72 \h</w:instrText>
          <w:fldChar w:fldCharType="separate"/>
          <w:t xml:space="preserve">28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73" w:anchor="_Toc73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Открытие доступа ко вторым частям заявок и ценовым предложениям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_Toc73 \h</w:instrText>
          <w:fldChar w:fldCharType="separate"/>
          <w:t xml:space="preserve">29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74" w:anchor="_Toc74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Рассмотрение вторых частей заявок</w:t>
        </w:r>
        <w:r>
          <w:rPr>
            <w:rStyle w:val="1147"/>
          </w:rPr>
          <w:t xml:space="preserve"> (отборочная стадия)</w:t>
        </w:r>
        <w:r>
          <w:rPr>
            <w:rStyle w:val="1147"/>
          </w:rPr>
          <w:t xml:space="preserve">, в том числе (при</w:t>
        </w:r>
        <w:r>
          <w:rPr>
            <w:rStyle w:val="1147"/>
          </w:rPr>
          <w:t xml:space="preserve"> </w:t>
        </w:r>
        <w:r>
          <w:rPr>
            <w:rStyle w:val="1147"/>
          </w:rPr>
          <w:t xml:space="preserve">необходимости) проведение аккредитации,</w:t>
        </w:r>
        <w:r>
          <w:rPr>
            <w:rStyle w:val="1147"/>
          </w:rPr>
          <w:t xml:space="preserve"> и ценовых предложений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_Toc74 \h</w:instrText>
          <w:fldChar w:fldCharType="separate"/>
          <w:t xml:space="preserve">29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75" w:anchor="_Toc75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Дополнительные запросы разъяснений заявок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_Toc75 \h</w:instrText>
          <w:fldChar w:fldCharType="separate"/>
          <w:t xml:space="preserve">31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76" w:anchor="_Toc76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Оценка и сопоставление заявок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_Toc76 \h</w:instrText>
          <w:fldChar w:fldCharType="separate"/>
          <w:t xml:space="preserve">33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77" w:anchor="_Toc77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Применение </w:t>
        </w:r>
        <w:r>
          <w:rPr>
            <w:rStyle w:val="1147"/>
          </w:rPr>
          <w:t xml:space="preserve">законодательства о национальном режиме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_Toc77 \h</w:instrText>
          <w:fldChar w:fldCharType="separate"/>
          <w:t xml:space="preserve">33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78" w:anchor="_Toc78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</w:t>
        </w:r>
        <w:r>
          <w:rPr>
            <w:rStyle w:val="1147"/>
          </w:rPr>
          <w:t xml:space="preserve">одведение итогов закупки</w:t>
        </w:r>
        <w:r>
          <w:rPr>
            <w:rStyle w:val="1147"/>
          </w:rPr>
          <w:t xml:space="preserve"> (</w:t>
        </w:r>
        <w:r>
          <w:rPr>
            <w:rStyle w:val="1147"/>
          </w:rPr>
          <w:t xml:space="preserve">о</w:t>
        </w:r>
        <w:r>
          <w:rPr>
            <w:rStyle w:val="1147"/>
          </w:rPr>
          <w:t xml:space="preserve">пределение Победителя</w:t>
        </w:r>
        <w:r>
          <w:rPr>
            <w:rStyle w:val="1147"/>
          </w:rPr>
          <w:t xml:space="preserve">)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_Toc78 \h</w:instrText>
          <w:fldChar w:fldCharType="separate"/>
          <w:t xml:space="preserve">34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79" w:anchor="_Toc79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Признание закупки несостоявшейся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_Toc79 \h</w:instrText>
          <w:fldChar w:fldCharType="separate"/>
          <w:t xml:space="preserve">36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80" w:anchor="_Toc80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Отказ от проведения закупки</w:t>
        </w:r>
        <w:r>
          <w:rPr>
            <w:rStyle w:val="1147"/>
          </w:rPr>
          <w:t xml:space="preserve"> (отмена закупки)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_Toc80 \h</w:instrText>
          <w:fldChar w:fldCharType="separate"/>
          <w:t xml:space="preserve">36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81" w:anchor="_Toc81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Особенности</w:t>
        </w:r>
        <w:r>
          <w:rPr>
            <w:rStyle w:val="1147"/>
          </w:rPr>
          <w:t xml:space="preserve"> проведения закупки с необходимостью обеспечения заявки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_Toc81 \h</w:instrText>
          <w:fldChar w:fldCharType="separate"/>
          <w:t xml:space="preserve">36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82" w:anchor="_Toc82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Особенности проведения м</w:t>
        </w:r>
        <w:r>
          <w:rPr>
            <w:rStyle w:val="1147"/>
          </w:rPr>
          <w:t xml:space="preserve">ноголотов</w:t>
        </w:r>
        <w:r>
          <w:rPr>
            <w:rStyle w:val="1147"/>
          </w:rPr>
          <w:t xml:space="preserve">ой</w:t>
        </w:r>
        <w:r>
          <w:rPr>
            <w:rStyle w:val="1147"/>
          </w:rPr>
          <w:t xml:space="preserve"> закупк</w:t>
        </w:r>
        <w:r>
          <w:rPr>
            <w:rStyle w:val="1147"/>
          </w:rPr>
          <w:t xml:space="preserve">и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_Toc82 \h</w:instrText>
          <w:fldChar w:fldCharType="separate"/>
          <w:t xml:space="preserve">40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83" w:anchor="_Toc83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</w:t>
        </w:r>
        <w:r>
          <w:rPr>
            <w:rStyle w:val="1147"/>
          </w:rPr>
          <w:t xml:space="preserve">орядок заключения </w:t>
        </w:r>
        <w:r>
          <w:rPr>
            <w:rStyle w:val="1147"/>
          </w:rPr>
          <w:t xml:space="preserve">Д</w:t>
        </w:r>
        <w:r>
          <w:rPr>
            <w:rStyle w:val="1147"/>
          </w:rPr>
          <w:t xml:space="preserve">оговора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_Toc83 \h</w:instrText>
          <w:fldChar w:fldCharType="separate"/>
          <w:t xml:space="preserve">42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84" w:anchor="_Toc84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Общие положения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_Toc84 \h</w:instrText>
          <w:fldChar w:fldCharType="separate"/>
          <w:t xml:space="preserve">42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85" w:anchor="_Toc85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Заключение Договора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_Toc85 \h</w:instrText>
          <w:fldChar w:fldCharType="separate"/>
          <w:t xml:space="preserve">42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86" w:anchor="_Toc86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Уклонение Победителя от заключения Договора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_Toc86 \h</w:instrText>
          <w:fldChar w:fldCharType="separate"/>
          <w:t xml:space="preserve">44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87" w:anchor="_Toc87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 </w:t>
        </w:r>
        <w:r>
          <w:rPr>
            <w:rStyle w:val="1147"/>
          </w:rPr>
          <w:t xml:space="preserve">Приложение № 1 – Технические требования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_Toc87 \h</w:instrText>
          <w:fldChar w:fldCharType="separate"/>
          <w:t xml:space="preserve">45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88" w:anchor="_Toc88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Пояснения к Техническим требованиям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_Toc88 \h</w:instrText>
          <w:fldChar w:fldCharType="separate"/>
          <w:t xml:space="preserve">45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89" w:anchor="_Toc89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Приложение № 2 – Проект договора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_Toc89 \h</w:instrText>
          <w:fldChar w:fldCharType="separate"/>
          <w:t xml:space="preserve">46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90" w:anchor="_Toc90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Пояснения к </w:t>
        </w:r>
        <w:r>
          <w:rPr>
            <w:rStyle w:val="1147"/>
          </w:rPr>
          <w:t xml:space="preserve">П</w:t>
        </w:r>
        <w:r>
          <w:rPr>
            <w:rStyle w:val="1147"/>
          </w:rPr>
          <w:t xml:space="preserve">роекту договора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_Toc90 \h</w:instrText>
          <w:fldChar w:fldCharType="separate"/>
          <w:t xml:space="preserve">46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91" w:anchor="_Toc91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Приложение №</w:t>
        </w:r>
        <w:r>
          <w:rPr>
            <w:rStyle w:val="1147"/>
          </w:rPr>
          <w:t xml:space="preserve"> </w:t>
        </w:r>
        <w:r>
          <w:rPr>
            <w:rStyle w:val="1147"/>
          </w:rPr>
          <w:t xml:space="preserve">3 – Требования к </w:t>
        </w:r>
        <w:r>
          <w:rPr>
            <w:rStyle w:val="1147"/>
          </w:rPr>
          <w:t xml:space="preserve">У</w:t>
        </w:r>
        <w:r>
          <w:rPr>
            <w:rStyle w:val="1147"/>
          </w:rPr>
          <w:t xml:space="preserve">частникам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_Toc91 \h</w:instrText>
          <w:fldChar w:fldCharType="separate"/>
          <w:t xml:space="preserve">47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92" w:anchor="_Toc92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Пояснения к </w:t>
        </w:r>
        <w:r>
          <w:rPr>
            <w:rStyle w:val="1147"/>
          </w:rPr>
          <w:t xml:space="preserve">требованиям к </w:t>
        </w:r>
        <w:r>
          <w:rPr>
            <w:rStyle w:val="1147"/>
          </w:rPr>
          <w:t xml:space="preserve">У</w:t>
        </w:r>
        <w:r>
          <w:rPr>
            <w:rStyle w:val="1147"/>
          </w:rPr>
          <w:t xml:space="preserve">частникам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_Toc92 \h</w:instrText>
          <w:fldChar w:fldCharType="separate"/>
          <w:t xml:space="preserve">47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93" w:anchor="_Toc93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Обязательные требования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_Toc93 \h</w:instrText>
          <w:fldChar w:fldCharType="separate"/>
          <w:t xml:space="preserve">47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  <w:rPr>
          <w:highlight w:val="white"/>
        </w:rPr>
      </w:pPr>
      <w:r/>
      <w:hyperlink w:tooltip="#_Toc94" w:anchor="_Toc94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47"/>
          </w:rPr>
        </w:r>
        <w:r>
          <w:rPr>
            <w:rStyle w:val="1147"/>
            <w:highlight w:val="white"/>
          </w:rPr>
          <w:t xml:space="preserve">Специальные требования</w:t>
        </w:r>
        <w:r>
          <w:rPr>
            <w:rStyle w:val="1147"/>
            <w:highlight w:val="white"/>
          </w:rPr>
        </w:r>
        <w:r>
          <w:tab/>
        </w:r>
        <w:r>
          <w:fldChar w:fldCharType="begin"/>
          <w:instrText xml:space="preserve">PAGEREF _Toc94 \h</w:instrText>
          <w:fldChar w:fldCharType="separate"/>
          <w:t xml:space="preserve">50</w:t>
          <w:fldChar w:fldCharType="end"/>
        </w:r>
      </w:hyperlink>
      <w:r>
        <w:rPr>
          <w:highlight w:val="white"/>
        </w:rPr>
      </w:r>
      <w:r>
        <w:rPr>
          <w:highlight w:val="white"/>
        </w:rPr>
      </w:r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95" w:anchor="_Toc95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Дополнительные т</w:t>
        </w:r>
        <w:r>
          <w:rPr>
            <w:rStyle w:val="1147"/>
          </w:rPr>
          <w:t xml:space="preserve">ребования к Генеральным подрядчикам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_Toc95 \h</w:instrText>
          <w:fldChar w:fldCharType="separate"/>
          <w:t xml:space="preserve">51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96" w:anchor="_Toc96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Приложение № </w:t>
        </w:r>
        <w:r>
          <w:rPr>
            <w:rStyle w:val="1147"/>
          </w:rPr>
          <w:t xml:space="preserve">4</w:t>
        </w:r>
        <w:r>
          <w:rPr>
            <w:rStyle w:val="1147"/>
          </w:rPr>
          <w:t xml:space="preserve"> </w:t>
        </w:r>
        <w:r>
          <w:rPr>
            <w:rStyle w:val="1147"/>
          </w:rPr>
          <w:t xml:space="preserve">– </w:t>
        </w:r>
        <w:r>
          <w:rPr>
            <w:rStyle w:val="1147"/>
          </w:rPr>
          <w:t xml:space="preserve">Образцы форм документов, включаемых в состав заявки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_Toc96 \h</w:instrText>
          <w:fldChar w:fldCharType="separate"/>
          <w:t xml:space="preserve">52</w:t>
          <w:fldChar w:fldCharType="end"/>
        </w:r>
      </w:hyperlink>
      <w:r/>
      <w:r/>
    </w:p>
    <w:p>
      <w:pPr>
        <w:pStyle w:val="1149"/>
        <w:tabs>
          <w:tab w:val="left" w:pos="567" w:leader="none"/>
          <w:tab w:val="right" w:pos="9923" w:leader="none"/>
        </w:tabs>
      </w:pPr>
      <w:r/>
      <w:hyperlink w:tooltip="#_Toc97" w:anchor="_Toc97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Пояснения к Образца</w:t>
        </w:r>
        <w:r>
          <w:rPr>
            <w:rStyle w:val="1147"/>
          </w:rPr>
          <w:t xml:space="preserve">м</w:t>
        </w:r>
        <w:r>
          <w:rPr>
            <w:rStyle w:val="1147"/>
          </w:rPr>
          <w:t xml:space="preserve"> форм документов, включаемых в состав заявки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_Toc97 \h</w:instrText>
          <w:fldChar w:fldCharType="separate"/>
          <w:t xml:space="preserve">52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98" w:anchor="_Toc98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Приложение № 5 </w:t>
        </w:r>
        <w:r>
          <w:rPr>
            <w:rStyle w:val="1147"/>
          </w:rPr>
          <w:t xml:space="preserve">– </w:t>
        </w:r>
        <w:r>
          <w:rPr>
            <w:rStyle w:val="1147"/>
          </w:rPr>
          <w:t xml:space="preserve">Образцы форм документов, предоставляемых Победителем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_Toc98 \h</w:instrText>
          <w:fldChar w:fldCharType="separate"/>
          <w:t xml:space="preserve">53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99" w:anchor="_Toc99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Пояснения к Образцам форм документов, предоставляемых Победителем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_Toc99 \h</w:instrText>
          <w:fldChar w:fldCharType="separate"/>
          <w:t xml:space="preserve">53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100" w:anchor="_Toc100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_Toc100 \h</w:instrText>
          <w:fldChar w:fldCharType="separate"/>
          <w:t xml:space="preserve">53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101" w:anchor="_Toc101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Форма «Заверение об обстоятельствах»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_Toc101 \h</w:instrText>
          <w:fldChar w:fldCharType="separate"/>
          <w:t xml:space="preserve">53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102" w:anchor="_Toc102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Приложение №</w:t>
        </w:r>
        <w:r>
          <w:rPr>
            <w:rStyle w:val="1147"/>
          </w:rPr>
          <w:t xml:space="preserve"> </w:t>
        </w:r>
        <w:r>
          <w:rPr>
            <w:rStyle w:val="1147"/>
          </w:rPr>
          <w:t xml:space="preserve">6</w:t>
        </w:r>
        <w:r>
          <w:rPr>
            <w:rStyle w:val="1147"/>
          </w:rPr>
          <w:t xml:space="preserve"> – Состав заявки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_Toc102 \h</w:instrText>
          <w:fldChar w:fldCharType="separate"/>
          <w:t xml:space="preserve">55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103" w:anchor="_Toc103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Состав заявки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_Toc103 \h</w:instrText>
          <w:fldChar w:fldCharType="separate"/>
          <w:t xml:space="preserve">55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104" w:anchor="_Toc104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Приложение №</w:t>
        </w:r>
        <w:r>
          <w:rPr>
            <w:rStyle w:val="1147"/>
          </w:rPr>
          <w:t xml:space="preserve"> </w:t>
        </w:r>
        <w:r>
          <w:rPr>
            <w:rStyle w:val="1147"/>
          </w:rPr>
          <w:t xml:space="preserve">7</w:t>
        </w:r>
        <w:r>
          <w:rPr>
            <w:rStyle w:val="1147"/>
          </w:rPr>
          <w:t xml:space="preserve"> – Отборочные критерии рассмотрения заявок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_Toc104 \h</w:instrText>
          <w:fldChar w:fldCharType="separate"/>
          <w:t xml:space="preserve">58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  <w:rPr>
          <w:rStyle w:val="1142"/>
          <w:i w:val="0"/>
          <w:iCs w:val="0"/>
          <w:shd w:val="clear" w:color="auto" w:fill="auto"/>
        </w:rPr>
      </w:pPr>
      <w:r/>
      <w:hyperlink w:tooltip="#_Toc105" w:anchor="_Toc105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47"/>
          </w:rPr>
        </w:r>
        <w:r>
          <w:rPr>
            <w:rStyle w:val="1147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47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47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47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_Toc105 \h</w:instrText>
          <w:fldChar w:fldCharType="separate"/>
          <w:t xml:space="preserve">58</w:t>
          <w:fldChar w:fldCharType="end"/>
        </w:r>
      </w:hyperlink>
      <w:r>
        <w:rPr>
          <w:rStyle w:val="1142"/>
          <w:i w:val="0"/>
          <w:iCs w:val="0"/>
          <w:shd w:val="clear" w:color="auto" w:fill="auto"/>
        </w:rPr>
      </w:r>
      <w:r>
        <w:rPr>
          <w:rStyle w:val="1142"/>
          <w:i w:val="0"/>
          <w:iCs w:val="0"/>
          <w:shd w:val="clear" w:color="auto" w:fill="auto"/>
        </w:rPr>
      </w:r>
    </w:p>
    <w:p>
      <w:pPr>
        <w:pStyle w:val="1149"/>
        <w:tabs>
          <w:tab w:val="left" w:pos="850" w:leader="none"/>
          <w:tab w:val="right" w:pos="9923" w:leader="none"/>
        </w:tabs>
        <w:rPr>
          <w:rStyle w:val="1142"/>
          <w:i w:val="0"/>
          <w:iCs w:val="0"/>
          <w:shd w:val="clear" w:color="auto" w:fill="auto"/>
        </w:rPr>
      </w:pPr>
      <w:r/>
      <w:hyperlink w:tooltip="#_Toc106" w:anchor="_Toc106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47"/>
          </w:rPr>
        </w:r>
        <w:r>
          <w:rPr>
            <w:rStyle w:val="1147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47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_Toc106 \h</w:instrText>
          <w:fldChar w:fldCharType="separate"/>
          <w:t xml:space="preserve">59</w:t>
          <w:fldChar w:fldCharType="end"/>
        </w:r>
      </w:hyperlink>
      <w:r>
        <w:rPr>
          <w:rStyle w:val="1142"/>
          <w:i w:val="0"/>
          <w:iCs w:val="0"/>
          <w:shd w:val="clear" w:color="auto" w:fill="auto"/>
        </w:rPr>
      </w:r>
      <w:r>
        <w:rPr>
          <w:rStyle w:val="1142"/>
          <w:i w:val="0"/>
          <w:iCs w:val="0"/>
          <w:shd w:val="clear" w:color="auto" w:fill="auto"/>
        </w:rPr>
      </w:r>
    </w:p>
    <w:p>
      <w:pPr>
        <w:pStyle w:val="1149"/>
        <w:tabs>
          <w:tab w:val="left" w:pos="850" w:leader="none"/>
          <w:tab w:val="right" w:pos="9923" w:leader="none"/>
        </w:tabs>
        <w:rPr>
          <w:rStyle w:val="1142"/>
          <w:i w:val="0"/>
          <w:iCs w:val="0"/>
          <w:shd w:val="clear" w:color="auto" w:fill="auto"/>
        </w:rPr>
      </w:pPr>
      <w:r/>
      <w:hyperlink w:tooltip="#_Toc107" w:anchor="_Toc107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47"/>
          </w:rPr>
        </w:r>
        <w:r>
          <w:rPr>
            <w:rStyle w:val="1147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47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_Toc107 \h</w:instrText>
          <w:fldChar w:fldCharType="separate"/>
          <w:t xml:space="preserve">62</w:t>
          <w:fldChar w:fldCharType="end"/>
        </w:r>
      </w:hyperlink>
      <w:r>
        <w:rPr>
          <w:rStyle w:val="1142"/>
          <w:i w:val="0"/>
          <w:iCs w:val="0"/>
          <w:shd w:val="clear" w:color="auto" w:fill="auto"/>
        </w:rPr>
      </w:r>
      <w:r>
        <w:rPr>
          <w:rStyle w:val="1142"/>
          <w:i w:val="0"/>
          <w:iCs w:val="0"/>
          <w:shd w:val="clear" w:color="auto" w:fill="auto"/>
        </w:rPr>
      </w:r>
    </w:p>
    <w:p>
      <w:pPr>
        <w:pStyle w:val="1149"/>
        <w:tabs>
          <w:tab w:val="left" w:pos="850" w:leader="none"/>
          <w:tab w:val="right" w:pos="9923" w:leader="none"/>
        </w:tabs>
        <w:rPr>
          <w:rStyle w:val="1142"/>
          <w:i w:val="0"/>
          <w:iCs w:val="0"/>
          <w:shd w:val="clear" w:color="auto" w:fill="auto"/>
        </w:rPr>
      </w:pPr>
      <w:r/>
      <w:hyperlink w:tooltip="#_Toc108" w:anchor="_Toc108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47"/>
          </w:rPr>
        </w:r>
        <w:r>
          <w:rPr>
            <w:rStyle w:val="1147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47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47"/>
            <w:i w:val="0"/>
            <w:iCs w:val="0"/>
            <w:shd w:val="clear" w:color="auto" w:fill="auto"/>
          </w:rPr>
          <w:t xml:space="preserve">ок</w:t>
        </w:r>
        <w:r>
          <w:rPr>
            <w:rStyle w:val="1147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47"/>
            <w:i w:val="0"/>
            <w:iCs w:val="0"/>
            <w:shd w:val="clear" w:color="auto" w:fill="auto"/>
          </w:rPr>
          <w:t xml:space="preserve">е</w:t>
        </w:r>
        <w:r>
          <w:rPr>
            <w:rStyle w:val="1147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47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_Toc108 \h</w:instrText>
          <w:fldChar w:fldCharType="separate"/>
          <w:t xml:space="preserve">63</w:t>
          <w:fldChar w:fldCharType="end"/>
        </w:r>
      </w:hyperlink>
      <w:r>
        <w:rPr>
          <w:rStyle w:val="1142"/>
          <w:i w:val="0"/>
          <w:iCs w:val="0"/>
          <w:shd w:val="clear" w:color="auto" w:fill="auto"/>
        </w:rPr>
      </w:r>
      <w:r>
        <w:rPr>
          <w:rStyle w:val="1142"/>
          <w:i w:val="0"/>
          <w:iCs w:val="0"/>
          <w:shd w:val="clear" w:color="auto" w:fill="auto"/>
        </w:rPr>
      </w:r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109" w:anchor="_Toc109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Приложение №</w:t>
        </w:r>
        <w:r>
          <w:rPr>
            <w:rStyle w:val="1147"/>
          </w:rPr>
          <w:t xml:space="preserve"> </w:t>
        </w:r>
        <w:r>
          <w:rPr>
            <w:rStyle w:val="1147"/>
          </w:rPr>
          <w:t xml:space="preserve">8</w:t>
        </w:r>
        <w:r>
          <w:rPr>
            <w:rStyle w:val="1147"/>
          </w:rPr>
          <w:t xml:space="preserve"> – Порядок и критерии оценки и сопоставления заявок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_Toc109 \h</w:instrText>
          <w:fldChar w:fldCharType="separate"/>
          <w:t xml:space="preserve">65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110" w:anchor="_Toc110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Порядок и критерии оценки и сопоставления заявок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_Toc110 \h</w:instrText>
          <w:fldChar w:fldCharType="separate"/>
          <w:t xml:space="preserve">65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111" w:anchor="_Toc111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Приложение № </w:t>
        </w:r>
        <w:r>
          <w:rPr>
            <w:rStyle w:val="1147"/>
          </w:rPr>
          <w:t xml:space="preserve">9</w:t>
        </w:r>
        <w:r>
          <w:rPr>
            <w:rStyle w:val="1147"/>
          </w:rPr>
          <w:t xml:space="preserve"> – Обоснование НМЦ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_Toc111 \h</w:instrText>
          <w:fldChar w:fldCharType="separate"/>
          <w:t xml:space="preserve">69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112" w:anchor="_Toc112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Пояснения к Обоснованию НМЦ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_Toc112 \h</w:instrText>
          <w:fldChar w:fldCharType="separate"/>
          <w:t xml:space="preserve">69</w:t>
          <w:fldChar w:fldCharType="end"/>
        </w:r>
      </w:hyperlink>
      <w:r/>
      <w:r/>
    </w:p>
    <w:p>
      <w:pPr>
        <w:pStyle w:val="1150"/>
        <w:tabs>
          <w:tab w:val="left" w:pos="567" w:leader="none"/>
          <w:tab w:val="right" w:pos="9923" w:leader="none"/>
        </w:tabs>
      </w:pPr>
      <w:r/>
      <w:hyperlink w:tooltip="#_Toc113" w:anchor="_Toc113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Приложение № 1</w:t>
        </w:r>
        <w:r>
          <w:rPr>
            <w:rStyle w:val="1147"/>
          </w:rPr>
          <w:t xml:space="preserve">0</w:t>
        </w:r>
        <w:r>
          <w:rPr>
            <w:rStyle w:val="1147"/>
          </w:rPr>
          <w:t xml:space="preserve"> – Форма Заявки на аккредитацию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_Toc113 \h</w:instrText>
          <w:fldChar w:fldCharType="separate"/>
          <w:t xml:space="preserve">70</w:t>
          <w:fldChar w:fldCharType="end"/>
        </w:r>
      </w:hyperlink>
      <w:r/>
      <w:r/>
    </w:p>
    <w:p>
      <w:pPr>
        <w:pStyle w:val="1149"/>
        <w:tabs>
          <w:tab w:val="left" w:pos="850" w:leader="none"/>
          <w:tab w:val="right" w:pos="9923" w:leader="none"/>
        </w:tabs>
      </w:pPr>
      <w:r/>
      <w:hyperlink w:tooltip="#_Toc114" w:anchor="_Toc114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47"/>
          </w:rPr>
        </w:r>
        <w:r>
          <w:rPr>
            <w:rStyle w:val="1147"/>
          </w:rPr>
          <w:t xml:space="preserve">Пояснения к форме Заявки на аккредитацию</w:t>
        </w:r>
        <w:r>
          <w:rPr>
            <w:rStyle w:val="1147"/>
          </w:rPr>
        </w:r>
        <w:r>
          <w:tab/>
        </w:r>
        <w:r>
          <w:fldChar w:fldCharType="begin"/>
          <w:instrText xml:space="preserve">PAGEREF _Toc114 \h</w:instrText>
          <w:fldChar w:fldCharType="separate"/>
          <w:t xml:space="preserve">70</w:t>
          <w:fldChar w:fldCharType="end"/>
        </w:r>
      </w:hyperlink>
      <w:r/>
      <w:r/>
    </w:p>
    <w:p>
      <w:pPr>
        <w:pStyle w:val="1137"/>
      </w:pPr>
      <w:r>
        <w:fldChar w:fldCharType="end"/>
      </w:r>
      <w:r/>
    </w:p>
    <w:p>
      <w:pPr>
        <w:pStyle w:val="1137"/>
        <w:keepNext/>
        <w:spacing w:before="60"/>
        <w:rPr>
          <w:rStyle w:val="1168"/>
        </w:rPr>
      </w:pPr>
      <w:r>
        <w:rPr>
          <w:rStyle w:val="1168"/>
        </w:rPr>
        <w:t xml:space="preserve">[Примечание (дополнительные удобства работы с Документацией о закупке; </w:t>
      </w:r>
      <w:r>
        <w:rPr>
          <w:rStyle w:val="1168"/>
        </w:rPr>
        <w:t xml:space="preserve">Microsoft Word | </w:t>
      </w:r>
      <w:r>
        <w:rPr>
          <w:rStyle w:val="1168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68"/>
        </w:rPr>
        <w:t xml:space="preserve">):</w:t>
      </w:r>
      <w:r>
        <w:rPr>
          <w:rStyle w:val="1168"/>
        </w:rPr>
      </w:r>
      <w:r>
        <w:rPr>
          <w:rStyle w:val="1168"/>
        </w:rPr>
      </w:r>
    </w:p>
    <w:p>
      <w:pPr>
        <w:pStyle w:val="1137"/>
        <w:numPr>
          <w:ilvl w:val="0"/>
          <w:numId w:val="13"/>
        </w:numPr>
        <w:ind w:left="284" w:hanging="284"/>
        <w:spacing w:before="60"/>
        <w:rPr>
          <w:rStyle w:val="1168"/>
        </w:rPr>
      </w:pPr>
      <w:r>
        <w:rPr>
          <w:rStyle w:val="1168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68"/>
        </w:rPr>
        <w:t xml:space="preserve"> </w:t>
      </w:r>
      <w:r>
        <w:rPr>
          <w:rStyle w:val="1168"/>
        </w:rPr>
        <w:t xml:space="preserve">| </w:t>
      </w:r>
      <w:r>
        <w:rPr>
          <w:rStyle w:val="1168"/>
          <w:color w:val="4472c4" w:themeColor="accent1"/>
        </w:rPr>
        <w:t xml:space="preserve">включается на вкладке «Вид» опцией «Навигатор»</w:t>
      </w:r>
      <w:r>
        <w:rPr>
          <w:rStyle w:val="1168"/>
        </w:rPr>
        <w:t xml:space="preserve">;</w:t>
      </w:r>
      <w:r>
        <w:rPr>
          <w:rStyle w:val="1168"/>
        </w:rPr>
      </w:r>
      <w:r>
        <w:rPr>
          <w:rStyle w:val="1168"/>
        </w:rPr>
      </w:r>
    </w:p>
    <w:p>
      <w:pPr>
        <w:pStyle w:val="1137"/>
        <w:numPr>
          <w:ilvl w:val="0"/>
          <w:numId w:val="13"/>
        </w:numPr>
        <w:ind w:left="284" w:hanging="284"/>
        <w:spacing w:before="60"/>
        <w:rPr>
          <w:rStyle w:val="1168"/>
        </w:rPr>
      </w:pPr>
      <w:r>
        <w:rPr>
          <w:rStyle w:val="1168"/>
        </w:rPr>
        <w:t xml:space="preserve">переход по перекрестным и другим ссылкам осуществляется левым кликом мыши с</w:t>
      </w:r>
      <w:r>
        <w:rPr>
          <w:rStyle w:val="1168"/>
          <w:lang w:val="en-US"/>
        </w:rPr>
        <w:t xml:space="preserve"> </w:t>
      </w:r>
      <w:r>
        <w:rPr>
          <w:rStyle w:val="1168"/>
        </w:rPr>
        <w:t xml:space="preserve">зажатой клавишей Ctrl, обратный возврат на место в тексте, с котор</w:t>
      </w:r>
      <w:r>
        <w:rPr>
          <w:rStyle w:val="1168"/>
        </w:rPr>
        <w:t xml:space="preserve">ого</w:t>
      </w:r>
      <w:r>
        <w:rPr>
          <w:rStyle w:val="1168"/>
        </w:rPr>
        <w:t xml:space="preserve"> был </w:t>
      </w:r>
      <w:r>
        <w:rPr>
          <w:rStyle w:val="1168"/>
        </w:rPr>
        <w:t xml:space="preserve">сделан</w:t>
      </w:r>
      <w:r>
        <w:rPr>
          <w:rStyle w:val="1168"/>
        </w:rPr>
        <w:t xml:space="preserve"> переход, осуществляется нажатием стрелки влево (←) с зажатой левой клавишей Alt</w:t>
      </w:r>
      <w:r>
        <w:rPr>
          <w:rStyle w:val="1168"/>
        </w:rPr>
        <w:t xml:space="preserve"> </w:t>
      </w:r>
      <w:r>
        <w:rPr>
          <w:rStyle w:val="1168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68"/>
        </w:rPr>
        <w:t xml:space="preserve">;</w:t>
      </w:r>
      <w:r>
        <w:rPr>
          <w:rStyle w:val="1168"/>
        </w:rPr>
      </w:r>
      <w:r>
        <w:rPr>
          <w:rStyle w:val="1168"/>
        </w:rPr>
      </w:r>
    </w:p>
    <w:p>
      <w:pPr>
        <w:pStyle w:val="1137"/>
        <w:numPr>
          <w:ilvl w:val="0"/>
          <w:numId w:val="13"/>
        </w:numPr>
        <w:ind w:left="284" w:hanging="284"/>
        <w:spacing w:before="60"/>
        <w:rPr>
          <w:rStyle w:val="1168"/>
        </w:rPr>
      </w:pPr>
      <w:r>
        <w:rPr>
          <w:rStyle w:val="1168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68"/>
        </w:rPr>
        <w:t xml:space="preserve">е</w:t>
      </w:r>
      <w:r>
        <w:rPr>
          <w:rStyle w:val="1168"/>
        </w:rPr>
        <w:t xml:space="preserve"> документа (файла) в</w:t>
      </w:r>
      <w:r>
        <w:rPr>
          <w:rStyle w:val="1168"/>
          <w:lang w:val="en-US"/>
        </w:rPr>
        <w:t xml:space="preserve"> </w:t>
      </w:r>
      <w:r>
        <w:rPr>
          <w:rStyle w:val="1168"/>
        </w:rPr>
        <w:t xml:space="preserve">тексте</w:t>
      </w:r>
      <w:r>
        <w:rPr>
          <w:rStyle w:val="1168"/>
        </w:rPr>
        <w:t xml:space="preserve">;</w:t>
      </w:r>
      <w:r>
        <w:rPr>
          <w:rStyle w:val="1168"/>
        </w:rPr>
      </w:r>
      <w:r>
        <w:rPr>
          <w:rStyle w:val="1168"/>
        </w:rPr>
      </w:r>
    </w:p>
    <w:p>
      <w:pPr>
        <w:pStyle w:val="1137"/>
        <w:numPr>
          <w:ilvl w:val="0"/>
          <w:numId w:val="13"/>
        </w:numPr>
        <w:ind w:left="284" w:hanging="284"/>
        <w:spacing w:before="60"/>
        <w:rPr>
          <w:rStyle w:val="1168"/>
        </w:rPr>
      </w:pPr>
      <w:r>
        <w:rPr>
          <w:rStyle w:val="1168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68"/>
        </w:rPr>
        <w:t xml:space="preserve">.]</w:t>
      </w:r>
      <w:r>
        <w:rPr>
          <w:rStyle w:val="1168"/>
        </w:rPr>
      </w:r>
      <w:r>
        <w:rPr>
          <w:rStyle w:val="1168"/>
        </w:rPr>
      </w:r>
    </w:p>
    <w:p>
      <w:pPr>
        <w:pStyle w:val="1136"/>
        <w:outlineLvl w:val="0"/>
      </w:pPr>
      <w:r/>
      <w:bookmarkStart w:id="406" w:name="_Toc49"/>
      <w:r>
        <w:t xml:space="preserve">Сокращения</w:t>
      </w:r>
      <w:bookmarkEnd w:id="406"/>
      <w:r/>
      <w:r/>
    </w:p>
    <w:p>
      <w:pPr>
        <w:pStyle w:val="1137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37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37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37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37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37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37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37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37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37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37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37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37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37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37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37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37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37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37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37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37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36"/>
        <w:outlineLvl w:val="0"/>
      </w:pPr>
      <w:r/>
      <w:bookmarkStart w:id="407" w:name="_Toc50"/>
      <w:r>
        <w:t xml:space="preserve">Термины и определения</w:t>
      </w:r>
      <w:bookmarkEnd w:id="407"/>
      <w:r/>
      <w:r/>
    </w:p>
    <w:p>
      <w:pPr>
        <w:pStyle w:val="1137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37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37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37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37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37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37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37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37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37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37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37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37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37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37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37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37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37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37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37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37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37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45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37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37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</w:t>
      </w:r>
      <w:r>
        <w:t xml:space="preserve">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</w:t>
      </w:r>
      <w:r>
        <w:t xml:space="preserve">, в том числе индивидуальный предприниматель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37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31"/>
      </w:pPr>
      <w:r/>
      <w:bookmarkStart w:id="408" w:name="_Toc51"/>
      <w:r/>
      <w:bookmarkStart w:id="3" w:name="_Ref125359988"/>
      <w:r>
        <w:t xml:space="preserve">Основные сведения о закупке</w:t>
      </w:r>
      <w:bookmarkEnd w:id="3"/>
      <w:r/>
      <w:bookmarkEnd w:id="408"/>
      <w:r/>
      <w:r/>
    </w:p>
    <w:p>
      <w:pPr>
        <w:pStyle w:val="1132"/>
      </w:pPr>
      <w:r/>
      <w:bookmarkStart w:id="409" w:name="_Toc52"/>
      <w:r>
        <w:t xml:space="preserve">Статус настоящего раздела</w:t>
      </w:r>
      <w:bookmarkEnd w:id="409"/>
      <w:r/>
      <w:r/>
    </w:p>
    <w:p>
      <w:pPr>
        <w:pStyle w:val="1133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33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61"/>
          </w:rPr>
          <w:t xml:space="preserve">Технически</w:t>
        </w:r>
        <w:r>
          <w:rPr>
            <w:rStyle w:val="1161"/>
          </w:rPr>
          <w:t xml:space="preserve">х</w:t>
        </w:r>
        <w:r>
          <w:rPr>
            <w:rStyle w:val="1161"/>
          </w:rPr>
          <w:t xml:space="preserve"> требовани</w:t>
        </w:r>
        <w:r>
          <w:rPr>
            <w:rStyle w:val="1161"/>
          </w:rPr>
          <w:t xml:space="preserve">ях (Приложение № 1)</w:t>
        </w:r>
      </w:hyperlink>
      <w:r>
        <w:rPr>
          <w:rStyle w:val="1161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61"/>
          </w:rPr>
          <w:t xml:space="preserve">П</w:t>
        </w:r>
        <w:r>
          <w:rPr>
            <w:rStyle w:val="1161"/>
          </w:rPr>
          <w:t xml:space="preserve">роект</w:t>
        </w:r>
        <w:r>
          <w:rPr>
            <w:rStyle w:val="1161"/>
          </w:rPr>
          <w:t xml:space="preserve">е</w:t>
        </w:r>
        <w:r>
          <w:rPr>
            <w:rStyle w:val="1161"/>
          </w:rPr>
          <w:t xml:space="preserve"> </w:t>
        </w:r>
        <w:r>
          <w:rPr>
            <w:rStyle w:val="1161"/>
          </w:rPr>
          <w:t xml:space="preserve">д</w:t>
        </w:r>
        <w:r>
          <w:rPr>
            <w:rStyle w:val="1161"/>
          </w:rPr>
          <w:t xml:space="preserve">оговора</w:t>
        </w:r>
        <w:r>
          <w:rPr>
            <w:rStyle w:val="1161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33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32"/>
        <w:spacing w:after="120"/>
      </w:pPr>
      <w:r/>
      <w:bookmarkStart w:id="410" w:name="_Toc53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410"/>
      <w:r/>
      <w:r/>
    </w:p>
    <w:tbl>
      <w:tblPr>
        <w:tblStyle w:val="1158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br/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Ref125360980"/>
            <w:r>
              <w:rPr>
                <w:sz w:val="24"/>
                <w:szCs w:val="24"/>
              </w:rPr>
            </w:r>
            <w:bookmarkEnd w:id="1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предложений</w:t>
            </w:r>
            <w:r>
              <w:rPr>
                <w:sz w:val="24"/>
                <w:szCs w:val="24"/>
              </w:rPr>
              <w:t xml:space="preserve"> в электронной форме</w:t>
            </w:r>
            <w:r>
              <w:rPr>
                <w:sz w:val="24"/>
                <w:szCs w:val="24"/>
              </w:rPr>
              <w:t xml:space="preserve">, участниками которого могут быть только субъекты МСП.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64"/>
        </w:trPr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" w:name="_Ref125360996"/>
            <w:r>
              <w:rPr>
                <w:sz w:val="24"/>
                <w:szCs w:val="24"/>
              </w:rPr>
            </w:r>
            <w:bookmarkEnd w:id="1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 Договора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 xml:space="preserve">номер лота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11002006-РЕМ ПРОД-2026-ДГК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ОКПД2 43.39.19.190 Выполнение ремонтных работ помещений, прилегающей территории Исполнительного аппарата расположенных по адресу: г. Хабаровск, ул. Шеронова 65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z w:val="24"/>
                <w:szCs w:val="24"/>
              </w:rPr>
              <w:br/>
              <w:t xml:space="preserve">предмета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61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Ref125367124"/>
            <w:r>
              <w:rPr>
                <w:sz w:val="24"/>
                <w:szCs w:val="24"/>
              </w:rPr>
            </w:r>
            <w:bookmarkEnd w:id="1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Многолотовая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79"/>
              <w:rPr>
                <w:b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1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" w:name="_Ref125360764"/>
            <w:r>
              <w:rPr>
                <w:sz w:val="24"/>
                <w:szCs w:val="24"/>
              </w:rPr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  <w:r>
              <w:rPr>
                <w:sz w:val="24"/>
                <w:szCs w:val="24"/>
              </w:rPr>
              <w:t xml:space="preserve">ЭП,</w:t>
            </w:r>
            <w:r>
              <w:rPr>
                <w:sz w:val="24"/>
                <w:szCs w:val="24"/>
              </w:rPr>
              <w:t xml:space="preserve"> на которой проводится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4"/>
                <w:szCs w:val="24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47"/>
                <w:sz w:val="24"/>
                <w:szCs w:val="24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2" w:tooltip="https://www.roseltorg.ru/knowledge_db/docs?55" w:history="1">
              <w:r>
                <w:rPr>
                  <w:rStyle w:val="1147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i/>
                <w:sz w:val="24"/>
                <w:szCs w:val="24"/>
                <w:shd w:val="clear" w:color="auto" w:fill="ffff99"/>
              </w:rPr>
            </w:r>
            <w:r>
              <w:rPr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Ref125360970"/>
            <w:r>
              <w:rPr>
                <w:sz w:val="24"/>
                <w:szCs w:val="24"/>
              </w:rPr>
            </w:r>
            <w:bookmarkEnd w:id="1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могут т</w:t>
            </w:r>
            <w:r>
              <w:rPr>
                <w:sz w:val="24"/>
                <w:szCs w:val="24"/>
              </w:rPr>
              <w:t xml:space="preserve">олько</w:t>
            </w:r>
            <w:r>
              <w:rPr>
                <w:sz w:val="24"/>
                <w:szCs w:val="24"/>
              </w:rPr>
              <w:t xml:space="preserve"> субъекты МСП, а также</w:t>
            </w:r>
            <w:r>
              <w:rPr>
                <w:sz w:val="24"/>
                <w:szCs w:val="24"/>
              </w:rPr>
              <w:t xml:space="preserve"> физически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61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" w:name="_Ref125360988"/>
            <w:r>
              <w:rPr>
                <w:sz w:val="24"/>
                <w:szCs w:val="24"/>
              </w:rPr>
            </w:r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Заказчик</w:t>
            </w:r>
            <w:r>
              <w:rPr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37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Место нахождения: 680000, г. Хабаровск, ул. Фрунзе, д. 49</w:t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37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Почтовый адрес: 680000, г. Хабаровск, ул. Фрунзе, д. 49</w:t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1137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Адрес электронной почты: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hyperlink r:id="rId13" w:tooltip="mailto:dgk@dgk.ru" w:history="1">
              <w:r>
                <w:rPr>
                  <w:rStyle w:val="1147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dgk</w:t>
              </w:r>
              <w:r>
                <w:rPr>
                  <w:rStyle w:val="1147"/>
                  <w:b w:val="0"/>
                  <w:bCs w:val="0"/>
                  <w:color w:val="2f5696"/>
                  <w:sz w:val="24"/>
                  <w:szCs w:val="24"/>
                  <w:highlight w:val="white"/>
                </w:rPr>
                <w:t xml:space="preserve">@</w:t>
              </w:r>
              <w:r>
                <w:rPr>
                  <w:rStyle w:val="1147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dgk</w:t>
              </w:r>
              <w:r>
                <w:rPr>
                  <w:rStyle w:val="1147"/>
                  <w:b w:val="0"/>
                  <w:bCs w:val="0"/>
                  <w:color w:val="2f5696"/>
                  <w:sz w:val="24"/>
                  <w:szCs w:val="24"/>
                  <w:highlight w:val="white"/>
                </w:rPr>
                <w:t xml:space="preserve">.</w:t>
              </w:r>
              <w:r>
                <w:rPr>
                  <w:rStyle w:val="1147"/>
                  <w:b w:val="0"/>
                  <w:bCs w:val="0"/>
                  <w:color w:val="2f5696"/>
                  <w:sz w:val="24"/>
                  <w:szCs w:val="24"/>
                  <w:highlight w:val="white"/>
                  <w:lang w:val="en-US"/>
                </w:rPr>
                <w:t xml:space="preserve">ru</w:t>
              </w:r>
            </w:hyperlink>
            <w:r>
              <w:rPr>
                <w:b w:val="0"/>
                <w:bCs w:val="0"/>
                <w:color w:val="2f5696"/>
                <w:sz w:val="24"/>
                <w:szCs w:val="24"/>
                <w:highlight w:val="white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1179"/>
              <w:jc w:val="both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Контактный телефон: +7(4212) 26-4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-3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  <w:t xml:space="preserve">0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1190"/>
              <w:jc w:val="both"/>
              <w:spacing w:before="0" w:beforeAutospacing="0" w:after="0" w:afterAutospacing="0"/>
              <w:shd w:val="clear" w:color="auto" w:fill="ffffff"/>
              <w:widowControl w:val="off"/>
              <w:tabs>
                <w:tab w:val="left" w:pos="284" w:leader="none"/>
                <w:tab w:val="clear" w:pos="708" w:leader="none"/>
                <w:tab w:val="center" w:pos="993" w:leader="none"/>
                <w:tab w:val="right" w:pos="1560" w:leader="none"/>
                <w:tab w:val="left" w:pos="1701" w:leader="none"/>
                <w:tab w:val="left" w:pos="1985" w:leader="none"/>
                <w:tab w:val="center" w:pos="2694" w:leader="none"/>
                <w:tab w:val="right" w:pos="3261" w:leader="none"/>
              </w:tabs>
              <w:rPr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о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бращаться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 главному специалисту отдела хозяйственного обеспечения АО «ДГК» </w:t>
            </w:r>
            <w:r>
              <w:rPr>
                <w:i w:val="0"/>
                <w:iCs w:val="0"/>
                <w:sz w:val="24"/>
                <w:szCs w:val="24"/>
              </w:rPr>
              <w:t xml:space="preserve">Чунареву Дмитрию Николаевичу</w:t>
            </w:r>
            <w:r>
              <w:rPr>
                <w:i w:val="0"/>
                <w:iCs w:val="0"/>
                <w:sz w:val="24"/>
                <w:szCs w:val="24"/>
              </w:rPr>
              <w:t xml:space="preserve">, тел. 8(</w:t>
            </w:r>
            <w:r>
              <w:rPr>
                <w:i w:val="0"/>
                <w:iCs w:val="0"/>
                <w:sz w:val="24"/>
                <w:szCs w:val="24"/>
              </w:rPr>
              <w:t xml:space="preserve">4212)6-49-45, </w:t>
            </w:r>
            <w:r>
              <w:rPr>
                <w:i w:val="0"/>
                <w:iCs w:val="0"/>
                <w:sz w:val="24"/>
                <w:szCs w:val="24"/>
              </w:rPr>
              <w:t xml:space="preserve">chunarev-dn@dgk.ru.</w:t>
            </w:r>
            <w:r>
              <w:rPr>
                <w:bCs w:val="0"/>
                <w:i w:val="0"/>
                <w:sz w:val="24"/>
                <w:szCs w:val="24"/>
              </w:rPr>
            </w:r>
            <w:r>
              <w:rPr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Ref125360954"/>
            <w:r>
              <w:rPr>
                <w:sz w:val="24"/>
                <w:szCs w:val="24"/>
              </w:rPr>
            </w:r>
            <w:bookmarkEnd w:id="1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79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79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79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79"/>
              <w:jc w:val="left"/>
              <w:spacing w:before="62" w:beforeAutospacing="0"/>
              <w:rPr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hyperlink r:id="rId14" w:tooltip="mailto:dgk@dgk.ru" w:history="1">
              <w:r>
                <w:rPr>
                  <w:rStyle w:val="1147"/>
                  <w:b w:val="0"/>
                  <w:color w:val="2f5696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7"/>
                  <w:b w:val="0"/>
                  <w:color w:val="2f5696"/>
                  <w:sz w:val="24"/>
                  <w:szCs w:val="24"/>
                </w:rPr>
                <w:t xml:space="preserve">@</w:t>
              </w:r>
              <w:r>
                <w:rPr>
                  <w:rStyle w:val="1147"/>
                  <w:b w:val="0"/>
                  <w:color w:val="2f5696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47"/>
                  <w:b w:val="0"/>
                  <w:color w:val="2f5696"/>
                  <w:sz w:val="24"/>
                  <w:szCs w:val="24"/>
                </w:rPr>
                <w:t xml:space="preserve">.</w:t>
              </w:r>
              <w:r>
                <w:rPr>
                  <w:rStyle w:val="1147"/>
                  <w:b w:val="0"/>
                  <w:color w:val="2f5696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1179"/>
              <w:jc w:val="both"/>
              <w:spacing w:before="62" w:before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2</w:t>
            </w:r>
            <w:r>
              <w:rPr>
                <w:b w:val="0"/>
                <w:sz w:val="24"/>
                <w:szCs w:val="24"/>
              </w:rPr>
              <w:t xml:space="preserve">-3</w:t>
            </w:r>
            <w:r>
              <w:rPr>
                <w:b w:val="0"/>
                <w:sz w:val="24"/>
                <w:szCs w:val="24"/>
              </w:rPr>
              <w:t xml:space="preserve">0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" w:name="_Ref125361238"/>
            <w:r>
              <w:rPr>
                <w:sz w:val="24"/>
                <w:szCs w:val="24"/>
              </w:rPr>
            </w:r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Организатора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вопросам организации и проведения закупочн</w:t>
            </w:r>
            <w:r>
              <w:rPr>
                <w:sz w:val="24"/>
                <w:szCs w:val="24"/>
              </w:rPr>
              <w:t xml:space="preserve">ой процедуры: ведущий специалист </w:t>
            </w:r>
            <w:r>
              <w:rPr>
                <w:sz w:val="24"/>
                <w:szCs w:val="24"/>
              </w:rPr>
              <w:t xml:space="preserve">отдела проведения закупок работ и услуг АО «</w:t>
            </w:r>
            <w:r>
              <w:rPr>
                <w:sz w:val="24"/>
                <w:szCs w:val="24"/>
              </w:rPr>
              <w:t xml:space="preserve">ДГК» </w:t>
            </w:r>
            <w:r>
              <w:rPr>
                <w:b w:val="0"/>
                <w:sz w:val="24"/>
                <w:szCs w:val="24"/>
              </w:rPr>
              <w:t xml:space="preserve">Лутфуллина Екатерина Евгеньевна</w:t>
            </w:r>
            <w:r>
              <w:rPr>
                <w:sz w:val="24"/>
                <w:szCs w:val="24"/>
              </w:rPr>
              <w:t xml:space="preserve">, ко</w:t>
            </w:r>
            <w:r>
              <w:rPr>
                <w:sz w:val="24"/>
                <w:szCs w:val="24"/>
              </w:rPr>
              <w:t xml:space="preserve">нтактный телефон (4212) 26-42-30</w:t>
            </w:r>
            <w:r>
              <w:rPr>
                <w:sz w:val="24"/>
                <w:szCs w:val="24"/>
              </w:rPr>
              <w:t xml:space="preserve">, адрес электронной почты: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color w:val="2f5696"/>
                <w:sz w:val="24"/>
                <w:szCs w:val="24"/>
              </w:rPr>
              <w:t xml:space="preserve">lutfullina-ee@dgk.ru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Ref125362694"/>
            <w:r>
              <w:rPr>
                <w:sz w:val="24"/>
                <w:szCs w:val="24"/>
              </w:rPr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4"/>
                <w:szCs w:val="24"/>
              </w:rPr>
              <w:t xml:space="preserve"> / с</w:t>
            </w:r>
            <w:r>
              <w:rPr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доступна</w:t>
            </w:r>
            <w:r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zakupki.gov.ru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взимания платы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Предоставление Документации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закупке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бумажном носителе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" w:name="_Ref125360963"/>
            <w:r>
              <w:rPr>
                <w:sz w:val="24"/>
                <w:szCs w:val="24"/>
              </w:rPr>
            </w:r>
            <w:bookmarkEnd w:id="1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«07» апреля 2</w:t>
            </w:r>
            <w:r>
              <w:rPr>
                <w:sz w:val="24"/>
                <w:szCs w:val="24"/>
              </w:rPr>
              <w:t xml:space="preserve">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" w:name="_Ref125362837"/>
            <w:r>
              <w:rPr>
                <w:sz w:val="24"/>
                <w:szCs w:val="24"/>
              </w:rPr>
            </w:r>
            <w:bookmarkEnd w:id="2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НМЦ составляет 7 505 646,00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руб., без учета НДС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61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37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61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61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61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61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61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Ref125363076"/>
            <w:r>
              <w:rPr>
                <w:sz w:val="24"/>
                <w:szCs w:val="24"/>
              </w:rPr>
            </w:r>
            <w:bookmarkEnd w:id="2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заявки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участие в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требуется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37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размере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 установленной платы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тарифами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ператора ЭП.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" w:name="_Ref125362995"/>
            <w:r>
              <w:rPr>
                <w:sz w:val="24"/>
                <w:szCs w:val="24"/>
              </w:rPr>
            </w:r>
            <w:bookmarkEnd w:id="2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продукции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установленной </w:t>
            </w:r>
            <w:r>
              <w:rPr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sz w:val="24"/>
                <w:szCs w:val="24"/>
              </w:rPr>
              <w:t xml:space="preserve"> (форма 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1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61"/>
                  <w:sz w:val="24"/>
                  <w:szCs w:val="24"/>
                </w:rPr>
                <w:t xml:space="preserve">4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условиях, указанных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Документации о закупке</w:t>
            </w:r>
            <w:r>
              <w:rPr>
                <w:sz w:val="24"/>
                <w:szCs w:val="24"/>
              </w:rPr>
              <w:t xml:space="preserve"> 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законодательства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национальном режиме: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firstLine="0"/>
              <w:jc w:val="left"/>
              <w:spacing w:before="60" w:after="60"/>
              <w:tabs>
                <w:tab w:val="left" w:pos="295" w:leader="none"/>
              </w:tabs>
              <w:rPr>
                <w:i/>
                <w:sz w:val="22"/>
                <w:szCs w:val="22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Национальный режим предоставляется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" w:name="_Ref125475086"/>
            <w:r>
              <w:rPr>
                <w:sz w:val="24"/>
                <w:szCs w:val="24"/>
              </w:rPr>
            </w:r>
            <w:bookmarkEnd w:id="2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и порядок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</w:t>
            </w:r>
            <w:r>
              <w:rPr>
                <w:sz w:val="24"/>
                <w:szCs w:val="24"/>
              </w:rPr>
              <w:t xml:space="preserve">посредством функционала ЭП,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z w:val="24"/>
                <w:szCs w:val="24"/>
              </w:rPr>
              <w:t xml:space="preserve">ЭП, указанному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Ref125360779"/>
            <w:r>
              <w:rPr>
                <w:sz w:val="24"/>
                <w:szCs w:val="24"/>
              </w:rPr>
            </w:r>
            <w:bookmarkEnd w:id="2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«07» апреля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2026г.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«17» апреля</w:t>
            </w:r>
            <w:r>
              <w:rPr>
                <w:sz w:val="24"/>
                <w:szCs w:val="24"/>
              </w:rPr>
              <w:t xml:space="preserve"> 2026 г. в 15 ч. 00 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«17» апреля 2026 г. в 15 ч. 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_Ref125360779 \r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Ref125476197"/>
            <w:r>
              <w:rPr>
                <w:sz w:val="24"/>
                <w:szCs w:val="24"/>
              </w:rPr>
            </w:r>
            <w:bookmarkEnd w:id="2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открытия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доступа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заявкам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Ref125362733"/>
            <w:r>
              <w:rPr>
                <w:sz w:val="24"/>
                <w:szCs w:val="24"/>
              </w:rPr>
            </w:r>
            <w:bookmarkEnd w:id="2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«24» апреля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направления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днем официального размещения </w:t>
            </w:r>
            <w:r>
              <w:rPr>
                <w:sz w:val="24"/>
                <w:szCs w:val="24"/>
              </w:rPr>
              <w:t xml:space="preserve">на Официальном сайте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Ref132898515"/>
            <w:r>
              <w:rPr>
                <w:sz w:val="24"/>
                <w:szCs w:val="24"/>
              </w:rPr>
            </w:r>
            <w:bookmarkEnd w:id="2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вторых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и ценовых предложений: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</w:rPr>
              <w:t xml:space="preserve">«12» мая 2026 г.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Ref125362757"/>
            <w:r>
              <w:rPr>
                <w:sz w:val="24"/>
                <w:szCs w:val="24"/>
              </w:rPr>
            </w:r>
            <w:bookmarkEnd w:id="2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итогов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«12» мая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37"/>
              <w:rPr>
                <w:rStyle w:val="1142"/>
                <w:sz w:val="24"/>
                <w:szCs w:val="24"/>
              </w:rPr>
            </w:pPr>
            <w:r>
              <w:rPr>
                <w:rStyle w:val="1142"/>
                <w:sz w:val="24"/>
                <w:szCs w:val="24"/>
              </w:rPr>
            </w:r>
            <w:r>
              <w:rPr>
                <w:rStyle w:val="1142"/>
                <w:sz w:val="24"/>
                <w:szCs w:val="24"/>
              </w:rPr>
            </w:r>
            <w:r>
              <w:rPr>
                <w:rStyle w:val="1142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" w:name="_Ref125366047"/>
            <w:r>
              <w:rPr>
                <w:sz w:val="24"/>
                <w:szCs w:val="24"/>
              </w:rPr>
            </w:r>
            <w:bookmarkEnd w:id="2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алюминиевых полуфабрикатов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предоставляется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" w:name="_Ref125361769"/>
            <w:r>
              <w:rPr>
                <w:sz w:val="24"/>
                <w:szCs w:val="24"/>
              </w:rPr>
            </w:r>
            <w:bookmarkEnd w:id="3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и сопоставление</w:t>
            </w:r>
            <w:r>
              <w:rPr>
                <w:sz w:val="24"/>
                <w:szCs w:val="24"/>
              </w:rPr>
              <w:t xml:space="preserve"> заявок Участников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Ref125366606"/>
            <w:r>
              <w:rPr>
                <w:sz w:val="24"/>
                <w:szCs w:val="24"/>
              </w:rPr>
            </w:r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победитель.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Ref125366813"/>
            <w:r>
              <w:rPr>
                <w:sz w:val="24"/>
                <w:szCs w:val="24"/>
              </w:rPr>
            </w:r>
            <w:bookmarkEnd w:id="3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</w:rPr>
              <w:t xml:space="preserve">680000</w:t>
            </w:r>
            <w:r>
              <w:rPr>
                <w:i w:val="0"/>
                <w:iCs w:val="0"/>
                <w:sz w:val="24"/>
                <w:szCs w:val="24"/>
              </w:rPr>
              <w:t xml:space="preserve">, </w:t>
            </w:r>
            <w:r>
              <w:rPr>
                <w:i w:val="0"/>
                <w:iCs w:val="0"/>
                <w:sz w:val="24"/>
                <w:szCs w:val="24"/>
              </w:rPr>
              <w:t xml:space="preserve">Хабаровский край, </w:t>
            </w:r>
            <w:r>
              <w:rPr>
                <w:i w:val="0"/>
                <w:iCs w:val="0"/>
                <w:sz w:val="24"/>
                <w:szCs w:val="24"/>
              </w:rPr>
              <w:t xml:space="preserve">г. Хабаровск, ул. Фрунзе, д. 49</w:t>
            </w:r>
            <w:r>
              <w:rPr>
                <w:i w:val="0"/>
                <w:iCs w:val="0"/>
                <w:sz w:val="24"/>
                <w:szCs w:val="24"/>
              </w:rPr>
              <w:t xml:space="preserve"> АО «ДГК»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pacing w:val="-6"/>
                <w:sz w:val="24"/>
                <w:szCs w:val="24"/>
              </w:rPr>
              <w:t xml:space="preserve">Контактное лицо для приема документов (Ф.И.О.):  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главный специалист отдела хозяйственного обеспечения АО «ДГК» </w:t>
            </w:r>
            <w:r>
              <w:rPr>
                <w:i w:val="0"/>
                <w:iCs w:val="0"/>
                <w:sz w:val="24"/>
                <w:szCs w:val="24"/>
              </w:rPr>
              <w:t xml:space="preserve">Чунарев Дмитрий Николаевич</w:t>
            </w:r>
            <w:r>
              <w:rPr>
                <w:i w:val="0"/>
                <w:iCs w:val="0"/>
                <w:sz w:val="24"/>
                <w:szCs w:val="24"/>
              </w:rPr>
              <w:t xml:space="preserve">, тел. 8(</w:t>
            </w:r>
            <w:r>
              <w:rPr>
                <w:i w:val="0"/>
                <w:iCs w:val="0"/>
                <w:sz w:val="24"/>
                <w:szCs w:val="24"/>
              </w:rPr>
              <w:t xml:space="preserve">4212)6-49-45, </w:t>
            </w:r>
            <w:r>
              <w:rPr>
                <w:i w:val="0"/>
                <w:iCs w:val="0"/>
                <w:sz w:val="24"/>
                <w:szCs w:val="24"/>
              </w:rPr>
              <w:t xml:space="preserve">chunarev-dn@dgk.ru</w:t>
            </w:r>
            <w:r>
              <w:rPr>
                <w:i w:val="0"/>
                <w:iCs w:val="0"/>
                <w:sz w:val="24"/>
                <w:szCs w:val="24"/>
              </w:rPr>
            </w:r>
            <w:r>
              <w:rPr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" w:name="_Ref125368490"/>
            <w:r>
              <w:rPr>
                <w:sz w:val="24"/>
                <w:szCs w:val="24"/>
              </w:rPr>
            </w:r>
            <w:bookmarkEnd w:id="3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Некритичные пункты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Внимание</w:t>
            </w:r>
            <w:r>
              <w:rPr>
                <w:sz w:val="24"/>
                <w:szCs w:val="24"/>
              </w:rPr>
              <w:t xml:space="preserve">! Корректировка пунктов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допускается</w:t>
            </w:r>
            <w:r>
              <w:rPr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61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3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i/>
                <w:iCs/>
                <w:sz w:val="22"/>
                <w:szCs w:val="22"/>
                <w:highlight w:val="white"/>
              </w:rPr>
            </w:pPr>
            <w:r>
              <w:rPr>
                <w:i w:val="0"/>
                <w:iCs w:val="0"/>
                <w:sz w:val="24"/>
                <w:szCs w:val="24"/>
                <w:highlight w:val="white"/>
              </w:rPr>
              <w:t xml:space="preserve">Не т</w:t>
            </w:r>
            <w:r>
              <w:rPr>
                <w:i w:val="0"/>
                <w:iCs w:val="0"/>
                <w:sz w:val="24"/>
                <w:szCs w:val="24"/>
                <w:highlight w:val="white"/>
              </w:rPr>
              <w:t xml:space="preserve">ребуется </w:t>
            </w:r>
            <w:r>
              <w:rPr>
                <w:i/>
                <w:iCs/>
                <w:sz w:val="22"/>
                <w:szCs w:val="22"/>
                <w:highlight w:val="white"/>
              </w:rPr>
            </w:r>
            <w:r>
              <w:rPr>
                <w:i/>
                <w:iCs/>
                <w:sz w:val="22"/>
                <w:szCs w:val="22"/>
                <w:highlight w:val="white"/>
              </w:rPr>
            </w:r>
          </w:p>
        </w:tc>
      </w:tr>
    </w:tbl>
    <w:p>
      <w:pPr>
        <w:pStyle w:val="1131"/>
      </w:pPr>
      <w:r/>
      <w:bookmarkStart w:id="411" w:name="_Toc54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411"/>
      <w:r/>
      <w:r/>
    </w:p>
    <w:p>
      <w:pPr>
        <w:pStyle w:val="1132"/>
      </w:pPr>
      <w:r/>
      <w:bookmarkStart w:id="412" w:name="_Toc55"/>
      <w:r>
        <w:t xml:space="preserve">Общие сведения о закупке</w:t>
      </w:r>
      <w:bookmarkEnd w:id="412"/>
      <w:r/>
      <w:r/>
    </w:p>
    <w:p>
      <w:pPr>
        <w:pStyle w:val="1133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33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33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61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61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61"/>
          </w:rPr>
          <w:t xml:space="preserve">Приложении № 2</w:t>
        </w:r>
      </w:hyperlink>
      <w:r>
        <w:t xml:space="preserve">.</w:t>
      </w:r>
      <w:r/>
    </w:p>
    <w:p>
      <w:pPr>
        <w:pStyle w:val="1133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61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61"/>
          </w:rPr>
          <w:t xml:space="preserve">№</w:t>
        </w:r>
        <w:r>
          <w:rPr>
            <w:rStyle w:val="1161"/>
          </w:rPr>
          <w:t xml:space="preserve"> </w:t>
        </w:r>
        <w:r>
          <w:rPr>
            <w:rStyle w:val="1161"/>
          </w:rPr>
          <w:t xml:space="preserve">5</w:t>
        </w:r>
      </w:hyperlink>
      <w:r>
        <w:t xml:space="preserve">.</w:t>
      </w:r>
      <w:r/>
    </w:p>
    <w:p>
      <w:pPr>
        <w:pStyle w:val="1132"/>
      </w:pPr>
      <w:r/>
      <w:bookmarkStart w:id="413" w:name="_Toc56"/>
      <w:r>
        <w:t xml:space="preserve">Правовой статус документов</w:t>
      </w:r>
      <w:bookmarkEnd w:id="413"/>
      <w:r/>
      <w:r/>
    </w:p>
    <w:p>
      <w:pPr>
        <w:pStyle w:val="1133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33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33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33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33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33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33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33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32"/>
      </w:pPr>
      <w:r/>
      <w:bookmarkStart w:id="414" w:name="_Toc57"/>
      <w:r/>
      <w:bookmarkStart w:id="41" w:name="_Ref125363536"/>
      <w:r>
        <w:t xml:space="preserve">Обжалование</w:t>
      </w:r>
      <w:bookmarkEnd w:id="41"/>
      <w:r/>
      <w:bookmarkEnd w:id="414"/>
      <w:r/>
      <w:r/>
    </w:p>
    <w:p>
      <w:pPr>
        <w:pStyle w:val="1133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33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33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34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34"/>
      </w:pPr>
      <w:r>
        <w:t xml:space="preserve">признать заявление Участника необоснованным.</w:t>
      </w:r>
      <w:r/>
    </w:p>
    <w:p>
      <w:pPr>
        <w:pStyle w:val="1133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33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34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34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37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32"/>
      </w:pPr>
      <w:r/>
      <w:bookmarkStart w:id="415" w:name="_Toc58"/>
      <w:r>
        <w:t xml:space="preserve">Особые положения при проведении закупки с использованием ЭП</w:t>
      </w:r>
      <w:bookmarkEnd w:id="415"/>
      <w:r/>
      <w:r/>
    </w:p>
    <w:p>
      <w:pPr>
        <w:pStyle w:val="1133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33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33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33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33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32"/>
      </w:pPr>
      <w:r/>
      <w:bookmarkStart w:id="416" w:name="_Toc59"/>
      <w:r>
        <w:t xml:space="preserve">Прочие положения</w:t>
      </w:r>
      <w:bookmarkEnd w:id="416"/>
      <w:r/>
      <w:r/>
    </w:p>
    <w:p>
      <w:pPr>
        <w:pStyle w:val="1133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33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33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31"/>
      </w:pPr>
      <w:r/>
      <w:bookmarkStart w:id="417" w:name="_Toc60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417"/>
      <w:r/>
      <w:r/>
    </w:p>
    <w:p>
      <w:pPr>
        <w:pStyle w:val="1132"/>
      </w:pPr>
      <w:r/>
      <w:bookmarkStart w:id="418" w:name="_Toc61"/>
      <w:r/>
      <w:bookmarkStart w:id="47" w:name="_Ref127524530"/>
      <w:r>
        <w:t xml:space="preserve">Общие требования к Участникам</w:t>
      </w:r>
      <w:bookmarkEnd w:id="47"/>
      <w:r/>
      <w:bookmarkEnd w:id="418"/>
      <w:r/>
      <w:r/>
    </w:p>
    <w:p>
      <w:pPr>
        <w:pStyle w:val="1133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</w:t>
      </w:r>
      <w:r>
        <w:t xml:space="preserve">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</w:t>
      </w:r>
      <w:r>
        <w:t xml:space="preserve">.</w:t>
      </w:r>
      <w:bookmarkEnd w:id="49"/>
      <w:r/>
      <w:r/>
    </w:p>
    <w:p>
      <w:pPr>
        <w:pStyle w:val="1133"/>
      </w:pPr>
      <w:r>
        <w:t xml:space="preserve">Однако, чтобы претендовать на победу в закупке Участник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33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61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61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33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61"/>
          </w:rPr>
          <w:t xml:space="preserve">Приложении № 3</w:t>
        </w:r>
      </w:hyperlink>
      <w:r>
        <w:t xml:space="preserve">:</w:t>
      </w:r>
      <w:r/>
    </w:p>
    <w:p>
      <w:pPr>
        <w:pStyle w:val="1134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34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3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34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3"/>
      </w:pPr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61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32"/>
      </w:pPr>
      <w:r/>
      <w:bookmarkStart w:id="419" w:name="_Toc62"/>
      <w:r/>
      <w:bookmarkStart w:id="64" w:name="_Ref125361702"/>
      <w:r>
        <w:t xml:space="preserve">Генеральные подрядчики</w:t>
      </w:r>
      <w:bookmarkEnd w:id="64"/>
      <w:r/>
      <w:bookmarkEnd w:id="419"/>
      <w:r/>
      <w:r/>
    </w:p>
    <w:p>
      <w:pPr>
        <w:pStyle w:val="1133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33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1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33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34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4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34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61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33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34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4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37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61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33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61"/>
          </w:rPr>
          <w:t xml:space="preserve">Порядке и критериях оценки и сопоставления заявок (Приложение № </w:t>
        </w:r>
        <w:r>
          <w:rPr>
            <w:rStyle w:val="1161"/>
          </w:rPr>
          <w:t xml:space="preserve">8</w:t>
        </w:r>
        <w:r>
          <w:rPr>
            <w:rStyle w:val="1161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33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</w:t>
      </w:r>
      <w:r>
        <w:t xml:space="preserve"> 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33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1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33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1"/>
      </w:pPr>
      <w:r/>
      <w:bookmarkStart w:id="420" w:name="_Toc63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420"/>
      <w:r/>
      <w:r/>
    </w:p>
    <w:p>
      <w:pPr>
        <w:pStyle w:val="1132"/>
      </w:pPr>
      <w:r/>
      <w:bookmarkStart w:id="421" w:name="_Toc64"/>
      <w:r/>
      <w:bookmarkStart w:id="73" w:name="_Ref126141932"/>
      <w:r>
        <w:t xml:space="preserve">Общий порядок проведения закупки</w:t>
      </w:r>
      <w:bookmarkEnd w:id="73"/>
      <w:r/>
      <w:bookmarkEnd w:id="421"/>
      <w:r/>
      <w:r/>
    </w:p>
    <w:p>
      <w:pPr>
        <w:pStyle w:val="1133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58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37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37"/>
      </w:pPr>
      <w:r/>
      <w:bookmarkStart w:id="75" w:name="_Ref125362061"/>
      <w:r/>
      <w:r/>
    </w:p>
    <w:p>
      <w:pPr>
        <w:pStyle w:val="1137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2"/>
      </w:pPr>
      <w:r/>
      <w:bookmarkStart w:id="422" w:name="_Toc65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422"/>
      <w:r/>
      <w:r/>
    </w:p>
    <w:p>
      <w:pPr>
        <w:pStyle w:val="1133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33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33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33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32"/>
      </w:pPr>
      <w:r/>
      <w:bookmarkStart w:id="423" w:name="_Toc66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423"/>
      <w:r/>
      <w:r/>
    </w:p>
    <w:p>
      <w:pPr>
        <w:pStyle w:val="1133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33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33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61"/>
          </w:rPr>
          <w:t xml:space="preserve">Приложением № </w:t>
        </w:r>
        <w:r>
          <w:rPr>
            <w:rStyle w:val="1161"/>
          </w:rPr>
          <w:t xml:space="preserve">6</w:t>
        </w:r>
        <w:r>
          <w:rPr>
            <w:rStyle w:val="1161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61"/>
          </w:rPr>
          <w:t xml:space="preserve">Приложение № </w:t>
        </w:r>
        <w:r>
          <w:rPr>
            <w:rStyle w:val="1161"/>
          </w:rPr>
          <w:t xml:space="preserve">4</w:t>
        </w:r>
      </w:hyperlink>
      <w:r>
        <w:t xml:space="preserve">.</w:t>
      </w:r>
      <w:r/>
    </w:p>
    <w:p>
      <w:pPr>
        <w:pStyle w:val="1133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61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33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61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33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61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33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33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33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33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61"/>
          </w:rPr>
          <w:t xml:space="preserve">Приложение № </w:t>
        </w:r>
        <w:r>
          <w:rPr>
            <w:rStyle w:val="1161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33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33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33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33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61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61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33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61"/>
          </w:rPr>
          <w:t xml:space="preserve">Приложение № </w:t>
        </w:r>
        <w:r>
          <w:rPr>
            <w:rStyle w:val="1161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61"/>
          </w:rPr>
          <w:t xml:space="preserve">Технических требованиях (Приложение №</w:t>
        </w:r>
        <w:r>
          <w:rPr>
            <w:rStyle w:val="1161"/>
          </w:rPr>
          <w:t xml:space="preserve"> </w:t>
        </w:r>
        <w:r>
          <w:rPr>
            <w:rStyle w:val="1161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33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34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34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33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34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34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33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34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34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34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34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34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33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32"/>
      </w:pPr>
      <w:r/>
      <w:bookmarkStart w:id="424" w:name="_Toc67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424"/>
      <w:r/>
      <w:r/>
    </w:p>
    <w:p>
      <w:pPr>
        <w:pStyle w:val="1133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33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33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33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33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33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61"/>
          </w:rPr>
          <w:t xml:space="preserve">П</w:t>
        </w:r>
        <w:r>
          <w:rPr>
            <w:rStyle w:val="1161"/>
          </w:rPr>
          <w:t xml:space="preserve">роекта </w:t>
        </w:r>
        <w:r>
          <w:rPr>
            <w:rStyle w:val="1161"/>
          </w:rPr>
          <w:t xml:space="preserve">д</w:t>
        </w:r>
        <w:r>
          <w:rPr>
            <w:rStyle w:val="1161"/>
          </w:rPr>
          <w:t xml:space="preserve">оговора</w:t>
        </w:r>
        <w:r>
          <w:rPr>
            <w:rStyle w:val="1161"/>
          </w:rPr>
          <w:t xml:space="preserve"> (Приложения № 2)</w:t>
        </w:r>
      </w:hyperlink>
      <w:r>
        <w:rPr>
          <w:rStyle w:val="1161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33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32"/>
      </w:pPr>
      <w:r/>
      <w:bookmarkStart w:id="425" w:name="_Toc68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425"/>
      <w:r/>
      <w:r/>
    </w:p>
    <w:p>
      <w:pPr>
        <w:pStyle w:val="1133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33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34"/>
      </w:pPr>
      <w:r>
        <w:t xml:space="preserve">рассмотрения первых частей заявок;</w:t>
      </w:r>
      <w:r/>
    </w:p>
    <w:p>
      <w:pPr>
        <w:pStyle w:val="1134"/>
      </w:pPr>
      <w:r>
        <w:t xml:space="preserve">рассмотрения вторых частей заявок и ценовых предложений;</w:t>
      </w:r>
      <w:r/>
    </w:p>
    <w:p>
      <w:pPr>
        <w:pStyle w:val="1134"/>
      </w:pPr>
      <w:r>
        <w:t xml:space="preserve">подведения итогов закупки;</w:t>
      </w:r>
      <w:r/>
    </w:p>
    <w:p>
      <w:pPr>
        <w:pStyle w:val="1137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33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33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33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32"/>
      </w:pPr>
      <w:r/>
      <w:bookmarkStart w:id="426" w:name="_Toc69"/>
      <w:r/>
      <w:bookmarkStart w:id="104" w:name="_Ref125362119"/>
      <w:r>
        <w:t xml:space="preserve">Подача заявок и их прием</w:t>
      </w:r>
      <w:bookmarkEnd w:id="104"/>
      <w:r/>
      <w:bookmarkEnd w:id="426"/>
      <w:r/>
      <w:r/>
    </w:p>
    <w:p>
      <w:pPr>
        <w:pStyle w:val="1133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33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33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33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33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33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33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32"/>
      </w:pPr>
      <w:r/>
      <w:bookmarkStart w:id="427" w:name="_Toc70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427"/>
      <w:r/>
      <w:r/>
    </w:p>
    <w:p>
      <w:pPr>
        <w:pStyle w:val="1133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33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33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33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32"/>
      </w:pPr>
      <w:r/>
      <w:bookmarkStart w:id="428" w:name="_Toc71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428"/>
      <w:r/>
      <w:r/>
    </w:p>
    <w:p>
      <w:pPr>
        <w:pStyle w:val="1133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33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32"/>
      </w:pPr>
      <w:r/>
      <w:bookmarkStart w:id="429" w:name="_Toc72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429"/>
      <w:r/>
      <w:r/>
    </w:p>
    <w:p>
      <w:pPr>
        <w:pStyle w:val="1133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33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1"/>
          </w:rPr>
          <w:t xml:space="preserve">О</w:t>
        </w:r>
        <w:r>
          <w:rPr>
            <w:rStyle w:val="1161"/>
          </w:rPr>
          <w:t xml:space="preserve">тборочным критериям</w:t>
        </w:r>
        <w:r>
          <w:rPr>
            <w:rStyle w:val="1161"/>
          </w:rPr>
          <w:t xml:space="preserve"> рассмотрения заявок (Приложение № </w:t>
        </w:r>
        <w:r>
          <w:rPr>
            <w:rStyle w:val="1161"/>
          </w:rPr>
          <w:t xml:space="preserve">7</w:t>
        </w:r>
        <w:r>
          <w:rPr>
            <w:rStyle w:val="1161"/>
          </w:rPr>
          <w:t xml:space="preserve">)</w:t>
        </w:r>
      </w:hyperlink>
      <w:r>
        <w:t xml:space="preserve">.</w:t>
      </w:r>
      <w:r/>
    </w:p>
    <w:p>
      <w:pPr>
        <w:pStyle w:val="1133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33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34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45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35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35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34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34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34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33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45"/>
        </w:rPr>
        <w:footnoteReference w:id="4"/>
      </w:r>
      <w:r>
        <w:t xml:space="preserve">:</w:t>
      </w:r>
      <w:r/>
    </w:p>
    <w:p>
      <w:pPr>
        <w:pStyle w:val="1134"/>
      </w:pPr>
      <w:r>
        <w:t xml:space="preserve">дата подписания протокола;</w:t>
      </w:r>
      <w:r/>
    </w:p>
    <w:p>
      <w:pPr>
        <w:pStyle w:val="1134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34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34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35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35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34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4.16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33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32"/>
      </w:pPr>
      <w:r/>
      <w:bookmarkStart w:id="430" w:name="_Toc73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430"/>
      <w:r/>
      <w:r/>
    </w:p>
    <w:p>
      <w:pPr>
        <w:pStyle w:val="1133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33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32"/>
      </w:pPr>
      <w:r/>
      <w:bookmarkStart w:id="431" w:name="_Toc74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431"/>
      <w:r/>
      <w:r/>
    </w:p>
    <w:p>
      <w:pPr>
        <w:pStyle w:val="1133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33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1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33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33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34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34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34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34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37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33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34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45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35"/>
      </w:pPr>
      <w:r>
        <w:t xml:space="preserve">недостоверных сведений</w:t>
      </w:r>
      <w:r>
        <w:rPr>
          <w:rStyle w:val="1145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35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35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34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34"/>
      </w:pPr>
      <w:r>
        <w:t xml:space="preserve">несоответствие Участников требованиям Документации о закупке;</w:t>
      </w:r>
      <w:r/>
    </w:p>
    <w:p>
      <w:pPr>
        <w:pStyle w:val="1134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34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33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45"/>
        </w:rPr>
        <w:footnoteReference w:id="7"/>
      </w:r>
      <w:r>
        <w:t xml:space="preserve">:</w:t>
      </w:r>
      <w:r/>
    </w:p>
    <w:p>
      <w:pPr>
        <w:pStyle w:val="1134"/>
      </w:pPr>
      <w:r>
        <w:t xml:space="preserve">дата подписания протокола;</w:t>
      </w:r>
      <w:r/>
    </w:p>
    <w:p>
      <w:pPr>
        <w:pStyle w:val="1134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34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34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35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35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34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4.16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33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32"/>
      </w:pPr>
      <w:r/>
      <w:bookmarkStart w:id="432" w:name="_Toc75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432"/>
      <w:r/>
      <w:r/>
    </w:p>
    <w:p>
      <w:pPr>
        <w:pStyle w:val="1133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34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35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35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35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34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34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45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33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3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33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33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33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33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33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32"/>
      </w:pPr>
      <w:r/>
      <w:bookmarkStart w:id="433" w:name="_Toc76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433"/>
      <w:r/>
      <w:r/>
    </w:p>
    <w:p>
      <w:pPr>
        <w:pStyle w:val="1133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61"/>
          </w:rPr>
          <w:t xml:space="preserve">Порядком и критериями оценки и сопоставления заявок (Приложение № </w:t>
        </w:r>
        <w:r>
          <w:rPr>
            <w:rStyle w:val="1161"/>
          </w:rPr>
          <w:t xml:space="preserve">8</w:t>
        </w:r>
        <w:r>
          <w:rPr>
            <w:rStyle w:val="1161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33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33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33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33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32"/>
      </w:pPr>
      <w:r/>
      <w:bookmarkStart w:id="434" w:name="_Toc77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434"/>
      <w:r/>
      <w:r/>
    </w:p>
    <w:p>
      <w:pPr>
        <w:pStyle w:val="1133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33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33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33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45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33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61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32"/>
      </w:pPr>
      <w:r/>
      <w:bookmarkStart w:id="435" w:name="_Toc78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435"/>
      <w:r/>
      <w:r/>
    </w:p>
    <w:p>
      <w:pPr>
        <w:pStyle w:val="1133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33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33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33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45"/>
        </w:rPr>
        <w:footnoteReference w:id="10"/>
      </w:r>
      <w:r>
        <w:t xml:space="preserve">:</w:t>
      </w:r>
      <w:bookmarkEnd w:id="157"/>
      <w:r/>
      <w:r/>
    </w:p>
    <w:p>
      <w:pPr>
        <w:pStyle w:val="1134"/>
      </w:pPr>
      <w:r>
        <w:t xml:space="preserve">дата подписания протокола;</w:t>
      </w:r>
      <w:r/>
    </w:p>
    <w:p>
      <w:pPr>
        <w:pStyle w:val="1134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34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34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35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35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34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35"/>
      </w:pPr>
      <w:r>
        <w:t xml:space="preserve">количества заявок, которые были отклонены;</w:t>
      </w:r>
      <w:r/>
    </w:p>
    <w:p>
      <w:pPr>
        <w:pStyle w:val="1135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34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34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34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34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37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33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33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33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32"/>
      </w:pPr>
      <w:r/>
      <w:bookmarkStart w:id="436" w:name="_Toc79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436"/>
      <w:r/>
      <w:r/>
    </w:p>
    <w:p>
      <w:pPr>
        <w:pStyle w:val="1133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34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34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34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33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33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34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34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34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32"/>
      </w:pPr>
      <w:r/>
      <w:bookmarkStart w:id="437" w:name="_Toc80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437"/>
      <w:r/>
      <w:r/>
    </w:p>
    <w:p>
      <w:pPr>
        <w:pStyle w:val="1133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33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33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32"/>
      </w:pPr>
      <w:r/>
      <w:bookmarkStart w:id="438" w:name="_Toc81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438"/>
      <w:r/>
      <w:r/>
    </w:p>
    <w:p>
      <w:pPr>
        <w:pStyle w:val="1133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33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33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33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45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33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33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33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33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34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34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34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(4.18.8(л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34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34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34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34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34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34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34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34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34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34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33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33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33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33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33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33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34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61"/>
          </w:rPr>
          <w:t xml:space="preserve">Приложение № </w:t>
        </w:r>
        <w:r>
          <w:rPr>
            <w:rStyle w:val="1161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34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61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61"/>
          </w:rPr>
          <w:t xml:space="preserve">Проектом договора</w:t>
        </w:r>
      </w:hyperlink>
      <w:r>
        <w:t xml:space="preserve">).</w:t>
      </w:r>
      <w:r/>
    </w:p>
    <w:p>
      <w:pPr>
        <w:pStyle w:val="1133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33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34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34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34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34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34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33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32"/>
      </w:pPr>
      <w:r/>
      <w:bookmarkStart w:id="439" w:name="_Toc82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439"/>
      <w:r/>
      <w:r/>
    </w:p>
    <w:p>
      <w:pPr>
        <w:pStyle w:val="1133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33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33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33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33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34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61"/>
          </w:rPr>
          <w:t xml:space="preserve">Приложение № </w:t>
        </w:r>
        <w:r>
          <w:rPr>
            <w:rStyle w:val="1161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34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61"/>
          </w:rPr>
          <w:t xml:space="preserve">Приложение № </w:t>
        </w:r>
        <w:r>
          <w:rPr>
            <w:rStyle w:val="1161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33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31"/>
      </w:pPr>
      <w:r/>
      <w:bookmarkStart w:id="440" w:name="_Toc83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440"/>
      <w:r/>
      <w:r/>
    </w:p>
    <w:p>
      <w:pPr>
        <w:pStyle w:val="1132"/>
      </w:pPr>
      <w:r/>
      <w:bookmarkStart w:id="441" w:name="_Toc84"/>
      <w:r/>
      <w:bookmarkStart w:id="189" w:name="_Ref125366947"/>
      <w:r/>
      <w:bookmarkStart w:id="190" w:name="_Ref125368755"/>
      <w:r>
        <w:t xml:space="preserve">Общие положения</w:t>
      </w:r>
      <w:bookmarkEnd w:id="441"/>
      <w:r/>
      <w:r/>
    </w:p>
    <w:p>
      <w:pPr>
        <w:pStyle w:val="1133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32"/>
      </w:pPr>
      <w:r/>
      <w:bookmarkStart w:id="442" w:name="_Toc85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442"/>
      <w:r/>
      <w:r/>
    </w:p>
    <w:p>
      <w:pPr>
        <w:pStyle w:val="1133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33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33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61"/>
          </w:rPr>
          <w:t xml:space="preserve">Приложением № </w:t>
        </w:r>
        <w:r>
          <w:rPr>
            <w:rStyle w:val="1161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33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1"/>
          </w:rPr>
          <w:t xml:space="preserve">Приложением № 5</w:t>
        </w:r>
      </w:hyperlink>
      <w:r>
        <w:t xml:space="preserve">.</w:t>
      </w:r>
      <w:r/>
    </w:p>
    <w:p>
      <w:pPr>
        <w:pStyle w:val="1133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61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:</w:t>
      </w:r>
      <w:bookmarkEnd w:id="197"/>
      <w:r/>
      <w:r/>
    </w:p>
    <w:p>
      <w:pPr>
        <w:pStyle w:val="1134"/>
        <w:keepNext/>
      </w:pPr>
      <w:r>
        <w:t xml:space="preserve">для юридического лица:</w:t>
      </w:r>
      <w:r/>
    </w:p>
    <w:p>
      <w:pPr>
        <w:pStyle w:val="1135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35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35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34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34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33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33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33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34"/>
      </w:pPr>
      <w:r>
        <w:t xml:space="preserve">итоговый протокол по результатам закупки;</w:t>
      </w:r>
      <w:r/>
    </w:p>
    <w:p>
      <w:pPr>
        <w:pStyle w:val="1134"/>
      </w:pPr>
      <w:r>
        <w:t xml:space="preserve">Извещение и Документация о закупке со всеми изменениями;</w:t>
      </w:r>
      <w:r/>
    </w:p>
    <w:p>
      <w:pPr>
        <w:pStyle w:val="1134"/>
      </w:pPr>
      <w:r>
        <w:t xml:space="preserve">заявка Победителя со всеми дополнениями и разъяснениями.</w:t>
      </w:r>
      <w:r/>
    </w:p>
    <w:p>
      <w:pPr>
        <w:pStyle w:val="1133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33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33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33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33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32"/>
      </w:pPr>
      <w:r/>
      <w:bookmarkStart w:id="443" w:name="_Toc86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443"/>
      <w:r/>
      <w:r/>
    </w:p>
    <w:p>
      <w:pPr>
        <w:pStyle w:val="1133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34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34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34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61"/>
          </w:rPr>
          <w:t xml:space="preserve">Приложение № </w:t>
        </w:r>
        <w:r>
          <w:rPr>
            <w:rStyle w:val="1161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34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1"/>
          </w:rPr>
          <w:t xml:space="preserve">Приложением № </w:t>
        </w:r>
        <w:r>
          <w:rPr>
            <w:rStyle w:val="1161"/>
          </w:rPr>
          <w:t xml:space="preserve">5</w:t>
        </w:r>
      </w:hyperlink>
      <w:r>
        <w:t xml:space="preserve">;</w:t>
      </w:r>
      <w:r/>
    </w:p>
    <w:p>
      <w:pPr>
        <w:pStyle w:val="1134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61"/>
          </w:rPr>
          <w:t xml:space="preserve">Приложения №</w:t>
        </w:r>
        <w:r>
          <w:rPr>
            <w:rStyle w:val="1161"/>
          </w:rPr>
          <w:t xml:space="preserve"> </w:t>
        </w:r>
        <w:r>
          <w:rPr>
            <w:rStyle w:val="1161"/>
          </w:rPr>
          <w:t xml:space="preserve">1 </w:t>
        </w:r>
        <w:r>
          <w:rPr>
            <w:rStyle w:val="1161"/>
          </w:rPr>
          <w:t xml:space="preserve">– </w:t>
        </w:r>
        <w:r>
          <w:rPr>
            <w:rStyle w:val="1161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34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34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37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31"/>
      </w:pPr>
      <w:r/>
      <w:bookmarkStart w:id="444" w:name="_Toc87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>
        <w:t xml:space="preserve"> </w:t>
      </w:r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444"/>
      <w:r/>
      <w:r/>
    </w:p>
    <w:p>
      <w:pPr>
        <w:pStyle w:val="1132"/>
      </w:pPr>
      <w:r/>
      <w:bookmarkStart w:id="445" w:name="_Toc88"/>
      <w:r>
        <w:t xml:space="preserve">Пояснения к Техническим требованиям</w:t>
      </w:r>
      <w:bookmarkEnd w:id="445"/>
      <w:r/>
      <w:r/>
    </w:p>
    <w:p>
      <w:pPr>
        <w:pStyle w:val="1133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31"/>
      </w:pPr>
      <w:r/>
      <w:bookmarkStart w:id="446" w:name="_Toc89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446"/>
      <w:r/>
      <w:r/>
    </w:p>
    <w:p>
      <w:pPr>
        <w:pStyle w:val="1132"/>
      </w:pPr>
      <w:r/>
      <w:bookmarkStart w:id="447" w:name="_Toc90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47"/>
      <w:r/>
      <w:r/>
    </w:p>
    <w:p>
      <w:pPr>
        <w:pStyle w:val="1133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33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33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33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37"/>
        <w:jc w:val="center"/>
      </w:pPr>
      <w:r/>
      <w:bookmarkStart w:id="231" w:name="_MON_1736255517"/>
      <w:r/>
      <w:bookmarkEnd w:id="23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1137"/>
      </w:pPr>
      <w:r/>
      <w:r/>
    </w:p>
    <w:p>
      <w:pPr>
        <w:pStyle w:val="1137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1"/>
      </w:pPr>
      <w:r/>
      <w:bookmarkStart w:id="448" w:name="_Toc91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48"/>
      <w:r/>
      <w:r/>
    </w:p>
    <w:p>
      <w:pPr>
        <w:pStyle w:val="1132"/>
      </w:pPr>
      <w:r/>
      <w:bookmarkStart w:id="449" w:name="_Toc92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49"/>
      <w:r/>
      <w:r/>
    </w:p>
    <w:p>
      <w:pPr>
        <w:pStyle w:val="1133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32"/>
        <w:spacing w:after="120"/>
      </w:pPr>
      <w:r/>
      <w:bookmarkStart w:id="450" w:name="_Toc93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50"/>
      <w:r/>
      <w:r/>
    </w:p>
    <w:tbl>
      <w:tblPr>
        <w:tblStyle w:val="1158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7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7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7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37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37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37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37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1"/>
                </w:rPr>
                <w:t xml:space="preserve">Приложение №</w:t>
              </w:r>
              <w:r>
                <w:rPr>
                  <w:rStyle w:val="1161"/>
                </w:rPr>
                <w:t xml:space="preserve"> </w:t>
              </w:r>
              <w:r>
                <w:rPr>
                  <w:rStyle w:val="1161"/>
                </w:rPr>
                <w:t xml:space="preserve">1</w:t>
              </w:r>
              <w:r>
                <w:rPr>
                  <w:rStyle w:val="1161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37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7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1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7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7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7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7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7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45"/>
              </w:rPr>
              <w:footnoteReference w:id="12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45"/>
              </w:rPr>
              <w:footnoteReference w:id="13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7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37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7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7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7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7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7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7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32"/>
        <w:spacing w:after="120"/>
        <w:rPr>
          <w:highlight w:val="white"/>
        </w:rPr>
      </w:pPr>
      <w:r/>
      <w:bookmarkStart w:id="451" w:name="_Toc94"/>
      <w:r>
        <w:rPr>
          <w:highlight w:val="white"/>
        </w:rPr>
      </w:r>
      <w:bookmarkStart w:id="259" w:name="_Ref125361442"/>
      <w:r>
        <w:rPr>
          <w:highlight w:val="white"/>
        </w:rPr>
      </w:r>
      <w:bookmarkStart w:id="260" w:name="_Ref125361633"/>
      <w:r>
        <w:rPr>
          <w:highlight w:val="white"/>
        </w:rPr>
      </w:r>
      <w:bookmarkStart w:id="261" w:name="_Ref125361671"/>
      <w:r>
        <w:rPr>
          <w:highlight w:val="white"/>
        </w:rPr>
      </w:r>
      <w:bookmarkStart w:id="262" w:name="_Ref125361869"/>
      <w:r>
        <w:rPr>
          <w:highlight w:val="white"/>
        </w:rPr>
      </w:r>
      <w:bookmarkStart w:id="263" w:name="_Ref125361937"/>
      <w:r>
        <w:rPr>
          <w:highlight w:val="white"/>
        </w:rPr>
      </w:r>
      <w:bookmarkStart w:id="264" w:name="_Ref125365459"/>
      <w:r>
        <w:rPr>
          <w:highlight w:val="white"/>
        </w:rPr>
      </w:r>
      <w:bookmarkStart w:id="265" w:name="_Ref125367521"/>
      <w:r>
        <w:rPr>
          <w:highlight w:val="white"/>
        </w:rPr>
      </w:r>
      <w:bookmarkStart w:id="266" w:name="_Ref125367539"/>
      <w:r>
        <w:rPr>
          <w:highlight w:val="white"/>
        </w:rPr>
      </w:r>
      <w:bookmarkStart w:id="267" w:name="_Ref125368818"/>
      <w:r>
        <w:rPr>
          <w:highlight w:val="white"/>
        </w:rPr>
      </w:r>
      <w:bookmarkStart w:id="268" w:name="_Ref125368901"/>
      <w:r>
        <w:rPr>
          <w:highlight w:val="white"/>
        </w:rPr>
      </w:r>
      <w:bookmarkStart w:id="269" w:name="_Ref125368916"/>
      <w:r>
        <w:rPr>
          <w:highlight w:val="white"/>
        </w:rPr>
      </w:r>
      <w:bookmarkStart w:id="270" w:name="_Ref125369099"/>
      <w:r>
        <w:rPr>
          <w:highlight w:val="white"/>
        </w:rPr>
      </w:r>
      <w:bookmarkStart w:id="271" w:name="_Ref125370079"/>
      <w:r>
        <w:rPr>
          <w:highlight w:val="white"/>
        </w:rPr>
      </w:r>
      <w:bookmarkStart w:id="272" w:name="_Ref125709153"/>
      <w:r>
        <w:rPr>
          <w:highlight w:val="white"/>
        </w:rPr>
      </w:r>
      <w:bookmarkStart w:id="273" w:name="_Ref125709250"/>
      <w:r>
        <w:rPr>
          <w:highlight w:val="white"/>
        </w:rPr>
      </w:r>
      <w:bookmarkStart w:id="274" w:name="_Ref125709401"/>
      <w:r>
        <w:rPr>
          <w:highlight w:val="white"/>
        </w:rPr>
      </w:r>
      <w:bookmarkStart w:id="275" w:name="_Ref125709888"/>
      <w:r>
        <w:rPr>
          <w:highlight w:val="white"/>
        </w:rPr>
        <w:t xml:space="preserve">Специальные требования</w:t>
      </w:r>
      <w:bookmarkEnd w:id="259"/>
      <w:r>
        <w:rPr>
          <w:highlight w:val="white"/>
        </w:rPr>
      </w:r>
      <w:bookmarkEnd w:id="260"/>
      <w:r>
        <w:rPr>
          <w:highlight w:val="white"/>
        </w:rPr>
      </w:r>
      <w:bookmarkEnd w:id="261"/>
      <w:r>
        <w:rPr>
          <w:highlight w:val="white"/>
        </w:rPr>
      </w:r>
      <w:bookmarkEnd w:id="262"/>
      <w:r>
        <w:rPr>
          <w:highlight w:val="white"/>
        </w:rPr>
      </w:r>
      <w:bookmarkEnd w:id="263"/>
      <w:r>
        <w:rPr>
          <w:highlight w:val="white"/>
        </w:rPr>
      </w:r>
      <w:bookmarkEnd w:id="264"/>
      <w:r>
        <w:rPr>
          <w:highlight w:val="white"/>
        </w:rPr>
      </w:r>
      <w:bookmarkEnd w:id="265"/>
      <w:r>
        <w:rPr>
          <w:highlight w:val="white"/>
        </w:rPr>
      </w:r>
      <w:bookmarkEnd w:id="266"/>
      <w:r>
        <w:rPr>
          <w:highlight w:val="white"/>
        </w:rPr>
      </w:r>
      <w:bookmarkEnd w:id="267"/>
      <w:r>
        <w:rPr>
          <w:highlight w:val="white"/>
        </w:rPr>
      </w:r>
      <w:bookmarkEnd w:id="268"/>
      <w:r>
        <w:rPr>
          <w:highlight w:val="white"/>
        </w:rPr>
      </w:r>
      <w:bookmarkEnd w:id="269"/>
      <w:r>
        <w:rPr>
          <w:highlight w:val="white"/>
        </w:rPr>
      </w:r>
      <w:bookmarkEnd w:id="270"/>
      <w:r>
        <w:rPr>
          <w:highlight w:val="white"/>
        </w:rPr>
      </w:r>
      <w:bookmarkEnd w:id="271"/>
      <w:r>
        <w:rPr>
          <w:highlight w:val="white"/>
        </w:rPr>
      </w:r>
      <w:bookmarkEnd w:id="272"/>
      <w:r>
        <w:rPr>
          <w:highlight w:val="white"/>
        </w:rPr>
      </w:r>
      <w:bookmarkEnd w:id="273"/>
      <w:r>
        <w:rPr>
          <w:highlight w:val="white"/>
        </w:rPr>
      </w:r>
      <w:bookmarkEnd w:id="274"/>
      <w:r>
        <w:rPr>
          <w:highlight w:val="white"/>
        </w:rPr>
      </w:r>
      <w:bookmarkEnd w:id="275"/>
      <w:r/>
      <w:bookmarkEnd w:id="451"/>
      <w:r>
        <w:rPr>
          <w:highlight w:val="white"/>
        </w:rPr>
      </w:r>
      <w:r>
        <w:rPr>
          <w:highlight w:val="white"/>
        </w:rPr>
      </w:r>
    </w:p>
    <w:tbl>
      <w:tblPr>
        <w:tblStyle w:val="1158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7"/>
              <w:jc w:val="center"/>
              <w:keepNext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7"/>
              <w:jc w:val="center"/>
              <w:keepNext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Требования к Участник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7"/>
              <w:jc w:val="center"/>
              <w:keepNext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Требования к документам,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afterAutospacing="0" w:line="240" w:lineRule="auto"/>
              <w:shd w:val="clear" w:color="e8e8e8" w:fill="e8e8e8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6"/>
                <w:szCs w:val="26"/>
                <w:highlight w:val="none"/>
              </w:rPr>
              <w:t xml:space="preserve">Требования не установлены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  <w:highlight w:val="yellow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71"/>
              <w:ind w:left="0"/>
              <w:jc w:val="both"/>
              <w:spacing w:before="0" w:beforeAutospacing="0"/>
              <w:widowControl w:val="off"/>
              <w:rPr>
                <w:i/>
                <w:iCs/>
                <w:sz w:val="26"/>
                <w:szCs w:val="26"/>
                <w:highlight w:val="yellow"/>
              </w:rPr>
              <w:suppressLineNumbers w:val="0"/>
            </w:pPr>
            <w:r>
              <w:rPr>
                <w:iCs/>
                <w:sz w:val="26"/>
                <w:szCs w:val="26"/>
                <w:highlight w:val="none"/>
              </w:rPr>
              <w:t xml:space="preserve">Требования не установлены</w:t>
            </w:r>
            <w:r>
              <w:rPr>
                <w:i/>
                <w:iCs/>
                <w:sz w:val="26"/>
                <w:szCs w:val="26"/>
                <w:highlight w:val="yellow"/>
              </w:rPr>
            </w:r>
            <w:r>
              <w:rPr>
                <w:i/>
                <w:iCs/>
                <w:sz w:val="26"/>
                <w:szCs w:val="26"/>
                <w:highlight w:val="yellow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  <w:p>
            <w:pPr>
              <w:spacing w:before="0" w:beforeAutospacing="0" w:after="0" w:afterAutospacing="0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1131"/>
        <w:numPr>
          <w:ilvl w:val="0"/>
          <w:numId w:val="0"/>
        </w:numPr>
        <w:ind w:left="0" w:firstLine="0"/>
      </w:pPr>
      <w:r/>
      <w:r/>
    </w:p>
    <w:p>
      <w:pPr>
        <w:pStyle w:val="1132"/>
        <w:spacing w:after="120"/>
      </w:pPr>
      <w:r/>
      <w:bookmarkStart w:id="452" w:name="_Toc95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52"/>
      <w:r/>
      <w:r/>
    </w:p>
    <w:tbl>
      <w:tblPr>
        <w:tblStyle w:val="1158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7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7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7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7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7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7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37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7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37"/>
      </w:pPr>
      <w:r/>
      <w:r/>
    </w:p>
    <w:p>
      <w:pPr>
        <w:pStyle w:val="1137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1"/>
      </w:pPr>
      <w:r/>
      <w:bookmarkStart w:id="453" w:name="_Toc96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53"/>
      <w:r/>
      <w:r/>
    </w:p>
    <w:p>
      <w:pPr>
        <w:pStyle w:val="1132"/>
      </w:pPr>
      <w:r/>
      <w:bookmarkStart w:id="454" w:name="_Toc97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54"/>
      <w:r/>
      <w:r/>
    </w:p>
    <w:p>
      <w:pPr>
        <w:pStyle w:val="1133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31"/>
      </w:pPr>
      <w:r/>
      <w:bookmarkStart w:id="455" w:name="_Toc98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55"/>
      <w:r/>
      <w:r/>
    </w:p>
    <w:p>
      <w:pPr>
        <w:pStyle w:val="1132"/>
      </w:pPr>
      <w:r/>
      <w:bookmarkStart w:id="456" w:name="_Toc99"/>
      <w:r>
        <w:t xml:space="preserve">Пояснения к Образцам форм документов, предоставляемых Победителем</w:t>
      </w:r>
      <w:bookmarkEnd w:id="456"/>
      <w:r/>
      <w:r/>
    </w:p>
    <w:p>
      <w:pPr>
        <w:pStyle w:val="1133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32"/>
      </w:pPr>
      <w:r/>
      <w:bookmarkStart w:id="457" w:name="_Toc100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57"/>
      <w:r/>
      <w:r/>
    </w:p>
    <w:p>
      <w:pPr>
        <w:pStyle w:val="1133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33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37"/>
        <w:jc w:val="center"/>
      </w:pPr>
      <w:r/>
      <w:bookmarkStart w:id="312" w:name="_MON_1741074142"/>
      <w:r/>
      <w:bookmarkEnd w:id="31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1132"/>
      </w:pPr>
      <w:r/>
      <w:bookmarkStart w:id="458" w:name="_Toc101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58"/>
      <w:r/>
      <w:r/>
    </w:p>
    <w:p>
      <w:pPr>
        <w:pStyle w:val="1133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33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33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33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37"/>
        <w:jc w:val="center"/>
        <w:spacing w:after="120"/>
      </w:pPr>
      <w:r/>
      <w:bookmarkStart w:id="315" w:name="_MON_1741074184"/>
      <w:r/>
      <w:bookmarkEnd w:id="315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pStyle w:val="1131"/>
      </w:pPr>
      <w:r/>
      <w:bookmarkStart w:id="459" w:name="_Toc102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59"/>
      <w:r/>
      <w:r/>
    </w:p>
    <w:p>
      <w:pPr>
        <w:pStyle w:val="1132"/>
      </w:pPr>
      <w:r/>
      <w:bookmarkStart w:id="460" w:name="_Toc103"/>
      <w:r>
        <w:t xml:space="preserve">Состав заявки</w:t>
      </w:r>
      <w:bookmarkEnd w:id="460"/>
      <w:r/>
      <w:r/>
    </w:p>
    <w:p>
      <w:pPr>
        <w:pStyle w:val="1133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61"/>
          </w:rPr>
          <w:t xml:space="preserve">Приложени</w:t>
        </w:r>
        <w:r>
          <w:rPr>
            <w:rStyle w:val="1161"/>
          </w:rPr>
          <w:t xml:space="preserve">и</w:t>
        </w:r>
        <w:r>
          <w:rPr>
            <w:rStyle w:val="1161"/>
          </w:rPr>
          <w:t xml:space="preserve"> № </w:t>
        </w:r>
        <w:r>
          <w:rPr>
            <w:rStyle w:val="1161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58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генерального подрядчика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Календарный график (форма 5) </w:t>
            </w:r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1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37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7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1"/>
                </w:rPr>
                <w:t xml:space="preserve">Порядк</w:t>
              </w:r>
              <w:r>
                <w:rPr>
                  <w:rStyle w:val="1161"/>
                </w:rPr>
                <w:t xml:space="preserve">е</w:t>
              </w:r>
              <w:r>
                <w:rPr>
                  <w:rStyle w:val="1161"/>
                </w:rPr>
                <w:t xml:space="preserve"> и критери</w:t>
              </w:r>
              <w:r>
                <w:rPr>
                  <w:rStyle w:val="1161"/>
                </w:rPr>
                <w:t xml:space="preserve">ях</w:t>
              </w:r>
              <w:r>
                <w:rPr>
                  <w:rStyle w:val="1161"/>
                </w:rPr>
                <w:t xml:space="preserve"> оценки и сопоставления заявок</w:t>
              </w:r>
              <w:r>
                <w:rPr>
                  <w:rStyle w:val="1161"/>
                </w:rPr>
                <w:t xml:space="preserve"> (Приложение № </w:t>
              </w:r>
              <w:r>
                <w:rPr>
                  <w:rStyle w:val="1161"/>
                </w:rPr>
                <w:t xml:space="preserve">8</w:t>
              </w:r>
              <w:r>
                <w:rPr>
                  <w:rStyle w:val="1161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1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1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1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7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33"/>
        <w:rPr>
          <w:rStyle w:val="1142"/>
          <w:i w:val="0"/>
          <w:iCs w:val="0"/>
          <w:shd w:val="clear" w:color="auto" w:fill="auto"/>
        </w:rPr>
      </w:pPr>
      <w:r>
        <w:rPr>
          <w:rStyle w:val="1142"/>
          <w:i w:val="0"/>
          <w:iCs w:val="0"/>
          <w:shd w:val="clear" w:color="auto" w:fill="auto"/>
        </w:rPr>
        <w:t xml:space="preserve">Е</w:t>
      </w:r>
      <w:r>
        <w:rPr>
          <w:rStyle w:val="1142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42"/>
          <w:i w:val="0"/>
          <w:iCs w:val="0"/>
          <w:shd w:val="clear" w:color="auto" w:fill="auto"/>
        </w:rPr>
        <w:t xml:space="preserve"> </w:t>
      </w:r>
      <w:r>
        <w:rPr>
          <w:rStyle w:val="1142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42"/>
          <w:i w:val="0"/>
          <w:iCs w:val="0"/>
          <w:shd w:val="clear" w:color="auto" w:fill="auto"/>
        </w:rPr>
        <w:t xml:space="preserve"> </w:t>
      </w:r>
      <w:r>
        <w:rPr>
          <w:rStyle w:val="1142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42"/>
          <w:i w:val="0"/>
          <w:iCs w:val="0"/>
          <w:shd w:val="clear" w:color="auto" w:fill="auto"/>
        </w:rPr>
        <w:t xml:space="preserve"> </w:t>
      </w:r>
      <w:r>
        <w:rPr>
          <w:rStyle w:val="1142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42"/>
          <w:i w:val="0"/>
          <w:iCs w:val="0"/>
          <w:shd w:val="clear" w:color="auto" w:fill="auto"/>
        </w:rPr>
      </w:r>
      <w:r>
        <w:rPr>
          <w:rStyle w:val="1142"/>
          <w:i w:val="0"/>
          <w:iCs w:val="0"/>
          <w:shd w:val="clear" w:color="auto" w:fill="auto"/>
        </w:rPr>
      </w:r>
    </w:p>
    <w:p>
      <w:pPr>
        <w:pStyle w:val="1137"/>
        <w:rPr>
          <w:rStyle w:val="1142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42"/>
          <w:i w:val="0"/>
          <w:iCs w:val="0"/>
          <w:shd w:val="clear" w:color="auto" w:fill="auto"/>
        </w:rPr>
      </w:r>
      <w:r>
        <w:rPr>
          <w:rStyle w:val="1142"/>
          <w:i w:val="0"/>
          <w:iCs w:val="0"/>
          <w:shd w:val="clear" w:color="auto" w:fill="auto"/>
        </w:rPr>
      </w:r>
    </w:p>
    <w:p>
      <w:pPr>
        <w:pStyle w:val="1131"/>
      </w:pPr>
      <w:r/>
      <w:bookmarkStart w:id="461" w:name="_Toc104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61"/>
      <w:r/>
      <w:r/>
    </w:p>
    <w:p>
      <w:pPr>
        <w:pStyle w:val="1132"/>
        <w:spacing w:after="120"/>
        <w:rPr>
          <w:rStyle w:val="1142"/>
          <w:i w:val="0"/>
          <w:iCs w:val="0"/>
          <w:shd w:val="clear" w:color="auto" w:fill="auto"/>
        </w:rPr>
      </w:pPr>
      <w:r/>
      <w:bookmarkStart w:id="462" w:name="_Toc105"/>
      <w:r>
        <w:rPr>
          <w:rStyle w:val="1142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42"/>
          <w:i w:val="0"/>
          <w:iCs w:val="0"/>
          <w:shd w:val="clear" w:color="auto" w:fill="auto"/>
        </w:rPr>
        <w:t xml:space="preserve">первых частей </w:t>
      </w:r>
      <w:r>
        <w:rPr>
          <w:rStyle w:val="1142"/>
          <w:i w:val="0"/>
          <w:iCs w:val="0"/>
          <w:shd w:val="clear" w:color="auto" w:fill="auto"/>
        </w:rPr>
        <w:t xml:space="preserve">заявок</w:t>
      </w:r>
      <w:bookmarkEnd w:id="462"/>
      <w:r>
        <w:rPr>
          <w:rStyle w:val="1142"/>
          <w:i w:val="0"/>
          <w:iCs w:val="0"/>
          <w:shd w:val="clear" w:color="auto" w:fill="auto"/>
        </w:rPr>
      </w:r>
      <w:r>
        <w:rPr>
          <w:rStyle w:val="1142"/>
          <w:i w:val="0"/>
          <w:iCs w:val="0"/>
          <w:shd w:val="clear" w:color="auto" w:fill="auto"/>
        </w:rPr>
      </w:r>
    </w:p>
    <w:tbl>
      <w:tblPr>
        <w:tblStyle w:val="1158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7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1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  <w:rPr>
                <w:rStyle w:val="1161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61"/>
                </w:rPr>
                <w:t xml:space="preserve">Приложение № 6</w:t>
              </w:r>
            </w:hyperlink>
            <w:r>
              <w:rPr>
                <w:rStyle w:val="1161"/>
              </w:rPr>
            </w:r>
            <w:r>
              <w:rPr>
                <w:rStyle w:val="1161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7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1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37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37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1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1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61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1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37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61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37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32"/>
        <w:spacing w:after="120"/>
        <w:rPr>
          <w:rStyle w:val="1142"/>
          <w:i w:val="0"/>
          <w:iCs w:val="0"/>
          <w:shd w:val="clear" w:color="auto" w:fill="auto"/>
        </w:rPr>
      </w:pPr>
      <w:r/>
      <w:bookmarkStart w:id="463" w:name="_Toc106"/>
      <w:r/>
      <w:bookmarkStart w:id="328" w:name="_Hlk132891087"/>
      <w:r>
        <w:rPr>
          <w:rStyle w:val="1142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/>
      <w:bookmarkEnd w:id="463"/>
      <w:r>
        <w:rPr>
          <w:rStyle w:val="1142"/>
          <w:i w:val="0"/>
          <w:iCs w:val="0"/>
          <w:shd w:val="clear" w:color="auto" w:fill="auto"/>
        </w:rPr>
      </w:r>
      <w:r>
        <w:rPr>
          <w:rStyle w:val="1142"/>
          <w:i w:val="0"/>
          <w:iCs w:val="0"/>
          <w:shd w:val="clear" w:color="auto" w:fill="auto"/>
        </w:rPr>
      </w:r>
    </w:p>
    <w:tbl>
      <w:tblPr>
        <w:tblStyle w:val="1158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7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1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  <w:rPr>
                <w:rStyle w:val="1161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61"/>
                </w:rPr>
                <w:t xml:space="preserve">Приложение № 6</w:t>
              </w:r>
            </w:hyperlink>
            <w:r>
              <w:rPr>
                <w:rStyle w:val="1161"/>
              </w:rPr>
            </w:r>
            <w:r>
              <w:rPr>
                <w:rStyle w:val="1161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37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7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7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37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37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37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37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37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1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7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1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Технически</w:t>
              </w:r>
              <w:r>
                <w:rPr>
                  <w:rStyle w:val="1161"/>
                </w:rPr>
                <w:t xml:space="preserve">х</w:t>
              </w:r>
              <w:r>
                <w:rPr>
                  <w:rStyle w:val="1161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37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32"/>
        <w:spacing w:after="120"/>
        <w:rPr>
          <w:rStyle w:val="1142"/>
          <w:i w:val="0"/>
          <w:iCs w:val="0"/>
          <w:shd w:val="clear" w:color="auto" w:fill="auto"/>
        </w:rPr>
      </w:pPr>
      <w:r/>
      <w:bookmarkStart w:id="464" w:name="_Toc107"/>
      <w:r>
        <w:rPr>
          <w:rStyle w:val="1142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bookmarkEnd w:id="464"/>
      <w:r>
        <w:rPr>
          <w:rStyle w:val="1142"/>
          <w:i w:val="0"/>
          <w:iCs w:val="0"/>
          <w:shd w:val="clear" w:color="auto" w:fill="auto"/>
        </w:rPr>
      </w:r>
      <w:r>
        <w:rPr>
          <w:rStyle w:val="1142"/>
          <w:i w:val="0"/>
          <w:iCs w:val="0"/>
          <w:shd w:val="clear" w:color="auto" w:fill="auto"/>
        </w:rPr>
      </w:r>
    </w:p>
    <w:tbl>
      <w:tblPr>
        <w:tblStyle w:val="1158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7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61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37"/>
              <w:jc w:val="center"/>
              <w:rPr>
                <w:rStyle w:val="1161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61"/>
                </w:rPr>
                <w:t xml:space="preserve">Приложение № 6</w:t>
              </w:r>
            </w:hyperlink>
            <w:r>
              <w:rPr>
                <w:rStyle w:val="1161"/>
              </w:rPr>
            </w:r>
            <w:r>
              <w:rPr>
                <w:rStyle w:val="1161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7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Технически</w:t>
              </w:r>
              <w:r>
                <w:rPr>
                  <w:rStyle w:val="1161"/>
                </w:rPr>
                <w:t xml:space="preserve">х</w:t>
              </w:r>
              <w:r>
                <w:rPr>
                  <w:rStyle w:val="1161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37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61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61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32"/>
        <w:rPr>
          <w:rStyle w:val="1142"/>
          <w:i w:val="0"/>
          <w:iCs w:val="0"/>
          <w:shd w:val="clear" w:color="auto" w:fill="auto"/>
        </w:rPr>
      </w:pPr>
      <w:r/>
      <w:bookmarkStart w:id="465" w:name="_Toc108"/>
      <w:r>
        <w:rPr>
          <w:rStyle w:val="1142"/>
          <w:i w:val="0"/>
          <w:iCs w:val="0"/>
          <w:shd w:val="clear" w:color="auto" w:fill="auto"/>
        </w:rPr>
        <w:t xml:space="preserve">Дополнительные</w:t>
      </w:r>
      <w:r>
        <w:rPr>
          <w:rStyle w:val="1142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42"/>
          <w:i w:val="0"/>
          <w:iCs w:val="0"/>
          <w:shd w:val="clear" w:color="auto" w:fill="auto"/>
        </w:rPr>
        <w:t xml:space="preserve">ок</w:t>
      </w:r>
      <w:r>
        <w:rPr>
          <w:rStyle w:val="1142"/>
          <w:i w:val="0"/>
          <w:iCs w:val="0"/>
          <w:shd w:val="clear" w:color="auto" w:fill="auto"/>
        </w:rPr>
        <w:t xml:space="preserve"> на соответстви</w:t>
      </w:r>
      <w:r>
        <w:rPr>
          <w:rStyle w:val="1142"/>
          <w:i w:val="0"/>
          <w:iCs w:val="0"/>
          <w:shd w:val="clear" w:color="auto" w:fill="auto"/>
        </w:rPr>
        <w:t xml:space="preserve">е</w:t>
      </w:r>
      <w:r>
        <w:rPr>
          <w:rStyle w:val="1142"/>
          <w:i w:val="0"/>
          <w:iCs w:val="0"/>
          <w:shd w:val="clear" w:color="auto" w:fill="auto"/>
        </w:rPr>
        <w:t xml:space="preserve"> условиям Документации о закупке</w:t>
      </w:r>
      <w:bookmarkEnd w:id="465"/>
      <w:r>
        <w:rPr>
          <w:rStyle w:val="1142"/>
          <w:i w:val="0"/>
          <w:iCs w:val="0"/>
          <w:shd w:val="clear" w:color="auto" w:fill="auto"/>
        </w:rPr>
      </w:r>
      <w:r>
        <w:rPr>
          <w:rStyle w:val="1142"/>
          <w:i w:val="0"/>
          <w:iCs w:val="0"/>
          <w:shd w:val="clear" w:color="auto" w:fill="auto"/>
        </w:rPr>
      </w:r>
    </w:p>
    <w:p>
      <w:pPr>
        <w:pStyle w:val="1137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58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7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7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7"/>
              <w:jc w:val="center"/>
              <w:rPr>
                <w:rStyle w:val="1161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61"/>
                </w:rPr>
                <w:t xml:space="preserve">Приложение № 4</w:t>
              </w:r>
            </w:hyperlink>
            <w:r>
              <w:rPr>
                <w:rStyle w:val="1161"/>
              </w:rPr>
            </w:r>
            <w:r>
              <w:rPr>
                <w:rStyle w:val="1161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7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37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37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37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37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37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37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37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37"/>
      </w:pPr>
      <w:r/>
      <w:r/>
    </w:p>
    <w:p>
      <w:pPr>
        <w:pStyle w:val="1137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1"/>
      </w:pPr>
      <w:r/>
      <w:bookmarkStart w:id="466" w:name="_Toc109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66"/>
      <w:r/>
      <w:r/>
    </w:p>
    <w:p>
      <w:pPr>
        <w:pStyle w:val="1132"/>
      </w:pPr>
      <w:r/>
      <w:bookmarkStart w:id="467" w:name="_Toc110"/>
      <w:r>
        <w:t xml:space="preserve">Порядок и критерии оценки и сопоставления заявок</w:t>
      </w:r>
      <w:bookmarkEnd w:id="467"/>
      <w:r/>
      <w:r/>
    </w:p>
    <w:p>
      <w:pPr>
        <w:pStyle w:val="1133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37"/>
              <w:jc w:val="lef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ем больше опыт выполнения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аналогичных профилю закупки </w:t>
            </w:r>
            <w:r>
              <w:rPr>
                <w:rFonts w:ascii="Times New Roman" w:hAnsi="Times New Roman" w:eastAsia="Calibri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i w:val="0"/>
                <w:iCs w:val="0"/>
                <w:color w:val="000000" w:themeColor="text1"/>
                <w:sz w:val="20"/>
                <w:szCs w:val="20"/>
                <w:highlight w:val="white"/>
              </w:rPr>
              <w:t xml:space="preserve">работ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yellow"/>
                <w:lang w:eastAsia="ru-RU"/>
              </w:rPr>
              <w:t xml:space="preserve">по монтажу навесных фасадных систем и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0"/>
                <w:szCs w:val="20"/>
                <w:highlight w:val="yellow"/>
              </w:rPr>
              <w:t xml:space="preserve"> внутренней отделке помещени</w:t>
            </w: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0"/>
                <w:szCs w:val="20"/>
                <w:highlight w:val="yellow"/>
              </w:rPr>
              <w:t xml:space="preserve">й</w:t>
            </w:r>
            <w:r>
              <w:rPr>
                <w:rFonts w:eastAsia="Times New Roman" w:cs="Times New Roman"/>
                <w:i w:val="0"/>
                <w:iCs w:val="0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за 5 лет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 предшест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0"/>
                <w:szCs w:val="20"/>
              </w:rPr>
              <w:t xml:space="preserve">вующих дате подачи заявки, тем выше предпочтительность.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0"/>
                <w:szCs w:val="20"/>
                <w:highlight w:val="yellow"/>
                <w:u w:val="singl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ind w:firstLine="567"/>
              <w:jc w:val="both"/>
              <w:spacing w:before="0" w:beforeAutospacing="0" w:line="240" w:lineRule="auto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color w:val="000000" w:themeColor="text1"/>
                <w:sz w:val="20"/>
                <w:szCs w:val="20"/>
              </w:rPr>
              <w:t xml:space="preserve">асчет оценки предпочтительности по частному критерию по методу «Оценка предпочтительности посредством однозначной числовой шкалы измерений»: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1187"/>
              <w:numPr>
                <w:ilvl w:val="7"/>
                <w:numId w:val="42"/>
              </w:numPr>
              <w:ind w:firstLine="567"/>
              <w:jc w:val="both"/>
              <w:spacing w:before="0" w:beforeAutospacing="0" w:after="0" w:line="240" w:lineRule="auto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выполнения работ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rFonts w:eastAsia="Times New Roman"/>
                <w:color w:val="000000" w:themeColor="text1"/>
                <w:sz w:val="20"/>
                <w:szCs w:val="20"/>
              </w:rPr>
              <w:t xml:space="preserve">,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с приложением следующих подтверждающих документов: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ind w:firstLine="567"/>
              <w:jc w:val="both"/>
              <w:spacing w:before="0" w:beforeAutospacing="0" w:line="240" w:lineRule="auto"/>
              <w:rPr>
                <w:sz w:val="18"/>
                <w:szCs w:val="18"/>
              </w:rPr>
              <w:suppressLineNumbers w:val="0"/>
            </w:pPr>
            <w:r>
              <w:rPr>
                <w:sz w:val="20"/>
                <w:szCs w:val="20"/>
              </w:rPr>
              <w:t xml:space="preserve">- копии договоров, подписанных с обеих сторон и скрепленных печатью; 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567"/>
              <w:jc w:val="both"/>
              <w:spacing w:before="0" w:beforeAutospacing="0" w:line="240" w:lineRule="auto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 -копии документов, предусмотренных т</w:t>
            </w:r>
            <w:r>
              <w:rPr>
                <w:sz w:val="20"/>
                <w:szCs w:val="20"/>
              </w:rPr>
              <w:t xml:space="preserve">ребованиями договора, подтверждающих факт его исполнения, с указанием стоимости и наименования выполненных работ, подписанных с обеих сторон </w:t>
            </w:r>
            <w:r>
              <w:rPr>
                <w:sz w:val="20"/>
                <w:szCs w:val="20"/>
              </w:rPr>
              <w:t xml:space="preserve">и скрепленных печатью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567"/>
              <w:jc w:val="both"/>
              <w:spacing w:before="0" w:beforeAutospacing="0" w:line="240" w:lineRule="auto"/>
              <w:rPr>
                <w:sz w:val="18"/>
                <w:szCs w:val="18"/>
                <w:highlight w:val="none"/>
              </w:rPr>
              <w:suppressLineNumbers w:val="0"/>
            </w:pPr>
            <w:r>
              <w:rPr>
                <w:sz w:val="20"/>
                <w:szCs w:val="20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sz w:val="20"/>
                <w:szCs w:val="20"/>
              </w:rPr>
              <w:t xml:space="preserve">ни</w:t>
            </w:r>
            <w:r>
              <w:rPr>
                <w:sz w:val="20"/>
                <w:szCs w:val="20"/>
              </w:rPr>
              <w:t xml:space="preserve">я, не позволяющие явным (однозначным) образом определить опыт Участника: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1187"/>
              <w:numPr>
                <w:ilvl w:val="7"/>
                <w:numId w:val="43"/>
              </w:numPr>
              <w:ind w:firstLine="567"/>
              <w:jc w:val="both"/>
              <w:spacing w:before="0" w:beforeAutospacing="0" w:after="0" w:line="240" w:lineRule="auto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eastAsia="Times New Roman"/>
                <w:i/>
                <w:color w:val="000000" w:themeColor="text1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-ой заявке сведений о наличии у Участника совокупного опыта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за последние 5 лет, на общую сумму: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tbl>
            <w:tblPr>
              <w:tblW w:w="7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6342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0% (Опыт отсутствует/ Опыт не подтвержден)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87"/>
              <w:contextualSpacing w:val="0"/>
              <w:jc w:val="left"/>
              <w:keepLines/>
              <w:keepNext/>
              <w:spacing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предмету закупки, не оценивается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633"/>
        </w:trPr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187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0"/>
                <w:szCs w:val="20"/>
                <w:lang w:eastAsia="ru-RU"/>
              </w:rPr>
              <w:t xml:space="preserve"> / ОРГ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187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87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187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довлетворительное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45"/>
                <w:rFonts w:ascii="Times New Roman" w:hAnsi="Times New Roman" w:eastAsia="Times New Roman" w:cs="Times New Roman"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1" w:tooltip="https://bo.nalog.ru" w:history="1">
              <w:r>
                <w:rPr>
                  <w:rStyle w:val="1147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978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6094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7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84"/>
                    <w:numPr>
                      <w:ilvl w:val="4"/>
                      <w:numId w:val="38"/>
                    </w:numPr>
                    <w:ind w:left="209" w:hanging="209"/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84"/>
                    <w:numPr>
                      <w:ilvl w:val="4"/>
                      <w:numId w:val="38"/>
                    </w:numPr>
                    <w:ind w:left="209" w:hanging="209"/>
                    <w:jc w:val="both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7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pStyle w:val="1184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87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6094" w:type="dxa"/>
                  <w:textDirection w:val="lrTb"/>
                  <w:noWrap w:val="false"/>
                </w:tcPr>
                <w:p>
                  <w:pPr>
                    <w:pStyle w:val="1184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186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6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8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87"/>
              <w:numPr>
                <w:ilvl w:val="7"/>
                <w:numId w:val="38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highlight w:val="none"/>
                <w:lang w:eastAsia="en-US"/>
              </w:rPr>
            </w:r>
          </w:p>
          <w:p>
            <w:pPr>
              <w:numPr>
                <w:ilvl w:val="6"/>
                <w:numId w:val="0"/>
              </w:numPr>
              <w:jc w:val="both"/>
              <w:spacing w:before="0"/>
              <w:widowControl w:val="off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0"/>
                <w:szCs w:val="20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 соответствии с математическими правилами округления).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33"/>
        <w:numPr>
          <w:ilvl w:val="0"/>
          <w:numId w:val="0"/>
        </w:numPr>
      </w:pPr>
      <w:r/>
      <w:r/>
    </w:p>
    <w:p>
      <w:pPr>
        <w:pStyle w:val="1133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33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33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37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31"/>
      </w:pPr>
      <w:r/>
      <w:bookmarkStart w:id="468" w:name="_Toc111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68"/>
      <w:r/>
      <w:r/>
    </w:p>
    <w:p>
      <w:pPr>
        <w:pStyle w:val="1132"/>
      </w:pPr>
      <w:r/>
      <w:bookmarkStart w:id="469" w:name="_Toc112"/>
      <w:r>
        <w:t xml:space="preserve">Пояснения к Обоснованию НМЦ</w:t>
      </w:r>
      <w:bookmarkEnd w:id="469"/>
      <w:r/>
      <w:r/>
    </w:p>
    <w:p>
      <w:pPr>
        <w:pStyle w:val="1133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31"/>
      </w:pPr>
      <w:r/>
      <w:bookmarkStart w:id="470" w:name="_Toc113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70"/>
      <w:r/>
      <w:r/>
    </w:p>
    <w:p>
      <w:pPr>
        <w:pStyle w:val="1132"/>
      </w:pPr>
      <w:r/>
      <w:bookmarkStart w:id="471" w:name="_Toc114"/>
      <w:r>
        <w:t xml:space="preserve">Пояснения к форме Заявки на аккредитацию</w:t>
      </w:r>
      <w:bookmarkEnd w:id="471"/>
      <w:r/>
      <w:r/>
    </w:p>
    <w:p>
      <w:pPr>
        <w:pStyle w:val="1133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3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>
                          <a:extLst>
                            <a:ext uri="{96DAC541-7B7A-43D3-8B79-37D633B846F1}">
                              <asvg:svgBlip xmlns:asvg="http://schemas.microsoft.com/office/drawing/2016/SVG/main" r:embed="rId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4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46"/>
      </w:pPr>
      <w:r>
        <w:rPr>
          <w:rStyle w:val="1145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46"/>
      </w:pPr>
      <w:r>
        <w:rPr>
          <w:rStyle w:val="1145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46"/>
      </w:pPr>
      <w:r>
        <w:rPr>
          <w:rStyle w:val="1145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46"/>
      </w:pPr>
      <w:r>
        <w:rPr>
          <w:rStyle w:val="1145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46"/>
      </w:pPr>
      <w:r>
        <w:rPr>
          <w:rStyle w:val="1145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46"/>
      </w:pPr>
      <w:r>
        <w:rPr>
          <w:rStyle w:val="1145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43"/>
        <w:ind w:left="567" w:hanging="567"/>
        <w:jc w:val="both"/>
        <w:rPr>
          <w:sz w:val="22"/>
        </w:rPr>
      </w:pPr>
      <w:r>
        <w:rPr>
          <w:rStyle w:val="1145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46"/>
      </w:pPr>
      <w:r>
        <w:rPr>
          <w:rStyle w:val="1145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46"/>
      </w:pPr>
      <w:r>
        <w:rPr>
          <w:rStyle w:val="1145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46"/>
      </w:pPr>
      <w:r>
        <w:rPr>
          <w:rStyle w:val="1145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46"/>
      </w:pPr>
      <w:r>
        <w:rPr>
          <w:rStyle w:val="1145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3">
    <w:p>
      <w:pPr>
        <w:pStyle w:val="1146"/>
      </w:pPr>
      <w:r>
        <w:rPr>
          <w:rStyle w:val="1145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4">
    <w:p>
      <w:pPr>
        <w:pStyle w:val="1143"/>
      </w:pPr>
      <w:r>
        <w:rPr>
          <w:rStyle w:val="1145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72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74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75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31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32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33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34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35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83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84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185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186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187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5">
    <w:name w:val="Heading 1 Char"/>
    <w:basedOn w:val="1128"/>
    <w:link w:val="1125"/>
    <w:uiPriority w:val="9"/>
    <w:rPr>
      <w:rFonts w:ascii="Arial" w:hAnsi="Arial" w:eastAsia="Arial" w:cs="Arial"/>
      <w:sz w:val="40"/>
      <w:szCs w:val="40"/>
    </w:rPr>
  </w:style>
  <w:style w:type="character" w:styleId="966">
    <w:name w:val="Heading 2 Char"/>
    <w:basedOn w:val="1128"/>
    <w:link w:val="1126"/>
    <w:uiPriority w:val="9"/>
    <w:rPr>
      <w:rFonts w:ascii="Arial" w:hAnsi="Arial" w:eastAsia="Arial" w:cs="Arial"/>
      <w:sz w:val="34"/>
    </w:rPr>
  </w:style>
  <w:style w:type="character" w:styleId="967">
    <w:name w:val="Heading 3 Char"/>
    <w:basedOn w:val="1128"/>
    <w:link w:val="1127"/>
    <w:uiPriority w:val="9"/>
    <w:rPr>
      <w:rFonts w:ascii="Arial" w:hAnsi="Arial" w:eastAsia="Arial" w:cs="Arial"/>
      <w:sz w:val="30"/>
      <w:szCs w:val="30"/>
    </w:rPr>
  </w:style>
  <w:style w:type="paragraph" w:styleId="968">
    <w:name w:val="Heading 4"/>
    <w:basedOn w:val="1124"/>
    <w:next w:val="1124"/>
    <w:link w:val="9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69">
    <w:name w:val="Heading 4 Char"/>
    <w:basedOn w:val="1128"/>
    <w:link w:val="968"/>
    <w:uiPriority w:val="9"/>
    <w:rPr>
      <w:rFonts w:ascii="Arial" w:hAnsi="Arial" w:eastAsia="Arial" w:cs="Arial"/>
      <w:b/>
      <w:bCs/>
      <w:sz w:val="26"/>
      <w:szCs w:val="26"/>
    </w:rPr>
  </w:style>
  <w:style w:type="paragraph" w:styleId="970">
    <w:name w:val="Heading 5"/>
    <w:basedOn w:val="1124"/>
    <w:next w:val="1124"/>
    <w:link w:val="9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1">
    <w:name w:val="Heading 5 Char"/>
    <w:basedOn w:val="1128"/>
    <w:link w:val="970"/>
    <w:uiPriority w:val="9"/>
    <w:rPr>
      <w:rFonts w:ascii="Arial" w:hAnsi="Arial" w:eastAsia="Arial" w:cs="Arial"/>
      <w:b/>
      <w:bCs/>
      <w:sz w:val="24"/>
      <w:szCs w:val="24"/>
    </w:rPr>
  </w:style>
  <w:style w:type="paragraph" w:styleId="972">
    <w:name w:val="Heading 6"/>
    <w:basedOn w:val="1124"/>
    <w:next w:val="1124"/>
    <w:link w:val="9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3">
    <w:name w:val="Heading 6 Char"/>
    <w:basedOn w:val="1128"/>
    <w:link w:val="972"/>
    <w:uiPriority w:val="9"/>
    <w:rPr>
      <w:rFonts w:ascii="Arial" w:hAnsi="Arial" w:eastAsia="Arial" w:cs="Arial"/>
      <w:b/>
      <w:bCs/>
      <w:sz w:val="22"/>
      <w:szCs w:val="22"/>
    </w:rPr>
  </w:style>
  <w:style w:type="paragraph" w:styleId="974">
    <w:name w:val="Heading 7"/>
    <w:basedOn w:val="1124"/>
    <w:next w:val="1124"/>
    <w:link w:val="9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5">
    <w:name w:val="Heading 7 Char"/>
    <w:basedOn w:val="1128"/>
    <w:link w:val="9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76">
    <w:name w:val="Heading 8"/>
    <w:basedOn w:val="1124"/>
    <w:next w:val="1124"/>
    <w:link w:val="9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77">
    <w:name w:val="Heading 8 Char"/>
    <w:basedOn w:val="1128"/>
    <w:link w:val="976"/>
    <w:uiPriority w:val="9"/>
    <w:rPr>
      <w:rFonts w:ascii="Arial" w:hAnsi="Arial" w:eastAsia="Arial" w:cs="Arial"/>
      <w:i/>
      <w:iCs/>
      <w:sz w:val="22"/>
      <w:szCs w:val="22"/>
    </w:rPr>
  </w:style>
  <w:style w:type="paragraph" w:styleId="978">
    <w:name w:val="Heading 9"/>
    <w:basedOn w:val="1124"/>
    <w:next w:val="1124"/>
    <w:link w:val="9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79">
    <w:name w:val="Heading 9 Char"/>
    <w:basedOn w:val="1128"/>
    <w:link w:val="978"/>
    <w:uiPriority w:val="9"/>
    <w:rPr>
      <w:rFonts w:ascii="Arial" w:hAnsi="Arial" w:eastAsia="Arial" w:cs="Arial"/>
      <w:i/>
      <w:iCs/>
      <w:sz w:val="21"/>
      <w:szCs w:val="21"/>
    </w:rPr>
  </w:style>
  <w:style w:type="paragraph" w:styleId="980">
    <w:name w:val="No Spacing"/>
    <w:uiPriority w:val="1"/>
    <w:qFormat/>
    <w:pPr>
      <w:spacing w:before="0" w:after="0" w:line="240" w:lineRule="auto"/>
    </w:pPr>
  </w:style>
  <w:style w:type="paragraph" w:styleId="981">
    <w:name w:val="Title"/>
    <w:basedOn w:val="1124"/>
    <w:next w:val="1124"/>
    <w:link w:val="9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2">
    <w:name w:val="Title Char"/>
    <w:basedOn w:val="1128"/>
    <w:link w:val="981"/>
    <w:uiPriority w:val="10"/>
    <w:rPr>
      <w:sz w:val="48"/>
      <w:szCs w:val="48"/>
    </w:rPr>
  </w:style>
  <w:style w:type="paragraph" w:styleId="983">
    <w:name w:val="Subtitle"/>
    <w:basedOn w:val="1124"/>
    <w:next w:val="1124"/>
    <w:link w:val="984"/>
    <w:uiPriority w:val="11"/>
    <w:qFormat/>
    <w:pPr>
      <w:spacing w:before="200" w:after="200"/>
    </w:pPr>
    <w:rPr>
      <w:sz w:val="24"/>
      <w:szCs w:val="24"/>
    </w:rPr>
  </w:style>
  <w:style w:type="character" w:styleId="984">
    <w:name w:val="Subtitle Char"/>
    <w:basedOn w:val="1128"/>
    <w:link w:val="983"/>
    <w:uiPriority w:val="11"/>
    <w:rPr>
      <w:sz w:val="24"/>
      <w:szCs w:val="24"/>
    </w:rPr>
  </w:style>
  <w:style w:type="paragraph" w:styleId="985">
    <w:name w:val="Quote"/>
    <w:basedOn w:val="1124"/>
    <w:next w:val="1124"/>
    <w:link w:val="986"/>
    <w:uiPriority w:val="29"/>
    <w:qFormat/>
    <w:pPr>
      <w:ind w:left="720" w:right="720"/>
    </w:pPr>
    <w:rPr>
      <w:i/>
    </w:rPr>
  </w:style>
  <w:style w:type="character" w:styleId="986">
    <w:name w:val="Quote Char"/>
    <w:link w:val="985"/>
    <w:uiPriority w:val="29"/>
    <w:rPr>
      <w:i/>
    </w:rPr>
  </w:style>
  <w:style w:type="paragraph" w:styleId="987">
    <w:name w:val="Intense Quote"/>
    <w:basedOn w:val="1124"/>
    <w:next w:val="1124"/>
    <w:link w:val="9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88">
    <w:name w:val="Intense Quote Char"/>
    <w:link w:val="987"/>
    <w:uiPriority w:val="30"/>
    <w:rPr>
      <w:i/>
    </w:rPr>
  </w:style>
  <w:style w:type="character" w:styleId="989">
    <w:name w:val="Header Char"/>
    <w:basedOn w:val="1128"/>
    <w:link w:val="1138"/>
    <w:uiPriority w:val="99"/>
  </w:style>
  <w:style w:type="character" w:styleId="990">
    <w:name w:val="Footer Char"/>
    <w:basedOn w:val="1128"/>
    <w:link w:val="1140"/>
    <w:uiPriority w:val="99"/>
  </w:style>
  <w:style w:type="paragraph" w:styleId="991">
    <w:name w:val="Caption"/>
    <w:basedOn w:val="1124"/>
    <w:next w:val="1124"/>
    <w:link w:val="9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2">
    <w:name w:val="Caption Char"/>
    <w:basedOn w:val="991"/>
    <w:link w:val="1140"/>
    <w:uiPriority w:val="99"/>
  </w:style>
  <w:style w:type="table" w:styleId="993">
    <w:name w:val="Table Grid Light"/>
    <w:basedOn w:val="11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4">
    <w:name w:val="Plain Table 1"/>
    <w:basedOn w:val="11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5">
    <w:name w:val="Plain Table 2"/>
    <w:basedOn w:val="11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6">
    <w:name w:val="Plain Table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7">
    <w:name w:val="Plain Table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Plain Table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9">
    <w:name w:val="Grid Table 1 Light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Grid Table 1 Light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Grid Table 1 Light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1 Light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1 Light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Grid Table 1 Light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2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2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2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2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2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3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3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4"/>
    <w:basedOn w:val="11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1">
    <w:name w:val="Grid Table 4 - Accent 1"/>
    <w:basedOn w:val="11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2">
    <w:name w:val="Grid Table 4 - Accent 2"/>
    <w:basedOn w:val="11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3">
    <w:name w:val="Grid Table 4 - Accent 3"/>
    <w:basedOn w:val="11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4">
    <w:name w:val="Grid Table 4 - Accent 4"/>
    <w:basedOn w:val="11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5">
    <w:name w:val="Grid Table 4 - Accent 5"/>
    <w:basedOn w:val="11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6">
    <w:name w:val="Grid Table 4 - Accent 6"/>
    <w:basedOn w:val="11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7">
    <w:name w:val="Grid Table 5 Dark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28">
    <w:name w:val="Grid Table 5 Dark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29">
    <w:name w:val="Grid Table 5 Dark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0">
    <w:name w:val="Grid Table 5 Dark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1">
    <w:name w:val="Grid Table 5 Dark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2">
    <w:name w:val="Grid Table 5 Dark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33">
    <w:name w:val="Grid Table 5 Dark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34">
    <w:name w:val="Grid Table 6 Colorful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5">
    <w:name w:val="Grid Table 6 Colorful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36">
    <w:name w:val="Grid Table 6 Colorful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37">
    <w:name w:val="Grid Table 6 Colorful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38">
    <w:name w:val="Grid Table 6 Colorful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39">
    <w:name w:val="Grid Table 6 Colorful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0">
    <w:name w:val="Grid Table 6 Colorful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1">
    <w:name w:val="Grid Table 7 Colorful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7 Colorful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7 Colorful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7 Colorful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7 Colorful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7 Colorful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List Table 1 Light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List Table 1 Light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1 Light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56">
    <w:name w:val="List Table 2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57">
    <w:name w:val="List Table 2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58">
    <w:name w:val="List Table 2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59">
    <w:name w:val="List Table 2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0">
    <w:name w:val="List Table 2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1">
    <w:name w:val="List Table 2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2">
    <w:name w:val="List Table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3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3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3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3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3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4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4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5 Dark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7">
    <w:name w:val="List Table 5 Dark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8">
    <w:name w:val="List Table 5 Dark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9">
    <w:name w:val="List Table 5 Dark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0">
    <w:name w:val="List Table 5 Dark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1">
    <w:name w:val="List Table 5 Dark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2">
    <w:name w:val="List Table 5 Dark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6 Colorful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4">
    <w:name w:val="List Table 6 Colorful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5">
    <w:name w:val="List Table 6 Colorful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6">
    <w:name w:val="List Table 6 Colorful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87">
    <w:name w:val="List Table 6 Colorful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8">
    <w:name w:val="List Table 6 Colorful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89">
    <w:name w:val="List Table 6 Colorful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0">
    <w:name w:val="List Table 7 Colorful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1">
    <w:name w:val="List Table 7 Colorful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92">
    <w:name w:val="List Table 7 Colorful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3">
    <w:name w:val="List Table 7 Colorful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94">
    <w:name w:val="List Table 7 Colorful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95">
    <w:name w:val="List Table 7 Colorful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96">
    <w:name w:val="List Table 7 Colorful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97">
    <w:name w:val="Lined - Accent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8">
    <w:name w:val="Lined - Accent 1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99">
    <w:name w:val="Lined - Accent 2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0">
    <w:name w:val="Lined - Accent 3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1">
    <w:name w:val="Lined - Accent 4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2">
    <w:name w:val="Lined - Accent 5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3">
    <w:name w:val="Lined - Accent 6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4">
    <w:name w:val="Bordered &amp; Lined - Accent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5">
    <w:name w:val="Bordered &amp; Lined - Accent 1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6">
    <w:name w:val="Bordered &amp; Lined - Accent 2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7">
    <w:name w:val="Bordered &amp; Lined - Accent 3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8">
    <w:name w:val="Bordered &amp; Lined - Accent 4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9">
    <w:name w:val="Bordered &amp; Lined - Accent 5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0">
    <w:name w:val="Bordered &amp; Lined - Accent 6"/>
    <w:basedOn w:val="11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1">
    <w:name w:val="Bordered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2">
    <w:name w:val="Bordered - Accent 1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3">
    <w:name w:val="Bordered - Accent 2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4">
    <w:name w:val="Bordered - Accent 3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5">
    <w:name w:val="Bordered - Accent 4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16">
    <w:name w:val="Bordered - Accent 5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17">
    <w:name w:val="Bordered - Accent 6"/>
    <w:basedOn w:val="11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18">
    <w:name w:val="Footnote Text Char"/>
    <w:link w:val="1143"/>
    <w:uiPriority w:val="99"/>
    <w:rPr>
      <w:sz w:val="18"/>
    </w:rPr>
  </w:style>
  <w:style w:type="paragraph" w:styleId="1119">
    <w:name w:val="endnote text"/>
    <w:basedOn w:val="1124"/>
    <w:link w:val="1120"/>
    <w:uiPriority w:val="99"/>
    <w:semiHidden/>
    <w:unhideWhenUsed/>
    <w:pPr>
      <w:spacing w:after="0" w:line="240" w:lineRule="auto"/>
    </w:pPr>
    <w:rPr>
      <w:sz w:val="20"/>
    </w:rPr>
  </w:style>
  <w:style w:type="character" w:styleId="1120">
    <w:name w:val="Endnote Text Char"/>
    <w:link w:val="1119"/>
    <w:uiPriority w:val="99"/>
    <w:rPr>
      <w:sz w:val="20"/>
    </w:rPr>
  </w:style>
  <w:style w:type="character" w:styleId="1121">
    <w:name w:val="endnote reference"/>
    <w:basedOn w:val="1128"/>
    <w:uiPriority w:val="99"/>
    <w:semiHidden/>
    <w:unhideWhenUsed/>
    <w:rPr>
      <w:vertAlign w:val="superscript"/>
    </w:rPr>
  </w:style>
  <w:style w:type="paragraph" w:styleId="1122">
    <w:name w:val="TOC Heading"/>
    <w:uiPriority w:val="39"/>
    <w:unhideWhenUsed/>
  </w:style>
  <w:style w:type="paragraph" w:styleId="1123">
    <w:name w:val="table of figures"/>
    <w:basedOn w:val="1124"/>
    <w:next w:val="1124"/>
    <w:uiPriority w:val="99"/>
    <w:unhideWhenUsed/>
    <w:pPr>
      <w:spacing w:after="0" w:afterAutospacing="0"/>
    </w:pPr>
  </w:style>
  <w:style w:type="paragraph" w:styleId="1124" w:default="1">
    <w:name w:val="Normal"/>
    <w:qFormat/>
  </w:style>
  <w:style w:type="paragraph" w:styleId="1125">
    <w:name w:val="Heading 1"/>
    <w:basedOn w:val="1124"/>
    <w:next w:val="1124"/>
    <w:link w:val="1176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26">
    <w:name w:val="Heading 2"/>
    <w:basedOn w:val="1124"/>
    <w:next w:val="1124"/>
    <w:link w:val="1177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27">
    <w:name w:val="Heading 3"/>
    <w:basedOn w:val="1124"/>
    <w:next w:val="1124"/>
    <w:link w:val="1178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28" w:default="1">
    <w:name w:val="Default Paragraph Font"/>
    <w:uiPriority w:val="1"/>
    <w:semiHidden/>
    <w:unhideWhenUsed/>
  </w:style>
  <w:style w:type="table" w:styleId="11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0" w:default="1">
    <w:name w:val="No List"/>
    <w:uiPriority w:val="99"/>
    <w:semiHidden/>
    <w:unhideWhenUsed/>
  </w:style>
  <w:style w:type="paragraph" w:styleId="1131" w:customStyle="1">
    <w:name w:val="[РГ] Раздел"/>
    <w:basedOn w:val="1124"/>
    <w:next w:val="1132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32" w:customStyle="1">
    <w:name w:val="[РГ] Подраздел"/>
    <w:basedOn w:val="1124"/>
    <w:next w:val="1133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33" w:customStyle="1">
    <w:name w:val="[РГ] Пункт"/>
    <w:basedOn w:val="1124"/>
    <w:qFormat/>
    <w:pPr>
      <w:numPr>
        <w:ilvl w:val="2"/>
        <w:numId w:val="1"/>
      </w:numPr>
      <w:jc w:val="both"/>
      <w:outlineLvl w:val="2"/>
    </w:pPr>
  </w:style>
  <w:style w:type="paragraph" w:styleId="1134" w:customStyle="1">
    <w:name w:val="[РГ] Подпункт"/>
    <w:basedOn w:val="1124"/>
    <w:qFormat/>
    <w:pPr>
      <w:numPr>
        <w:ilvl w:val="3"/>
        <w:numId w:val="1"/>
      </w:numPr>
      <w:jc w:val="both"/>
      <w:outlineLvl w:val="3"/>
    </w:pPr>
  </w:style>
  <w:style w:type="paragraph" w:styleId="1135" w:customStyle="1">
    <w:name w:val="[РГ] Перечисление"/>
    <w:basedOn w:val="1124"/>
    <w:qFormat/>
    <w:pPr>
      <w:numPr>
        <w:ilvl w:val="4"/>
        <w:numId w:val="1"/>
      </w:numPr>
      <w:jc w:val="both"/>
      <w:outlineLvl w:val="4"/>
    </w:pPr>
  </w:style>
  <w:style w:type="paragraph" w:styleId="1136" w:customStyle="1">
    <w:name w:val="[РГ] Заголовок"/>
    <w:basedOn w:val="1124"/>
    <w:next w:val="1137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37" w:customStyle="1">
    <w:name w:val="[РГ] Текст"/>
    <w:basedOn w:val="1124"/>
    <w:qFormat/>
    <w:pPr>
      <w:jc w:val="both"/>
    </w:pPr>
  </w:style>
  <w:style w:type="paragraph" w:styleId="1138">
    <w:name w:val="Header"/>
    <w:basedOn w:val="1124"/>
    <w:link w:val="1139"/>
    <w:uiPriority w:val="99"/>
    <w:unhideWhenUsed/>
    <w:pPr>
      <w:jc w:val="center"/>
      <w:spacing w:before="0" w:after="120"/>
    </w:pPr>
  </w:style>
  <w:style w:type="character" w:styleId="1139" w:customStyle="1">
    <w:name w:val="Верхний колонтитул Знак"/>
    <w:basedOn w:val="1128"/>
    <w:link w:val="1138"/>
    <w:uiPriority w:val="99"/>
  </w:style>
  <w:style w:type="paragraph" w:styleId="1140">
    <w:name w:val="Footer"/>
    <w:basedOn w:val="1124"/>
    <w:link w:val="1141"/>
    <w:unhideWhenUsed/>
    <w:pPr>
      <w:jc w:val="right"/>
    </w:pPr>
  </w:style>
  <w:style w:type="character" w:styleId="1141" w:customStyle="1">
    <w:name w:val="Нижний колонтитул Знак"/>
    <w:basedOn w:val="1128"/>
    <w:link w:val="1140"/>
    <w:uiPriority w:val="99"/>
  </w:style>
  <w:style w:type="character" w:styleId="1142" w:customStyle="1">
    <w:name w:val="[РГ] Инструкция для организатора"/>
    <w:basedOn w:val="1128"/>
    <w:uiPriority w:val="1"/>
    <w:qFormat/>
    <w:rPr>
      <w:i/>
      <w:iCs/>
      <w:shd w:val="clear" w:color="auto" w:fill="ffff99"/>
      <w:lang w:val="ru-RU"/>
    </w:rPr>
  </w:style>
  <w:style w:type="paragraph" w:styleId="1143">
    <w:name w:val="footnote text"/>
    <w:basedOn w:val="1124"/>
    <w:link w:val="1144"/>
    <w:uiPriority w:val="99"/>
    <w:semiHidden/>
    <w:unhideWhenUsed/>
    <w:pPr>
      <w:spacing w:before="0"/>
    </w:pPr>
    <w:rPr>
      <w:sz w:val="20"/>
      <w:szCs w:val="20"/>
    </w:rPr>
  </w:style>
  <w:style w:type="character" w:styleId="1144" w:customStyle="1">
    <w:name w:val="Текст сноски Знак"/>
    <w:basedOn w:val="1128"/>
    <w:link w:val="1143"/>
    <w:uiPriority w:val="99"/>
    <w:semiHidden/>
    <w:rPr>
      <w:sz w:val="20"/>
      <w:szCs w:val="20"/>
    </w:rPr>
  </w:style>
  <w:style w:type="character" w:styleId="1145">
    <w:name w:val="footnote reference"/>
    <w:basedOn w:val="1128"/>
    <w:unhideWhenUsed/>
    <w:rPr>
      <w:vertAlign w:val="superscript"/>
    </w:rPr>
  </w:style>
  <w:style w:type="paragraph" w:styleId="1146" w:customStyle="1">
    <w:name w:val="[РГ] Сноска"/>
    <w:basedOn w:val="1143"/>
    <w:qFormat/>
    <w:pPr>
      <w:ind w:left="567" w:hanging="567"/>
      <w:jc w:val="both"/>
      <w:spacing w:before="80"/>
    </w:pPr>
    <w:rPr>
      <w:sz w:val="22"/>
    </w:rPr>
  </w:style>
  <w:style w:type="character" w:styleId="1147">
    <w:name w:val="Hyperlink"/>
    <w:basedOn w:val="1128"/>
    <w:uiPriority w:val="99"/>
    <w:unhideWhenUsed/>
    <w:rPr>
      <w:color w:val="0563c1" w:themeColor="hyperlink"/>
      <w:u w:val="single"/>
    </w:rPr>
  </w:style>
  <w:style w:type="character" w:styleId="1148">
    <w:name w:val="Unresolved Mention"/>
    <w:basedOn w:val="1128"/>
    <w:uiPriority w:val="99"/>
    <w:semiHidden/>
    <w:unhideWhenUsed/>
    <w:rPr>
      <w:color w:val="605e5c"/>
      <w:shd w:val="clear" w:color="auto" w:fill="e1dfdd"/>
    </w:rPr>
  </w:style>
  <w:style w:type="paragraph" w:styleId="1149">
    <w:name w:val="toc 2"/>
    <w:basedOn w:val="1124"/>
    <w:next w:val="1124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50">
    <w:name w:val="toc 1"/>
    <w:basedOn w:val="1124"/>
    <w:next w:val="1124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51">
    <w:name w:val="toc 3"/>
    <w:basedOn w:val="1124"/>
    <w:next w:val="1124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2">
    <w:name w:val="toc 4"/>
    <w:basedOn w:val="1124"/>
    <w:next w:val="1124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3">
    <w:name w:val="toc 5"/>
    <w:basedOn w:val="1124"/>
    <w:next w:val="1124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4">
    <w:name w:val="toc 6"/>
    <w:basedOn w:val="1124"/>
    <w:next w:val="1124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5">
    <w:name w:val="toc 7"/>
    <w:basedOn w:val="1124"/>
    <w:next w:val="1124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6">
    <w:name w:val="toc 8"/>
    <w:basedOn w:val="1124"/>
    <w:next w:val="1124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7">
    <w:name w:val="toc 9"/>
    <w:basedOn w:val="1124"/>
    <w:next w:val="1124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58" w:customStyle="1">
    <w:name w:val="[РГ] Таблица"/>
    <w:basedOn w:val="1129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59">
    <w:name w:val="Table Grid"/>
    <w:basedOn w:val="1129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60">
    <w:name w:val="Placeholder Text"/>
    <w:basedOn w:val="1128"/>
    <w:uiPriority w:val="99"/>
    <w:semiHidden/>
    <w:rPr>
      <w:color w:val="808080"/>
    </w:rPr>
  </w:style>
  <w:style w:type="character" w:styleId="1161" w:customStyle="1">
    <w:name w:val="[РГ] Отсылка"/>
    <w:basedOn w:val="1128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62">
    <w:name w:val="annotation reference"/>
    <w:basedOn w:val="1128"/>
    <w:uiPriority w:val="99"/>
    <w:unhideWhenUsed/>
    <w:rPr>
      <w:sz w:val="16"/>
      <w:szCs w:val="16"/>
    </w:rPr>
  </w:style>
  <w:style w:type="paragraph" w:styleId="1163">
    <w:name w:val="annotation text"/>
    <w:basedOn w:val="1124"/>
    <w:link w:val="1164"/>
    <w:uiPriority w:val="99"/>
    <w:unhideWhenUsed/>
    <w:rPr>
      <w:sz w:val="20"/>
      <w:szCs w:val="20"/>
    </w:rPr>
  </w:style>
  <w:style w:type="character" w:styleId="1164" w:customStyle="1">
    <w:name w:val="Текст примечания Знак"/>
    <w:basedOn w:val="1128"/>
    <w:link w:val="1163"/>
    <w:uiPriority w:val="99"/>
    <w:rPr>
      <w:sz w:val="20"/>
      <w:szCs w:val="20"/>
    </w:rPr>
  </w:style>
  <w:style w:type="paragraph" w:styleId="1165">
    <w:name w:val="annotation subject"/>
    <w:basedOn w:val="1163"/>
    <w:next w:val="1163"/>
    <w:link w:val="1166"/>
    <w:uiPriority w:val="99"/>
    <w:semiHidden/>
    <w:unhideWhenUsed/>
    <w:rPr>
      <w:b/>
      <w:bCs/>
    </w:rPr>
  </w:style>
  <w:style w:type="character" w:styleId="1166" w:customStyle="1">
    <w:name w:val="Тема примечания Знак"/>
    <w:basedOn w:val="1164"/>
    <w:link w:val="1165"/>
    <w:uiPriority w:val="99"/>
    <w:semiHidden/>
    <w:rPr>
      <w:b/>
      <w:bCs/>
      <w:sz w:val="20"/>
      <w:szCs w:val="20"/>
    </w:rPr>
  </w:style>
  <w:style w:type="paragraph" w:styleId="1167" w:customStyle="1">
    <w:name w:val="[РГ] Альтернатива / Дополнение"/>
    <w:basedOn w:val="1137"/>
    <w:next w:val="1137"/>
    <w:qFormat/>
    <w:rPr>
      <w:i/>
      <w:shd w:val="clear" w:color="auto" w:fill="ccecff"/>
    </w:rPr>
  </w:style>
  <w:style w:type="character" w:styleId="1168" w:customStyle="1">
    <w:name w:val="[РГ] Инструкция для участника"/>
    <w:basedOn w:val="1128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69">
    <w:name w:val="Revision"/>
    <w:hidden/>
    <w:uiPriority w:val="99"/>
    <w:semiHidden/>
    <w:pPr>
      <w:spacing w:before="0"/>
    </w:pPr>
  </w:style>
  <w:style w:type="character" w:styleId="1170">
    <w:name w:val="FollowedHyperlink"/>
    <w:basedOn w:val="1128"/>
    <w:uiPriority w:val="99"/>
    <w:semiHidden/>
    <w:unhideWhenUsed/>
    <w:rPr>
      <w:color w:val="954f72" w:themeColor="followedHyperlink"/>
      <w:u w:val="single"/>
    </w:rPr>
  </w:style>
  <w:style w:type="paragraph" w:styleId="1171">
    <w:name w:val="List Paragraph"/>
    <w:basedOn w:val="1124"/>
    <w:uiPriority w:val="34"/>
    <w:qFormat/>
    <w:pPr>
      <w:contextualSpacing/>
      <w:ind w:left="720"/>
    </w:pPr>
  </w:style>
  <w:style w:type="paragraph" w:styleId="1172" w:customStyle="1">
    <w:name w:val="Пункт"/>
    <w:basedOn w:val="1124"/>
    <w:link w:val="1173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73" w:customStyle="1">
    <w:name w:val="Пункт Знак2"/>
    <w:link w:val="1172"/>
    <w:rPr>
      <w:rFonts w:eastAsia="Times New Roman" w:cs="Times New Roman"/>
      <w:szCs w:val="26"/>
      <w:lang w:eastAsia="ru-RU"/>
    </w:rPr>
  </w:style>
  <w:style w:type="paragraph" w:styleId="1174" w:customStyle="1">
    <w:name w:val="Подпункт"/>
    <w:basedOn w:val="1172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75" w:customStyle="1">
    <w:name w:val="Подподпункт"/>
    <w:basedOn w:val="1174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76" w:customStyle="1">
    <w:name w:val="Заголовок 1 Знак"/>
    <w:basedOn w:val="1128"/>
    <w:link w:val="1125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77" w:customStyle="1">
    <w:name w:val="Заголовок 2 Знак"/>
    <w:basedOn w:val="1128"/>
    <w:link w:val="1126"/>
    <w:rPr>
      <w:rFonts w:eastAsia="Times New Roman" w:cs="Times New Roman"/>
      <w:b/>
      <w:sz w:val="32"/>
      <w:szCs w:val="26"/>
      <w:lang w:eastAsia="ru-RU"/>
    </w:rPr>
  </w:style>
  <w:style w:type="character" w:styleId="1178" w:customStyle="1">
    <w:name w:val="Заголовок 3 Знак"/>
    <w:basedOn w:val="1128"/>
    <w:link w:val="1127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79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80" w:customStyle="1">
    <w:name w:val="комментарий"/>
    <w:rPr>
      <w:b/>
      <w:i/>
      <w:shd w:val="clear" w:color="auto" w:fill="ffff99"/>
    </w:rPr>
  </w:style>
  <w:style w:type="paragraph" w:styleId="1181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2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3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4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5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6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7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8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89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0" w:customStyle="1">
    <w:name w:val="Normal (Web)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oseltorg.ru/knowledge_db/docs?55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dgk@dgk.ru" TargetMode="External"/><Relationship Id="rId15" Type="http://schemas.openxmlformats.org/officeDocument/2006/relationships/image" Target="media/image1.png"/><Relationship Id="rId16" Type="http://schemas.openxmlformats.org/officeDocument/2006/relationships/image" Target="media/media1.svg"/><Relationship Id="rId17" Type="http://schemas.openxmlformats.org/officeDocument/2006/relationships/image" Target="media/image2.png"/><Relationship Id="rId18" Type="http://schemas.openxmlformats.org/officeDocument/2006/relationships/image" Target="media/media2.svg"/><Relationship Id="rId19" Type="http://schemas.openxmlformats.org/officeDocument/2006/relationships/image" Target="media/image3.png"/><Relationship Id="rId20" Type="http://schemas.openxmlformats.org/officeDocument/2006/relationships/image" Target="media/media3.svg"/><Relationship Id="rId21" Type="http://schemas.openxmlformats.org/officeDocument/2006/relationships/hyperlink" Target="https://bo.nalog.ru" TargetMode="External"/><Relationship Id="rId22" Type="http://schemas.openxmlformats.org/officeDocument/2006/relationships/image" Target="media/image4.png"/><Relationship Id="rId23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lutfullina_ee</cp:lastModifiedBy>
  <cp:revision>216</cp:revision>
  <dcterms:created xsi:type="dcterms:W3CDTF">2023-08-16T07:54:00Z</dcterms:created>
  <dcterms:modified xsi:type="dcterms:W3CDTF">2026-04-07T02:08:38Z</dcterms:modified>
</cp:coreProperties>
</file>