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40"/>
        <w:spacing w:before="0"/>
        <w:shd w:val="clear" w:color="auto" w:fill="auto"/>
        <w:rPr>
          <w:b/>
        </w:rPr>
      </w:pPr>
      <w:r>
        <w:rPr>
          <w:b/>
        </w:rPr>
        <w:t xml:space="preserve">ФОРМА ОБОСНОВАНИЯ НМЦ</w:t>
      </w:r>
      <w:r>
        <w:rPr>
          <w:b/>
        </w:rPr>
      </w:r>
      <w:r>
        <w:rPr>
          <w:b/>
        </w:rPr>
      </w:r>
    </w:p>
    <w:p>
      <w:pPr>
        <w:ind w:left="40"/>
        <w:jc w:val="center"/>
        <w:spacing w:after="642" w:line="288" w:lineRule="exact"/>
        <w:widowControl w:val="off"/>
        <w:rPr>
          <w:rFonts w:ascii="Times New Roman" w:hAnsi="Times New Roman" w:eastAsia="Times New Roman" w:cs="Times New Roman"/>
          <w:b/>
          <w:color w:val="000000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t xml:space="preserve">ОБОСНОВАНИЕ НАЧАЛЬНОЙ (МАКСИМАЛЬНОЙ) ЦЕНЫ ДОГОВОРА /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  <w:br/>
        <w:t xml:space="preserve">ЦЕНЫ ЕДИНИЦЫ ТОВАРА, РАБОТЫ, УСЛУГИ</w:t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  <w:r>
        <w:rPr>
          <w:rFonts w:ascii="Times New Roman" w:hAnsi="Times New Roman" w:eastAsia="Times New Roman" w:cs="Times New Roman"/>
          <w:b/>
          <w:color w:val="000000"/>
          <w:lang w:eastAsia="ru-RU" w:bidi="ru-RU"/>
        </w:rPr>
      </w:r>
    </w:p>
    <w:p>
      <w:pPr>
        <w:pStyle w:val="837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1. Общая информация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8"/>
        <w:tblW w:w="9776" w:type="dxa"/>
        <w:tblLook w:val="04A0" w:firstRow="1" w:lastRow="0" w:firstColumn="1" w:lastColumn="0" w:noHBand="0" w:noVBand="1"/>
      </w:tblPr>
      <w:tblGrid>
        <w:gridCol w:w="562"/>
        <w:gridCol w:w="2268"/>
        <w:gridCol w:w="6946"/>
      </w:tblGrid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100" w:line="244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Courier New" w:cs="Times New Roman"/>
                <w:color w:val="000000"/>
                <w:sz w:val="20"/>
                <w:szCs w:val="20"/>
                <w:lang w:eastAsia="ru-RU" w:bidi="ru-RU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41"/>
              <w:ind w:firstLine="0"/>
              <w:jc w:val="center"/>
              <w:spacing w:after="0" w:line="24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840"/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 w:val="false"/>
          </w:tcPr>
          <w:p>
            <w:pPr>
              <w:pStyle w:val="841"/>
              <w:ind w:firstLine="0"/>
              <w:jc w:val="center"/>
              <w:spacing w:after="0" w:line="244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840"/>
                <w:sz w:val="20"/>
                <w:szCs w:val="20"/>
              </w:rPr>
              <w:t xml:space="preserve">Информация по лоту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36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Наименование лота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</w:p>
        </w:tc>
        <w:tc>
          <w:tcPr>
            <w:tcW w:w="6946" w:type="dxa"/>
            <w:textDirection w:val="lrTb"/>
            <w:noWrap w:val="false"/>
          </w:tcPr>
          <w:p>
            <w:pPr>
              <w:spacing w:before="200" w:after="0" w:line="57" w:lineRule="atLeast"/>
              <w:rPr>
                <w:bCs/>
                <w:i/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КПД2 43.99.90.190 Выполнение строительно-монтажных работ (включая поставку оборудования и материалов) по объекту «Реконструкция системы пылеприготовления на котлоагрегате ТПЕ-214 СЗХЛ (Еп-670-13,8-545КТ)  ст. № 2 Нерюнгринской ГРЭС в пос. Серебряный бор Ре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спублика Саха (Якутия)» в рамках реализации инвестиционного проекта Q_505-НГ-163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</w:r>
            <w:r>
              <w:rPr>
                <w:bCs/>
                <w:i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1.2.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Номер лота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r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ind w:left="-108" w:right="-108"/>
              <w:jc w:val="left"/>
              <w:spacing w:before="60" w:after="60" w:line="240" w:lineRule="auto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lang w:eastAsia="ru-RU"/>
              </w:rPr>
              <w:t xml:space="preserve">22123008-ТПИР ОБСЛ-2026-ДГК-НерГРЭС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ffffff"/>
            <w:tcBorders>
              <w:top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841"/>
              <w:ind w:firstLine="0"/>
              <w:jc w:val="center"/>
              <w:spacing w:after="0" w:line="244" w:lineRule="exact"/>
              <w:shd w:val="clear" w:color="auto" w:fill="auto"/>
              <w:rPr>
                <w:bCs w:val="0"/>
                <w:i w:val="0"/>
                <w:sz w:val="20"/>
                <w:szCs w:val="20"/>
              </w:rPr>
            </w:pPr>
            <w:r>
              <w:rPr>
                <w:rStyle w:val="840"/>
                <w:i w:val="0"/>
                <w:iCs w:val="0"/>
                <w:sz w:val="20"/>
                <w:szCs w:val="20"/>
              </w:rPr>
              <w:t xml:space="preserve">1.3.</w:t>
            </w:r>
            <w:r>
              <w:rPr>
                <w:bCs w:val="0"/>
                <w:i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41"/>
              <w:ind w:firstLine="0"/>
              <w:jc w:val="left"/>
              <w:spacing w:after="0" w:line="244" w:lineRule="exact"/>
              <w:shd w:val="clear" w:color="auto" w:fill="auto"/>
              <w:rPr>
                <w:bCs w:val="0"/>
                <w:i w:val="0"/>
                <w:sz w:val="20"/>
                <w:szCs w:val="20"/>
              </w:rPr>
            </w:pPr>
            <w:r>
              <w:rPr>
                <w:rStyle w:val="840"/>
                <w:i w:val="0"/>
                <w:iCs w:val="0"/>
                <w:sz w:val="20"/>
                <w:szCs w:val="20"/>
              </w:rPr>
              <w:t xml:space="preserve">НМЦ лота</w:t>
            </w:r>
            <w:r>
              <w:rPr>
                <w:bCs w:val="0"/>
                <w:i w:val="0"/>
                <w:sz w:val="20"/>
                <w:szCs w:val="20"/>
              </w:rPr>
            </w:r>
            <w:r>
              <w:rPr>
                <w:bCs w:val="0"/>
                <w:i w:val="0"/>
                <w:sz w:val="20"/>
                <w:szCs w:val="20"/>
              </w:rPr>
            </w:r>
          </w:p>
        </w:tc>
        <w:tc>
          <w:tcPr>
            <w:tcW w:w="694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19 163 570,56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 рублей без учета НДС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</w:p>
        </w:tc>
      </w:tr>
    </w:tbl>
    <w:p>
      <w:pPr>
        <w:rPr>
          <w:bCs w:val="0"/>
          <w:i w:val="0"/>
          <w:sz w:val="20"/>
          <w:szCs w:val="20"/>
        </w:rPr>
      </w:pPr>
      <w:r>
        <w:rPr>
          <w:i w:val="0"/>
          <w:iCs w:val="0"/>
          <w:sz w:val="20"/>
          <w:szCs w:val="20"/>
        </w:rPr>
      </w:r>
      <w:r>
        <w:rPr>
          <w:bCs w:val="0"/>
          <w:i w:val="0"/>
          <w:sz w:val="20"/>
          <w:szCs w:val="20"/>
        </w:rPr>
      </w:r>
      <w:r>
        <w:rPr>
          <w:bCs w:val="0"/>
          <w:i w:val="0"/>
          <w:sz w:val="20"/>
          <w:szCs w:val="20"/>
        </w:rPr>
      </w:r>
    </w:p>
    <w:p>
      <w:pPr>
        <w:rPr>
          <w:rFonts w:ascii="Times New Roman" w:hAnsi="Times New Roman" w:cs="Times New Roman"/>
          <w:b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i w:val="0"/>
          <w:iCs w:val="0"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i w:val="0"/>
          <w:iCs w:val="0"/>
          <w:sz w:val="20"/>
          <w:szCs w:val="20"/>
        </w:rPr>
        <w:t xml:space="preserve">Использованный метод (методы) расчета НМЦ / цены единицы товара, работы, услуги:</w:t>
      </w:r>
      <w:r>
        <w:rPr>
          <w:rFonts w:ascii="Times New Roman" w:hAnsi="Times New Roman" w:cs="Times New Roman"/>
          <w:b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b/>
          <w:i w:val="0"/>
          <w:iCs w:val="0"/>
          <w:sz w:val="20"/>
          <w:szCs w:val="20"/>
        </w:rPr>
      </w:r>
    </w:p>
    <w:p>
      <w:pPr>
        <w:pStyle w:val="672"/>
        <w:ind w:left="0"/>
        <w:spacing w:before="0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 w:bidi="ru-RU"/>
        </w:rPr>
        <w:t xml:space="preserve">Метод анализа</w:t>
      </w: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 w:bidi="ru-RU"/>
        </w:rPr>
        <w:t xml:space="preserve">: </w:t>
      </w: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 w:bidi="ru-RU"/>
        </w:rPr>
        <w:t xml:space="preserve">Базисно-индексный метод</w:t>
      </w:r>
      <w:r>
        <w:rPr>
          <w:rFonts w:ascii="Times New Roman" w:hAnsi="Times New Roman"/>
          <w:b/>
          <w:bCs/>
          <w:sz w:val="26"/>
        </w:rPr>
      </w:r>
      <w:r>
        <w:rPr>
          <w:rFonts w:ascii="Times New Roman" w:hAnsi="Times New Roman"/>
          <w:b/>
          <w:bCs/>
          <w:sz w:val="26"/>
        </w:rPr>
      </w:r>
    </w:p>
    <w:p>
      <w:pPr>
        <w:pStyle w:val="672"/>
        <w:ind w:left="0"/>
        <w:spacing w:befor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0"/>
          <w:szCs w:val="20"/>
        </w:rPr>
        <w:t xml:space="preserve">Обоснование расчета НМЦ: прилагаемые локальные сметы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ind w:left="440"/>
        <w:spacing w:after="60" w:line="244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0"/>
          <w:szCs w:val="20"/>
        </w:rPr>
      </w:pPr>
      <w:r>
        <w:rPr>
          <w:rFonts w:ascii="Times New Roman" w:hAnsi="Times New Roman" w:eastAsia="Times New Roman" w:cs="Times New Roman"/>
          <w:i w:val="0"/>
          <w:iCs w:val="0"/>
          <w:sz w:val="20"/>
          <w:szCs w:val="20"/>
          <w:lang w:eastAsia="ru-RU" w:bidi="ru-RU"/>
        </w:rPr>
      </w:r>
      <w:r>
        <w:rPr>
          <w:rFonts w:ascii="Times New Roman" w:hAnsi="Times New Roman" w:eastAsia="Times New Roman" w:cs="Times New Roman"/>
          <w:bCs w:val="0"/>
          <w:i w:val="0"/>
          <w:sz w:val="20"/>
          <w:szCs w:val="20"/>
        </w:rPr>
      </w:r>
      <w:r>
        <w:rPr>
          <w:rFonts w:ascii="Times New Roman" w:hAnsi="Times New Roman" w:eastAsia="Times New Roman" w:cs="Times New Roman"/>
          <w:bCs w:val="0"/>
          <w:i w:val="0"/>
          <w:sz w:val="20"/>
          <w:szCs w:val="20"/>
        </w:rPr>
      </w:r>
    </w:p>
    <w:p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1" w:bottom="851" w:left="130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Основной текст (14)_"/>
    <w:basedOn w:val="831"/>
    <w:link w:val="835"/>
    <w:rPr>
      <w:rFonts w:ascii="Times New Roman" w:hAnsi="Times New Roman" w:eastAsia="Times New Roman" w:cs="Times New Roman"/>
      <w:shd w:val="clear" w:color="auto" w:fill="ffffff"/>
    </w:rPr>
  </w:style>
  <w:style w:type="paragraph" w:styleId="835" w:customStyle="1">
    <w:name w:val="Основной текст (14)"/>
    <w:basedOn w:val="830"/>
    <w:link w:val="834"/>
    <w:pPr>
      <w:jc w:val="center"/>
      <w:spacing w:before="400" w:after="700" w:line="244" w:lineRule="exact"/>
      <w:shd w:val="clear" w:color="auto" w:fill="ffffff"/>
      <w:widowControl w:val="off"/>
    </w:pPr>
    <w:rPr>
      <w:rFonts w:ascii="Times New Roman" w:hAnsi="Times New Roman" w:eastAsia="Times New Roman" w:cs="Times New Roman"/>
    </w:rPr>
  </w:style>
  <w:style w:type="character" w:styleId="836" w:customStyle="1">
    <w:name w:val="Подпись к таблице (2)_"/>
    <w:basedOn w:val="831"/>
    <w:link w:val="837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37" w:customStyle="1">
    <w:name w:val="Подпись к таблице (2)"/>
    <w:basedOn w:val="830"/>
    <w:link w:val="836"/>
    <w:pPr>
      <w:spacing w:after="0" w:line="28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table" w:styleId="838">
    <w:name w:val="Table Grid"/>
    <w:basedOn w:val="8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9" w:customStyle="1">
    <w:name w:val="Основной текст (2)_"/>
    <w:basedOn w:val="831"/>
    <w:link w:val="841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40" w:customStyle="1">
    <w:name w:val="Основной текст (2) + 11 pt"/>
    <w:basedOn w:val="839"/>
    <w:rPr>
      <w:rFonts w:ascii="Times New Roman" w:hAnsi="Times New Roman"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styleId="841" w:customStyle="1">
    <w:name w:val="Основной текст (2)"/>
    <w:basedOn w:val="830"/>
    <w:link w:val="839"/>
    <w:pPr>
      <w:ind w:hanging="1740"/>
      <w:jc w:val="both"/>
      <w:spacing w:after="320" w:line="321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842">
    <w:name w:val="No Spacing"/>
    <w:uiPriority w:val="1"/>
    <w:qFormat/>
    <w:pPr>
      <w:spacing w:after="0" w:line="240" w:lineRule="auto"/>
    </w:pPr>
  </w:style>
  <w:style w:type="paragraph" w:styleId="843">
    <w:name w:val="Balloon Text"/>
    <w:basedOn w:val="830"/>
    <w:link w:val="8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831"/>
    <w:link w:val="84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Елена Витальевна</dc:creator>
  <cp:keywords/>
  <dc:description/>
  <cp:lastModifiedBy>timirshaekhov_aa</cp:lastModifiedBy>
  <cp:revision>18</cp:revision>
  <dcterms:created xsi:type="dcterms:W3CDTF">2022-12-29T01:26:00Z</dcterms:created>
  <dcterms:modified xsi:type="dcterms:W3CDTF">2026-03-11T06:54:31Z</dcterms:modified>
</cp:coreProperties>
</file>