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header10.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15.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17.xml" ContentType="application/vnd.openxmlformats-officedocument.wordprocessingml.footer+xml"/>
  <Override PartName="/word/footer9.xml" ContentType="application/vnd.openxmlformats-officedocument.wordprocessingml.footer+xml"/>
  <Override PartName="/word/footer13.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3.docx" ContentType="application/vnd.openxmlformats-officedocument.wordprocessingml.document"/>
  <Override PartName="/word/embeddings/oleObject4.xlsx" ContentType="application/vnd.openxmlformats-officedocument.spreadsheetml.sheet"/>
  <Override PartName="/word/embeddings/oleObject5.docx" ContentType="application/vnd.openxmlformats-officedocument.wordprocessingml.document"/>
  <Override PartName="/word/header14.xml" ContentType="application/vnd.openxmlformats-officedocument.wordprocessingml.header+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header15.xml" ContentType="application/vnd.openxmlformats-officedocument.wordprocessingml.header+xml"/>
  <Override PartName="/word/header13.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footer12.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footer14.xml" ContentType="application/vnd.openxmlformats-officedocument.wordprocessingml.footer+xml"/>
  <Override PartName="/word/footer6.xml" ContentType="application/vnd.openxmlformats-officedocument.wordprocessingml.footer+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header5.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keepNext w:val="true"/>
        <w:spacing w:before="120" w:after="0"/>
        <w:ind w:hanging="0" w:left="4536"/>
        <w:rPr/>
      </w:pPr>
      <w:r>
        <w:rPr/>
        <w:t>«УТВЕРЖДАЮ»</w:t>
      </w:r>
    </w:p>
    <w:p>
      <w:pPr>
        <w:pStyle w:val="Normal"/>
        <w:keepNext w:val="true"/>
        <w:keepLines/>
        <w:spacing w:lineRule="auto" w:line="240"/>
        <w:ind w:hanging="0" w:left="4536"/>
        <w:jc w:val="both"/>
        <w:rPr>
          <w:szCs w:val="28"/>
        </w:rPr>
      </w:pPr>
      <w:r>
        <w:rPr>
          <w:szCs w:val="28"/>
        </w:rPr>
        <w:t>Председатель закупочной комиссии 1-го уровня – Заместитель Генерального директора по управлению ресурсами АО «ДГК»</w:t>
      </w:r>
    </w:p>
    <w:p>
      <w:pPr>
        <w:pStyle w:val="Normal"/>
        <w:keepNext w:val="true"/>
        <w:keepLines/>
        <w:spacing w:lineRule="auto" w:line="240"/>
        <w:ind w:hanging="0" w:left="4536"/>
        <w:jc w:val="right"/>
        <w:rPr/>
      </w:pPr>
      <w:r>
        <w:rPr/>
      </w:r>
    </w:p>
    <w:p>
      <w:pPr>
        <w:pStyle w:val="Normal"/>
        <w:keepNext w:val="true"/>
        <w:keepLines/>
        <w:spacing w:lineRule="auto" w:line="240"/>
        <w:ind w:hanging="0" w:left="4536"/>
        <w:jc w:val="right"/>
        <w:rPr>
          <w:highlight w:val="none"/>
        </w:rPr>
      </w:pPr>
      <w:r>
        <w:rPr>
          <w:szCs w:val="28"/>
        </w:rPr>
        <w:t>________________Д.А. Богонатов</w:t>
      </w:r>
    </w:p>
    <w:p>
      <w:pPr>
        <w:pStyle w:val="Normal"/>
        <w:keepNext w:val="true"/>
        <w:keepLines/>
        <w:spacing w:lineRule="auto" w:line="240"/>
        <w:ind w:hanging="0" w:left="4536"/>
        <w:jc w:val="right"/>
        <w:rPr>
          <w:szCs w:val="28"/>
        </w:rPr>
      </w:pPr>
      <w:r>
        <w:rPr>
          <w:szCs w:val="28"/>
        </w:rPr>
        <w:t xml:space="preserve">                 </w:t>
      </w:r>
      <w:r>
        <w:rPr>
          <w:szCs w:val="28"/>
        </w:rPr>
        <w:t xml:space="preserve">«___»_______________ 2026г </w:t>
      </w:r>
    </w:p>
    <w:p>
      <w:pPr>
        <w:pStyle w:val="Style21"/>
        <w:keepNext w:val="true"/>
        <w:ind w:hanging="0" w:left="4536"/>
        <w:rPr/>
      </w:pPr>
      <w:r>
        <w:rPr/>
      </w:r>
    </w:p>
    <w:p>
      <w:pPr>
        <w:pStyle w:val="Style21"/>
        <w:rPr/>
      </w:pPr>
      <w:r>
        <w:rPr/>
      </w:r>
    </w:p>
    <w:p>
      <w:pPr>
        <w:pStyle w:val="Style21"/>
        <w:rPr/>
      </w:pPr>
      <w:r>
        <w:rPr/>
      </w:r>
    </w:p>
    <w:p>
      <w:pPr>
        <w:pStyle w:val="Style21"/>
        <w:rPr/>
      </w:pPr>
      <w:r>
        <w:rPr/>
      </w:r>
    </w:p>
    <w:p>
      <w:pPr>
        <w:pStyle w:val="Style21"/>
        <w:rPr/>
      </w:pPr>
      <w:r>
        <w:rPr/>
      </w:r>
    </w:p>
    <w:p>
      <w:pPr>
        <w:pStyle w:val="Style21"/>
        <w:rPr/>
      </w:pPr>
      <w:r>
        <w:rPr/>
      </w:r>
    </w:p>
    <w:p>
      <w:pPr>
        <w:pStyle w:val="Style21"/>
        <w:keepNext w:val="true"/>
        <w:numPr>
          <w:ilvl w:val="0"/>
          <w:numId w:val="0"/>
        </w:numPr>
        <w:ind w:hanging="0" w:left="0"/>
        <w:jc w:val="center"/>
        <w:outlineLvl w:val="2"/>
        <w:rPr>
          <w:b/>
          <w:bCs/>
          <w:caps/>
        </w:rPr>
      </w:pPr>
      <w:r>
        <w:rPr>
          <w:b/>
          <w:bCs/>
          <w:caps/>
        </w:rPr>
        <w:t>Документация о закупке</w:t>
      </w:r>
    </w:p>
    <w:p>
      <w:pPr>
        <w:pStyle w:val="Style21"/>
        <w:keepNext w:val="true"/>
        <w:spacing w:before="240" w:after="0"/>
        <w:jc w:val="center"/>
        <w:rPr>
          <w:rStyle w:val="Style3"/>
          <w:rFonts w:ascii="Times New Roman" w:hAnsi="Times New Roman" w:cs="Times New Roman"/>
          <w:color w:val="000000" w:themeColor="text1"/>
          <w:sz w:val="26"/>
          <w:szCs w:val="26"/>
        </w:rPr>
      </w:pPr>
      <w:r>
        <w:rPr>
          <w:rFonts w:eastAsia="Times New Roman" w:cs="Times New Roman"/>
          <w:color w:val="000000" w:themeColor="text1"/>
          <w:sz w:val="26"/>
          <w:szCs w:val="26"/>
        </w:rPr>
        <w:t>Конкурс в электронной форме,</w:t>
        <w:br/>
        <w:t>участниками которого могут быть только субъекты МСП,</w:t>
        <w:br/>
        <w:t>на право заключения договора на «ОКПД2 43.29.11.140 Выполнение работ по покрытию кабельных трасс огнезащитным составом электрического цеха Нерюнгринской ГРЭС, г. Нерюнгри пос. Серебряный Бор</w:t>
      </w:r>
      <w:r>
        <w:rPr>
          <w:rFonts w:eastAsia="Times New Roman" w:cs="Times New Roman"/>
          <w:color w:val="000000" w:themeColor="text1"/>
          <w:sz w:val="26"/>
          <w:szCs w:val="26"/>
          <w:highlight w:val="white"/>
        </w:rPr>
        <w:t>».</w:t>
      </w:r>
    </w:p>
    <w:p>
      <w:pPr>
        <w:sectPr>
          <w:footerReference w:type="default" r:id="rId2"/>
          <w:type w:val="nextPage"/>
          <w:pgSz w:w="11906" w:h="16838"/>
          <w:pgMar w:left="1134" w:right="850" w:gutter="0" w:header="0" w:top="851" w:footer="567" w:bottom="851"/>
          <w:pgNumType w:fmt="decimal"/>
          <w:formProt w:val="false"/>
          <w:textDirection w:val="lrTb"/>
          <w:docGrid w:type="default" w:linePitch="360" w:charSpace="0"/>
        </w:sectPr>
        <w:pStyle w:val="Style21"/>
        <w:keepNext w:val="true"/>
        <w:spacing w:before="240" w:after="0"/>
        <w:jc w:val="center"/>
        <w:rPr>
          <w:rFonts w:ascii="Times New Roman" w:hAnsi="Times New Roman" w:cs="Times New Roman"/>
          <w:color w:val="000000" w:themeColor="text1"/>
          <w:sz w:val="26"/>
          <w:szCs w:val="26"/>
        </w:rPr>
      </w:pPr>
      <w:r>
        <w:rPr>
          <w:rFonts w:eastAsia="Times New Roman" w:cs="Times New Roman"/>
          <w:color w:val="000000" w:themeColor="text1"/>
          <w:sz w:val="26"/>
          <w:szCs w:val="26"/>
        </w:rPr>
        <w:t>(Лот № </w:t>
      </w:r>
      <w:r>
        <w:rPr>
          <w:rFonts w:eastAsia="Times New Roman" w:cs="Times New Roman"/>
          <w:color w:val="000000" w:themeColor="text1"/>
          <w:sz w:val="26"/>
          <w:szCs w:val="26"/>
          <w:highlight w:val="white"/>
        </w:rPr>
        <w:t>11023032-РЕМ ПРОД-2026-ДГК-НерГРЭС</w:t>
      </w:r>
      <w:r>
        <w:rPr>
          <w:rFonts w:eastAsia="Times New Roman" w:cs="Times New Roman"/>
          <w:color w:val="000000" w:themeColor="text1"/>
          <w:sz w:val="26"/>
          <w:szCs w:val="26"/>
        </w:rPr>
        <w:t>)</w:t>
      </w:r>
    </w:p>
    <w:p>
      <w:pPr>
        <w:pStyle w:val="Style20"/>
        <w:numPr>
          <w:ilvl w:val="0"/>
          <w:numId w:val="0"/>
        </w:numPr>
        <w:ind w:hanging="0" w:left="0"/>
        <w:outlineLvl w:val="2"/>
        <w:rPr/>
      </w:pPr>
      <w:r>
        <w:rPr/>
        <w:t>Содержание</w:t>
      </w:r>
    </w:p>
    <w:sdt>
      <w:sdtPr>
        <w:docPartObj>
          <w:docPartGallery w:val="Table of Contents"/>
          <w:docPartUnique w:val="true"/>
        </w:docPartObj>
      </w:sdtPr>
      <w:sdtContent>
        <w:p>
          <w:pPr>
            <w:pStyle w:val="TOC1"/>
            <w:tabs>
              <w:tab w:val="left" w:pos="851" w:leader="none"/>
              <w:tab w:val="right" w:pos="9923" w:leader="none"/>
            </w:tabs>
            <w:rPr/>
          </w:pPr>
          <w:r>
            <w:fldChar w:fldCharType="begin"/>
          </w:r>
          <w:r>
            <w:rPr>
              <w:webHidden/>
              <w:rStyle w:val="Style12"/>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Раздел,1,[РГ] Подраздел,2,[РГ] Подраздел,2,[РГ] Подраздел,2,[РГ] Подраздел,2,[РГ] Подраздел,2,[РГ] Подраздел,2,[РГ] Подраздел,2,[РГ] Пункт,3,[РГ] Пункт,3,[РГ] Пункт,3,[РГ] Пункт,3,[РГ] Пункт,3,[РГ] Пункт,3,[РГ] Подпункт,4,[РГ] Подпункт,4,[РГ] Подпункт,4,[РГ] Подпункт,4,[РГ] Подпункт,4,[РГ] Подпункт,4,[РГ] Перечисление,5,[РГ] Перечисление,5,[РГ] Перечисление,5,[РГ] Перечисление,5,[РГ] Перечисление,5,[РГ] Перечисление,5" \h</w:instrText>
          </w:r>
          <w:r>
            <w:rPr>
              <w:webHidden/>
              <w:rStyle w:val="Style12"/>
              <w:vanish w:val="false"/>
            </w:rPr>
            <w:fldChar w:fldCharType="separate"/>
          </w:r>
          <w:hyperlink w:anchor="_Toc1" w:tgtFrame="#_Toc1">
            <w:r>
              <w:rPr>
                <w:webHidden/>
              </w:rPr>
              <w:fldChar w:fldCharType="begin"/>
            </w:r>
            <w:r>
              <w:rPr>
                <w:webHidden/>
              </w:rPr>
              <w:instrText xml:space="preserve">PAGEREF _Toc1 \h</w:instrText>
            </w:r>
            <w:r>
              <w:rPr>
                <w:webHidden/>
              </w:rPr>
              <w:fldChar w:fldCharType="separate"/>
            </w:r>
            <w:r>
              <w:rPr>
                <w:webHidden/>
                <w:rStyle w:val="Style12"/>
                <w:vanish w:val="false"/>
              </w:rPr>
              <w:t>Сокращения</w:t>
              <w:tab/>
              <w:t>6</w:t>
            </w:r>
            <w:r>
              <w:rPr>
                <w:webHidden/>
              </w:rPr>
              <w:fldChar w:fldCharType="end"/>
            </w:r>
          </w:hyperlink>
        </w:p>
        <w:p>
          <w:pPr>
            <w:pStyle w:val="TOC1"/>
            <w:tabs>
              <w:tab w:val="left" w:pos="851" w:leader="none"/>
              <w:tab w:val="right" w:pos="9923" w:leader="none"/>
            </w:tabs>
            <w:rPr/>
          </w:pPr>
          <w:hyperlink w:anchor="_Toc2" w:tgtFrame="#_Toc2">
            <w:r>
              <w:rPr>
                <w:webHidden/>
              </w:rPr>
              <w:fldChar w:fldCharType="begin"/>
            </w:r>
            <w:r>
              <w:rPr>
                <w:webHidden/>
              </w:rPr>
              <w:instrText xml:space="preserve">PAGEREF _Toc2 \h</w:instrText>
            </w:r>
            <w:r>
              <w:rPr>
                <w:webHidden/>
              </w:rPr>
              <w:fldChar w:fldCharType="separate"/>
            </w:r>
            <w:r>
              <w:rPr>
                <w:webHidden/>
                <w:rStyle w:val="Style12"/>
                <w:vanish w:val="false"/>
              </w:rPr>
              <w:t>Термины и определения</w:t>
              <w:tab/>
              <w:t>8</w:t>
            </w:r>
            <w:r>
              <w:rPr>
                <w:webHidden/>
              </w:rPr>
              <w:fldChar w:fldCharType="end"/>
            </w:r>
          </w:hyperlink>
        </w:p>
        <w:p>
          <w:pPr>
            <w:pStyle w:val="TOC1"/>
            <w:tabs>
              <w:tab w:val="left" w:pos="567" w:leader="none"/>
              <w:tab w:val="left" w:pos="851" w:leader="none"/>
              <w:tab w:val="right" w:pos="9923" w:leader="none"/>
            </w:tabs>
            <w:rPr/>
          </w:pPr>
          <w:hyperlink w:anchor="_Toc3" w:tgtFrame="#_Toc3">
            <w:r>
              <w:rPr>
                <w:webHidden/>
                <w:rStyle w:val="Style12"/>
                <w:rFonts w:eastAsia="Calibri" w:cs="Arial" w:cstheme="minorBidi" w:eastAsiaTheme="minorHAnsi"/>
                <w:vanish w:val="false"/>
              </w:rPr>
              <w:t>1.</w:t>
            </w:r>
            <w:r>
              <w:rPr>
                <w:webHidden/>
              </w:rPr>
              <w:fldChar w:fldCharType="begin"/>
            </w:r>
            <w:r>
              <w:rPr>
                <w:webHidden/>
              </w:rPr>
              <w:instrText xml:space="preserve">PAGEREF _Toc3 \h</w:instrText>
            </w:r>
            <w:r>
              <w:rPr>
                <w:webHidden/>
              </w:rPr>
              <w:fldChar w:fldCharType="separate"/>
            </w:r>
            <w:r>
              <w:rPr>
                <w:rStyle w:val="Style12"/>
              </w:rPr>
              <w:tab/>
              <w:t>Основные сведения о закупке</w:t>
              <w:tab/>
              <w:t>12</w:t>
            </w:r>
            <w:r>
              <w:rPr>
                <w:webHidden/>
              </w:rPr>
              <w:fldChar w:fldCharType="end"/>
            </w:r>
          </w:hyperlink>
        </w:p>
        <w:p>
          <w:pPr>
            <w:pStyle w:val="TOC2"/>
            <w:tabs>
              <w:tab w:val="left" w:pos="567" w:leader="none"/>
              <w:tab w:val="left" w:pos="851" w:leader="none"/>
              <w:tab w:val="right" w:pos="9923" w:leader="none"/>
            </w:tabs>
            <w:rPr/>
          </w:pPr>
          <w:hyperlink w:anchor="_Toc4" w:tgtFrame="#_Toc4">
            <w:r>
              <w:rPr>
                <w:webHidden/>
                <w:rStyle w:val="Style12"/>
                <w:rFonts w:eastAsia="Calibri" w:cs="Arial" w:cstheme="minorBidi" w:eastAsiaTheme="minorHAnsi"/>
                <w:vanish w:val="false"/>
              </w:rPr>
              <w:t>1.1</w:t>
            </w:r>
            <w:r>
              <w:rPr>
                <w:webHidden/>
              </w:rPr>
              <w:fldChar w:fldCharType="begin"/>
            </w:r>
            <w:r>
              <w:rPr>
                <w:webHidden/>
              </w:rPr>
              <w:instrText xml:space="preserve">PAGEREF _Toc4 \h</w:instrText>
            </w:r>
            <w:r>
              <w:rPr>
                <w:webHidden/>
              </w:rPr>
              <w:fldChar w:fldCharType="separate"/>
            </w:r>
            <w:r>
              <w:rPr>
                <w:rStyle w:val="Style12"/>
              </w:rPr>
              <w:tab/>
              <w:t>Статус настоящего раздела</w:t>
              <w:tab/>
              <w:t>12</w:t>
            </w:r>
            <w:r>
              <w:rPr>
                <w:webHidden/>
              </w:rPr>
              <w:fldChar w:fldCharType="end"/>
            </w:r>
          </w:hyperlink>
        </w:p>
        <w:p>
          <w:pPr>
            <w:pStyle w:val="TOC2"/>
            <w:tabs>
              <w:tab w:val="left" w:pos="567" w:leader="none"/>
              <w:tab w:val="left" w:pos="851" w:leader="none"/>
              <w:tab w:val="right" w:pos="9923" w:leader="none"/>
            </w:tabs>
            <w:rPr/>
          </w:pPr>
          <w:hyperlink w:anchor="_Toc5" w:tgtFrame="#_Toc5">
            <w:r>
              <w:rPr>
                <w:webHidden/>
                <w:rStyle w:val="Style12"/>
                <w:rFonts w:eastAsia="Calibri" w:cs="Arial" w:cstheme="minorBidi" w:eastAsiaTheme="minorHAnsi"/>
                <w:vanish w:val="false"/>
              </w:rPr>
              <w:t>1.2</w:t>
            </w:r>
            <w:r>
              <w:rPr>
                <w:webHidden/>
              </w:rPr>
              <w:fldChar w:fldCharType="begin"/>
            </w:r>
            <w:r>
              <w:rPr>
                <w:webHidden/>
              </w:rPr>
              <w:instrText xml:space="preserve">PAGEREF _Toc5 \h</w:instrText>
            </w:r>
            <w:r>
              <w:rPr>
                <w:webHidden/>
              </w:rPr>
              <w:fldChar w:fldCharType="separate"/>
            </w:r>
            <w:r>
              <w:rPr>
                <w:rStyle w:val="Style12"/>
              </w:rPr>
              <w:tab/>
              <w:t>Информация о проводимой закупке</w:t>
              <w:tab/>
              <w:t>12</w:t>
            </w:r>
            <w:r>
              <w:rPr>
                <w:webHidden/>
              </w:rPr>
              <w:fldChar w:fldCharType="end"/>
            </w:r>
          </w:hyperlink>
        </w:p>
        <w:p>
          <w:pPr>
            <w:pStyle w:val="TOC1"/>
            <w:tabs>
              <w:tab w:val="left" w:pos="567" w:leader="none"/>
              <w:tab w:val="left" w:pos="851" w:leader="none"/>
              <w:tab w:val="right" w:pos="9923" w:leader="none"/>
            </w:tabs>
            <w:rPr/>
          </w:pPr>
          <w:hyperlink w:anchor="_Toc6" w:tgtFrame="#_Toc6">
            <w:r>
              <w:rPr>
                <w:webHidden/>
                <w:rStyle w:val="Style12"/>
                <w:rFonts w:eastAsia="Calibri" w:cs="Arial" w:cstheme="minorBidi" w:eastAsiaTheme="minorHAnsi"/>
                <w:vanish w:val="false"/>
              </w:rPr>
              <w:t>2.</w:t>
            </w:r>
            <w:r>
              <w:rPr>
                <w:webHidden/>
              </w:rPr>
              <w:fldChar w:fldCharType="begin"/>
            </w:r>
            <w:r>
              <w:rPr>
                <w:webHidden/>
              </w:rPr>
              <w:instrText xml:space="preserve">PAGEREF _Toc6 \h</w:instrText>
            </w:r>
            <w:r>
              <w:rPr>
                <w:webHidden/>
              </w:rPr>
              <w:fldChar w:fldCharType="separate"/>
            </w:r>
            <w:r>
              <w:rPr>
                <w:rStyle w:val="Style12"/>
              </w:rPr>
              <w:tab/>
              <w:t>Общие положения</w:t>
              <w:tab/>
              <w:t>19</w:t>
            </w:r>
            <w:r>
              <w:rPr>
                <w:webHidden/>
              </w:rPr>
              <w:fldChar w:fldCharType="end"/>
            </w:r>
          </w:hyperlink>
        </w:p>
        <w:p>
          <w:pPr>
            <w:pStyle w:val="TOC2"/>
            <w:tabs>
              <w:tab w:val="left" w:pos="567" w:leader="none"/>
              <w:tab w:val="left" w:pos="851" w:leader="none"/>
              <w:tab w:val="right" w:pos="9923" w:leader="none"/>
            </w:tabs>
            <w:rPr/>
          </w:pPr>
          <w:hyperlink w:anchor="_Toc7" w:tgtFrame="#_Toc7">
            <w:r>
              <w:rPr>
                <w:webHidden/>
                <w:rStyle w:val="Style12"/>
                <w:rFonts w:eastAsia="Calibri" w:cs="Arial" w:cstheme="minorBidi" w:eastAsiaTheme="minorHAnsi"/>
                <w:vanish w:val="false"/>
              </w:rPr>
              <w:t>2.1</w:t>
            </w:r>
            <w:r>
              <w:rPr>
                <w:webHidden/>
              </w:rPr>
              <w:fldChar w:fldCharType="begin"/>
            </w:r>
            <w:r>
              <w:rPr>
                <w:webHidden/>
              </w:rPr>
              <w:instrText xml:space="preserve">PAGEREF _Toc7 \h</w:instrText>
            </w:r>
            <w:r>
              <w:rPr>
                <w:webHidden/>
              </w:rPr>
              <w:fldChar w:fldCharType="separate"/>
            </w:r>
            <w:r>
              <w:rPr>
                <w:rStyle w:val="Style12"/>
              </w:rPr>
              <w:tab/>
              <w:t>Общие сведения о закупке</w:t>
              <w:tab/>
              <w:t>19</w:t>
            </w:r>
            <w:r>
              <w:rPr>
                <w:webHidden/>
              </w:rPr>
              <w:fldChar w:fldCharType="end"/>
            </w:r>
          </w:hyperlink>
        </w:p>
        <w:p>
          <w:pPr>
            <w:pStyle w:val="TOC2"/>
            <w:tabs>
              <w:tab w:val="left" w:pos="567" w:leader="none"/>
              <w:tab w:val="left" w:pos="851" w:leader="none"/>
              <w:tab w:val="right" w:pos="9923" w:leader="none"/>
            </w:tabs>
            <w:rPr/>
          </w:pPr>
          <w:hyperlink w:anchor="_Toc8" w:tgtFrame="#_Toc8">
            <w:r>
              <w:rPr>
                <w:webHidden/>
                <w:rStyle w:val="Style12"/>
                <w:rFonts w:eastAsia="Calibri" w:cs="Arial" w:cstheme="minorBidi" w:eastAsiaTheme="minorHAnsi"/>
                <w:vanish w:val="false"/>
              </w:rPr>
              <w:t>2.2</w:t>
            </w:r>
            <w:r>
              <w:rPr>
                <w:webHidden/>
              </w:rPr>
              <w:fldChar w:fldCharType="begin"/>
            </w:r>
            <w:r>
              <w:rPr>
                <w:webHidden/>
              </w:rPr>
              <w:instrText xml:space="preserve">PAGEREF _Toc8 \h</w:instrText>
            </w:r>
            <w:r>
              <w:rPr>
                <w:webHidden/>
              </w:rPr>
              <w:fldChar w:fldCharType="separate"/>
            </w:r>
            <w:r>
              <w:rPr>
                <w:rStyle w:val="Style12"/>
              </w:rPr>
              <w:tab/>
              <w:t>Правовой статус документов</w:t>
              <w:tab/>
              <w:t>19</w:t>
            </w:r>
            <w:r>
              <w:rPr>
                <w:webHidden/>
              </w:rPr>
              <w:fldChar w:fldCharType="end"/>
            </w:r>
          </w:hyperlink>
        </w:p>
        <w:p>
          <w:pPr>
            <w:pStyle w:val="TOC2"/>
            <w:tabs>
              <w:tab w:val="left" w:pos="567" w:leader="none"/>
              <w:tab w:val="left" w:pos="851" w:leader="none"/>
              <w:tab w:val="right" w:pos="9923" w:leader="none"/>
            </w:tabs>
            <w:rPr/>
          </w:pPr>
          <w:hyperlink w:anchor="_Toc9" w:tgtFrame="#_Toc9">
            <w:r>
              <w:rPr>
                <w:webHidden/>
                <w:rStyle w:val="Style12"/>
                <w:rFonts w:eastAsia="Calibri" w:cs="Arial" w:cstheme="minorBidi" w:eastAsiaTheme="minorHAnsi"/>
                <w:vanish w:val="false"/>
              </w:rPr>
              <w:t>2.3</w:t>
            </w:r>
            <w:r>
              <w:rPr>
                <w:webHidden/>
              </w:rPr>
              <w:fldChar w:fldCharType="begin"/>
            </w:r>
            <w:r>
              <w:rPr>
                <w:webHidden/>
              </w:rPr>
              <w:instrText xml:space="preserve">PAGEREF _Toc9 \h</w:instrText>
            </w:r>
            <w:r>
              <w:rPr>
                <w:webHidden/>
              </w:rPr>
              <w:fldChar w:fldCharType="separate"/>
            </w:r>
            <w:r>
              <w:rPr>
                <w:rStyle w:val="Style12"/>
              </w:rPr>
              <w:tab/>
              <w:t>Обжалование</w:t>
              <w:tab/>
              <w:t>20</w:t>
            </w:r>
            <w:r>
              <w:rPr>
                <w:webHidden/>
              </w:rPr>
              <w:fldChar w:fldCharType="end"/>
            </w:r>
          </w:hyperlink>
        </w:p>
        <w:p>
          <w:pPr>
            <w:pStyle w:val="TOC2"/>
            <w:tabs>
              <w:tab w:val="left" w:pos="567" w:leader="none"/>
              <w:tab w:val="left" w:pos="851" w:leader="none"/>
              <w:tab w:val="right" w:pos="9923" w:leader="none"/>
            </w:tabs>
            <w:rPr/>
          </w:pPr>
          <w:hyperlink w:anchor="_Toc10" w:tgtFrame="#_Toc10">
            <w:r>
              <w:rPr>
                <w:webHidden/>
                <w:rStyle w:val="Style12"/>
                <w:rFonts w:eastAsia="Calibri" w:cs="Arial" w:cstheme="minorBidi" w:eastAsiaTheme="minorHAnsi"/>
                <w:vanish w:val="false"/>
              </w:rPr>
              <w:t>2.4</w:t>
            </w:r>
            <w:r>
              <w:rPr>
                <w:webHidden/>
              </w:rPr>
              <w:fldChar w:fldCharType="begin"/>
            </w:r>
            <w:r>
              <w:rPr>
                <w:webHidden/>
              </w:rPr>
              <w:instrText xml:space="preserve">PAGEREF _Toc10 \h</w:instrText>
            </w:r>
            <w:r>
              <w:rPr>
                <w:webHidden/>
              </w:rPr>
              <w:fldChar w:fldCharType="separate"/>
            </w:r>
            <w:r>
              <w:rPr>
                <w:rStyle w:val="Style12"/>
              </w:rPr>
              <w:tab/>
              <w:t>Особые положения при проведении закупки с использованием ЭП</w:t>
              <w:tab/>
              <w:t>21</w:t>
            </w:r>
            <w:r>
              <w:rPr>
                <w:webHidden/>
              </w:rPr>
              <w:fldChar w:fldCharType="end"/>
            </w:r>
          </w:hyperlink>
        </w:p>
        <w:p>
          <w:pPr>
            <w:pStyle w:val="TOC2"/>
            <w:tabs>
              <w:tab w:val="left" w:pos="567" w:leader="none"/>
              <w:tab w:val="left" w:pos="851" w:leader="none"/>
              <w:tab w:val="right" w:pos="9923" w:leader="none"/>
            </w:tabs>
            <w:rPr/>
          </w:pPr>
          <w:hyperlink w:anchor="_Toc11" w:tgtFrame="#_Toc11">
            <w:r>
              <w:rPr>
                <w:webHidden/>
                <w:rStyle w:val="Style12"/>
                <w:rFonts w:eastAsia="Calibri" w:cs="Arial" w:cstheme="minorBidi" w:eastAsiaTheme="minorHAnsi"/>
                <w:vanish w:val="false"/>
              </w:rPr>
              <w:t>2.5</w:t>
            </w:r>
            <w:r>
              <w:rPr>
                <w:webHidden/>
              </w:rPr>
              <w:fldChar w:fldCharType="begin"/>
            </w:r>
            <w:r>
              <w:rPr>
                <w:webHidden/>
              </w:rPr>
              <w:instrText xml:space="preserve">PAGEREF _Toc11 \h</w:instrText>
            </w:r>
            <w:r>
              <w:rPr>
                <w:webHidden/>
              </w:rPr>
              <w:fldChar w:fldCharType="separate"/>
            </w:r>
            <w:r>
              <w:rPr>
                <w:rStyle w:val="Style12"/>
              </w:rPr>
              <w:tab/>
              <w:t>Прочие положения</w:t>
              <w:tab/>
              <w:t>21</w:t>
            </w:r>
            <w:r>
              <w:rPr>
                <w:webHidden/>
              </w:rPr>
              <w:fldChar w:fldCharType="end"/>
            </w:r>
          </w:hyperlink>
        </w:p>
        <w:p>
          <w:pPr>
            <w:pStyle w:val="TOC1"/>
            <w:tabs>
              <w:tab w:val="left" w:pos="567" w:leader="none"/>
              <w:tab w:val="left" w:pos="851" w:leader="none"/>
              <w:tab w:val="right" w:pos="9923" w:leader="none"/>
            </w:tabs>
            <w:rPr/>
          </w:pPr>
          <w:hyperlink w:anchor="_Toc12" w:tgtFrame="#_Toc12">
            <w:r>
              <w:rPr>
                <w:webHidden/>
                <w:rStyle w:val="Style12"/>
                <w:rFonts w:eastAsia="Calibri" w:cs="Arial" w:cstheme="minorBidi" w:eastAsiaTheme="minorHAnsi"/>
                <w:vanish w:val="false"/>
              </w:rPr>
              <w:t>3.</w:t>
            </w:r>
            <w:r>
              <w:rPr>
                <w:webHidden/>
              </w:rPr>
              <w:fldChar w:fldCharType="begin"/>
            </w:r>
            <w:r>
              <w:rPr>
                <w:webHidden/>
              </w:rPr>
              <w:instrText xml:space="preserve">PAGEREF _Toc12 \h</w:instrText>
            </w:r>
            <w:r>
              <w:rPr>
                <w:webHidden/>
              </w:rPr>
              <w:fldChar w:fldCharType="separate"/>
            </w:r>
            <w:r>
              <w:rPr>
                <w:rStyle w:val="Style12"/>
              </w:rPr>
              <w:tab/>
              <w:t>Требования к Участникам</w:t>
              <w:tab/>
              <w:t>23</w:t>
            </w:r>
            <w:r>
              <w:rPr>
                <w:webHidden/>
              </w:rPr>
              <w:fldChar w:fldCharType="end"/>
            </w:r>
          </w:hyperlink>
        </w:p>
        <w:p>
          <w:pPr>
            <w:pStyle w:val="TOC2"/>
            <w:tabs>
              <w:tab w:val="left" w:pos="567" w:leader="none"/>
              <w:tab w:val="left" w:pos="851" w:leader="none"/>
              <w:tab w:val="right" w:pos="9923" w:leader="none"/>
            </w:tabs>
            <w:rPr/>
          </w:pPr>
          <w:hyperlink w:anchor="_Toc13" w:tgtFrame="#_Toc13">
            <w:r>
              <w:rPr>
                <w:webHidden/>
                <w:rStyle w:val="Style12"/>
                <w:rFonts w:eastAsia="Calibri" w:cs="Arial" w:cstheme="minorBidi" w:eastAsiaTheme="minorHAnsi"/>
                <w:vanish w:val="false"/>
              </w:rPr>
              <w:t>3.1</w:t>
            </w:r>
            <w:r>
              <w:rPr>
                <w:webHidden/>
              </w:rPr>
              <w:fldChar w:fldCharType="begin"/>
            </w:r>
            <w:r>
              <w:rPr>
                <w:webHidden/>
              </w:rPr>
              <w:instrText xml:space="preserve">PAGEREF _Toc13 \h</w:instrText>
            </w:r>
            <w:r>
              <w:rPr>
                <w:webHidden/>
              </w:rPr>
              <w:fldChar w:fldCharType="separate"/>
            </w:r>
            <w:r>
              <w:rPr>
                <w:rStyle w:val="Style12"/>
              </w:rPr>
              <w:tab/>
              <w:t>Общие требования к Участникам</w:t>
              <w:tab/>
              <w:t>23</w:t>
            </w:r>
            <w:r>
              <w:rPr>
                <w:webHidden/>
              </w:rPr>
              <w:fldChar w:fldCharType="end"/>
            </w:r>
          </w:hyperlink>
        </w:p>
        <w:p>
          <w:pPr>
            <w:pStyle w:val="TOC2"/>
            <w:tabs>
              <w:tab w:val="left" w:pos="567" w:leader="none"/>
              <w:tab w:val="left" w:pos="851" w:leader="none"/>
              <w:tab w:val="right" w:pos="9923" w:leader="none"/>
            </w:tabs>
            <w:rPr/>
          </w:pPr>
          <w:hyperlink w:anchor="_Toc14" w:tgtFrame="#_Toc14">
            <w:r>
              <w:rPr>
                <w:webHidden/>
                <w:rStyle w:val="Style12"/>
                <w:rFonts w:eastAsia="Calibri" w:cs="Arial" w:cstheme="minorBidi" w:eastAsiaTheme="minorHAnsi"/>
                <w:vanish w:val="false"/>
              </w:rPr>
              <w:t>3.2</w:t>
            </w:r>
            <w:r>
              <w:rPr>
                <w:webHidden/>
              </w:rPr>
              <w:fldChar w:fldCharType="begin"/>
            </w:r>
            <w:r>
              <w:rPr>
                <w:webHidden/>
              </w:rPr>
              <w:instrText xml:space="preserve">PAGEREF _Toc14 \h</w:instrText>
            </w:r>
            <w:r>
              <w:rPr>
                <w:webHidden/>
              </w:rPr>
              <w:fldChar w:fldCharType="separate"/>
            </w:r>
            <w:r>
              <w:rPr>
                <w:rStyle w:val="Style12"/>
              </w:rPr>
              <w:tab/>
              <w:t>Генеральные подрядчики</w:t>
              <w:tab/>
              <w:t>23</w:t>
            </w:r>
            <w:r>
              <w:rPr>
                <w:webHidden/>
              </w:rPr>
              <w:fldChar w:fldCharType="end"/>
            </w:r>
          </w:hyperlink>
        </w:p>
        <w:p>
          <w:pPr>
            <w:pStyle w:val="TOC1"/>
            <w:tabs>
              <w:tab w:val="left" w:pos="567" w:leader="none"/>
              <w:tab w:val="left" w:pos="851" w:leader="none"/>
              <w:tab w:val="right" w:pos="9923" w:leader="none"/>
            </w:tabs>
            <w:rPr/>
          </w:pPr>
          <w:hyperlink w:anchor="_Toc15" w:tgtFrame="#_Toc15">
            <w:r>
              <w:rPr>
                <w:webHidden/>
                <w:rStyle w:val="Style12"/>
                <w:rFonts w:eastAsia="Calibri" w:cs="Arial" w:cstheme="minorBidi" w:eastAsiaTheme="minorHAnsi"/>
                <w:vanish w:val="false"/>
              </w:rPr>
              <w:t>4.</w:t>
            </w:r>
            <w:r>
              <w:rPr>
                <w:webHidden/>
              </w:rPr>
              <w:fldChar w:fldCharType="begin"/>
            </w:r>
            <w:r>
              <w:rPr>
                <w:webHidden/>
              </w:rPr>
              <w:instrText xml:space="preserve">PAGEREF _Toc15 \h</w:instrText>
            </w:r>
            <w:r>
              <w:rPr>
                <w:webHidden/>
              </w:rPr>
              <w:fldChar w:fldCharType="separate"/>
            </w:r>
            <w:r>
              <w:rPr>
                <w:rStyle w:val="Style12"/>
              </w:rPr>
              <w:tab/>
              <w:t>Порядок проведения закупки</w:t>
              <w:tab/>
              <w:t>25</w:t>
            </w:r>
            <w:r>
              <w:rPr>
                <w:webHidden/>
              </w:rPr>
              <w:fldChar w:fldCharType="end"/>
            </w:r>
          </w:hyperlink>
        </w:p>
        <w:p>
          <w:pPr>
            <w:pStyle w:val="TOC2"/>
            <w:tabs>
              <w:tab w:val="left" w:pos="567" w:leader="none"/>
              <w:tab w:val="left" w:pos="851" w:leader="none"/>
              <w:tab w:val="right" w:pos="9923" w:leader="none"/>
            </w:tabs>
            <w:rPr/>
          </w:pPr>
          <w:hyperlink w:anchor="_Toc16" w:tgtFrame="#_Toc16">
            <w:r>
              <w:rPr>
                <w:webHidden/>
                <w:rStyle w:val="Style12"/>
                <w:rFonts w:eastAsia="Calibri" w:cs="Arial" w:cstheme="minorBidi" w:eastAsiaTheme="minorHAnsi"/>
                <w:vanish w:val="false"/>
              </w:rPr>
              <w:t>4.1</w:t>
            </w:r>
            <w:r>
              <w:rPr>
                <w:webHidden/>
              </w:rPr>
              <w:fldChar w:fldCharType="begin"/>
            </w:r>
            <w:r>
              <w:rPr>
                <w:webHidden/>
              </w:rPr>
              <w:instrText xml:space="preserve">PAGEREF _Toc16 \h</w:instrText>
            </w:r>
            <w:r>
              <w:rPr>
                <w:webHidden/>
              </w:rPr>
              <w:fldChar w:fldCharType="separate"/>
            </w:r>
            <w:r>
              <w:rPr>
                <w:rStyle w:val="Style12"/>
              </w:rPr>
              <w:tab/>
              <w:t>Общий порядок проведения закупки</w:t>
              <w:tab/>
              <w:t>25</w:t>
            </w:r>
            <w:r>
              <w:rPr>
                <w:webHidden/>
              </w:rPr>
              <w:fldChar w:fldCharType="end"/>
            </w:r>
          </w:hyperlink>
        </w:p>
        <w:p>
          <w:pPr>
            <w:pStyle w:val="TOC2"/>
            <w:tabs>
              <w:tab w:val="left" w:pos="567" w:leader="none"/>
              <w:tab w:val="left" w:pos="851" w:leader="none"/>
              <w:tab w:val="right" w:pos="9923" w:leader="none"/>
            </w:tabs>
            <w:rPr/>
          </w:pPr>
          <w:hyperlink w:anchor="_Toc17" w:tgtFrame="#_Toc17">
            <w:r>
              <w:rPr>
                <w:webHidden/>
                <w:rStyle w:val="Style12"/>
                <w:rFonts w:eastAsia="Calibri" w:cs="Arial" w:cstheme="minorBidi" w:eastAsiaTheme="minorHAnsi"/>
                <w:vanish w:val="false"/>
              </w:rPr>
              <w:t>4.2</w:t>
            </w:r>
            <w:r>
              <w:rPr>
                <w:webHidden/>
              </w:rPr>
              <w:fldChar w:fldCharType="begin"/>
            </w:r>
            <w:r>
              <w:rPr>
                <w:webHidden/>
              </w:rPr>
              <w:instrText xml:space="preserve">PAGEREF _Toc17 \h</w:instrText>
            </w:r>
            <w:r>
              <w:rPr>
                <w:webHidden/>
              </w:rPr>
              <w:fldChar w:fldCharType="separate"/>
            </w:r>
            <w:r>
              <w:rPr>
                <w:rStyle w:val="Style12"/>
              </w:rPr>
              <w:tab/>
              <w:t>Официальное размещение Извещения и Документации о закупке</w:t>
              <w:tab/>
              <w:t>26</w:t>
            </w:r>
            <w:r>
              <w:rPr>
                <w:webHidden/>
              </w:rPr>
              <w:fldChar w:fldCharType="end"/>
            </w:r>
          </w:hyperlink>
        </w:p>
        <w:p>
          <w:pPr>
            <w:pStyle w:val="TOC2"/>
            <w:tabs>
              <w:tab w:val="left" w:pos="567" w:leader="none"/>
              <w:tab w:val="left" w:pos="851" w:leader="none"/>
              <w:tab w:val="right" w:pos="9923" w:leader="none"/>
            </w:tabs>
            <w:rPr/>
          </w:pPr>
          <w:hyperlink w:anchor="_Toc18" w:tgtFrame="#_Toc18">
            <w:r>
              <w:rPr>
                <w:webHidden/>
                <w:rStyle w:val="Style12"/>
                <w:rFonts w:eastAsia="Calibri" w:cs="Arial" w:cstheme="minorBidi" w:eastAsiaTheme="minorHAnsi"/>
                <w:vanish w:val="false"/>
              </w:rPr>
              <w:t>4.3</w:t>
            </w:r>
            <w:r>
              <w:rPr>
                <w:webHidden/>
              </w:rPr>
              <w:fldChar w:fldCharType="begin"/>
            </w:r>
            <w:r>
              <w:rPr>
                <w:webHidden/>
              </w:rPr>
              <w:instrText xml:space="preserve">PAGEREF _Toc18 \h</w:instrText>
            </w:r>
            <w:r>
              <w:rPr>
                <w:webHidden/>
              </w:rPr>
              <w:fldChar w:fldCharType="separate"/>
            </w:r>
            <w:r>
              <w:rPr>
                <w:rStyle w:val="Style12"/>
              </w:rPr>
              <w:tab/>
              <w:t>Подготовка заявки</w:t>
              <w:tab/>
              <w:t>26</w:t>
            </w:r>
            <w:r>
              <w:rPr>
                <w:webHidden/>
              </w:rPr>
              <w:fldChar w:fldCharType="end"/>
            </w:r>
          </w:hyperlink>
        </w:p>
        <w:p>
          <w:pPr>
            <w:pStyle w:val="TOC2"/>
            <w:tabs>
              <w:tab w:val="left" w:pos="567" w:leader="none"/>
              <w:tab w:val="left" w:pos="851" w:leader="none"/>
              <w:tab w:val="right" w:pos="9923" w:leader="none"/>
            </w:tabs>
            <w:rPr/>
          </w:pPr>
          <w:hyperlink w:anchor="_Toc19" w:tgtFrame="#_Toc19">
            <w:r>
              <w:rPr>
                <w:webHidden/>
                <w:rStyle w:val="Style12"/>
                <w:rFonts w:eastAsia="Calibri" w:cs="Arial" w:cstheme="minorBidi" w:eastAsiaTheme="minorHAnsi"/>
                <w:vanish w:val="false"/>
              </w:rPr>
              <w:t>4.4</w:t>
            </w:r>
            <w:r>
              <w:rPr>
                <w:webHidden/>
              </w:rPr>
              <w:fldChar w:fldCharType="begin"/>
            </w:r>
            <w:r>
              <w:rPr>
                <w:webHidden/>
              </w:rPr>
              <w:instrText xml:space="preserve">PAGEREF _Toc19 \h</w:instrText>
            </w:r>
            <w:r>
              <w:rPr>
                <w:webHidden/>
              </w:rPr>
              <w:fldChar w:fldCharType="separate"/>
            </w:r>
            <w:r>
              <w:rPr>
                <w:rStyle w:val="Style12"/>
              </w:rPr>
              <w:tab/>
              <w:t>Разъяснение Документации о закупке</w:t>
              <w:tab/>
              <w:t>29</w:t>
            </w:r>
            <w:r>
              <w:rPr>
                <w:webHidden/>
              </w:rPr>
              <w:fldChar w:fldCharType="end"/>
            </w:r>
          </w:hyperlink>
        </w:p>
        <w:p>
          <w:pPr>
            <w:pStyle w:val="TOC2"/>
            <w:tabs>
              <w:tab w:val="left" w:pos="567" w:leader="none"/>
              <w:tab w:val="left" w:pos="851" w:leader="none"/>
              <w:tab w:val="right" w:pos="9923" w:leader="none"/>
            </w:tabs>
            <w:rPr/>
          </w:pPr>
          <w:hyperlink w:anchor="_Toc20" w:tgtFrame="#_Toc20">
            <w:r>
              <w:rPr>
                <w:webHidden/>
                <w:rStyle w:val="Style12"/>
                <w:rFonts w:eastAsia="Calibri" w:cs="Arial" w:cstheme="minorBidi" w:eastAsiaTheme="minorHAnsi"/>
                <w:vanish w:val="false"/>
              </w:rPr>
              <w:t>4.5</w:t>
            </w:r>
            <w:r>
              <w:rPr>
                <w:webHidden/>
              </w:rPr>
              <w:fldChar w:fldCharType="begin"/>
            </w:r>
            <w:r>
              <w:rPr>
                <w:webHidden/>
              </w:rPr>
              <w:instrText xml:space="preserve">PAGEREF _Toc20 \h</w:instrText>
            </w:r>
            <w:r>
              <w:rPr>
                <w:webHidden/>
              </w:rPr>
              <w:fldChar w:fldCharType="separate"/>
            </w:r>
            <w:r>
              <w:rPr>
                <w:rStyle w:val="Style12"/>
              </w:rPr>
              <w:tab/>
              <w:t>Изменения Извещения и (или) Документации о закупке</w:t>
              <w:tab/>
              <w:t>29</w:t>
            </w:r>
            <w:r>
              <w:rPr>
                <w:webHidden/>
              </w:rPr>
              <w:fldChar w:fldCharType="end"/>
            </w:r>
          </w:hyperlink>
        </w:p>
        <w:p>
          <w:pPr>
            <w:pStyle w:val="TOC2"/>
            <w:tabs>
              <w:tab w:val="left" w:pos="567" w:leader="none"/>
              <w:tab w:val="left" w:pos="851" w:leader="none"/>
              <w:tab w:val="right" w:pos="9923" w:leader="none"/>
            </w:tabs>
            <w:rPr/>
          </w:pPr>
          <w:hyperlink w:anchor="_Toc21" w:tgtFrame="#_Toc21">
            <w:r>
              <w:rPr>
                <w:webHidden/>
                <w:rStyle w:val="Style12"/>
                <w:rFonts w:eastAsia="Calibri" w:cs="Arial" w:cstheme="minorBidi" w:eastAsiaTheme="minorHAnsi"/>
                <w:vanish w:val="false"/>
              </w:rPr>
              <w:t>4.6</w:t>
            </w:r>
            <w:r>
              <w:rPr>
                <w:webHidden/>
              </w:rPr>
              <w:fldChar w:fldCharType="begin"/>
            </w:r>
            <w:r>
              <w:rPr>
                <w:webHidden/>
              </w:rPr>
              <w:instrText xml:space="preserve">PAGEREF _Toc21 \h</w:instrText>
            </w:r>
            <w:r>
              <w:rPr>
                <w:webHidden/>
              </w:rPr>
              <w:fldChar w:fldCharType="separate"/>
            </w:r>
            <w:r>
              <w:rPr>
                <w:rStyle w:val="Style12"/>
              </w:rPr>
              <w:tab/>
              <w:t>Подача заявок и их прием</w:t>
              <w:tab/>
              <w:t>30</w:t>
            </w:r>
            <w:r>
              <w:rPr>
                <w:webHidden/>
              </w:rPr>
              <w:fldChar w:fldCharType="end"/>
            </w:r>
          </w:hyperlink>
        </w:p>
        <w:p>
          <w:pPr>
            <w:pStyle w:val="TOC2"/>
            <w:tabs>
              <w:tab w:val="left" w:pos="567" w:leader="none"/>
              <w:tab w:val="left" w:pos="851" w:leader="none"/>
              <w:tab w:val="right" w:pos="9923" w:leader="none"/>
            </w:tabs>
            <w:rPr/>
          </w:pPr>
          <w:hyperlink w:anchor="_Toc22" w:tgtFrame="#_Toc22">
            <w:r>
              <w:rPr>
                <w:webHidden/>
                <w:rStyle w:val="Style12"/>
                <w:rFonts w:eastAsia="Calibri" w:cs="Arial" w:cstheme="minorBidi" w:eastAsiaTheme="minorHAnsi"/>
                <w:vanish w:val="false"/>
              </w:rPr>
              <w:t>4.7</w:t>
            </w:r>
            <w:r>
              <w:rPr>
                <w:webHidden/>
              </w:rPr>
              <w:fldChar w:fldCharType="begin"/>
            </w:r>
            <w:r>
              <w:rPr>
                <w:webHidden/>
              </w:rPr>
              <w:instrText xml:space="preserve">PAGEREF _Toc22 \h</w:instrText>
            </w:r>
            <w:r>
              <w:rPr>
                <w:webHidden/>
              </w:rPr>
              <w:fldChar w:fldCharType="separate"/>
            </w:r>
            <w:r>
              <w:rPr>
                <w:rStyle w:val="Style12"/>
              </w:rPr>
              <w:tab/>
              <w:t>Изменение и отзыв заявок</w:t>
              <w:tab/>
              <w:t>31</w:t>
            </w:r>
            <w:r>
              <w:rPr>
                <w:webHidden/>
              </w:rPr>
              <w:fldChar w:fldCharType="end"/>
            </w:r>
          </w:hyperlink>
        </w:p>
        <w:p>
          <w:pPr>
            <w:pStyle w:val="TOC2"/>
            <w:tabs>
              <w:tab w:val="left" w:pos="567" w:leader="none"/>
              <w:tab w:val="left" w:pos="851" w:leader="none"/>
              <w:tab w:val="right" w:pos="9923" w:leader="none"/>
            </w:tabs>
            <w:rPr/>
          </w:pPr>
          <w:hyperlink w:anchor="_Toc23" w:tgtFrame="#_Toc23">
            <w:r>
              <w:rPr>
                <w:webHidden/>
                <w:rStyle w:val="Style12"/>
                <w:rFonts w:eastAsia="Calibri" w:cs="Arial" w:cstheme="minorBidi" w:eastAsiaTheme="minorHAnsi"/>
                <w:vanish w:val="false"/>
              </w:rPr>
              <w:t>4.8</w:t>
            </w:r>
            <w:r>
              <w:rPr>
                <w:webHidden/>
              </w:rPr>
              <w:fldChar w:fldCharType="begin"/>
            </w:r>
            <w:r>
              <w:rPr>
                <w:webHidden/>
              </w:rPr>
              <w:instrText xml:space="preserve">PAGEREF _Toc23 \h</w:instrText>
            </w:r>
            <w:r>
              <w:rPr>
                <w:webHidden/>
              </w:rPr>
              <w:fldChar w:fldCharType="separate"/>
            </w:r>
            <w:r>
              <w:rPr>
                <w:rStyle w:val="Style12"/>
              </w:rPr>
              <w:tab/>
              <w:t>Открытие доступа к первым частям заявок</w:t>
              <w:tab/>
              <w:t>31</w:t>
            </w:r>
            <w:r>
              <w:rPr>
                <w:webHidden/>
              </w:rPr>
              <w:fldChar w:fldCharType="end"/>
            </w:r>
          </w:hyperlink>
        </w:p>
        <w:p>
          <w:pPr>
            <w:pStyle w:val="TOC2"/>
            <w:tabs>
              <w:tab w:val="left" w:pos="567" w:leader="none"/>
              <w:tab w:val="left" w:pos="851" w:leader="none"/>
              <w:tab w:val="right" w:pos="9923" w:leader="none"/>
            </w:tabs>
            <w:rPr/>
          </w:pPr>
          <w:hyperlink w:anchor="_Toc24" w:tgtFrame="#_Toc24">
            <w:r>
              <w:rPr>
                <w:webHidden/>
                <w:rStyle w:val="Style12"/>
                <w:rFonts w:eastAsia="Calibri" w:cs="Arial" w:cstheme="minorBidi" w:eastAsiaTheme="minorHAnsi"/>
                <w:vanish w:val="false"/>
              </w:rPr>
              <w:t>4.9</w:t>
            </w:r>
            <w:r>
              <w:rPr>
                <w:webHidden/>
              </w:rPr>
              <w:fldChar w:fldCharType="begin"/>
            </w:r>
            <w:r>
              <w:rPr>
                <w:webHidden/>
              </w:rPr>
              <w:instrText xml:space="preserve">PAGEREF _Toc24 \h</w:instrText>
            </w:r>
            <w:r>
              <w:rPr>
                <w:webHidden/>
              </w:rPr>
              <w:fldChar w:fldCharType="separate"/>
            </w:r>
            <w:r>
              <w:rPr>
                <w:rStyle w:val="Style12"/>
              </w:rPr>
              <w:tab/>
              <w:t>Рассмотрение первых частей заявок / окончательных предложений (отборочная стадия)</w:t>
              <w:tab/>
              <w:t>31</w:t>
            </w:r>
            <w:r>
              <w:rPr>
                <w:webHidden/>
              </w:rPr>
              <w:fldChar w:fldCharType="end"/>
            </w:r>
          </w:hyperlink>
        </w:p>
        <w:p>
          <w:pPr>
            <w:pStyle w:val="TOC2"/>
            <w:tabs>
              <w:tab w:val="left" w:pos="850" w:leader="none"/>
              <w:tab w:val="left" w:pos="851" w:leader="none"/>
              <w:tab w:val="right" w:pos="9923" w:leader="none"/>
            </w:tabs>
            <w:rPr/>
          </w:pPr>
          <w:hyperlink w:anchor="_Toc25" w:tgtFrame="#_Toc25">
            <w:r>
              <w:rPr>
                <w:webHidden/>
                <w:rStyle w:val="Style12"/>
                <w:rFonts w:eastAsia="Calibri" w:cs="Arial" w:cstheme="minorBidi" w:eastAsiaTheme="minorHAnsi"/>
                <w:vanish w:val="false"/>
              </w:rPr>
              <w:t>4.10</w:t>
            </w:r>
            <w:r>
              <w:rPr>
                <w:webHidden/>
              </w:rPr>
              <w:fldChar w:fldCharType="begin"/>
            </w:r>
            <w:r>
              <w:rPr>
                <w:webHidden/>
              </w:rPr>
              <w:instrText xml:space="preserve">PAGEREF _Toc25 \h</w:instrText>
            </w:r>
            <w:r>
              <w:rPr>
                <w:webHidden/>
              </w:rPr>
              <w:fldChar w:fldCharType="separate"/>
            </w:r>
            <w:r>
              <w:rPr>
                <w:rStyle w:val="Style12"/>
              </w:rPr>
              <w:tab/>
              <w:t>Открытие доступа ко вторым частям заявок и ценовым предложениям</w:t>
              <w:tab/>
              <w:t>33</w:t>
            </w:r>
            <w:r>
              <w:rPr>
                <w:webHidden/>
              </w:rPr>
              <w:fldChar w:fldCharType="end"/>
            </w:r>
          </w:hyperlink>
        </w:p>
        <w:p>
          <w:pPr>
            <w:pStyle w:val="TOC2"/>
            <w:tabs>
              <w:tab w:val="left" w:pos="850" w:leader="none"/>
              <w:tab w:val="left" w:pos="851" w:leader="none"/>
              <w:tab w:val="right" w:pos="9923" w:leader="none"/>
            </w:tabs>
            <w:rPr/>
          </w:pPr>
          <w:hyperlink w:anchor="_Toc26" w:tgtFrame="#_Toc26">
            <w:r>
              <w:rPr>
                <w:webHidden/>
                <w:rStyle w:val="Style12"/>
                <w:rFonts w:eastAsia="Calibri" w:cs="Arial" w:cstheme="minorBidi" w:eastAsiaTheme="minorHAnsi"/>
                <w:vanish w:val="false"/>
              </w:rPr>
              <w:t>4.11</w:t>
            </w:r>
            <w:r>
              <w:rPr>
                <w:webHidden/>
              </w:rPr>
              <w:fldChar w:fldCharType="begin"/>
            </w:r>
            <w:r>
              <w:rPr>
                <w:webHidden/>
              </w:rPr>
              <w:instrText xml:space="preserve">PAGEREF _Toc26 \h</w:instrText>
            </w:r>
            <w:r>
              <w:rPr>
                <w:webHidden/>
              </w:rPr>
              <w:fldChar w:fldCharType="separate"/>
            </w:r>
            <w:r>
              <w:rPr>
                <w:rStyle w:val="Style12"/>
              </w:rPr>
              <w:tab/>
              <w:t>Рассмотрение вторых частей заявок (отборочная стадия), в том числе (при необходимости) проведение аккредитации, и ценовых предложений</w:t>
              <w:tab/>
              <w:t>33</w:t>
            </w:r>
            <w:r>
              <w:rPr>
                <w:webHidden/>
              </w:rPr>
              <w:fldChar w:fldCharType="end"/>
            </w:r>
          </w:hyperlink>
        </w:p>
        <w:p>
          <w:pPr>
            <w:pStyle w:val="TOC2"/>
            <w:tabs>
              <w:tab w:val="left" w:pos="850" w:leader="none"/>
              <w:tab w:val="left" w:pos="851" w:leader="none"/>
              <w:tab w:val="right" w:pos="9923" w:leader="none"/>
            </w:tabs>
            <w:rPr/>
          </w:pPr>
          <w:hyperlink w:anchor="_Toc27" w:tgtFrame="#_Toc27">
            <w:r>
              <w:rPr>
                <w:webHidden/>
                <w:rStyle w:val="Style12"/>
                <w:rFonts w:eastAsia="Calibri" w:cs="Arial" w:cstheme="minorBidi" w:eastAsiaTheme="minorHAnsi"/>
                <w:vanish w:val="false"/>
              </w:rPr>
              <w:t>4.12</w:t>
            </w:r>
            <w:r>
              <w:rPr>
                <w:webHidden/>
              </w:rPr>
              <w:fldChar w:fldCharType="begin"/>
            </w:r>
            <w:r>
              <w:rPr>
                <w:webHidden/>
              </w:rPr>
              <w:instrText xml:space="preserve">PAGEREF _Toc27 \h</w:instrText>
            </w:r>
            <w:r>
              <w:rPr>
                <w:webHidden/>
              </w:rPr>
              <w:fldChar w:fldCharType="separate"/>
            </w:r>
            <w:r>
              <w:rPr>
                <w:rStyle w:val="Style12"/>
              </w:rPr>
              <w:tab/>
              <w:t>Дополнительные запросы разъяснений заявок</w:t>
              <w:tab/>
              <w:t>35</w:t>
            </w:r>
            <w:r>
              <w:rPr>
                <w:webHidden/>
              </w:rPr>
              <w:fldChar w:fldCharType="end"/>
            </w:r>
          </w:hyperlink>
        </w:p>
        <w:p>
          <w:pPr>
            <w:pStyle w:val="TOC2"/>
            <w:tabs>
              <w:tab w:val="left" w:pos="850" w:leader="none"/>
              <w:tab w:val="left" w:pos="851" w:leader="none"/>
              <w:tab w:val="right" w:pos="9923" w:leader="none"/>
            </w:tabs>
            <w:rPr/>
          </w:pPr>
          <w:hyperlink w:anchor="_Toc28" w:tgtFrame="#_Toc28">
            <w:r>
              <w:rPr>
                <w:webHidden/>
                <w:rStyle w:val="Style12"/>
                <w:rFonts w:eastAsia="Calibri" w:cs="Arial" w:cstheme="minorBidi" w:eastAsiaTheme="minorHAnsi"/>
                <w:vanish w:val="false"/>
              </w:rPr>
              <w:t>4.13</w:t>
            </w:r>
            <w:r>
              <w:rPr>
                <w:webHidden/>
              </w:rPr>
              <w:fldChar w:fldCharType="begin"/>
            </w:r>
            <w:r>
              <w:rPr>
                <w:webHidden/>
              </w:rPr>
              <w:instrText xml:space="preserve">PAGEREF _Toc28 \h</w:instrText>
            </w:r>
            <w:r>
              <w:rPr>
                <w:webHidden/>
              </w:rPr>
              <w:fldChar w:fldCharType="separate"/>
            </w:r>
            <w:r>
              <w:rPr>
                <w:rStyle w:val="Style12"/>
              </w:rPr>
              <w:tab/>
              <w:t>Оценка и сопоставление заявок</w:t>
              <w:tab/>
              <w:t>36</w:t>
            </w:r>
            <w:r>
              <w:rPr>
                <w:webHidden/>
              </w:rPr>
              <w:fldChar w:fldCharType="end"/>
            </w:r>
          </w:hyperlink>
        </w:p>
        <w:p>
          <w:pPr>
            <w:pStyle w:val="TOC2"/>
            <w:tabs>
              <w:tab w:val="left" w:pos="850" w:leader="none"/>
              <w:tab w:val="left" w:pos="851" w:leader="none"/>
              <w:tab w:val="right" w:pos="9923" w:leader="none"/>
            </w:tabs>
            <w:rPr/>
          </w:pPr>
          <w:hyperlink w:anchor="_Toc29" w:tgtFrame="#_Toc29">
            <w:r>
              <w:rPr>
                <w:webHidden/>
                <w:rStyle w:val="Style12"/>
                <w:rFonts w:eastAsia="Calibri" w:cs="Arial" w:cstheme="minorBidi" w:eastAsiaTheme="minorHAnsi"/>
                <w:vanish w:val="false"/>
              </w:rPr>
              <w:t>4.14</w:t>
            </w:r>
            <w:r>
              <w:rPr>
                <w:webHidden/>
              </w:rPr>
              <w:fldChar w:fldCharType="begin"/>
            </w:r>
            <w:r>
              <w:rPr>
                <w:webHidden/>
              </w:rPr>
              <w:instrText xml:space="preserve">PAGEREF _Toc29 \h</w:instrText>
            </w:r>
            <w:r>
              <w:rPr>
                <w:webHidden/>
              </w:rPr>
              <w:fldChar w:fldCharType="separate"/>
            </w:r>
            <w:r>
              <w:rPr>
                <w:rStyle w:val="Style12"/>
              </w:rPr>
              <w:tab/>
              <w:t>Применение законодательства о национальном режиме</w:t>
              <w:tab/>
              <w:t>37</w:t>
            </w:r>
            <w:r>
              <w:rPr>
                <w:webHidden/>
              </w:rPr>
              <w:fldChar w:fldCharType="end"/>
            </w:r>
          </w:hyperlink>
        </w:p>
        <w:p>
          <w:pPr>
            <w:pStyle w:val="TOC2"/>
            <w:tabs>
              <w:tab w:val="left" w:pos="850" w:leader="none"/>
              <w:tab w:val="left" w:pos="851" w:leader="none"/>
              <w:tab w:val="right" w:pos="9923" w:leader="none"/>
            </w:tabs>
            <w:rPr/>
          </w:pPr>
          <w:hyperlink w:anchor="_Toc30" w:tgtFrame="#_Toc30">
            <w:r>
              <w:rPr>
                <w:webHidden/>
                <w:rStyle w:val="Style12"/>
                <w:rFonts w:eastAsia="Calibri" w:cs="Arial" w:cstheme="minorBidi" w:eastAsiaTheme="minorHAnsi"/>
                <w:vanish w:val="false"/>
              </w:rPr>
              <w:t>4.15</w:t>
            </w:r>
            <w:r>
              <w:rPr>
                <w:webHidden/>
              </w:rPr>
              <w:fldChar w:fldCharType="begin"/>
            </w:r>
            <w:r>
              <w:rPr>
                <w:webHidden/>
              </w:rPr>
              <w:instrText xml:space="preserve">PAGEREF _Toc30 \h</w:instrText>
            </w:r>
            <w:r>
              <w:rPr>
                <w:webHidden/>
              </w:rPr>
              <w:fldChar w:fldCharType="separate"/>
            </w:r>
            <w:r>
              <w:rPr>
                <w:rStyle w:val="Style12"/>
              </w:rPr>
              <w:tab/>
              <w:t>Подведение итогов закупки (определение Победителя)</w:t>
              <w:tab/>
              <w:t>39</w:t>
            </w:r>
            <w:r>
              <w:rPr>
                <w:webHidden/>
              </w:rPr>
              <w:fldChar w:fldCharType="end"/>
            </w:r>
          </w:hyperlink>
        </w:p>
        <w:p>
          <w:pPr>
            <w:pStyle w:val="TOC2"/>
            <w:tabs>
              <w:tab w:val="left" w:pos="850" w:leader="none"/>
              <w:tab w:val="left" w:pos="851" w:leader="none"/>
              <w:tab w:val="right" w:pos="9923" w:leader="none"/>
            </w:tabs>
            <w:rPr/>
          </w:pPr>
          <w:hyperlink w:anchor="_Toc31" w:tgtFrame="#_Toc31">
            <w:r>
              <w:rPr>
                <w:webHidden/>
                <w:rStyle w:val="Style12"/>
                <w:rFonts w:eastAsia="Calibri" w:cs="Arial" w:cstheme="minorBidi" w:eastAsiaTheme="minorHAnsi"/>
                <w:vanish w:val="false"/>
              </w:rPr>
              <w:t>4.16</w:t>
            </w:r>
            <w:r>
              <w:rPr>
                <w:webHidden/>
              </w:rPr>
              <w:fldChar w:fldCharType="begin"/>
            </w:r>
            <w:r>
              <w:rPr>
                <w:webHidden/>
              </w:rPr>
              <w:instrText xml:space="preserve">PAGEREF _Toc31 \h</w:instrText>
            </w:r>
            <w:r>
              <w:rPr>
                <w:webHidden/>
              </w:rPr>
              <w:fldChar w:fldCharType="separate"/>
            </w:r>
            <w:r>
              <w:rPr>
                <w:rStyle w:val="Style12"/>
              </w:rPr>
              <w:tab/>
              <w:t>Признание закупки несостоявшейся</w:t>
              <w:tab/>
              <w:t>41</w:t>
            </w:r>
            <w:r>
              <w:rPr>
                <w:webHidden/>
              </w:rPr>
              <w:fldChar w:fldCharType="end"/>
            </w:r>
          </w:hyperlink>
        </w:p>
        <w:p>
          <w:pPr>
            <w:pStyle w:val="TOC2"/>
            <w:tabs>
              <w:tab w:val="left" w:pos="850" w:leader="none"/>
              <w:tab w:val="left" w:pos="851" w:leader="none"/>
              <w:tab w:val="right" w:pos="9923" w:leader="none"/>
            </w:tabs>
            <w:rPr/>
          </w:pPr>
          <w:hyperlink w:anchor="_Toc32" w:tgtFrame="#_Toc32">
            <w:r>
              <w:rPr>
                <w:webHidden/>
                <w:rStyle w:val="Style12"/>
                <w:rFonts w:eastAsia="Calibri" w:cs="Arial" w:cstheme="minorBidi" w:eastAsiaTheme="minorHAnsi"/>
                <w:vanish w:val="false"/>
              </w:rPr>
              <w:t>4.17</w:t>
            </w:r>
            <w:r>
              <w:rPr>
                <w:webHidden/>
              </w:rPr>
              <w:fldChar w:fldCharType="begin"/>
            </w:r>
            <w:r>
              <w:rPr>
                <w:webHidden/>
              </w:rPr>
              <w:instrText xml:space="preserve">PAGEREF _Toc32 \h</w:instrText>
            </w:r>
            <w:r>
              <w:rPr>
                <w:webHidden/>
              </w:rPr>
              <w:fldChar w:fldCharType="separate"/>
            </w:r>
            <w:r>
              <w:rPr>
                <w:rStyle w:val="Style12"/>
              </w:rPr>
              <w:tab/>
              <w:t>Отказ от проведения закупки (отмена закупки)</w:t>
              <w:tab/>
              <w:t>42</w:t>
            </w:r>
            <w:r>
              <w:rPr>
                <w:webHidden/>
              </w:rPr>
              <w:fldChar w:fldCharType="end"/>
            </w:r>
          </w:hyperlink>
        </w:p>
        <w:p>
          <w:pPr>
            <w:pStyle w:val="TOC2"/>
            <w:tabs>
              <w:tab w:val="left" w:pos="850" w:leader="none"/>
              <w:tab w:val="left" w:pos="851" w:leader="none"/>
              <w:tab w:val="right" w:pos="9923" w:leader="none"/>
            </w:tabs>
            <w:rPr/>
          </w:pPr>
          <w:hyperlink w:anchor="_Toc33" w:tgtFrame="#_Toc33">
            <w:r>
              <w:rPr>
                <w:webHidden/>
                <w:rStyle w:val="Style12"/>
                <w:rFonts w:eastAsia="Calibri" w:cs="Arial" w:cstheme="minorBidi" w:eastAsiaTheme="minorHAnsi"/>
                <w:vanish w:val="false"/>
              </w:rPr>
              <w:t>4.18</w:t>
            </w:r>
            <w:r>
              <w:rPr>
                <w:webHidden/>
              </w:rPr>
              <w:fldChar w:fldCharType="begin"/>
            </w:r>
            <w:r>
              <w:rPr>
                <w:webHidden/>
              </w:rPr>
              <w:instrText xml:space="preserve">PAGEREF _Toc33 \h</w:instrText>
            </w:r>
            <w:r>
              <w:rPr>
                <w:webHidden/>
              </w:rPr>
              <w:fldChar w:fldCharType="separate"/>
            </w:r>
            <w:r>
              <w:rPr>
                <w:rStyle w:val="Style12"/>
              </w:rPr>
              <w:tab/>
              <w:t>Особенности проведения закупки с необходимостью обеспечения заявки</w:t>
              <w:tab/>
              <w:t>43</w:t>
            </w:r>
            <w:r>
              <w:rPr>
                <w:webHidden/>
              </w:rPr>
              <w:fldChar w:fldCharType="end"/>
            </w:r>
          </w:hyperlink>
        </w:p>
        <w:p>
          <w:pPr>
            <w:pStyle w:val="TOC2"/>
            <w:tabs>
              <w:tab w:val="left" w:pos="850" w:leader="none"/>
              <w:tab w:val="left" w:pos="851" w:leader="none"/>
              <w:tab w:val="right" w:pos="9923" w:leader="none"/>
            </w:tabs>
            <w:rPr/>
          </w:pPr>
          <w:hyperlink w:anchor="_Toc34" w:tgtFrame="#_Toc34">
            <w:r>
              <w:rPr>
                <w:webHidden/>
                <w:rStyle w:val="Style12"/>
                <w:rFonts w:eastAsia="Calibri" w:cs="Arial" w:cstheme="minorBidi" w:eastAsiaTheme="minorHAnsi"/>
                <w:vanish w:val="false"/>
              </w:rPr>
              <w:t>4.19</w:t>
            </w:r>
            <w:r>
              <w:rPr>
                <w:webHidden/>
              </w:rPr>
              <w:fldChar w:fldCharType="begin"/>
            </w:r>
            <w:r>
              <w:rPr>
                <w:webHidden/>
              </w:rPr>
              <w:instrText xml:space="preserve">PAGEREF _Toc34 \h</w:instrText>
            </w:r>
            <w:r>
              <w:rPr>
                <w:webHidden/>
              </w:rPr>
              <w:fldChar w:fldCharType="separate"/>
            </w:r>
            <w:r>
              <w:rPr>
                <w:rStyle w:val="Style12"/>
              </w:rPr>
              <w:tab/>
              <w:t>Особенности проведения многолотовой закупки</w:t>
              <w:tab/>
              <w:t>46</w:t>
            </w:r>
            <w:r>
              <w:rPr>
                <w:webHidden/>
              </w:rPr>
              <w:fldChar w:fldCharType="end"/>
            </w:r>
          </w:hyperlink>
        </w:p>
        <w:p>
          <w:pPr>
            <w:pStyle w:val="TOC1"/>
            <w:tabs>
              <w:tab w:val="left" w:pos="567" w:leader="none"/>
              <w:tab w:val="left" w:pos="851" w:leader="none"/>
              <w:tab w:val="right" w:pos="9923" w:leader="none"/>
            </w:tabs>
            <w:rPr/>
          </w:pPr>
          <w:hyperlink w:anchor="_Toc35" w:tgtFrame="#_Toc35">
            <w:r>
              <w:rPr>
                <w:webHidden/>
                <w:rStyle w:val="Style12"/>
                <w:rFonts w:eastAsia="Calibri" w:cs="Arial" w:cstheme="minorBidi" w:eastAsiaTheme="minorHAnsi"/>
                <w:vanish w:val="false"/>
              </w:rPr>
              <w:t>5.</w:t>
            </w:r>
            <w:r>
              <w:rPr>
                <w:webHidden/>
              </w:rPr>
              <w:fldChar w:fldCharType="begin"/>
            </w:r>
            <w:r>
              <w:rPr>
                <w:webHidden/>
              </w:rPr>
              <w:instrText xml:space="preserve">PAGEREF _Toc35 \h</w:instrText>
            </w:r>
            <w:r>
              <w:rPr>
                <w:webHidden/>
              </w:rPr>
              <w:fldChar w:fldCharType="separate"/>
            </w:r>
            <w:r>
              <w:rPr>
                <w:rStyle w:val="Style12"/>
              </w:rPr>
              <w:tab/>
              <w:t>Порядок заключения Договора</w:t>
              <w:tab/>
              <w:t>48</w:t>
            </w:r>
            <w:r>
              <w:rPr>
                <w:webHidden/>
              </w:rPr>
              <w:fldChar w:fldCharType="end"/>
            </w:r>
          </w:hyperlink>
        </w:p>
        <w:p>
          <w:pPr>
            <w:pStyle w:val="TOC2"/>
            <w:tabs>
              <w:tab w:val="left" w:pos="567" w:leader="none"/>
              <w:tab w:val="left" w:pos="851" w:leader="none"/>
              <w:tab w:val="right" w:pos="9923" w:leader="none"/>
            </w:tabs>
            <w:rPr/>
          </w:pPr>
          <w:hyperlink w:anchor="_Toc36" w:tgtFrame="#_Toc36">
            <w:r>
              <w:rPr>
                <w:webHidden/>
                <w:rStyle w:val="Style12"/>
                <w:rFonts w:eastAsia="Calibri" w:cs="Arial" w:cstheme="minorBidi" w:eastAsiaTheme="minorHAnsi"/>
                <w:vanish w:val="false"/>
              </w:rPr>
              <w:t>5.1</w:t>
            </w:r>
            <w:r>
              <w:rPr>
                <w:webHidden/>
              </w:rPr>
              <w:fldChar w:fldCharType="begin"/>
            </w:r>
            <w:r>
              <w:rPr>
                <w:webHidden/>
              </w:rPr>
              <w:instrText xml:space="preserve">PAGEREF _Toc36 \h</w:instrText>
            </w:r>
            <w:r>
              <w:rPr>
                <w:webHidden/>
              </w:rPr>
              <w:fldChar w:fldCharType="separate"/>
            </w:r>
            <w:r>
              <w:rPr>
                <w:rStyle w:val="Style12"/>
              </w:rPr>
              <w:tab/>
              <w:t>Общие положения</w:t>
              <w:tab/>
              <w:t>48</w:t>
            </w:r>
            <w:r>
              <w:rPr>
                <w:webHidden/>
              </w:rPr>
              <w:fldChar w:fldCharType="end"/>
            </w:r>
          </w:hyperlink>
        </w:p>
        <w:p>
          <w:pPr>
            <w:pStyle w:val="TOC2"/>
            <w:tabs>
              <w:tab w:val="left" w:pos="567" w:leader="none"/>
              <w:tab w:val="left" w:pos="851" w:leader="none"/>
              <w:tab w:val="right" w:pos="9923" w:leader="none"/>
            </w:tabs>
            <w:rPr/>
          </w:pPr>
          <w:hyperlink w:anchor="_Toc37" w:tgtFrame="#_Toc37">
            <w:r>
              <w:rPr>
                <w:webHidden/>
                <w:rStyle w:val="Style12"/>
                <w:rFonts w:eastAsia="Calibri" w:cs="Arial" w:cstheme="minorBidi" w:eastAsiaTheme="minorHAnsi"/>
                <w:vanish w:val="false"/>
              </w:rPr>
              <w:t>5.2</w:t>
            </w:r>
            <w:r>
              <w:rPr>
                <w:webHidden/>
              </w:rPr>
              <w:fldChar w:fldCharType="begin"/>
            </w:r>
            <w:r>
              <w:rPr>
                <w:webHidden/>
              </w:rPr>
              <w:instrText xml:space="preserve">PAGEREF _Toc37 \h</w:instrText>
            </w:r>
            <w:r>
              <w:rPr>
                <w:webHidden/>
              </w:rPr>
              <w:fldChar w:fldCharType="separate"/>
            </w:r>
            <w:r>
              <w:rPr>
                <w:rStyle w:val="Style12"/>
              </w:rPr>
              <w:tab/>
              <w:t>Заключение Договора</w:t>
              <w:tab/>
              <w:t>48</w:t>
            </w:r>
            <w:r>
              <w:rPr>
                <w:webHidden/>
              </w:rPr>
              <w:fldChar w:fldCharType="end"/>
            </w:r>
          </w:hyperlink>
        </w:p>
        <w:p>
          <w:pPr>
            <w:pStyle w:val="TOC2"/>
            <w:tabs>
              <w:tab w:val="left" w:pos="567" w:leader="none"/>
              <w:tab w:val="left" w:pos="851" w:leader="none"/>
              <w:tab w:val="right" w:pos="9923" w:leader="none"/>
            </w:tabs>
            <w:rPr/>
          </w:pPr>
          <w:hyperlink w:anchor="_Toc38" w:tgtFrame="#_Toc38">
            <w:r>
              <w:rPr>
                <w:webHidden/>
                <w:rStyle w:val="Style12"/>
                <w:rFonts w:eastAsia="Calibri" w:cs="Arial" w:cstheme="minorBidi" w:eastAsiaTheme="minorHAnsi"/>
                <w:vanish w:val="false"/>
              </w:rPr>
              <w:t>5.3</w:t>
            </w:r>
            <w:r>
              <w:rPr>
                <w:webHidden/>
              </w:rPr>
              <w:fldChar w:fldCharType="begin"/>
            </w:r>
            <w:r>
              <w:rPr>
                <w:webHidden/>
              </w:rPr>
              <w:instrText xml:space="preserve">PAGEREF _Toc38 \h</w:instrText>
            </w:r>
            <w:r>
              <w:rPr>
                <w:webHidden/>
              </w:rPr>
              <w:fldChar w:fldCharType="separate"/>
            </w:r>
            <w:r>
              <w:rPr>
                <w:rStyle w:val="Style12"/>
              </w:rPr>
              <w:tab/>
              <w:t>Уклонение Победителя от заключения Договора</w:t>
              <w:tab/>
              <w:t>50</w:t>
            </w:r>
            <w:r>
              <w:rPr>
                <w:webHidden/>
              </w:rPr>
              <w:fldChar w:fldCharType="end"/>
            </w:r>
          </w:hyperlink>
        </w:p>
        <w:p>
          <w:pPr>
            <w:pStyle w:val="TOC1"/>
            <w:tabs>
              <w:tab w:val="left" w:pos="567" w:leader="none"/>
              <w:tab w:val="left" w:pos="851" w:leader="none"/>
              <w:tab w:val="right" w:pos="9923" w:leader="none"/>
            </w:tabs>
            <w:rPr/>
          </w:pPr>
          <w:hyperlink w:anchor="_Toc39" w:tgtFrame="#_Toc39">
            <w:r>
              <w:rPr>
                <w:webHidden/>
                <w:rStyle w:val="Style12"/>
                <w:rFonts w:eastAsia="Calibri" w:cs="Arial" w:cstheme="minorBidi" w:eastAsiaTheme="minorHAnsi"/>
                <w:vanish w:val="false"/>
              </w:rPr>
              <w:t>6.</w:t>
            </w:r>
            <w:r>
              <w:rPr>
                <w:webHidden/>
              </w:rPr>
              <w:fldChar w:fldCharType="begin"/>
            </w:r>
            <w:r>
              <w:rPr>
                <w:webHidden/>
              </w:rPr>
              <w:instrText xml:space="preserve">PAGEREF _Toc39 \h</w:instrText>
            </w:r>
            <w:r>
              <w:rPr>
                <w:webHidden/>
              </w:rPr>
              <w:fldChar w:fldCharType="separate"/>
            </w:r>
            <w:r>
              <w:rPr>
                <w:rStyle w:val="Style12"/>
              </w:rPr>
              <w:tab/>
              <w:t>Приложение № 1 – Технические требования</w:t>
              <w:tab/>
              <w:t>52</w:t>
            </w:r>
            <w:r>
              <w:rPr>
                <w:webHidden/>
              </w:rPr>
              <w:fldChar w:fldCharType="end"/>
            </w:r>
          </w:hyperlink>
        </w:p>
        <w:p>
          <w:pPr>
            <w:pStyle w:val="TOC2"/>
            <w:tabs>
              <w:tab w:val="left" w:pos="567" w:leader="none"/>
              <w:tab w:val="left" w:pos="851" w:leader="none"/>
              <w:tab w:val="right" w:pos="9923" w:leader="none"/>
            </w:tabs>
            <w:rPr/>
          </w:pPr>
          <w:hyperlink w:anchor="_Toc40" w:tgtFrame="#_Toc40">
            <w:r>
              <w:rPr>
                <w:webHidden/>
                <w:rStyle w:val="Style12"/>
                <w:rFonts w:eastAsia="Calibri" w:cs="Arial" w:cstheme="minorBidi" w:eastAsiaTheme="minorHAnsi"/>
                <w:vanish w:val="false"/>
              </w:rPr>
              <w:t>6.1</w:t>
            </w:r>
            <w:r>
              <w:rPr>
                <w:webHidden/>
              </w:rPr>
              <w:fldChar w:fldCharType="begin"/>
            </w:r>
            <w:r>
              <w:rPr>
                <w:webHidden/>
              </w:rPr>
              <w:instrText xml:space="preserve">PAGEREF _Toc40 \h</w:instrText>
            </w:r>
            <w:r>
              <w:rPr>
                <w:webHidden/>
              </w:rPr>
              <w:fldChar w:fldCharType="separate"/>
            </w:r>
            <w:r>
              <w:rPr>
                <w:rStyle w:val="Style12"/>
              </w:rPr>
              <w:tab/>
              <w:t>Пояснения к Техническим требованиям</w:t>
              <w:tab/>
              <w:t>52</w:t>
            </w:r>
            <w:r>
              <w:rPr>
                <w:webHidden/>
              </w:rPr>
              <w:fldChar w:fldCharType="end"/>
            </w:r>
          </w:hyperlink>
        </w:p>
        <w:p>
          <w:pPr>
            <w:pStyle w:val="TOC1"/>
            <w:tabs>
              <w:tab w:val="left" w:pos="567" w:leader="none"/>
              <w:tab w:val="left" w:pos="851" w:leader="none"/>
              <w:tab w:val="right" w:pos="9923" w:leader="none"/>
            </w:tabs>
            <w:rPr/>
          </w:pPr>
          <w:hyperlink w:anchor="_Toc41" w:tgtFrame="#_Toc41">
            <w:r>
              <w:rPr>
                <w:webHidden/>
                <w:rStyle w:val="Style12"/>
                <w:rFonts w:eastAsia="Calibri" w:cs="Arial" w:cstheme="minorBidi" w:eastAsiaTheme="minorHAnsi"/>
                <w:vanish w:val="false"/>
              </w:rPr>
              <w:t>7.</w:t>
            </w:r>
            <w:r>
              <w:rPr>
                <w:webHidden/>
              </w:rPr>
              <w:fldChar w:fldCharType="begin"/>
            </w:r>
            <w:r>
              <w:rPr>
                <w:webHidden/>
              </w:rPr>
              <w:instrText xml:space="preserve">PAGEREF _Toc41 \h</w:instrText>
            </w:r>
            <w:r>
              <w:rPr>
                <w:webHidden/>
              </w:rPr>
              <w:fldChar w:fldCharType="separate"/>
            </w:r>
            <w:r>
              <w:rPr>
                <w:rStyle w:val="Style12"/>
              </w:rPr>
              <w:tab/>
              <w:t>Приложение № 2 – Проект договора</w:t>
              <w:tab/>
              <w:t>53</w:t>
            </w:r>
            <w:r>
              <w:rPr>
                <w:webHidden/>
              </w:rPr>
              <w:fldChar w:fldCharType="end"/>
            </w:r>
          </w:hyperlink>
        </w:p>
        <w:p>
          <w:pPr>
            <w:pStyle w:val="TOC2"/>
            <w:tabs>
              <w:tab w:val="left" w:pos="567" w:leader="none"/>
              <w:tab w:val="left" w:pos="851" w:leader="none"/>
              <w:tab w:val="right" w:pos="9923" w:leader="none"/>
            </w:tabs>
            <w:rPr/>
          </w:pPr>
          <w:hyperlink w:anchor="_Toc42" w:tgtFrame="#_Toc42">
            <w:r>
              <w:rPr>
                <w:webHidden/>
                <w:rStyle w:val="Style12"/>
                <w:rFonts w:eastAsia="Calibri" w:cs="Arial" w:cstheme="minorBidi" w:eastAsiaTheme="minorHAnsi"/>
                <w:vanish w:val="false"/>
              </w:rPr>
              <w:t>7.1</w:t>
            </w:r>
            <w:r>
              <w:rPr>
                <w:webHidden/>
              </w:rPr>
              <w:fldChar w:fldCharType="begin"/>
            </w:r>
            <w:r>
              <w:rPr>
                <w:webHidden/>
              </w:rPr>
              <w:instrText xml:space="preserve">PAGEREF _Toc42 \h</w:instrText>
            </w:r>
            <w:r>
              <w:rPr>
                <w:webHidden/>
              </w:rPr>
              <w:fldChar w:fldCharType="separate"/>
            </w:r>
            <w:r>
              <w:rPr>
                <w:rStyle w:val="Style12"/>
              </w:rPr>
              <w:tab/>
              <w:t>Пояснения к Проекту договора</w:t>
              <w:tab/>
              <w:t>53</w:t>
            </w:r>
            <w:r>
              <w:rPr>
                <w:webHidden/>
              </w:rPr>
              <w:fldChar w:fldCharType="end"/>
            </w:r>
          </w:hyperlink>
        </w:p>
        <w:p>
          <w:pPr>
            <w:pStyle w:val="TOC1"/>
            <w:tabs>
              <w:tab w:val="left" w:pos="567" w:leader="none"/>
              <w:tab w:val="left" w:pos="851" w:leader="none"/>
              <w:tab w:val="right" w:pos="9923" w:leader="none"/>
            </w:tabs>
            <w:rPr/>
          </w:pPr>
          <w:hyperlink w:anchor="_Toc43" w:tgtFrame="#_Toc43">
            <w:r>
              <w:rPr>
                <w:webHidden/>
                <w:rStyle w:val="Style12"/>
                <w:rFonts w:eastAsia="Calibri" w:cs="Arial" w:cstheme="minorBidi" w:eastAsiaTheme="minorHAnsi"/>
                <w:vanish w:val="false"/>
              </w:rPr>
              <w:t>8.</w:t>
            </w:r>
            <w:r>
              <w:rPr>
                <w:webHidden/>
              </w:rPr>
              <w:fldChar w:fldCharType="begin"/>
            </w:r>
            <w:r>
              <w:rPr>
                <w:webHidden/>
              </w:rPr>
              <w:instrText xml:space="preserve">PAGEREF _Toc43 \h</w:instrText>
            </w:r>
            <w:r>
              <w:rPr>
                <w:webHidden/>
              </w:rPr>
              <w:fldChar w:fldCharType="separate"/>
            </w:r>
            <w:r>
              <w:rPr>
                <w:rStyle w:val="Style12"/>
              </w:rPr>
              <w:tab/>
              <w:t>Приложение № 3 – Требования к Участникам</w:t>
              <w:tab/>
              <w:t>54</w:t>
            </w:r>
            <w:r>
              <w:rPr>
                <w:webHidden/>
              </w:rPr>
              <w:fldChar w:fldCharType="end"/>
            </w:r>
          </w:hyperlink>
        </w:p>
        <w:p>
          <w:pPr>
            <w:pStyle w:val="TOC2"/>
            <w:tabs>
              <w:tab w:val="left" w:pos="567" w:leader="none"/>
              <w:tab w:val="left" w:pos="851" w:leader="none"/>
              <w:tab w:val="right" w:pos="9923" w:leader="none"/>
            </w:tabs>
            <w:rPr/>
          </w:pPr>
          <w:hyperlink w:anchor="_Toc44" w:tgtFrame="#_Toc44">
            <w:r>
              <w:rPr>
                <w:webHidden/>
                <w:rStyle w:val="Style12"/>
                <w:rFonts w:eastAsia="Calibri" w:cs="Arial" w:cstheme="minorBidi" w:eastAsiaTheme="minorHAnsi"/>
                <w:vanish w:val="false"/>
              </w:rPr>
              <w:t>8.1</w:t>
            </w:r>
            <w:r>
              <w:rPr>
                <w:webHidden/>
              </w:rPr>
              <w:fldChar w:fldCharType="begin"/>
            </w:r>
            <w:r>
              <w:rPr>
                <w:webHidden/>
              </w:rPr>
              <w:instrText xml:space="preserve">PAGEREF _Toc44 \h</w:instrText>
            </w:r>
            <w:r>
              <w:rPr>
                <w:webHidden/>
              </w:rPr>
              <w:fldChar w:fldCharType="separate"/>
            </w:r>
            <w:r>
              <w:rPr>
                <w:rStyle w:val="Style12"/>
              </w:rPr>
              <w:tab/>
              <w:t>Пояснения к требованиям к Участникам</w:t>
              <w:tab/>
              <w:t>54</w:t>
            </w:r>
            <w:r>
              <w:rPr>
                <w:webHidden/>
              </w:rPr>
              <w:fldChar w:fldCharType="end"/>
            </w:r>
          </w:hyperlink>
        </w:p>
        <w:p>
          <w:pPr>
            <w:pStyle w:val="TOC2"/>
            <w:tabs>
              <w:tab w:val="left" w:pos="567" w:leader="none"/>
              <w:tab w:val="left" w:pos="851" w:leader="none"/>
              <w:tab w:val="right" w:pos="9923" w:leader="none"/>
            </w:tabs>
            <w:rPr/>
          </w:pPr>
          <w:hyperlink w:anchor="_Toc45" w:tgtFrame="#_Toc45">
            <w:r>
              <w:rPr>
                <w:webHidden/>
                <w:rStyle w:val="Style12"/>
                <w:rFonts w:eastAsia="Calibri" w:cs="Arial" w:cstheme="minorBidi" w:eastAsiaTheme="minorHAnsi"/>
                <w:vanish w:val="false"/>
              </w:rPr>
              <w:t>8.2</w:t>
            </w:r>
            <w:r>
              <w:rPr>
                <w:webHidden/>
              </w:rPr>
              <w:fldChar w:fldCharType="begin"/>
            </w:r>
            <w:r>
              <w:rPr>
                <w:webHidden/>
              </w:rPr>
              <w:instrText xml:space="preserve">PAGEREF _Toc45 \h</w:instrText>
            </w:r>
            <w:r>
              <w:rPr>
                <w:webHidden/>
              </w:rPr>
              <w:fldChar w:fldCharType="separate"/>
            </w:r>
            <w:r>
              <w:rPr>
                <w:rStyle w:val="Style12"/>
              </w:rPr>
              <w:tab/>
              <w:t>Обязательные требования</w:t>
              <w:tab/>
              <w:t>54</w:t>
            </w:r>
            <w:r>
              <w:rPr>
                <w:webHidden/>
              </w:rPr>
              <w:fldChar w:fldCharType="end"/>
            </w:r>
          </w:hyperlink>
        </w:p>
        <w:p>
          <w:pPr>
            <w:pStyle w:val="TOC2"/>
            <w:tabs>
              <w:tab w:val="left" w:pos="567" w:leader="none"/>
              <w:tab w:val="left" w:pos="851" w:leader="none"/>
              <w:tab w:val="right" w:pos="9923" w:leader="none"/>
            </w:tabs>
            <w:rPr/>
          </w:pPr>
          <w:hyperlink w:anchor="_Toc46" w:tgtFrame="#_Toc46">
            <w:r>
              <w:rPr>
                <w:webHidden/>
                <w:rStyle w:val="Style12"/>
                <w:rFonts w:eastAsia="Calibri" w:cs="Arial" w:cstheme="minorBidi" w:eastAsiaTheme="minorHAnsi"/>
                <w:vanish w:val="false"/>
              </w:rPr>
              <w:t>8.3</w:t>
            </w:r>
            <w:r>
              <w:rPr>
                <w:webHidden/>
              </w:rPr>
              <w:fldChar w:fldCharType="begin"/>
            </w:r>
            <w:r>
              <w:rPr>
                <w:webHidden/>
              </w:rPr>
              <w:instrText xml:space="preserve">PAGEREF _Toc46 \h</w:instrText>
            </w:r>
            <w:r>
              <w:rPr>
                <w:webHidden/>
              </w:rPr>
              <w:fldChar w:fldCharType="separate"/>
            </w:r>
            <w:r>
              <w:rPr>
                <w:rStyle w:val="Style12"/>
              </w:rPr>
              <w:tab/>
              <w:t>Специальные требования</w:t>
              <w:tab/>
              <w:t>57</w:t>
            </w:r>
            <w:r>
              <w:rPr>
                <w:webHidden/>
              </w:rPr>
              <w:fldChar w:fldCharType="end"/>
            </w:r>
          </w:hyperlink>
        </w:p>
        <w:p>
          <w:pPr>
            <w:pStyle w:val="TOC2"/>
            <w:tabs>
              <w:tab w:val="left" w:pos="567" w:leader="none"/>
              <w:tab w:val="left" w:pos="851" w:leader="none"/>
              <w:tab w:val="right" w:pos="9923" w:leader="none"/>
            </w:tabs>
            <w:rPr/>
          </w:pPr>
          <w:hyperlink w:anchor="_Toc47" w:tgtFrame="#_Toc47">
            <w:r>
              <w:rPr>
                <w:webHidden/>
                <w:rStyle w:val="Style12"/>
                <w:rFonts w:eastAsia="Calibri" w:cs="Arial" w:cstheme="minorBidi" w:eastAsiaTheme="minorHAnsi"/>
                <w:vanish w:val="false"/>
              </w:rPr>
              <w:t>8.4</w:t>
            </w:r>
            <w:r>
              <w:rPr>
                <w:webHidden/>
              </w:rPr>
              <w:fldChar w:fldCharType="begin"/>
            </w:r>
            <w:r>
              <w:rPr>
                <w:webHidden/>
              </w:rPr>
              <w:instrText xml:space="preserve">PAGEREF _Toc47 \h</w:instrText>
            </w:r>
            <w:r>
              <w:rPr>
                <w:webHidden/>
              </w:rPr>
              <w:fldChar w:fldCharType="separate"/>
            </w:r>
            <w:r>
              <w:rPr>
                <w:rStyle w:val="Style12"/>
              </w:rPr>
              <w:tab/>
              <w:t>Дополнительные требования к Генеральным подрядчикам</w:t>
              <w:tab/>
              <w:t>58</w:t>
            </w:r>
            <w:r>
              <w:rPr>
                <w:webHidden/>
              </w:rPr>
              <w:fldChar w:fldCharType="end"/>
            </w:r>
          </w:hyperlink>
        </w:p>
        <w:p>
          <w:pPr>
            <w:pStyle w:val="TOC1"/>
            <w:tabs>
              <w:tab w:val="left" w:pos="567" w:leader="none"/>
              <w:tab w:val="left" w:pos="851" w:leader="none"/>
              <w:tab w:val="right" w:pos="9923" w:leader="none"/>
            </w:tabs>
            <w:rPr/>
          </w:pPr>
          <w:hyperlink w:anchor="_Toc48" w:tgtFrame="#_Toc48">
            <w:r>
              <w:rPr>
                <w:webHidden/>
                <w:rStyle w:val="Style12"/>
                <w:rFonts w:eastAsia="Calibri" w:cs="Arial" w:cstheme="minorBidi" w:eastAsiaTheme="minorHAnsi"/>
                <w:vanish w:val="false"/>
              </w:rPr>
              <w:t>9.</w:t>
            </w:r>
            <w:r>
              <w:rPr>
                <w:webHidden/>
              </w:rPr>
              <w:fldChar w:fldCharType="begin"/>
            </w:r>
            <w:r>
              <w:rPr>
                <w:webHidden/>
              </w:rPr>
              <w:instrText xml:space="preserve">PAGEREF _Toc48 \h</w:instrText>
            </w:r>
            <w:r>
              <w:rPr>
                <w:webHidden/>
              </w:rPr>
              <w:fldChar w:fldCharType="separate"/>
            </w:r>
            <w:r>
              <w:rPr>
                <w:rStyle w:val="Style12"/>
              </w:rPr>
              <w:tab/>
              <w:t>Приложение № 4 – Образцы форм документов, включаемых в состав заявки</w:t>
              <w:tab/>
              <w:t>59</w:t>
            </w:r>
            <w:r>
              <w:rPr>
                <w:webHidden/>
              </w:rPr>
              <w:fldChar w:fldCharType="end"/>
            </w:r>
          </w:hyperlink>
        </w:p>
        <w:p>
          <w:pPr>
            <w:pStyle w:val="TOC2"/>
            <w:tabs>
              <w:tab w:val="left" w:pos="567" w:leader="none"/>
              <w:tab w:val="left" w:pos="851" w:leader="none"/>
              <w:tab w:val="right" w:pos="9923" w:leader="none"/>
            </w:tabs>
            <w:rPr/>
          </w:pPr>
          <w:hyperlink w:anchor="_Toc49" w:tgtFrame="#_Toc49">
            <w:r>
              <w:rPr>
                <w:webHidden/>
                <w:rStyle w:val="Style12"/>
                <w:rFonts w:eastAsia="Calibri" w:cs="Arial" w:cstheme="minorBidi" w:eastAsiaTheme="minorHAnsi"/>
                <w:vanish w:val="false"/>
              </w:rPr>
              <w:t>9.1</w:t>
            </w:r>
            <w:r>
              <w:rPr>
                <w:webHidden/>
              </w:rPr>
              <w:fldChar w:fldCharType="begin"/>
            </w:r>
            <w:r>
              <w:rPr>
                <w:webHidden/>
              </w:rPr>
              <w:instrText xml:space="preserve">PAGEREF _Toc49 \h</w:instrText>
            </w:r>
            <w:r>
              <w:rPr>
                <w:webHidden/>
              </w:rPr>
              <w:fldChar w:fldCharType="separate"/>
            </w:r>
            <w:r>
              <w:rPr>
                <w:rStyle w:val="Style12"/>
              </w:rPr>
              <w:tab/>
              <w:t>Пояснения к Образцам форм документов, включаемых в состав заявки</w:t>
              <w:tab/>
              <w:t>59</w:t>
            </w:r>
            <w:r>
              <w:rPr>
                <w:webHidden/>
              </w:rPr>
              <w:fldChar w:fldCharType="end"/>
            </w:r>
          </w:hyperlink>
        </w:p>
        <w:p>
          <w:pPr>
            <w:pStyle w:val="TOC1"/>
            <w:tabs>
              <w:tab w:val="left" w:pos="567" w:leader="none"/>
              <w:tab w:val="left" w:pos="851" w:leader="none"/>
              <w:tab w:val="right" w:pos="9923" w:leader="none"/>
            </w:tabs>
            <w:rPr/>
          </w:pPr>
          <w:hyperlink w:anchor="_Toc50" w:tgtFrame="#_Toc50">
            <w:r>
              <w:rPr>
                <w:webHidden/>
                <w:rStyle w:val="Style12"/>
                <w:rFonts w:eastAsia="Calibri" w:cs="Arial" w:cstheme="minorBidi" w:eastAsiaTheme="minorHAnsi"/>
                <w:vanish w:val="false"/>
              </w:rPr>
              <w:t>10.</w:t>
            </w:r>
            <w:r>
              <w:rPr>
                <w:webHidden/>
              </w:rPr>
              <w:fldChar w:fldCharType="begin"/>
            </w:r>
            <w:r>
              <w:rPr>
                <w:webHidden/>
              </w:rPr>
              <w:instrText xml:space="preserve">PAGEREF _Toc50 \h</w:instrText>
            </w:r>
            <w:r>
              <w:rPr>
                <w:webHidden/>
              </w:rPr>
              <w:fldChar w:fldCharType="separate"/>
            </w:r>
            <w:r>
              <w:rPr>
                <w:rStyle w:val="Style12"/>
              </w:rPr>
              <w:tab/>
              <w:t>Приложение № 5 – Образцы форм документов, предоставляемых Победителем</w:t>
              <w:tab/>
              <w:t>60</w:t>
            </w:r>
            <w:r>
              <w:rPr>
                <w:webHidden/>
              </w:rPr>
              <w:fldChar w:fldCharType="end"/>
            </w:r>
          </w:hyperlink>
        </w:p>
        <w:p>
          <w:pPr>
            <w:pStyle w:val="TOC2"/>
            <w:tabs>
              <w:tab w:val="left" w:pos="850" w:leader="none"/>
              <w:tab w:val="left" w:pos="851" w:leader="none"/>
              <w:tab w:val="right" w:pos="9923" w:leader="none"/>
            </w:tabs>
            <w:rPr/>
          </w:pPr>
          <w:hyperlink w:anchor="_Toc51" w:tgtFrame="#_Toc51">
            <w:r>
              <w:rPr>
                <w:webHidden/>
                <w:rStyle w:val="Style12"/>
                <w:rFonts w:eastAsia="Calibri" w:cs="Arial" w:cstheme="minorBidi" w:eastAsiaTheme="minorHAnsi"/>
                <w:vanish w:val="false"/>
              </w:rPr>
              <w:t>10.1</w:t>
            </w:r>
            <w:r>
              <w:rPr>
                <w:webHidden/>
              </w:rPr>
              <w:fldChar w:fldCharType="begin"/>
            </w:r>
            <w:r>
              <w:rPr>
                <w:webHidden/>
              </w:rPr>
              <w:instrText xml:space="preserve">PAGEREF _Toc51 \h</w:instrText>
            </w:r>
            <w:r>
              <w:rPr>
                <w:webHidden/>
              </w:rPr>
              <w:fldChar w:fldCharType="separate"/>
            </w:r>
            <w:r>
              <w:rPr>
                <w:rStyle w:val="Style12"/>
              </w:rPr>
              <w:tab/>
              <w:t>Пояснения к Образцам форм документов, предоставляемых Победителем</w:t>
              <w:tab/>
              <w:t>60</w:t>
            </w:r>
            <w:r>
              <w:rPr>
                <w:webHidden/>
              </w:rPr>
              <w:fldChar w:fldCharType="end"/>
            </w:r>
          </w:hyperlink>
        </w:p>
        <w:p>
          <w:pPr>
            <w:pStyle w:val="TOC2"/>
            <w:tabs>
              <w:tab w:val="left" w:pos="850" w:leader="none"/>
              <w:tab w:val="left" w:pos="851" w:leader="none"/>
              <w:tab w:val="right" w:pos="9923" w:leader="none"/>
            </w:tabs>
            <w:rPr/>
          </w:pPr>
          <w:hyperlink w:anchor="_Toc52" w:tgtFrame="#_Toc52">
            <w:r>
              <w:rPr>
                <w:webHidden/>
                <w:rStyle w:val="Style12"/>
                <w:rFonts w:eastAsia="Calibri" w:cs="Arial" w:cstheme="minorBidi" w:eastAsiaTheme="minorHAnsi"/>
                <w:vanish w:val="false"/>
              </w:rPr>
              <w:t>10.2</w:t>
            </w:r>
            <w:r>
              <w:rPr>
                <w:webHidden/>
              </w:rPr>
              <w:fldChar w:fldCharType="begin"/>
            </w:r>
            <w:r>
              <w:rPr>
                <w:webHidden/>
              </w:rPr>
              <w:instrText xml:space="preserve">PAGEREF _Toc52 \h</w:instrText>
            </w:r>
            <w:r>
              <w:rPr>
                <w:webHidden/>
              </w:rPr>
              <w:fldChar w:fldCharType="separate"/>
            </w:r>
            <w:r>
              <w:rPr>
                <w:rStyle w:val="Style12"/>
              </w:rPr>
              <w:tab/>
              <w:t>Форма справки «Сведения о цепочке собственников, включая бенефициаров (в том числе конечных)»</w:t>
              <w:tab/>
              <w:t>60</w:t>
            </w:r>
            <w:r>
              <w:rPr>
                <w:webHidden/>
              </w:rPr>
              <w:fldChar w:fldCharType="end"/>
            </w:r>
          </w:hyperlink>
        </w:p>
        <w:p>
          <w:pPr>
            <w:pStyle w:val="TOC2"/>
            <w:tabs>
              <w:tab w:val="left" w:pos="850" w:leader="none"/>
              <w:tab w:val="left" w:pos="851" w:leader="none"/>
              <w:tab w:val="right" w:pos="9923" w:leader="none"/>
            </w:tabs>
            <w:rPr/>
          </w:pPr>
          <w:hyperlink w:anchor="_Toc53" w:tgtFrame="#_Toc53">
            <w:r>
              <w:rPr>
                <w:webHidden/>
                <w:rStyle w:val="Style12"/>
                <w:rFonts w:eastAsia="Calibri" w:cs="Arial" w:cstheme="minorBidi" w:eastAsiaTheme="minorHAnsi"/>
                <w:vanish w:val="false"/>
              </w:rPr>
              <w:t>10.3</w:t>
            </w:r>
            <w:r>
              <w:rPr>
                <w:webHidden/>
              </w:rPr>
              <w:fldChar w:fldCharType="begin"/>
            </w:r>
            <w:r>
              <w:rPr>
                <w:webHidden/>
              </w:rPr>
              <w:instrText xml:space="preserve">PAGEREF _Toc53 \h</w:instrText>
            </w:r>
            <w:r>
              <w:rPr>
                <w:webHidden/>
              </w:rPr>
              <w:fldChar w:fldCharType="separate"/>
            </w:r>
            <w:r>
              <w:rPr>
                <w:rStyle w:val="Style12"/>
              </w:rPr>
              <w:tab/>
              <w:t>Форма «Заверение об обстоятельствах»</w:t>
              <w:tab/>
              <w:t>60</w:t>
            </w:r>
            <w:r>
              <w:rPr>
                <w:webHidden/>
              </w:rPr>
              <w:fldChar w:fldCharType="end"/>
            </w:r>
          </w:hyperlink>
        </w:p>
        <w:p>
          <w:pPr>
            <w:pStyle w:val="TOC1"/>
            <w:tabs>
              <w:tab w:val="left" w:pos="567" w:leader="none"/>
              <w:tab w:val="left" w:pos="851" w:leader="none"/>
              <w:tab w:val="right" w:pos="9923" w:leader="none"/>
            </w:tabs>
            <w:rPr/>
          </w:pPr>
          <w:hyperlink w:anchor="_Toc54" w:tgtFrame="#_Toc54">
            <w:r>
              <w:rPr>
                <w:webHidden/>
                <w:rStyle w:val="Style12"/>
                <w:rFonts w:eastAsia="Calibri" w:cs="Arial" w:cstheme="minorBidi" w:eastAsiaTheme="minorHAnsi"/>
                <w:vanish w:val="false"/>
              </w:rPr>
              <w:t>11.</w:t>
            </w:r>
            <w:r>
              <w:rPr>
                <w:webHidden/>
              </w:rPr>
              <w:fldChar w:fldCharType="begin"/>
            </w:r>
            <w:r>
              <w:rPr>
                <w:webHidden/>
              </w:rPr>
              <w:instrText xml:space="preserve">PAGEREF _Toc54 \h</w:instrText>
            </w:r>
            <w:r>
              <w:rPr>
                <w:webHidden/>
              </w:rPr>
              <w:fldChar w:fldCharType="separate"/>
            </w:r>
            <w:r>
              <w:rPr>
                <w:rStyle w:val="Style12"/>
              </w:rPr>
              <w:tab/>
              <w:t>Приложение № 6 – Состав заявки</w:t>
              <w:tab/>
              <w:t>62</w:t>
            </w:r>
            <w:r>
              <w:rPr>
                <w:webHidden/>
              </w:rPr>
              <w:fldChar w:fldCharType="end"/>
            </w:r>
          </w:hyperlink>
        </w:p>
        <w:p>
          <w:pPr>
            <w:pStyle w:val="TOC2"/>
            <w:tabs>
              <w:tab w:val="left" w:pos="850" w:leader="none"/>
              <w:tab w:val="left" w:pos="851" w:leader="none"/>
              <w:tab w:val="right" w:pos="9923" w:leader="none"/>
            </w:tabs>
            <w:rPr/>
          </w:pPr>
          <w:hyperlink w:anchor="_Toc55" w:tgtFrame="#_Toc55">
            <w:r>
              <w:rPr>
                <w:webHidden/>
                <w:rStyle w:val="Style12"/>
                <w:rFonts w:eastAsia="Calibri" w:cs="Arial" w:cstheme="minorBidi" w:eastAsiaTheme="minorHAnsi"/>
                <w:vanish w:val="false"/>
              </w:rPr>
              <w:t>11.1</w:t>
            </w:r>
            <w:r>
              <w:rPr>
                <w:webHidden/>
              </w:rPr>
              <w:fldChar w:fldCharType="begin"/>
            </w:r>
            <w:r>
              <w:rPr>
                <w:webHidden/>
              </w:rPr>
              <w:instrText xml:space="preserve">PAGEREF _Toc55 \h</w:instrText>
            </w:r>
            <w:r>
              <w:rPr>
                <w:webHidden/>
              </w:rPr>
              <w:fldChar w:fldCharType="separate"/>
            </w:r>
            <w:r>
              <w:rPr>
                <w:rStyle w:val="Style12"/>
              </w:rPr>
              <w:tab/>
              <w:t>Состав заявки</w:t>
              <w:tab/>
              <w:t>62</w:t>
            </w:r>
            <w:r>
              <w:rPr>
                <w:webHidden/>
              </w:rPr>
              <w:fldChar w:fldCharType="end"/>
            </w:r>
          </w:hyperlink>
        </w:p>
        <w:p>
          <w:pPr>
            <w:pStyle w:val="TOC1"/>
            <w:tabs>
              <w:tab w:val="left" w:pos="567" w:leader="none"/>
              <w:tab w:val="left" w:pos="851" w:leader="none"/>
              <w:tab w:val="right" w:pos="9923" w:leader="none"/>
            </w:tabs>
            <w:rPr/>
          </w:pPr>
          <w:hyperlink w:anchor="_Toc56" w:tgtFrame="#_Toc56">
            <w:r>
              <w:rPr>
                <w:webHidden/>
                <w:rStyle w:val="Style12"/>
                <w:rFonts w:eastAsia="Calibri" w:cs="Arial" w:cstheme="minorBidi" w:eastAsiaTheme="minorHAnsi"/>
                <w:vanish w:val="false"/>
              </w:rPr>
              <w:t>12.</w:t>
            </w:r>
            <w:r>
              <w:rPr>
                <w:webHidden/>
              </w:rPr>
              <w:fldChar w:fldCharType="begin"/>
            </w:r>
            <w:r>
              <w:rPr>
                <w:webHidden/>
              </w:rPr>
              <w:instrText xml:space="preserve">PAGEREF _Toc56 \h</w:instrText>
            </w:r>
            <w:r>
              <w:rPr>
                <w:webHidden/>
              </w:rPr>
              <w:fldChar w:fldCharType="separate"/>
            </w:r>
            <w:r>
              <w:rPr>
                <w:rStyle w:val="Style12"/>
              </w:rPr>
              <w:tab/>
              <w:t>Приложение № 7 – Отборочные критерии рассмотрения заявок</w:t>
              <w:tab/>
              <w:t>65</w:t>
            </w:r>
            <w:r>
              <w:rPr>
                <w:webHidden/>
              </w:rPr>
              <w:fldChar w:fldCharType="end"/>
            </w:r>
          </w:hyperlink>
        </w:p>
        <w:p>
          <w:pPr>
            <w:pStyle w:val="TOC2"/>
            <w:tabs>
              <w:tab w:val="left" w:pos="850" w:leader="none"/>
              <w:tab w:val="left" w:pos="851" w:leader="none"/>
              <w:tab w:val="right" w:pos="9923" w:leader="none"/>
            </w:tabs>
            <w:rPr>
              <w:i w:val="false"/>
              <w:i w:val="false"/>
              <w:iCs w:val="false"/>
              <w:shd w:fill="auto" w:val="clear"/>
            </w:rPr>
          </w:pPr>
          <w:hyperlink w:anchor="_Toc57" w:tgtFrame="#_Toc57">
            <w:r>
              <w:rPr>
                <w:webHidden/>
                <w:rStyle w:val="Style12"/>
                <w:rFonts w:eastAsia="Calibri" w:cs="Arial" w:cstheme="minorBidi" w:eastAsiaTheme="minorHAnsi"/>
                <w:vanish w:val="false"/>
              </w:rPr>
              <w:t>12.1</w:t>
            </w:r>
            <w:r>
              <w:rPr>
                <w:rStyle w:val="Style12"/>
              </w:rPr>
              <w:tab/>
            </w:r>
            <w:r>
              <w:rPr>
                <w:rStyle w:val="Style12"/>
                <w:i w:val="false"/>
                <w:iCs w:val="false"/>
                <w:shd w:fill="auto" w:val="clear"/>
              </w:rPr>
              <w:t>Отборочные критерии рассмотрения первых частей заявок (первых частей заявок, содержащихся в окончательных предложениях)</w:t>
            </w:r>
            <w:r>
              <w:rPr>
                <w:rStyle w:val="Style12"/>
              </w:rPr>
              <w:tab/>
            </w:r>
            <w:r>
              <w:rPr>
                <w:webHidden/>
              </w:rPr>
              <w:fldChar w:fldCharType="begin"/>
            </w:r>
            <w:r>
              <w:rPr>
                <w:webHidden/>
              </w:rPr>
              <w:instrText xml:space="preserve">PAGEREF _Toc57 \h</w:instrText>
            </w:r>
            <w:r>
              <w:rPr>
                <w:webHidden/>
              </w:rPr>
              <w:fldChar w:fldCharType="separate"/>
            </w:r>
            <w:r>
              <w:rPr>
                <w:rStyle w:val="Style12"/>
                <w:i w:val="false"/>
                <w:iCs w:val="false"/>
                <w:shd w:fill="auto" w:val="clear"/>
              </w:rPr>
              <w:t>65</w:t>
            </w:r>
            <w:r>
              <w:rPr>
                <w:webHidden/>
              </w:rPr>
              <w:fldChar w:fldCharType="end"/>
            </w:r>
          </w:hyperlink>
        </w:p>
        <w:p>
          <w:pPr>
            <w:pStyle w:val="TOC2"/>
            <w:tabs>
              <w:tab w:val="left" w:pos="850" w:leader="none"/>
              <w:tab w:val="left" w:pos="851" w:leader="none"/>
              <w:tab w:val="right" w:pos="9923" w:leader="none"/>
            </w:tabs>
            <w:rPr>
              <w:i w:val="false"/>
              <w:i w:val="false"/>
              <w:iCs w:val="false"/>
              <w:shd w:fill="auto" w:val="clear"/>
            </w:rPr>
          </w:pPr>
          <w:hyperlink w:anchor="_Toc58" w:tgtFrame="#_Toc58">
            <w:r>
              <w:rPr>
                <w:webHidden/>
                <w:rStyle w:val="Style12"/>
                <w:rFonts w:eastAsia="Calibri" w:cs="Arial" w:cstheme="minorBidi" w:eastAsiaTheme="minorHAnsi"/>
                <w:vanish w:val="false"/>
              </w:rPr>
              <w:t>12.2</w:t>
            </w:r>
            <w:r>
              <w:rPr>
                <w:rStyle w:val="Style12"/>
              </w:rPr>
              <w:tab/>
            </w:r>
            <w:r>
              <w:rPr>
                <w:rStyle w:val="Style12"/>
                <w:i w:val="false"/>
                <w:iCs w:val="false"/>
                <w:shd w:fill="auto" w:val="clear"/>
              </w:rPr>
              <w:t>Отборочные критерии рассмотрения вторых частей заявок</w:t>
            </w:r>
            <w:r>
              <w:rPr>
                <w:rStyle w:val="Style12"/>
              </w:rPr>
              <w:tab/>
            </w:r>
            <w:r>
              <w:rPr>
                <w:webHidden/>
              </w:rPr>
              <w:fldChar w:fldCharType="begin"/>
            </w:r>
            <w:r>
              <w:rPr>
                <w:webHidden/>
              </w:rPr>
              <w:instrText xml:space="preserve">PAGEREF _Toc58 \h</w:instrText>
            </w:r>
            <w:r>
              <w:rPr>
                <w:webHidden/>
              </w:rPr>
              <w:fldChar w:fldCharType="separate"/>
            </w:r>
            <w:r>
              <w:rPr>
                <w:rStyle w:val="Style12"/>
                <w:i w:val="false"/>
                <w:iCs w:val="false"/>
                <w:shd w:fill="auto" w:val="clear"/>
              </w:rPr>
              <w:t>66</w:t>
            </w:r>
            <w:r>
              <w:rPr>
                <w:webHidden/>
              </w:rPr>
              <w:fldChar w:fldCharType="end"/>
            </w:r>
          </w:hyperlink>
        </w:p>
        <w:p>
          <w:pPr>
            <w:pStyle w:val="TOC2"/>
            <w:tabs>
              <w:tab w:val="left" w:pos="850" w:leader="none"/>
              <w:tab w:val="left" w:pos="851" w:leader="none"/>
              <w:tab w:val="right" w:pos="9923" w:leader="none"/>
            </w:tabs>
            <w:rPr>
              <w:i w:val="false"/>
              <w:i w:val="false"/>
              <w:iCs w:val="false"/>
              <w:shd w:fill="auto" w:val="clear"/>
            </w:rPr>
          </w:pPr>
          <w:hyperlink w:anchor="_Toc59" w:tgtFrame="#_Toc59">
            <w:r>
              <w:rPr>
                <w:webHidden/>
                <w:rStyle w:val="Style12"/>
                <w:rFonts w:eastAsia="Calibri" w:cs="Arial" w:cstheme="minorBidi" w:eastAsiaTheme="minorHAnsi"/>
                <w:vanish w:val="false"/>
              </w:rPr>
              <w:t>12.3</w:t>
            </w:r>
            <w:r>
              <w:rPr>
                <w:rStyle w:val="Style12"/>
              </w:rPr>
              <w:tab/>
            </w:r>
            <w:r>
              <w:rPr>
                <w:rStyle w:val="Style12"/>
                <w:i w:val="false"/>
                <w:iCs w:val="false"/>
                <w:shd w:fill="auto" w:val="clear"/>
              </w:rPr>
              <w:t>Отборочные критерии рассмотрения ценовых предложений (дополнительных ценовых предложений)</w:t>
            </w:r>
            <w:r>
              <w:rPr>
                <w:rStyle w:val="Style12"/>
              </w:rPr>
              <w:tab/>
            </w:r>
            <w:r>
              <w:rPr>
                <w:webHidden/>
              </w:rPr>
              <w:fldChar w:fldCharType="begin"/>
            </w:r>
            <w:r>
              <w:rPr>
                <w:webHidden/>
              </w:rPr>
              <w:instrText xml:space="preserve">PAGEREF _Toc59 \h</w:instrText>
            </w:r>
            <w:r>
              <w:rPr>
                <w:webHidden/>
              </w:rPr>
              <w:fldChar w:fldCharType="separate"/>
            </w:r>
            <w:r>
              <w:rPr>
                <w:rStyle w:val="Style12"/>
                <w:i w:val="false"/>
                <w:iCs w:val="false"/>
                <w:shd w:fill="auto" w:val="clear"/>
              </w:rPr>
              <w:t>68</w:t>
            </w:r>
            <w:r>
              <w:rPr>
                <w:webHidden/>
              </w:rPr>
              <w:fldChar w:fldCharType="end"/>
            </w:r>
          </w:hyperlink>
        </w:p>
        <w:p>
          <w:pPr>
            <w:pStyle w:val="TOC2"/>
            <w:tabs>
              <w:tab w:val="left" w:pos="850" w:leader="none"/>
              <w:tab w:val="left" w:pos="851" w:leader="none"/>
              <w:tab w:val="right" w:pos="9923" w:leader="none"/>
            </w:tabs>
            <w:rPr>
              <w:i w:val="false"/>
              <w:i w:val="false"/>
              <w:iCs w:val="false"/>
              <w:shd w:fill="auto" w:val="clear"/>
            </w:rPr>
          </w:pPr>
          <w:hyperlink w:anchor="_Toc60" w:tgtFrame="#_Toc60">
            <w:r>
              <w:rPr>
                <w:webHidden/>
                <w:rStyle w:val="Style12"/>
                <w:rFonts w:eastAsia="Calibri" w:cs="Arial" w:cstheme="minorBidi" w:eastAsiaTheme="minorHAnsi"/>
                <w:vanish w:val="false"/>
              </w:rPr>
              <w:t>12.4</w:t>
            </w:r>
            <w:r>
              <w:rPr>
                <w:rStyle w:val="Style12"/>
              </w:rPr>
              <w:tab/>
            </w:r>
            <w:r>
              <w:rPr>
                <w:rStyle w:val="Style12"/>
                <w:i w:val="false"/>
                <w:iCs w:val="false"/>
                <w:shd w:fill="auto" w:val="clear"/>
              </w:rPr>
              <w:t>Дополнительные критерии проверки заявок на соответствие условиям Документации о закупке</w:t>
            </w:r>
            <w:r>
              <w:rPr>
                <w:rStyle w:val="Style12"/>
              </w:rPr>
              <w:tab/>
            </w:r>
            <w:r>
              <w:rPr>
                <w:webHidden/>
              </w:rPr>
              <w:fldChar w:fldCharType="begin"/>
            </w:r>
            <w:r>
              <w:rPr>
                <w:webHidden/>
              </w:rPr>
              <w:instrText xml:space="preserve">PAGEREF _Toc60 \h</w:instrText>
            </w:r>
            <w:r>
              <w:rPr>
                <w:webHidden/>
              </w:rPr>
              <w:fldChar w:fldCharType="separate"/>
            </w:r>
            <w:r>
              <w:rPr>
                <w:rStyle w:val="Style12"/>
                <w:i w:val="false"/>
                <w:iCs w:val="false"/>
                <w:shd w:fill="auto" w:val="clear"/>
              </w:rPr>
              <w:t>70</w:t>
            </w:r>
            <w:r>
              <w:rPr>
                <w:webHidden/>
              </w:rPr>
              <w:fldChar w:fldCharType="end"/>
            </w:r>
          </w:hyperlink>
        </w:p>
        <w:p>
          <w:pPr>
            <w:pStyle w:val="TOC1"/>
            <w:tabs>
              <w:tab w:val="left" w:pos="567" w:leader="none"/>
              <w:tab w:val="left" w:pos="851" w:leader="none"/>
              <w:tab w:val="right" w:pos="9923" w:leader="none"/>
            </w:tabs>
            <w:rPr/>
          </w:pPr>
          <w:hyperlink w:anchor="_Toc61" w:tgtFrame="#_Toc61">
            <w:r>
              <w:rPr>
                <w:webHidden/>
                <w:rStyle w:val="Style12"/>
                <w:rFonts w:eastAsia="Calibri" w:cs="Arial" w:cstheme="minorBidi" w:eastAsiaTheme="minorHAnsi"/>
                <w:vanish w:val="false"/>
              </w:rPr>
              <w:t>13.</w:t>
            </w:r>
            <w:r>
              <w:rPr>
                <w:webHidden/>
              </w:rPr>
              <w:fldChar w:fldCharType="begin"/>
            </w:r>
            <w:r>
              <w:rPr>
                <w:webHidden/>
              </w:rPr>
              <w:instrText xml:space="preserve">PAGEREF _Toc61 \h</w:instrText>
            </w:r>
            <w:r>
              <w:rPr>
                <w:webHidden/>
              </w:rPr>
              <w:fldChar w:fldCharType="separate"/>
            </w:r>
            <w:r>
              <w:rPr>
                <w:rStyle w:val="Style12"/>
              </w:rPr>
              <w:tab/>
              <w:t>Приложение № 8 – Порядок и критерии оценки и сопоставления заявок</w:t>
              <w:tab/>
              <w:t>72</w:t>
            </w:r>
            <w:r>
              <w:rPr>
                <w:webHidden/>
              </w:rPr>
              <w:fldChar w:fldCharType="end"/>
            </w:r>
          </w:hyperlink>
        </w:p>
        <w:p>
          <w:pPr>
            <w:pStyle w:val="TOC2"/>
            <w:tabs>
              <w:tab w:val="left" w:pos="850" w:leader="none"/>
              <w:tab w:val="left" w:pos="851" w:leader="none"/>
              <w:tab w:val="right" w:pos="9923" w:leader="none"/>
            </w:tabs>
            <w:rPr/>
          </w:pPr>
          <w:hyperlink w:anchor="_Toc62" w:tgtFrame="#_Toc62">
            <w:r>
              <w:rPr>
                <w:webHidden/>
                <w:rStyle w:val="Style12"/>
                <w:rFonts w:eastAsia="Calibri" w:cs="Arial" w:cstheme="minorBidi" w:eastAsiaTheme="minorHAnsi"/>
                <w:vanish w:val="false"/>
              </w:rPr>
              <w:t>13.1</w:t>
            </w:r>
            <w:r>
              <w:rPr>
                <w:webHidden/>
              </w:rPr>
              <w:fldChar w:fldCharType="begin"/>
            </w:r>
            <w:r>
              <w:rPr>
                <w:webHidden/>
              </w:rPr>
              <w:instrText xml:space="preserve">PAGEREF _Toc62 \h</w:instrText>
            </w:r>
            <w:r>
              <w:rPr>
                <w:webHidden/>
              </w:rPr>
              <w:fldChar w:fldCharType="separate"/>
            </w:r>
            <w:r>
              <w:rPr>
                <w:rStyle w:val="Style12"/>
              </w:rPr>
              <w:tab/>
              <w:t>Порядок и критерии оценки и сопоставления заявок</w:t>
              <w:tab/>
              <w:t>72</w:t>
            </w:r>
            <w:r>
              <w:rPr>
                <w:webHidden/>
              </w:rPr>
              <w:fldChar w:fldCharType="end"/>
            </w:r>
          </w:hyperlink>
        </w:p>
        <w:p>
          <w:pPr>
            <w:pStyle w:val="TOC1"/>
            <w:tabs>
              <w:tab w:val="left" w:pos="567" w:leader="none"/>
              <w:tab w:val="left" w:pos="851" w:leader="none"/>
              <w:tab w:val="right" w:pos="9923" w:leader="none"/>
            </w:tabs>
            <w:rPr/>
          </w:pPr>
          <w:hyperlink w:anchor="_Toc63" w:tgtFrame="#_Toc63">
            <w:r>
              <w:rPr>
                <w:webHidden/>
                <w:rStyle w:val="Style12"/>
                <w:rFonts w:eastAsia="Calibri" w:cs="Arial" w:cstheme="minorBidi" w:eastAsiaTheme="minorHAnsi"/>
                <w:vanish w:val="false"/>
              </w:rPr>
              <w:t>14.</w:t>
            </w:r>
            <w:r>
              <w:rPr>
                <w:webHidden/>
              </w:rPr>
              <w:fldChar w:fldCharType="begin"/>
            </w:r>
            <w:r>
              <w:rPr>
                <w:webHidden/>
              </w:rPr>
              <w:instrText xml:space="preserve">PAGEREF _Toc63 \h</w:instrText>
            </w:r>
            <w:r>
              <w:rPr>
                <w:webHidden/>
              </w:rPr>
              <w:fldChar w:fldCharType="separate"/>
            </w:r>
            <w:r>
              <w:rPr>
                <w:rStyle w:val="Style12"/>
              </w:rPr>
              <w:tab/>
              <w:t>Приложение № 9 – Обоснование НМЦ</w:t>
              <w:tab/>
              <w:t>78</w:t>
            </w:r>
            <w:r>
              <w:rPr>
                <w:webHidden/>
              </w:rPr>
              <w:fldChar w:fldCharType="end"/>
            </w:r>
          </w:hyperlink>
        </w:p>
        <w:p>
          <w:pPr>
            <w:pStyle w:val="TOC2"/>
            <w:tabs>
              <w:tab w:val="left" w:pos="850" w:leader="none"/>
              <w:tab w:val="left" w:pos="851" w:leader="none"/>
              <w:tab w:val="right" w:pos="9923" w:leader="none"/>
            </w:tabs>
            <w:rPr/>
          </w:pPr>
          <w:hyperlink w:anchor="_Toc64" w:tgtFrame="#_Toc64">
            <w:r>
              <w:rPr>
                <w:webHidden/>
                <w:rStyle w:val="Style12"/>
                <w:rFonts w:eastAsia="Calibri" w:cs="Arial" w:cstheme="minorBidi" w:eastAsiaTheme="minorHAnsi"/>
                <w:vanish w:val="false"/>
              </w:rPr>
              <w:t>14.1</w:t>
            </w:r>
            <w:r>
              <w:rPr>
                <w:webHidden/>
              </w:rPr>
              <w:fldChar w:fldCharType="begin"/>
            </w:r>
            <w:r>
              <w:rPr>
                <w:webHidden/>
              </w:rPr>
              <w:instrText xml:space="preserve">PAGEREF _Toc64 \h</w:instrText>
            </w:r>
            <w:r>
              <w:rPr>
                <w:webHidden/>
              </w:rPr>
              <w:fldChar w:fldCharType="separate"/>
            </w:r>
            <w:r>
              <w:rPr>
                <w:rStyle w:val="Style12"/>
              </w:rPr>
              <w:tab/>
              <w:t>Пояснения к Обоснованию НМЦ</w:t>
              <w:tab/>
              <w:t>78</w:t>
            </w:r>
            <w:r>
              <w:rPr>
                <w:webHidden/>
              </w:rPr>
              <w:fldChar w:fldCharType="end"/>
            </w:r>
          </w:hyperlink>
        </w:p>
        <w:p>
          <w:pPr>
            <w:pStyle w:val="TOC1"/>
            <w:tabs>
              <w:tab w:val="left" w:pos="567" w:leader="none"/>
              <w:tab w:val="left" w:pos="851" w:leader="none"/>
              <w:tab w:val="right" w:pos="9923" w:leader="none"/>
            </w:tabs>
            <w:rPr/>
          </w:pPr>
          <w:hyperlink w:anchor="_Toc65" w:tgtFrame="#_Toc65">
            <w:r>
              <w:rPr>
                <w:webHidden/>
                <w:rStyle w:val="Style12"/>
                <w:rFonts w:eastAsia="Calibri" w:cs="Arial" w:cstheme="minorBidi" w:eastAsiaTheme="minorHAnsi"/>
                <w:vanish w:val="false"/>
              </w:rPr>
              <w:t>15.</w:t>
            </w:r>
            <w:r>
              <w:rPr>
                <w:webHidden/>
              </w:rPr>
              <w:fldChar w:fldCharType="begin"/>
            </w:r>
            <w:r>
              <w:rPr>
                <w:webHidden/>
              </w:rPr>
              <w:instrText xml:space="preserve">PAGEREF _Toc65 \h</w:instrText>
            </w:r>
            <w:r>
              <w:rPr>
                <w:webHidden/>
              </w:rPr>
              <w:fldChar w:fldCharType="separate"/>
            </w:r>
            <w:r>
              <w:rPr>
                <w:rStyle w:val="Style12"/>
              </w:rPr>
              <w:tab/>
              <w:t>Приложение № 10 – Форма Заявки на аккредитацию</w:t>
              <w:tab/>
              <w:t>79</w:t>
            </w:r>
            <w:r>
              <w:rPr>
                <w:webHidden/>
              </w:rPr>
              <w:fldChar w:fldCharType="end"/>
            </w:r>
          </w:hyperlink>
        </w:p>
        <w:p>
          <w:pPr>
            <w:pStyle w:val="TOC2"/>
            <w:tabs>
              <w:tab w:val="left" w:pos="850" w:leader="none"/>
              <w:tab w:val="left" w:pos="851" w:leader="none"/>
              <w:tab w:val="right" w:pos="9923" w:leader="none"/>
            </w:tabs>
            <w:rPr/>
          </w:pPr>
          <w:hyperlink w:anchor="_Toc66" w:tgtFrame="#_Toc66">
            <w:r>
              <w:rPr>
                <w:webHidden/>
                <w:rStyle w:val="Style12"/>
                <w:rFonts w:eastAsia="Calibri" w:cs="Arial" w:cstheme="minorBidi" w:eastAsiaTheme="minorHAnsi"/>
                <w:vanish w:val="false"/>
              </w:rPr>
              <w:t>15.1</w:t>
            </w:r>
            <w:r>
              <w:rPr>
                <w:webHidden/>
              </w:rPr>
              <w:fldChar w:fldCharType="begin"/>
            </w:r>
            <w:r>
              <w:rPr>
                <w:webHidden/>
              </w:rPr>
              <w:instrText xml:space="preserve">PAGEREF _Toc66 \h</w:instrText>
            </w:r>
            <w:r>
              <w:rPr>
                <w:webHidden/>
              </w:rPr>
              <w:fldChar w:fldCharType="separate"/>
            </w:r>
            <w:r>
              <w:rPr>
                <w:rStyle w:val="Style12"/>
              </w:rPr>
              <w:tab/>
              <w:t>Пояснения к форме Заявки на аккредитацию</w:t>
              <w:tab/>
              <w:t>79</w:t>
            </w:r>
            <w:r>
              <w:rPr>
                <w:webHidden/>
              </w:rPr>
              <w:fldChar w:fldCharType="end"/>
            </w:r>
          </w:hyperlink>
        </w:p>
        <w:p>
          <w:pPr>
            <w:pStyle w:val="TOC1"/>
            <w:tabs>
              <w:tab w:val="left" w:pos="567" w:leader="none"/>
              <w:tab w:val="left" w:pos="851" w:leader="none"/>
              <w:tab w:val="right" w:pos="9923" w:leader="none"/>
            </w:tabs>
            <w:rPr/>
          </w:pPr>
          <w:hyperlink w:anchor="_Toc67" w:tgtFrame="#_Toc67">
            <w:r>
              <w:rPr>
                <w:webHidden/>
                <w:rStyle w:val="Style12"/>
                <w:rFonts w:eastAsia="Calibri" w:cs="Arial" w:cstheme="minorBidi" w:eastAsiaTheme="minorHAnsi"/>
                <w:vanish w:val="false"/>
              </w:rPr>
              <w:t>16.</w:t>
            </w:r>
            <w:r>
              <w:rPr>
                <w:webHidden/>
              </w:rPr>
              <w:fldChar w:fldCharType="begin"/>
            </w:r>
            <w:r>
              <w:rPr>
                <w:webHidden/>
              </w:rPr>
              <w:instrText xml:space="preserve">PAGEREF _Toc67 \h</w:instrText>
            </w:r>
            <w:r>
              <w:rPr>
                <w:webHidden/>
              </w:rPr>
              <w:fldChar w:fldCharType="separate"/>
            </w:r>
            <w:r>
              <w:rPr>
                <w:rStyle w:val="Style12"/>
              </w:rPr>
              <w:tab/>
              <w:t>Приложение № 11 – форма Данных бухгалтерской (финансовой) отчетности</w:t>
              <w:tab/>
              <w:t>80</w:t>
            </w:r>
            <w:r>
              <w:rPr>
                <w:webHidden/>
              </w:rPr>
              <w:fldChar w:fldCharType="end"/>
            </w:r>
          </w:hyperlink>
        </w:p>
        <w:p>
          <w:pPr>
            <w:pStyle w:val="TOC2"/>
            <w:tabs>
              <w:tab w:val="left" w:pos="850" w:leader="none"/>
              <w:tab w:val="left" w:pos="851" w:leader="none"/>
              <w:tab w:val="right" w:pos="9923" w:leader="none"/>
            </w:tabs>
            <w:rPr/>
          </w:pPr>
          <w:hyperlink w:anchor="_Toc68" w:tgtFrame="#_Toc68">
            <w:r>
              <w:rPr>
                <w:webHidden/>
                <w:rStyle w:val="Style12"/>
                <w:rFonts w:eastAsia="Calibri" w:cs="Arial" w:cstheme="minorBidi" w:eastAsiaTheme="minorHAnsi"/>
                <w:vanish w:val="false"/>
              </w:rPr>
              <w:t>16.1</w:t>
            </w:r>
            <w:r>
              <w:rPr>
                <w:webHidden/>
              </w:rPr>
              <w:fldChar w:fldCharType="begin"/>
            </w:r>
            <w:r>
              <w:rPr>
                <w:webHidden/>
              </w:rPr>
              <w:instrText xml:space="preserve">PAGEREF _Toc68 \h</w:instrText>
            </w:r>
            <w:r>
              <w:rPr>
                <w:webHidden/>
              </w:rPr>
              <w:fldChar w:fldCharType="separate"/>
            </w:r>
            <w:r>
              <w:rPr>
                <w:rStyle w:val="Style12"/>
              </w:rPr>
              <w:tab/>
              <w:t xml:space="preserve">Пояснения к форме Данных бухгалтерской (финансовой) отчетности </w:t>
              <w:tab/>
              <w:t>80</w:t>
            </w:r>
            <w:r>
              <w:rPr>
                <w:webHidden/>
              </w:rPr>
              <w:fldChar w:fldCharType="end"/>
            </w:r>
          </w:hyperlink>
          <w:r>
            <w:rPr>
              <w:rStyle w:val="Style12"/>
            </w:rPr>
            <w:fldChar w:fldCharType="end"/>
          </w:r>
        </w:p>
      </w:sdtContent>
    </w:sdt>
    <w:p>
      <w:pPr>
        <w:pStyle w:val="Style21"/>
        <w:jc w:val="both"/>
        <w:rPr/>
      </w:pPr>
      <w:r>
        <w:rPr/>
      </w:r>
    </w:p>
    <w:p>
      <w:pPr>
        <w:pStyle w:val="Style21"/>
        <w:keepNext w:val="true"/>
        <w:spacing w:before="60" w:after="0"/>
        <w:rPr>
          <w:rStyle w:val="Style9"/>
        </w:rPr>
      </w:pPr>
      <w:r>
        <w:rPr>
          <w:rStyle w:val="Style9"/>
        </w:rPr>
        <w:t xml:space="preserve">[Примечание (дополнительные удобства работы с Документацией о закупке; Microsoft Word | </w:t>
      </w:r>
      <w:r>
        <w:rPr>
          <w:rStyle w:val="Style9"/>
          <w:color w:val="4472C4" w:themeColor="accent1"/>
        </w:rPr>
        <w:t>AlterOffice AText – отмечены отличая для данного текстового редактора</w:t>
      </w:r>
      <w:r>
        <w:rPr>
          <w:rStyle w:val="Style9"/>
        </w:rPr>
        <w:t>):</w:t>
      </w:r>
    </w:p>
    <w:p>
      <w:pPr>
        <w:pStyle w:val="Style21"/>
        <w:numPr>
          <w:ilvl w:val="0"/>
          <w:numId w:val="8"/>
        </w:numPr>
        <w:spacing w:before="60" w:after="0"/>
        <w:ind w:hanging="284" w:left="284"/>
        <w:rPr>
          <w:rStyle w:val="Style9"/>
        </w:rPr>
      </w:pPr>
      <w:r>
        <w:rPr>
          <w:rStyle w:val="Style9"/>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9"/>
          <w:color w:val="4472C4" w:themeColor="accent1"/>
        </w:rPr>
        <w:t>включается на вкладке «Вид» опцией «Навигатор»</w:t>
      </w:r>
      <w:r>
        <w:rPr>
          <w:rStyle w:val="Style9"/>
        </w:rPr>
        <w:t>;</w:t>
      </w:r>
    </w:p>
    <w:p>
      <w:pPr>
        <w:pStyle w:val="Style21"/>
        <w:numPr>
          <w:ilvl w:val="0"/>
          <w:numId w:val="8"/>
        </w:numPr>
        <w:spacing w:before="0" w:after="0"/>
        <w:ind w:hanging="284" w:left="284"/>
        <w:rPr>
          <w:rStyle w:val="Style9"/>
        </w:rPr>
      </w:pPr>
      <w:r>
        <w:rPr>
          <w:rStyle w:val="Style9"/>
        </w:rPr>
        <w:t>переход по перекрестным и другим ссылкам осуществляется левым кликом мыши с</w:t>
      </w:r>
      <w:r>
        <w:rPr>
          <w:rStyle w:val="Style9"/>
          <w:lang w:val="en-US"/>
        </w:rPr>
        <w:t> </w:t>
      </w:r>
      <w:r>
        <w:rPr>
          <w:rStyle w:val="Style9"/>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9"/>
          <w:color w:val="4472C4" w:themeColor="accent1"/>
        </w:rPr>
        <w:t>(обратный переход функционально не реализован в AlterOffice AText, пользуйтесь функциональностью «Навигатор»)</w:t>
      </w:r>
      <w:r>
        <w:rPr>
          <w:rStyle w:val="Style9"/>
        </w:rPr>
        <w:t>;</w:t>
      </w:r>
    </w:p>
    <w:p>
      <w:pPr>
        <w:pStyle w:val="Style21"/>
        <w:numPr>
          <w:ilvl w:val="0"/>
          <w:numId w:val="8"/>
        </w:numPr>
        <w:spacing w:before="0" w:after="0"/>
        <w:ind w:hanging="284" w:left="284"/>
        <w:rPr>
          <w:rStyle w:val="Style9"/>
        </w:rPr>
      </w:pPr>
      <w:r>
        <w:rPr>
          <w:rStyle w:val="Style9"/>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9"/>
          <w:lang w:val="en-US"/>
        </w:rPr>
        <w:t> </w:t>
      </w:r>
      <w:r>
        <w:rPr>
          <w:rStyle w:val="Style9"/>
        </w:rPr>
        <w:t>тексте;</w:t>
      </w:r>
    </w:p>
    <w:p>
      <w:pPr>
        <w:pStyle w:val="Style21"/>
        <w:numPr>
          <w:ilvl w:val="0"/>
          <w:numId w:val="8"/>
        </w:numPr>
        <w:spacing w:before="0" w:after="0"/>
        <w:ind w:hanging="284" w:left="284"/>
        <w:rPr>
          <w:rStyle w:val="Style9"/>
        </w:rPr>
      </w:pPr>
      <w:r>
        <w:rPr>
          <w:rStyle w:val="Style9"/>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9"/>
        </w:rPr>
        <w:t>.]</w:t>
      </w:r>
    </w:p>
    <w:p>
      <w:pPr>
        <w:pStyle w:val="Style20"/>
        <w:numPr>
          <w:ilvl w:val="0"/>
          <w:numId w:val="0"/>
        </w:numPr>
        <w:ind w:hanging="0" w:left="0"/>
        <w:outlineLvl w:val="0"/>
        <w:rPr/>
      </w:pPr>
      <w:bookmarkStart w:id="0" w:name="_Toc1"/>
      <w:r>
        <w:rPr/>
        <w:t>Сокращения</w:t>
      </w:r>
      <w:bookmarkEnd w:id="0"/>
    </w:p>
    <w:p>
      <w:pPr>
        <w:pStyle w:val="Style21"/>
        <w:ind w:firstLine="567"/>
        <w:rPr/>
      </w:pPr>
      <w:r>
        <w:rPr>
          <w:b/>
          <w:bCs/>
        </w:rPr>
        <w:t>ГК РФ</w:t>
      </w:r>
      <w:r>
        <w:rPr/>
        <w:t xml:space="preserve"> – Гражданской кодекс Российской Федерации.</w:t>
      </w:r>
    </w:p>
    <w:p>
      <w:pPr>
        <w:pStyle w:val="Style21"/>
        <w:ind w:firstLine="567"/>
        <w:rPr/>
      </w:pPr>
      <w:r>
        <w:rPr>
          <w:b/>
          <w:bCs/>
        </w:rPr>
        <w:t>Декларация ПИРААП</w:t>
      </w:r>
      <w:r>
        <w:rPr/>
        <w:t xml:space="preserve"> – декларация о подтверждении использования при изготовлении продукции российского алюминия и (или) его полуфабрикатов с указанием их доли в общем объеме используемого алюминия и (или) его полуфабрикатов в натуральном выражении.</w:t>
      </w:r>
    </w:p>
    <w:p>
      <w:pPr>
        <w:pStyle w:val="Style21"/>
        <w:ind w:firstLine="567"/>
        <w:rPr/>
      </w:pPr>
      <w:r>
        <w:rPr>
          <w:b/>
          <w:bCs/>
        </w:rPr>
        <w:t>ЕАЭС</w:t>
      </w:r>
      <w:r>
        <w:rPr/>
        <w:t xml:space="preserve"> – Евразийский экономический союз.</w:t>
      </w:r>
    </w:p>
    <w:p>
      <w:pPr>
        <w:pStyle w:val="Style21"/>
        <w:ind w:firstLine="567"/>
        <w:rPr/>
      </w:pPr>
      <w:r>
        <w:rPr>
          <w:b/>
          <w:bCs/>
        </w:rPr>
        <w:t>ЕГРИП</w:t>
      </w:r>
      <w:r>
        <w:rPr/>
        <w:t xml:space="preserve"> – Единый государственный реестр индивидуальных предпринимателей.</w:t>
      </w:r>
    </w:p>
    <w:p>
      <w:pPr>
        <w:pStyle w:val="Style21"/>
        <w:ind w:firstLine="567"/>
        <w:rPr/>
      </w:pPr>
      <w:r>
        <w:rPr>
          <w:b/>
          <w:bCs/>
        </w:rPr>
        <w:t>ЕГРЮЛ</w:t>
      </w:r>
      <w:r>
        <w:rPr/>
        <w:t xml:space="preserve"> – Единый государственный реестр юридических лиц.</w:t>
      </w:r>
    </w:p>
    <w:p>
      <w:pPr>
        <w:pStyle w:val="Style21"/>
        <w:ind w:firstLine="567"/>
        <w:rPr/>
      </w:pPr>
      <w:r>
        <w:rPr>
          <w:b/>
          <w:bCs/>
        </w:rPr>
        <w:t>ЕИС</w:t>
      </w:r>
      <w:r>
        <w:rPr/>
        <w:t xml:space="preserve"> – Единая информационная система в сфере закупок.</w:t>
      </w:r>
    </w:p>
    <w:p>
      <w:pPr>
        <w:pStyle w:val="Style21"/>
        <w:ind w:firstLine="567"/>
        <w:rPr/>
      </w:pPr>
      <w:r>
        <w:rPr>
          <w:b/>
          <w:bCs/>
        </w:rPr>
        <w:t>Закон 44-ФЗ</w:t>
      </w:r>
      <w:r>
        <w:rPr/>
        <w:t xml:space="preserve"> – Федеральный закон от 05.04.2013 № 44-ФЗ «О контрактной системе в сфере закупок товаров, работ, услуг для обеспечения государственных и муниципальных нужд».</w:t>
      </w:r>
    </w:p>
    <w:p>
      <w:pPr>
        <w:pStyle w:val="Style21"/>
        <w:ind w:firstLine="567"/>
        <w:rPr/>
      </w:pPr>
      <w:r>
        <w:rPr>
          <w:b/>
          <w:bCs/>
        </w:rPr>
        <w:t>Закон 98-ФЗ</w:t>
      </w:r>
      <w:r>
        <w:rPr/>
        <w:t xml:space="preserve"> – Федеральный закон от 29 июля 2004 года № 98-ФЗ «О коммерческой тайне».</w:t>
      </w:r>
    </w:p>
    <w:p>
      <w:pPr>
        <w:pStyle w:val="Style21"/>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21"/>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21"/>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21"/>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21"/>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21"/>
        <w:ind w:firstLine="567"/>
        <w:rPr/>
      </w:pPr>
      <w:r>
        <w:rPr>
          <w:b/>
          <w:bCs/>
        </w:rPr>
        <w:t>Извещение</w:t>
      </w:r>
      <w:r>
        <w:rPr/>
        <w:t xml:space="preserve"> – извещение о проведении настоящей закупки.</w:t>
      </w:r>
    </w:p>
    <w:p>
      <w:pPr>
        <w:pStyle w:val="Style21"/>
        <w:ind w:firstLine="567"/>
        <w:rPr/>
      </w:pPr>
      <w:r>
        <w:rPr>
          <w:b/>
          <w:bCs/>
        </w:rPr>
        <w:t>ИНН</w:t>
      </w:r>
      <w:r>
        <w:rPr/>
        <w:t xml:space="preserve"> – идентификационный номер налогоплательщика.</w:t>
      </w:r>
    </w:p>
    <w:p>
      <w:pPr>
        <w:pStyle w:val="Style21"/>
        <w:ind w:firstLine="567"/>
        <w:rPr/>
      </w:pPr>
      <w:r>
        <w:rPr>
          <w:b/>
          <w:bCs/>
        </w:rPr>
        <w:t>ИФНС</w:t>
      </w:r>
      <w:r>
        <w:rPr/>
        <w:t xml:space="preserve"> – инспекция Федеральной налоговой службы Российской Федерации.</w:t>
      </w:r>
    </w:p>
    <w:p>
      <w:pPr>
        <w:pStyle w:val="Style21"/>
        <w:ind w:firstLine="567"/>
        <w:rPr/>
      </w:pPr>
      <w:r>
        <w:rPr>
          <w:b/>
          <w:bCs/>
        </w:rPr>
        <w:t>МТР</w:t>
      </w:r>
      <w:r>
        <w:rPr/>
        <w:t xml:space="preserve"> – материально-технические ресурсы.</w:t>
      </w:r>
    </w:p>
    <w:p>
      <w:pPr>
        <w:pStyle w:val="Style21"/>
        <w:ind w:firstLine="567"/>
        <w:rPr/>
      </w:pPr>
      <w:r>
        <w:rPr>
          <w:b/>
          <w:bCs/>
        </w:rPr>
        <w:t>НДС</w:t>
      </w:r>
      <w:r>
        <w:rPr/>
        <w:t xml:space="preserve"> – налог на добавленную стоимость.</w:t>
      </w:r>
    </w:p>
    <w:p>
      <w:pPr>
        <w:pStyle w:val="Style21"/>
        <w:ind w:firstLine="567"/>
        <w:rPr/>
      </w:pPr>
      <w:r>
        <w:rPr>
          <w:b/>
          <w:bCs/>
        </w:rPr>
        <w:t>НМЦ</w:t>
      </w:r>
      <w:r>
        <w:rPr/>
        <w:t xml:space="preserve"> – начальная (максимальная) цена договора.</w:t>
      </w:r>
    </w:p>
    <w:p>
      <w:pPr>
        <w:pStyle w:val="Style21"/>
        <w:ind w:firstLine="567"/>
        <w:rPr/>
      </w:pPr>
      <w:r>
        <w:rPr>
          <w:b/>
          <w:bCs/>
        </w:rPr>
        <w:t>Оператор ЭП</w:t>
      </w:r>
      <w:r>
        <w:rPr/>
        <w:t xml:space="preserve"> – оператор электронной площадки.</w:t>
      </w:r>
    </w:p>
    <w:p>
      <w:pPr>
        <w:pStyle w:val="Style21"/>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21"/>
        <w:ind w:firstLine="567"/>
        <w:rPr/>
      </w:pPr>
      <w:r>
        <w:rPr>
          <w:b/>
          <w:bCs/>
        </w:rPr>
        <w:t>Положение о закупке</w:t>
      </w:r>
      <w:r>
        <w:rPr/>
        <w:t xml:space="preserve"> – Единое Положение о закупке продукции для нужд Группы РусГидро.</w:t>
      </w:r>
    </w:p>
    <w:p>
      <w:pPr>
        <w:pStyle w:val="Style21"/>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21"/>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21"/>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21"/>
        <w:ind w:firstLine="567"/>
        <w:rPr/>
      </w:pPr>
      <w:r>
        <w:rPr/>
      </w:r>
    </w:p>
    <w:p>
      <w:pPr>
        <w:pStyle w:val="Style21"/>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21"/>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21"/>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21"/>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21"/>
        <w:ind w:firstLine="567"/>
        <w:rPr/>
      </w:pPr>
      <w:r>
        <w:rPr>
          <w:b/>
          <w:bCs/>
        </w:rPr>
        <w:t>Субъект МСП</w:t>
      </w:r>
      <w:r>
        <w:rPr/>
        <w:t xml:space="preserve"> – субъект малого и среднего предпринимательства.</w:t>
      </w:r>
    </w:p>
    <w:p>
      <w:pPr>
        <w:pStyle w:val="Style21"/>
        <w:ind w:firstLine="567"/>
        <w:rPr/>
      </w:pPr>
      <w:r>
        <w:rPr>
          <w:b/>
          <w:bCs/>
        </w:rPr>
        <w:t>ЭП</w:t>
      </w:r>
      <w:r>
        <w:rPr/>
        <w:t xml:space="preserve"> – электронная площадка.</w:t>
      </w:r>
    </w:p>
    <w:p>
      <w:pPr>
        <w:pStyle w:val="Style20"/>
        <w:numPr>
          <w:ilvl w:val="0"/>
          <w:numId w:val="0"/>
        </w:numPr>
        <w:ind w:hanging="0" w:left="0"/>
        <w:outlineLvl w:val="0"/>
        <w:rPr/>
      </w:pPr>
      <w:bookmarkStart w:id="1" w:name="_Toc2"/>
      <w:r>
        <w:rPr/>
        <w:t>Термины и определения</w:t>
      </w:r>
      <w:bookmarkEnd w:id="1"/>
    </w:p>
    <w:p>
      <w:pPr>
        <w:pStyle w:val="Style21"/>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21"/>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1"/>
        <w:ind w:firstLine="567"/>
        <w:rPr/>
      </w:pPr>
      <w:r>
        <w:rPr>
          <w:b/>
          <w:bCs/>
        </w:rPr>
        <w:t>Вторая часть заявки</w:t>
      </w:r>
      <w:r>
        <w:rPr/>
        <w:t xml:space="preserve"> – комплект документов, входящих в состав заявки и содержащих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информацию и документы, необходимые для осуществления оценки заявки в отношении Участника (в случае установления в Документации о закупке соответствующих критериев и порядка оценки) (без указания сведений о ценовом предложении Участника).</w:t>
      </w:r>
    </w:p>
    <w:p>
      <w:pPr>
        <w:pStyle w:val="Style21"/>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21"/>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21"/>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21"/>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21"/>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21"/>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21"/>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21"/>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21"/>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21"/>
        <w:ind w:firstLine="567"/>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21"/>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21"/>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21"/>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21"/>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21"/>
        <w:ind w:firstLine="567"/>
        <w:rPr/>
      </w:pPr>
      <w:r>
        <w:rPr>
          <w:b/>
          <w:bCs/>
        </w:rPr>
        <w:t>Окончательное предложение</w:t>
      </w:r>
      <w:r>
        <w:rPr/>
        <w:t xml:space="preserve"> – комплект документов, входящих в состав первой части заявки и содержащих предложение Участника о функциональных характеристиках (потребительских свойствах) предлагаемой к поставке продукции и об иных условиях исполнения договора, с учетом уточненных Извещения и Документации о закупке по результатам проведенных обсуждений (в случае проведения таковых и выявления необходимости внесения изменений в Извещение и Документацию о закупке).</w:t>
      </w:r>
    </w:p>
    <w:p>
      <w:pPr>
        <w:pStyle w:val="Style21"/>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21"/>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21"/>
        <w:ind w:firstLine="567"/>
        <w:rPr/>
      </w:pPr>
      <w:r>
        <w:rPr>
          <w:b/>
          <w:bCs/>
        </w:rPr>
        <w:t>Официальное размещение</w:t>
      </w:r>
      <w:r>
        <w:rPr/>
        <w:t xml:space="preserve"> – размещение информации о закупке в ЕИС, на Официальном сайте </w:t>
      </w:r>
      <w:bookmarkStart w:id="2" w:name="_Hlk149048701"/>
      <w:r>
        <w:rPr/>
        <w:t>(с размещением копий на ЭП)</w:t>
      </w:r>
      <w:bookmarkEnd w:id="2"/>
      <w:r>
        <w:rPr/>
        <w:t>.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21"/>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ценовых предложений с целью повысить их предпочтительность для Заказчика.</w:t>
      </w:r>
    </w:p>
    <w:p>
      <w:pPr>
        <w:pStyle w:val="Style21"/>
        <w:ind w:firstLine="567"/>
        <w:rPr/>
      </w:pPr>
      <w:r>
        <w:rPr>
          <w:b/>
          <w:bCs/>
        </w:rPr>
        <w:t>Первая часть заявки</w:t>
      </w:r>
      <w:r>
        <w:rPr/>
        <w:t xml:space="preserve"> – комплект документов, входящих в состав заявки и содержащих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об окончательном предложении Участника по результатам проведения обсуждений (в случае проведения таковых), а также информацию и документы, необходимые для осуществления оценки заявки в отношении предлагаемой к поставке продукции (в случае установления в Документации о закупке соответствующих критериев и порядка оценки).</w:t>
      </w:r>
    </w:p>
    <w:p>
      <w:pPr>
        <w:pStyle w:val="Style21"/>
        <w:ind w:firstLine="567"/>
        <w:rPr/>
      </w:pPr>
      <w:r>
        <w:rPr>
          <w:b/>
          <w:bCs/>
        </w:rPr>
        <w:t>Победитель</w:t>
      </w:r>
      <w:r>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21"/>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21"/>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21"/>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21"/>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21"/>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21"/>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21"/>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21"/>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2"/>
      </w:r>
      <w:r>
        <w:rPr/>
        <w:t>, если иное не установлено в Документации о закупке.</w:t>
      </w:r>
    </w:p>
    <w:p>
      <w:pPr>
        <w:pStyle w:val="Style21"/>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21"/>
        <w:ind w:firstLine="567"/>
        <w:rPr/>
      </w:pPr>
      <w:r>
        <w:rPr>
          <w:b/>
          <w:bCs/>
        </w:rPr>
        <w:t>Участник</w:t>
      </w:r>
      <w:r>
        <w:rPr/>
        <w:t xml:space="preserve"> –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в том числе индивидуальный предприниматель, ,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1"/>
        <w:ind w:firstLine="567"/>
        <w:rPr/>
      </w:pPr>
      <w:r>
        <w:rPr>
          <w:b/>
          <w:bCs/>
        </w:rPr>
        <w:t>Ценовое предложение</w:t>
      </w:r>
      <w:r>
        <w:rPr/>
        <w:t xml:space="preserve"> – комплект документов, входящих в состав заявки, но подаваемых отдельно от первой и второй частей заявки и содержащих предложение Участника о цене Договора и (или) каждой единицы продукции, являющейся предметом Договора, и (или) формулу расчета цены Договора и (или) расходы на эксплуатацию и ремонт товаров, использование результатов работ / услуг и (или) любые иные сведения / документы, требуемые в соответствии с Документацией о закупке и содержащие информацию о ценовых параметрах предложения Участника.</w:t>
      </w:r>
    </w:p>
    <w:p>
      <w:pPr>
        <w:pStyle w:val="Style15"/>
        <w:spacing w:before="0" w:after="0"/>
        <w:rPr/>
      </w:pPr>
      <w:bookmarkStart w:id="3" w:name="_Ref125359988"/>
      <w:bookmarkStart w:id="4" w:name="_Toc3"/>
      <w:r>
        <w:rPr/>
        <w:t>Основные сведения о закупке</w:t>
      </w:r>
      <w:bookmarkEnd w:id="3"/>
      <w:bookmarkEnd w:id="4"/>
    </w:p>
    <w:p>
      <w:pPr>
        <w:pStyle w:val="Style16"/>
        <w:spacing w:before="360" w:after="0"/>
        <w:rPr/>
      </w:pPr>
      <w:bookmarkStart w:id="5" w:name="_Toc4"/>
      <w:r>
        <w:rPr/>
        <w:t>Статус настоящего раздела</w:t>
      </w:r>
      <w:bookmarkEnd w:id="5"/>
    </w:p>
    <w:p>
      <w:pPr>
        <w:pStyle w:val="Style17"/>
        <w:spacing w:before="120" w:after="0"/>
        <w:rPr/>
      </w:pPr>
      <w:r>
        <w:rPr/>
        <w:t>В настоящем разделе содержатся основные сведения о предмете, способе и иных ключевых условиях проводимой закупки.</w:t>
      </w:r>
    </w:p>
    <w:p>
      <w:pPr>
        <w:pStyle w:val="Style17"/>
        <w:spacing w:before="0" w:after="0"/>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tgtFrame="#Прил01_ТехТребования">
        <w:r>
          <w:rPr>
            <w:rStyle w:val="Style6"/>
          </w:rPr>
          <w:t>Технических требованиях (Приложение № 1)</w:t>
        </w:r>
      </w:hyperlink>
      <w:r>
        <w:rPr>
          <w:rStyle w:val="Style6"/>
        </w:rPr>
        <w:t>,</w:t>
      </w:r>
      <w:r>
        <w:rPr/>
        <w:t xml:space="preserve"> в </w:t>
      </w:r>
      <w:hyperlink w:anchor="Прил02_ПроектДоговора" w:tgtFrame="#Прил02_ПроектДоговора">
        <w:r>
          <w:rPr>
            <w:rStyle w:val="Style6"/>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17"/>
        <w:spacing w:before="0" w:after="0"/>
        <w:rPr/>
      </w:pPr>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p>
    <w:p>
      <w:pPr>
        <w:pStyle w:val="Style16"/>
        <w:spacing w:before="360" w:after="120"/>
        <w:rPr/>
      </w:pPr>
      <w:bookmarkStart w:id="6" w:name="_Ref125359973"/>
      <w:bookmarkStart w:id="7" w:name="_Ref127270076"/>
      <w:bookmarkStart w:id="8" w:name="_Ref132876309"/>
      <w:bookmarkStart w:id="9" w:name="_Toc5"/>
      <w:r>
        <w:rPr/>
        <w:t>Информация о проводимой закупке</w:t>
      </w:r>
      <w:bookmarkEnd w:id="6"/>
      <w:bookmarkEnd w:id="7"/>
      <w:bookmarkEnd w:id="8"/>
      <w:bookmarkEnd w:id="9"/>
    </w:p>
    <w:tbl>
      <w:tblPr>
        <w:tblStyle w:val="1158"/>
        <w:tblW w:w="9912"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6"/>
        <w:gridCol w:w="2972"/>
        <w:gridCol w:w="5814"/>
      </w:tblGrid>
      <w:tr>
        <w:trPr/>
        <w:tc>
          <w:tcPr>
            <w:tcW w:w="1126" w:type="dxa"/>
            <w:tcBorders/>
          </w:tcPr>
          <w:p>
            <w:pPr>
              <w:pStyle w:val="Style21"/>
              <w:keepNext w:val="true"/>
              <w:keepLines w:val="false"/>
              <w:widowControl w:val="false"/>
              <w:suppressAutoHyphens w:val="true"/>
              <w:spacing w:lineRule="auto" w:line="240" w:before="60" w:after="60"/>
              <w:jc w:val="center"/>
              <w:rPr>
                <w:sz w:val="24"/>
                <w:szCs w:val="24"/>
              </w:rPr>
            </w:pPr>
            <w:r>
              <w:rPr>
                <w:rFonts w:eastAsia="Calibri" w:cs="Arial"/>
                <w:b/>
                <w:kern w:val="0"/>
                <w:sz w:val="24"/>
                <w:szCs w:val="24"/>
                <w:lang w:val="ru-RU" w:eastAsia="en-US" w:bidi="ar-SA"/>
              </w:rPr>
              <w:t>№</w:t>
            </w:r>
            <w:r>
              <w:rPr>
                <w:rFonts w:eastAsia="Calibri" w:cs="Arial"/>
                <w:b/>
                <w:kern w:val="0"/>
                <w:sz w:val="24"/>
                <w:szCs w:val="24"/>
                <w:lang w:val="ru-RU" w:eastAsia="en-US" w:bidi="ar-SA"/>
              </w:rPr>
              <w:br/>
              <w:t>п/п</w:t>
            </w:r>
          </w:p>
        </w:tc>
        <w:tc>
          <w:tcPr>
            <w:tcW w:w="2972" w:type="dxa"/>
            <w:tcBorders/>
          </w:tcPr>
          <w:p>
            <w:pPr>
              <w:pStyle w:val="Style21"/>
              <w:keepNext w:val="true"/>
              <w:keepLines w:val="false"/>
              <w:widowControl w:val="false"/>
              <w:suppressAutoHyphens w:val="true"/>
              <w:spacing w:lineRule="auto" w:line="240" w:before="60" w:after="60"/>
              <w:jc w:val="center"/>
              <w:rPr>
                <w:sz w:val="24"/>
                <w:szCs w:val="24"/>
              </w:rPr>
            </w:pPr>
            <w:r>
              <w:rPr>
                <w:rFonts w:eastAsia="Calibri" w:cs="Arial"/>
                <w:b/>
                <w:kern w:val="0"/>
                <w:sz w:val="24"/>
                <w:szCs w:val="24"/>
                <w:lang w:val="ru-RU" w:eastAsia="en-US" w:bidi="ar-SA"/>
              </w:rPr>
              <w:t>Наименование пункта</w:t>
            </w:r>
          </w:p>
        </w:tc>
        <w:tc>
          <w:tcPr>
            <w:tcW w:w="5814" w:type="dxa"/>
            <w:tcBorders/>
          </w:tcPr>
          <w:p>
            <w:pPr>
              <w:pStyle w:val="Style21"/>
              <w:keepNext w:val="true"/>
              <w:keepLines w:val="false"/>
              <w:widowControl w:val="false"/>
              <w:suppressAutoHyphens w:val="true"/>
              <w:spacing w:lineRule="auto" w:line="240" w:before="60" w:after="60"/>
              <w:jc w:val="center"/>
              <w:rPr>
                <w:sz w:val="24"/>
                <w:szCs w:val="24"/>
              </w:rPr>
            </w:pPr>
            <w:r>
              <w:rPr>
                <w:rFonts w:eastAsia="Calibri" w:cs="Arial"/>
                <w:b/>
                <w:kern w:val="0"/>
                <w:sz w:val="24"/>
                <w:szCs w:val="24"/>
                <w:lang w:val="ru-RU" w:eastAsia="en-US" w:bidi="ar-SA"/>
              </w:rPr>
              <w:t>Содержание пункта</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10" w:name="_Ref125360980"/>
            <w:bookmarkStart w:id="11" w:name="_Ref125360980"/>
            <w:bookmarkEnd w:id="11"/>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Способ закупки:</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Конкурс в электронной форме, участниками которого могут быть только субъекты МСП.</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12" w:name="_Ref125360996"/>
            <w:bookmarkStart w:id="13" w:name="_Ref125360996"/>
            <w:bookmarkEnd w:id="13"/>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Предмет Договора</w:t>
              <w:br/>
              <w:t>(в том числе номер лота):</w:t>
            </w:r>
          </w:p>
        </w:tc>
        <w:tc>
          <w:tcPr>
            <w:tcW w:w="5814" w:type="dxa"/>
            <w:tcBorders/>
          </w:tcPr>
          <w:p>
            <w:pPr>
              <w:pStyle w:val="Style21"/>
              <w:widowControl w:val="false"/>
              <w:suppressAutoHyphens w:val="true"/>
              <w:spacing w:lineRule="auto" w:line="240" w:before="60" w:after="60"/>
              <w:rPr>
                <w:rFonts w:ascii="Times New Roman" w:hAnsi="Times New Roman" w:cs="Times New Roman"/>
                <w:color w:val="000000" w:themeColor="text1"/>
                <w:sz w:val="24"/>
                <w:szCs w:val="24"/>
              </w:rPr>
            </w:pPr>
            <w:r>
              <w:rPr>
                <w:rFonts w:eastAsia="Times New Roman" w:cs="Times New Roman"/>
                <w:color w:val="000000" w:themeColor="text1"/>
                <w:kern w:val="0"/>
                <w:sz w:val="24"/>
                <w:szCs w:val="24"/>
                <w:lang w:val="ru-RU" w:eastAsia="en-US" w:bidi="ar-SA"/>
              </w:rPr>
              <w:t>Лот № </w:t>
            </w:r>
            <w:r>
              <w:rPr>
                <w:rFonts w:eastAsia="Times New Roman" w:cs="Times New Roman"/>
                <w:color w:val="000000" w:themeColor="text1"/>
                <w:kern w:val="0"/>
                <w:sz w:val="24"/>
                <w:szCs w:val="24"/>
                <w:highlight w:val="white"/>
                <w:lang w:val="ru-RU" w:eastAsia="en-US" w:bidi="ar-SA"/>
              </w:rPr>
              <w:t>11023032-РЕМ ПРОД-2026-ДГК-НерГРЭС</w:t>
            </w:r>
            <w:r>
              <w:rPr>
                <w:rFonts w:eastAsia="Times New Roman" w:cs="Times New Roman"/>
                <w:color w:val="000000" w:themeColor="text1"/>
                <w:kern w:val="0"/>
                <w:sz w:val="24"/>
                <w:szCs w:val="24"/>
                <w:lang w:val="ru-RU" w:eastAsia="en-US" w:bidi="ar-SA"/>
              </w:rPr>
              <w:t xml:space="preserve">: </w:t>
            </w:r>
            <w:r>
              <w:rPr>
                <w:rFonts w:eastAsia="Times New Roman" w:cs="Times New Roman"/>
                <w:color w:val="000000" w:themeColor="text1"/>
                <w:kern w:val="0"/>
                <w:sz w:val="24"/>
                <w:szCs w:val="24"/>
                <w:highlight w:val="white"/>
                <w:lang w:val="ru-RU" w:eastAsia="en-US" w:bidi="ar-SA"/>
              </w:rPr>
              <w:t>ОКПД2 43.29.11.140 Выполнение работ по покрытию кабельных трасс огнезащитным составом электрического цеха Нерюнгринской ГРЭС, г. Нерюнгри пос. Серебряный Бор</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p>
        </w:tc>
        <w:tc>
          <w:tcPr>
            <w:tcW w:w="2972"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Описание</w:t>
              <w:br/>
              <w:t>предмета закупки:</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tgtFrame="#Прил01_ТехТребования">
              <w:r>
                <w:rPr>
                  <w:rStyle w:val="Style6"/>
                  <w:rFonts w:eastAsia="Calibri" w:cs="Arial"/>
                  <w:kern w:val="0"/>
                  <w:sz w:val="24"/>
                  <w:szCs w:val="24"/>
                  <w:lang w:val="ru-RU" w:eastAsia="en-US" w:bidi="ar-SA"/>
                </w:rPr>
                <w:t>Технических требованиях (Приложении № 1)</w:t>
              </w:r>
            </w:hyperlink>
            <w:r>
              <w:rPr>
                <w:rFonts w:eastAsia="Calibri" w:cs="Arial"/>
                <w:kern w:val="0"/>
                <w:sz w:val="24"/>
                <w:szCs w:val="24"/>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tgtFrame="#Прил04_ФормыЗаявки">
              <w:r>
                <w:rPr>
                  <w:rStyle w:val="Style6"/>
                  <w:rFonts w:eastAsia="Calibri" w:cs="Arial"/>
                  <w:kern w:val="0"/>
                  <w:sz w:val="24"/>
                  <w:szCs w:val="24"/>
                  <w:lang w:val="ru-RU" w:eastAsia="en-US" w:bidi="ar-SA"/>
                </w:rPr>
                <w:t>Приложение № 4</w:t>
              </w:r>
            </w:hyperlink>
            <w:r>
              <w:rPr>
                <w:rFonts w:eastAsia="Calibri" w:cs="Arial"/>
                <w:kern w:val="0"/>
                <w:sz w:val="24"/>
                <w:szCs w:val="24"/>
                <w:lang w:val="ru-RU" w:eastAsia="en-US" w:bidi="ar-SA"/>
              </w:rPr>
              <w:t>)).</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14" w:name="_Ref125367124"/>
            <w:bookmarkStart w:id="15" w:name="_Ref125367124"/>
            <w:bookmarkEnd w:id="15"/>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Многолотовая закупка:</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Нет.</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16" w:name="_Ref125360764"/>
            <w:bookmarkStart w:id="17" w:name="_Ref125360764"/>
            <w:bookmarkEnd w:id="17"/>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Наименование и адрес ЭП, на которой проводится закупка:</w:t>
            </w:r>
          </w:p>
        </w:tc>
        <w:tc>
          <w:tcPr>
            <w:tcW w:w="5814" w:type="dxa"/>
            <w:tcBorders/>
          </w:tcPr>
          <w:p>
            <w:pPr>
              <w:pStyle w:val="Normal"/>
              <w:widowControl w:val="false"/>
              <w:suppressAutoHyphens w:val="true"/>
              <w:spacing w:lineRule="auto" w:line="240" w:before="60" w:after="60"/>
              <w:jc w:val="both"/>
              <w:rPr>
                <w:rFonts w:ascii="Times New Roman" w:hAnsi="Times New Roman" w:cs="Times New Roman"/>
                <w:b/>
                <w:bCs/>
                <w:color w:val="365F91"/>
                <w:sz w:val="24"/>
                <w:szCs w:val="24"/>
                <w:highlight w:val="white"/>
              </w:rPr>
            </w:pPr>
            <w:r>
              <w:rPr>
                <w:rFonts w:eastAsia="Times New Roman" w:cs="Times New Roman"/>
                <w:i w:val="false"/>
                <w:iCs w:val="false"/>
                <w:kern w:val="0"/>
                <w:sz w:val="24"/>
                <w:szCs w:val="24"/>
                <w:highlight w:val="white"/>
                <w:lang w:val="ru-RU" w:eastAsia="en-US" w:bidi="ar-SA"/>
              </w:rPr>
              <w:t>Закупка проводится с помощью Единой электронной торговой площадки Росэлторг</w:t>
            </w:r>
            <w:r>
              <w:rPr>
                <w:rFonts w:eastAsia="Times New Roman" w:cs="Times New Roman"/>
                <w:i w:val="false"/>
                <w:iCs w:val="false"/>
                <w:color w:val="1F497D"/>
                <w:kern w:val="0"/>
                <w:sz w:val="24"/>
                <w:szCs w:val="24"/>
                <w:highlight w:val="white"/>
                <w:lang w:val="ru-RU" w:eastAsia="en-US" w:bidi="ar-SA"/>
              </w:rPr>
              <w:t xml:space="preserve"> </w:t>
            </w:r>
            <w:hyperlink r:id="rId3" w:tgtFrame="https://corp.roseltorg.ru.">
              <w:r>
                <w:rPr>
                  <w:rStyle w:val="Hyperlink"/>
                  <w:rFonts w:eastAsia="Times New Roman" w:cs="Times New Roman"/>
                  <w:i w:val="false"/>
                  <w:iCs w:val="false"/>
                  <w:kern w:val="0"/>
                  <w:sz w:val="24"/>
                  <w:szCs w:val="24"/>
                  <w:highlight w:val="white"/>
                  <w:lang w:val="ru-RU" w:eastAsia="en-US" w:bidi="ar-SA"/>
                </w:rPr>
                <w:t>https://corp.roseltorg.ru.</w:t>
              </w:r>
            </w:hyperlink>
          </w:p>
          <w:p>
            <w:pPr>
              <w:pStyle w:val="Style21"/>
              <w:widowControl w:val="false"/>
              <w:suppressAutoHyphens w:val="true"/>
              <w:spacing w:lineRule="auto" w:line="240" w:before="60" w:after="60"/>
              <w:rPr>
                <w:bCs w:val="false"/>
                <w:i w:val="false"/>
                <w:i w:val="false"/>
                <w:sz w:val="24"/>
                <w:szCs w:val="24"/>
                <w:highlight w:val="white"/>
              </w:rPr>
            </w:pPr>
            <w:r>
              <w:rPr>
                <w:rFonts w:eastAsia="Times New Roman" w:cs="Times New Roman"/>
                <w:i w:val="false"/>
                <w:iCs w:val="false"/>
                <w:kern w:val="0"/>
                <w:sz w:val="24"/>
                <w:szCs w:val="24"/>
                <w:highlight w:val="white"/>
                <w:lang w:val="ru-RU" w:eastAsia="en-US" w:bidi="ar-SA"/>
              </w:rPr>
              <w:t xml:space="preserve">Регламент ЭТП, в соответствии с которым проводится закупка, размещен по адресу: </w:t>
            </w:r>
            <w:r>
              <w:rPr>
                <w:rStyle w:val="Style3"/>
                <w:rFonts w:eastAsia="Calibri" w:cs="Arial"/>
                <w:i w:val="false"/>
                <w:iCs w:val="false"/>
                <w:kern w:val="0"/>
                <w:sz w:val="24"/>
                <w:szCs w:val="24"/>
                <w:highlight w:val="white"/>
                <w:lang w:val="ru-RU" w:eastAsia="en-US" w:bidi="ar-SA"/>
              </w:rPr>
              <w:t>www.roseltorg.ru/knowledge_db/docs/documents</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18" w:name="_Ref125360970"/>
            <w:bookmarkStart w:id="19" w:name="_Ref125360970"/>
            <w:bookmarkEnd w:id="19"/>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Участники:</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tgtFrame="#Прил02_ПроектДоговора">
              <w:r>
                <w:rPr>
                  <w:rStyle w:val="Style6"/>
                  <w:rFonts w:eastAsia="Calibri" w:cs="Arial"/>
                  <w:kern w:val="0"/>
                  <w:sz w:val="24"/>
                  <w:szCs w:val="24"/>
                  <w:lang w:val="ru-RU" w:eastAsia="en-US" w:bidi="ar-SA"/>
                </w:rPr>
                <w:t>Проекта Договора (Приложение № 2)</w:t>
              </w:r>
            </w:hyperlink>
            <w:r>
              <w:rPr>
                <w:rFonts w:eastAsia="Calibri" w:cs="Arial"/>
                <w:kern w:val="0"/>
                <w:sz w:val="24"/>
                <w:szCs w:val="24"/>
                <w:lang w:val="ru-RU" w:eastAsia="en-US" w:bidi="ar-SA"/>
              </w:rPr>
              <w:t xml:space="preserve"> прямого запрета на привлечение к исполнению обязательств по Договору третьих лиц).</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20" w:name="_Ref125360988"/>
            <w:bookmarkStart w:id="21" w:name="_Ref125360988"/>
            <w:bookmarkEnd w:id="21"/>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Заказчик:</w:t>
            </w:r>
          </w:p>
        </w:tc>
        <w:tc>
          <w:tcPr>
            <w:tcW w:w="5814" w:type="dxa"/>
            <w:tcBorders/>
          </w:tcPr>
          <w:p>
            <w:pPr>
              <w:pStyle w:val="Normal"/>
              <w:widowControl w:val="false"/>
              <w:suppressAutoHyphens w:val="true"/>
              <w:spacing w:lineRule="auto" w:line="240" w:before="0" w:after="60"/>
              <w:jc w:val="both"/>
              <w:rPr>
                <w:rFonts w:ascii="Times New Roman" w:hAnsi="Times New Roman" w:cs="Times New Roman"/>
                <w:i w:val="false"/>
                <w:i w:val="false"/>
                <w:iCs w:val="false"/>
                <w:sz w:val="24"/>
                <w:szCs w:val="24"/>
              </w:rPr>
            </w:pPr>
            <w:r>
              <w:rPr>
                <w:rFonts w:eastAsia="Times New Roman" w:cs="Times New Roman"/>
                <w:i w:val="false"/>
                <w:iCs w:val="false"/>
                <w:kern w:val="0"/>
                <w:sz w:val="24"/>
                <w:szCs w:val="24"/>
                <w:lang w:val="ru-RU" w:eastAsia="en-US" w:bidi="ar-SA"/>
              </w:rPr>
              <w:t>Акционерное общество «Дальневосточная генерирующая компания» (далее - АО «ДГК»)</w:t>
            </w:r>
          </w:p>
          <w:p>
            <w:pPr>
              <w:pStyle w:val="Normal"/>
              <w:widowControl w:val="false"/>
              <w:suppressAutoHyphens w:val="true"/>
              <w:spacing w:lineRule="auto" w:line="240" w:before="0" w:after="60"/>
              <w:jc w:val="both"/>
              <w:rPr>
                <w:rFonts w:ascii="Times New Roman" w:hAnsi="Times New Roman" w:cs="Times New Roman"/>
                <w:i w:val="false"/>
                <w:i w:val="false"/>
                <w:iCs w:val="false"/>
                <w:sz w:val="24"/>
                <w:szCs w:val="24"/>
              </w:rPr>
            </w:pPr>
            <w:r>
              <w:rPr>
                <w:rFonts w:eastAsia="Times New Roman" w:cs="Times New Roman"/>
                <w:i w:val="false"/>
                <w:iCs w:val="false"/>
                <w:kern w:val="0"/>
                <w:sz w:val="24"/>
                <w:szCs w:val="24"/>
                <w:lang w:val="ru-RU" w:eastAsia="en-US" w:bidi="ar-SA"/>
              </w:rPr>
              <w:t>Место нахождения: 680000, г. Хабаровск, ул. Фрунзе, д. 49</w:t>
            </w:r>
          </w:p>
          <w:p>
            <w:pPr>
              <w:pStyle w:val="Normal"/>
              <w:widowControl w:val="false"/>
              <w:suppressAutoHyphens w:val="true"/>
              <w:spacing w:lineRule="auto" w:line="240" w:before="0" w:after="60"/>
              <w:jc w:val="both"/>
              <w:rPr>
                <w:rFonts w:ascii="Times New Roman" w:hAnsi="Times New Roman" w:cs="Times New Roman"/>
                <w:i w:val="false"/>
                <w:i w:val="false"/>
                <w:iCs w:val="false"/>
                <w:sz w:val="24"/>
                <w:szCs w:val="24"/>
              </w:rPr>
            </w:pPr>
            <w:r>
              <w:rPr>
                <w:rFonts w:eastAsia="Times New Roman" w:cs="Times New Roman"/>
                <w:i w:val="false"/>
                <w:iCs w:val="false"/>
                <w:kern w:val="0"/>
                <w:sz w:val="24"/>
                <w:szCs w:val="24"/>
                <w:lang w:val="ru-RU" w:eastAsia="en-US" w:bidi="ar-SA"/>
              </w:rPr>
              <w:t>Почтовый адрес: 680000, г. Хабаровск, ул. Фрунзе, д. 49</w:t>
            </w:r>
          </w:p>
          <w:p>
            <w:pPr>
              <w:pStyle w:val="Normal"/>
              <w:widowControl w:val="false"/>
              <w:suppressAutoHyphens w:val="true"/>
              <w:spacing w:lineRule="auto" w:line="240" w:before="0" w:after="60"/>
              <w:jc w:val="both"/>
              <w:rPr>
                <w:rFonts w:ascii="Times New Roman" w:hAnsi="Times New Roman" w:cs="Times New Roman"/>
                <w:i w:val="false"/>
                <w:i w:val="false"/>
                <w:iCs w:val="false"/>
                <w:sz w:val="24"/>
                <w:szCs w:val="24"/>
              </w:rPr>
            </w:pPr>
            <w:r>
              <w:rPr>
                <w:rFonts w:eastAsia="Times New Roman" w:cs="Times New Roman"/>
                <w:i w:val="false"/>
                <w:iCs w:val="false"/>
                <w:kern w:val="0"/>
                <w:sz w:val="24"/>
                <w:szCs w:val="24"/>
                <w:lang w:val="ru-RU" w:eastAsia="en-US" w:bidi="ar-SA"/>
              </w:rPr>
              <w:t xml:space="preserve">Адрес электронной почты: </w:t>
            </w:r>
            <w:hyperlink r:id="rId4" w:tgtFrame="mailto:dgk@dgk.ru">
              <w:r>
                <w:rPr>
                  <w:rStyle w:val="Hyperlink"/>
                  <w:rFonts w:eastAsia="Times New Roman" w:cs="Times New Roman"/>
                  <w:i w:val="false"/>
                  <w:iCs w:val="false"/>
                  <w:kern w:val="0"/>
                  <w:sz w:val="24"/>
                  <w:szCs w:val="24"/>
                  <w:lang w:val="en-US" w:eastAsia="en-US" w:bidi="ar-SA"/>
                </w:rPr>
                <w:t>dgk</w:t>
              </w:r>
              <w:r>
                <w:rPr>
                  <w:rStyle w:val="Hyperlink"/>
                  <w:rFonts w:eastAsia="Times New Roman" w:cs="Times New Roman"/>
                  <w:i w:val="false"/>
                  <w:iCs w:val="false"/>
                  <w:kern w:val="0"/>
                  <w:sz w:val="24"/>
                  <w:szCs w:val="24"/>
                  <w:lang w:val="ru-RU" w:eastAsia="en-US" w:bidi="ar-SA"/>
                </w:rPr>
                <w:t>@</w:t>
              </w:r>
              <w:r>
                <w:rPr>
                  <w:rStyle w:val="Hyperlink"/>
                  <w:rFonts w:eastAsia="Times New Roman" w:cs="Times New Roman"/>
                  <w:i w:val="false"/>
                  <w:iCs w:val="false"/>
                  <w:kern w:val="0"/>
                  <w:sz w:val="24"/>
                  <w:szCs w:val="24"/>
                  <w:lang w:val="en-US" w:eastAsia="en-US" w:bidi="ar-SA"/>
                </w:rPr>
                <w:t>dgk</w:t>
              </w:r>
              <w:r>
                <w:rPr>
                  <w:rStyle w:val="Hyperlink"/>
                  <w:rFonts w:eastAsia="Times New Roman" w:cs="Times New Roman"/>
                  <w:i w:val="false"/>
                  <w:iCs w:val="false"/>
                  <w:kern w:val="0"/>
                  <w:sz w:val="24"/>
                  <w:szCs w:val="24"/>
                  <w:lang w:val="ru-RU" w:eastAsia="en-US" w:bidi="ar-SA"/>
                </w:rPr>
                <w:t>.</w:t>
              </w:r>
              <w:r>
                <w:rPr>
                  <w:rStyle w:val="Hyperlink"/>
                  <w:rFonts w:eastAsia="Times New Roman" w:cs="Times New Roman"/>
                  <w:i w:val="false"/>
                  <w:iCs w:val="false"/>
                  <w:kern w:val="0"/>
                  <w:sz w:val="24"/>
                  <w:szCs w:val="24"/>
                  <w:lang w:val="en-US" w:eastAsia="en-US" w:bidi="ar-SA"/>
                </w:rPr>
                <w:t>ru</w:t>
              </w:r>
            </w:hyperlink>
            <w:r>
              <w:rPr>
                <w:rFonts w:eastAsia="Times New Roman" w:cs="Times New Roman"/>
                <w:i w:val="false"/>
                <w:iCs w:val="false"/>
                <w:kern w:val="0"/>
                <w:sz w:val="24"/>
                <w:szCs w:val="24"/>
                <w:lang w:val="ru-RU" w:eastAsia="en-US" w:bidi="ar-SA"/>
              </w:rPr>
              <w:t xml:space="preserve"> </w:t>
            </w:r>
          </w:p>
          <w:p>
            <w:pPr>
              <w:pStyle w:val="Normal"/>
              <w:widowControl w:val="false"/>
              <w:suppressAutoHyphens w:val="true"/>
              <w:spacing w:lineRule="auto" w:line="240" w:before="0" w:after="60"/>
              <w:jc w:val="both"/>
              <w:rPr>
                <w:rFonts w:ascii="Times New Roman" w:hAnsi="Times New Roman" w:cs="Times New Roman"/>
                <w:i w:val="false"/>
                <w:i w:val="false"/>
                <w:iCs w:val="false"/>
                <w:sz w:val="24"/>
                <w:szCs w:val="24"/>
              </w:rPr>
            </w:pPr>
            <w:r>
              <w:rPr>
                <w:rFonts w:eastAsia="Times New Roman" w:cs="Times New Roman"/>
                <w:i w:val="false"/>
                <w:iCs w:val="false"/>
                <w:kern w:val="0"/>
                <w:sz w:val="24"/>
                <w:szCs w:val="24"/>
                <w:lang w:val="ru-RU" w:eastAsia="en-US" w:bidi="ar-SA"/>
              </w:rPr>
              <w:t>Контактный телефон: +7(4212) 26-42-30</w:t>
            </w:r>
          </w:p>
          <w:p>
            <w:pPr>
              <w:pStyle w:val="Normal"/>
              <w:widowControl w:val="false"/>
              <w:suppressAutoHyphens w:val="true"/>
              <w:spacing w:lineRule="auto" w:line="240" w:before="60" w:after="60"/>
              <w:ind w:hanging="0"/>
              <w:jc w:val="both"/>
              <w:rPr>
                <w:i w:val="false"/>
                <w:i w:val="false"/>
                <w:iCs w:val="false"/>
                <w:u w:val="none"/>
              </w:rPr>
            </w:pPr>
            <w:r>
              <w:rPr>
                <w:rFonts w:eastAsia="Calibri" w:cs="Arial"/>
                <w:b w:val="false"/>
                <w:bCs w:val="false"/>
                <w:i w:val="false"/>
                <w:iCs w:val="false"/>
                <w:kern w:val="0"/>
                <w:sz w:val="24"/>
                <w:szCs w:val="24"/>
                <w:highlight w:val="white"/>
                <w:u w:val="none"/>
                <w:lang w:val="ru-RU" w:eastAsia="en-US" w:bidi="ar-SA"/>
              </w:rPr>
              <w:t>По вопросам  заключения Договора обращаться</w:t>
            </w:r>
            <w:r>
              <w:rPr>
                <w:rFonts w:eastAsia="Times New Roman" w:cs="Times New Roman"/>
                <w:b w:val="false"/>
                <w:bCs w:val="false"/>
                <w:i w:val="false"/>
                <w:iCs w:val="false"/>
                <w:kern w:val="0"/>
                <w:sz w:val="24"/>
                <w:szCs w:val="24"/>
                <w:highlight w:val="white"/>
                <w:u w:val="none"/>
                <w:lang w:val="ru-RU" w:eastAsia="en-US" w:bidi="ar-SA"/>
              </w:rPr>
              <w:t xml:space="preserve"> к Лопатину Герману Антоновичу</w:t>
            </w:r>
            <w:r>
              <w:rPr>
                <w:rFonts w:eastAsia="Calibri" w:cs="Arial"/>
                <w:b w:val="false"/>
                <w:bCs w:val="false"/>
                <w:i w:val="false"/>
                <w:iCs w:val="false"/>
                <w:kern w:val="0"/>
                <w:sz w:val="24"/>
                <w:szCs w:val="24"/>
                <w:highlight w:val="white"/>
                <w:u w:val="none"/>
                <w:lang w:val="ru-RU" w:eastAsia="en-US" w:bidi="ar-SA"/>
              </w:rPr>
              <w:t xml:space="preserve"> – Инженер ОЭиР ЗиС 2 категории ОППР СП «НГРЭС» АО «ДГК», тел. 8(41147) 95-300  (доб. 1-50-54), lopatin-ga@dgk.ru</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22" w:name="_Ref125360954"/>
            <w:bookmarkStart w:id="23" w:name="_Ref125360954"/>
            <w:bookmarkEnd w:id="23"/>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Организатор:</w:t>
            </w:r>
          </w:p>
        </w:tc>
        <w:tc>
          <w:tcPr>
            <w:tcW w:w="5814" w:type="dxa"/>
            <w:tcBorders/>
          </w:tcPr>
          <w:p>
            <w:pPr>
              <w:pStyle w:val="Normal"/>
              <w:widowControl w:val="false"/>
              <w:suppressAutoHyphens w:val="true"/>
              <w:spacing w:lineRule="auto" w:line="240" w:before="0" w:after="60"/>
              <w:jc w:val="both"/>
              <w:rPr>
                <w:rFonts w:ascii="Times New Roman" w:hAnsi="Times New Roman" w:cs="Times New Roman"/>
                <w:sz w:val="24"/>
                <w:szCs w:val="24"/>
              </w:rPr>
            </w:pPr>
            <w:r>
              <w:rPr>
                <w:rFonts w:eastAsia="Times New Roman" w:cs="Times New Roman"/>
                <w:kern w:val="0"/>
                <w:sz w:val="24"/>
                <w:szCs w:val="24"/>
                <w:lang w:val="ru-RU" w:eastAsia="en-US" w:bidi="ar-SA"/>
              </w:rPr>
              <w:t>Акционерное общество «Дальневосточная генерирующая компания» (далее - АО «ДГК»)</w:t>
            </w:r>
          </w:p>
          <w:p>
            <w:pPr>
              <w:pStyle w:val="Normal"/>
              <w:widowControl w:val="false"/>
              <w:suppressAutoHyphens w:val="true"/>
              <w:spacing w:lineRule="auto" w:line="240" w:before="0" w:after="60"/>
              <w:jc w:val="both"/>
              <w:rPr>
                <w:rFonts w:ascii="Times New Roman" w:hAnsi="Times New Roman" w:cs="Times New Roman"/>
                <w:sz w:val="24"/>
                <w:szCs w:val="24"/>
              </w:rPr>
            </w:pPr>
            <w:r>
              <w:rPr>
                <w:rFonts w:eastAsia="Times New Roman" w:cs="Times New Roman"/>
                <w:kern w:val="0"/>
                <w:sz w:val="24"/>
                <w:szCs w:val="24"/>
                <w:lang w:val="ru-RU" w:eastAsia="en-US" w:bidi="ar-SA"/>
              </w:rPr>
              <w:t xml:space="preserve">Место нахождения: </w:t>
            </w:r>
            <w:r>
              <w:rPr>
                <w:rFonts w:eastAsia="Calibri" w:cs="Times New Roman" w:eastAsiaTheme="minorHAnsi"/>
                <w:kern w:val="0"/>
                <w:sz w:val="24"/>
                <w:szCs w:val="24"/>
                <w:lang w:val="ru-RU" w:eastAsia="en-US" w:bidi="ar-SA"/>
              </w:rPr>
              <w:t>680000, г. Хабаровск, ул. Фрунзе, д. 49</w:t>
            </w:r>
          </w:p>
          <w:p>
            <w:pPr>
              <w:pStyle w:val="Normal"/>
              <w:widowControl w:val="false"/>
              <w:suppressAutoHyphens w:val="true"/>
              <w:spacing w:lineRule="auto" w:line="240" w:before="0" w:after="60"/>
              <w:jc w:val="both"/>
              <w:rPr>
                <w:rFonts w:ascii="Times New Roman" w:hAnsi="Times New Roman" w:cs="Times New Roman"/>
                <w:sz w:val="24"/>
                <w:szCs w:val="24"/>
              </w:rPr>
            </w:pPr>
            <w:r>
              <w:rPr>
                <w:rFonts w:eastAsia="Times New Roman" w:cs="Times New Roman"/>
                <w:kern w:val="0"/>
                <w:sz w:val="24"/>
                <w:szCs w:val="24"/>
                <w:lang w:val="ru-RU" w:eastAsia="en-US" w:bidi="ar-SA"/>
              </w:rPr>
              <w:t xml:space="preserve">Почтовый адрес: </w:t>
            </w:r>
            <w:r>
              <w:rPr>
                <w:rFonts w:eastAsia="Calibri" w:cs="Times New Roman" w:eastAsiaTheme="minorHAnsi"/>
                <w:kern w:val="0"/>
                <w:sz w:val="24"/>
                <w:szCs w:val="24"/>
                <w:lang w:val="ru-RU" w:eastAsia="en-US" w:bidi="ar-SA"/>
              </w:rPr>
              <w:t>680000, г. Хабаровск, ул. Фрунзе, д. 49</w:t>
            </w:r>
          </w:p>
          <w:p>
            <w:pPr>
              <w:pStyle w:val="Normal"/>
              <w:widowControl w:val="false"/>
              <w:suppressAutoHyphens w:val="true"/>
              <w:spacing w:lineRule="auto" w:line="240" w:before="0" w:after="60"/>
              <w:jc w:val="both"/>
              <w:rPr>
                <w:rFonts w:ascii="Times New Roman" w:hAnsi="Times New Roman" w:cs="Times New Roman"/>
                <w:sz w:val="24"/>
                <w:szCs w:val="24"/>
              </w:rPr>
            </w:pPr>
            <w:r>
              <w:rPr>
                <w:rFonts w:eastAsia="Times New Roman" w:cs="Times New Roman"/>
                <w:kern w:val="0"/>
                <w:sz w:val="24"/>
                <w:szCs w:val="24"/>
                <w:lang w:val="ru-RU" w:eastAsia="en-US" w:bidi="ar-SA"/>
              </w:rPr>
              <w:t xml:space="preserve">Адрес электронной почты: </w:t>
            </w:r>
            <w:r>
              <w:rPr>
                <w:rFonts w:eastAsia="Times New Roman" w:cs="Times New Roman"/>
                <w:color w:val="2F5696" w:themeColor="accent1" w:themeShade="bf"/>
                <w:kern w:val="0"/>
                <w:sz w:val="24"/>
                <w:szCs w:val="24"/>
                <w:lang w:val="ru-RU" w:eastAsia="en-US" w:bidi="ar-SA"/>
              </w:rPr>
              <w:t>lutfullina-ee@dgk.ru</w:t>
            </w:r>
          </w:p>
          <w:p>
            <w:pPr>
              <w:pStyle w:val="Tableheader"/>
              <w:widowControl w:val="false"/>
              <w:suppressAutoHyphens w:val="true"/>
              <w:spacing w:before="0" w:after="0"/>
              <w:jc w:val="both"/>
              <w:rPr>
                <w:rFonts w:ascii="Times New Roman" w:hAnsi="Times New Roman" w:cs="Times New Roman"/>
                <w:b/>
                <w:sz w:val="24"/>
                <w:szCs w:val="24"/>
              </w:rPr>
            </w:pPr>
            <w:r>
              <w:rPr>
                <w:rFonts w:eastAsia="Times New Roman" w:cs="Times New Roman"/>
                <w:b w:val="false"/>
                <w:kern w:val="0"/>
                <w:sz w:val="24"/>
                <w:szCs w:val="24"/>
              </w:rPr>
              <w:t>Контактный телефон: +7(4212) 26-42-30</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24" w:name="_Ref125361238"/>
            <w:bookmarkStart w:id="25" w:name="_Ref125361238"/>
            <w:bookmarkEnd w:id="25"/>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Представитель Организатора:</w:t>
            </w:r>
          </w:p>
        </w:tc>
        <w:tc>
          <w:tcPr>
            <w:tcW w:w="5814" w:type="dxa"/>
            <w:tcBorders/>
          </w:tcPr>
          <w:p>
            <w:pPr>
              <w:pStyle w:val="Tableheader"/>
              <w:widowControl w:val="false"/>
              <w:suppressAutoHyphens w:val="true"/>
              <w:spacing w:before="120" w:after="120"/>
              <w:rPr>
                <w:rFonts w:ascii="Times New Roman" w:hAnsi="Times New Roman" w:cs="Times New Roman"/>
                <w:i w:val="false"/>
                <w:i w:val="false"/>
                <w:sz w:val="24"/>
                <w:szCs w:val="24"/>
                <w:shd w:fill="auto" w:val="clear"/>
              </w:rPr>
            </w:pPr>
            <w:r>
              <w:rPr>
                <w:rFonts w:eastAsia="Times New Roman" w:cs="Times New Roman"/>
                <w:b w:val="false"/>
                <w:kern w:val="0"/>
                <w:sz w:val="24"/>
                <w:szCs w:val="24"/>
              </w:rPr>
              <w:t xml:space="preserve">По вопросам организации и проведения закупочной процедуры: ведущий специалист отдела проведения закупок работ и услуг АО «ДГК» Лутфуллина Екатерина Евгеньевна, контактный телефон (4212) 26-42-30, адрес электронной почты: </w:t>
            </w:r>
            <w:r>
              <w:rPr>
                <w:rFonts w:eastAsia="Times New Roman" w:cs="Times New Roman"/>
                <w:b w:val="false"/>
                <w:color w:val="2F5696" w:themeColor="accent1" w:themeShade="bf"/>
                <w:kern w:val="0"/>
                <w:sz w:val="24"/>
                <w:szCs w:val="24"/>
              </w:rPr>
              <w:t>lutfullina-ee@dgk.ru</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26" w:name="_Ref125362694"/>
            <w:bookmarkStart w:id="27" w:name="_Ref125362694"/>
            <w:bookmarkEnd w:id="27"/>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Документация о закупке официально размещена в ЕИС и доступна на Официальном сайте для ознакомления любым заинтересованным лицам. Официальным источником информации о ходе проведения закупки является Официальный сайт (zakupki.gov.ru).</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28" w:name="_Ref125360963"/>
            <w:bookmarkStart w:id="29" w:name="_Ref125360963"/>
            <w:bookmarkEnd w:id="29"/>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Дата размещения Извещения о проведении закупки:</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«07» сентября 2026 г.</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30" w:name="_Ref125362837"/>
            <w:bookmarkStart w:id="31" w:name="_Ref125362837"/>
            <w:bookmarkEnd w:id="31"/>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Начальная (максимальная) цена договора (цена лота):</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НМЦ составляет 3 899 956,00 руб., без учета НДС.</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 xml:space="preserve">Обоснование НМЦ представлено в </w:t>
            </w:r>
            <w:hyperlink w:anchor="Прил09_ОбоснованиеНМЦ" w:tgtFrame="#Прил09_ОбоснованиеНМЦ">
              <w:r>
                <w:rPr>
                  <w:rStyle w:val="Style6"/>
                  <w:rFonts w:eastAsia="Calibri" w:cs="Arial"/>
                  <w:kern w:val="0"/>
                  <w:sz w:val="24"/>
                  <w:szCs w:val="24"/>
                  <w:lang w:val="ru-RU" w:eastAsia="en-US" w:bidi="ar-SA"/>
                </w:rPr>
                <w:t>Приложении № 9</w:t>
              </w:r>
            </w:hyperlink>
            <w:r>
              <w:rPr>
                <w:rFonts w:eastAsia="Calibri" w:cs="Arial"/>
                <w:kern w:val="0"/>
                <w:sz w:val="24"/>
                <w:szCs w:val="24"/>
                <w:lang w:val="ru-RU" w:eastAsia="en-US" w:bidi="ar-SA"/>
              </w:rPr>
              <w:t>.</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32" w:name="_Ref125363076"/>
            <w:bookmarkStart w:id="33" w:name="_Ref125363076"/>
            <w:bookmarkEnd w:id="33"/>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Обеспечение заявки на участие в закупке:</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требуется.</w:t>
            </w:r>
          </w:p>
          <w:p>
            <w:pPr>
              <w:pStyle w:val="Style21"/>
              <w:widowControl w:val="false"/>
              <w:suppressAutoHyphens w:val="true"/>
              <w:spacing w:lineRule="auto" w:line="240" w:before="60" w:after="60"/>
              <w:rPr>
                <w:sz w:val="24"/>
                <w:szCs w:val="24"/>
              </w:rPr>
            </w:pPr>
            <w:r>
              <w:rPr>
                <w:rStyle w:val="Style3"/>
                <w:rFonts w:eastAsia="Calibri" w:cs="Arial"/>
                <w:b/>
                <w:bCs/>
                <w:i w:val="false"/>
                <w:iCs w:val="false"/>
                <w:kern w:val="0"/>
                <w:sz w:val="24"/>
                <w:szCs w:val="24"/>
                <w:shd w:fill="auto" w:val="clear"/>
                <w:lang w:val="ru-RU" w:eastAsia="en-US" w:bidi="ar-SA"/>
              </w:rPr>
              <w:t>Внимание!</w:t>
            </w:r>
            <w:r>
              <w:rPr>
                <w:rStyle w:val="Style3"/>
                <w:rFonts w:eastAsia="Calibri" w:cs="Arial"/>
                <w:i w:val="false"/>
                <w:iCs w:val="false"/>
                <w:kern w:val="0"/>
                <w:sz w:val="24"/>
                <w:szCs w:val="24"/>
                <w:shd w:fill="auto" w:val="clear"/>
                <w:lang w:val="ru-RU" w:eastAsia="en-US" w:bidi="ar-SA"/>
              </w:rPr>
              <w:t xml:space="preserve"> Для того, чтобы иметь возможность подать заявку на участие в закупке, в соответствии с Регламентом ЭП на счете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34" w:name="_Ref125362995"/>
            <w:bookmarkStart w:id="35" w:name="_Ref125362995"/>
            <w:bookmarkEnd w:id="35"/>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Требования</w:t>
              <w:br/>
              <w:t>к описанию продукции:</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Согласие (декларация) Участника на поставку продукции по установленной форме Технического предложения (форма 4) (</w:t>
            </w:r>
            <w:hyperlink w:anchor="Прил04_ФормыЗаявки" w:tgtFrame="#Прил04_ФормыЗаявки">
              <w:r>
                <w:rPr>
                  <w:rStyle w:val="Style6"/>
                  <w:rFonts w:eastAsia="Calibri" w:cs="Arial"/>
                  <w:kern w:val="0"/>
                  <w:sz w:val="24"/>
                  <w:szCs w:val="24"/>
                  <w:lang w:val="ru-RU" w:eastAsia="en-US" w:bidi="ar-SA"/>
                </w:rPr>
                <w:t>Приложение № 4</w:t>
              </w:r>
            </w:hyperlink>
            <w:r>
              <w:rPr>
                <w:rFonts w:eastAsia="Calibri" w:cs="Arial"/>
                <w:kern w:val="0"/>
                <w:sz w:val="24"/>
                <w:szCs w:val="24"/>
                <w:lang w:val="ru-RU" w:eastAsia="en-US" w:bidi="ar-SA"/>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Применение законодательства о национальном режиме:</w:t>
            </w:r>
          </w:p>
        </w:tc>
        <w:tc>
          <w:tcPr>
            <w:tcW w:w="5814" w:type="dxa"/>
            <w:tcBorders/>
          </w:tcPr>
          <w:p>
            <w:pPr>
              <w:pStyle w:val="Style21"/>
              <w:widowControl w:val="false"/>
              <w:suppressAutoHyphens w:val="true"/>
              <w:spacing w:lineRule="auto" w:line="240" w:before="60" w:after="60"/>
              <w:rPr>
                <w:rFonts w:ascii="Times New Roman" w:hAnsi="Times New Roman" w:eastAsia="Calibri" w:cs="Arial"/>
                <w:kern w:val="0"/>
                <w:sz w:val="24"/>
                <w:szCs w:val="24"/>
                <w:lang w:val="ru-RU" w:eastAsia="en-US" w:bidi="ar-SA"/>
              </w:rPr>
            </w:pPr>
            <w:r>
              <w:rPr>
                <w:rFonts w:eastAsia="Calibri" w:cs="Arial"/>
                <w:kern w:val="0"/>
                <w:sz w:val="24"/>
                <w:szCs w:val="24"/>
                <w:lang w:val="ru-RU" w:eastAsia="en-US" w:bidi="ar-SA"/>
              </w:rPr>
              <w:t>Национальный режим предоставляется.</w:t>
            </w:r>
          </w:p>
          <w:p>
            <w:pPr>
              <w:pStyle w:val="Style21"/>
              <w:widowControl w:val="false"/>
              <w:suppressAutoHyphens w:val="true"/>
              <w:spacing w:before="60" w:after="60"/>
              <w:rPr/>
            </w:pPr>
            <w:r>
              <w:rPr>
                <w:rFonts w:cs=""/>
                <w:sz w:val="24"/>
                <w:szCs w:val="24"/>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r>
                <w:rPr>
                  <w:rStyle w:val="Style6"/>
                  <w:rFonts w:cs=""/>
                  <w:sz w:val="24"/>
                  <w:szCs w:val="24"/>
                  <w:lang w:val="ru-RU"/>
                </w:rPr>
                <w:t>Приложение № 4</w:t>
              </w:r>
            </w:hyperlink>
            <w:r>
              <w:rPr>
                <w:rFonts w:cs=""/>
                <w:sz w:val="24"/>
                <w:szCs w:val="24"/>
              </w:rPr>
              <w:t>)).</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36" w:name="_Ref125533737"/>
            <w:bookmarkStart w:id="37" w:name="_Ref125533737"/>
            <w:bookmarkEnd w:id="37"/>
          </w:p>
        </w:tc>
        <w:tc>
          <w:tcPr>
            <w:tcW w:w="2972" w:type="dxa"/>
            <w:tcBorders/>
          </w:tcPr>
          <w:p>
            <w:pPr>
              <w:pStyle w:val="Normal"/>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Дополнительный этап закупки – Предзаявочное обсуждение:</w:t>
            </w:r>
          </w:p>
          <w:p>
            <w:pPr>
              <w:pStyle w:val="Normal"/>
              <w:widowControl w:val="false"/>
              <w:suppressAutoHyphens w:val="true"/>
              <w:spacing w:lineRule="auto" w:line="240" w:before="60" w:after="60"/>
              <w:jc w:val="left"/>
              <w:rPr>
                <w:i/>
                <w:i/>
                <w:iCs/>
                <w:sz w:val="24"/>
                <w:szCs w:val="24"/>
              </w:rPr>
            </w:pPr>
            <w:r>
              <w:rPr>
                <w:rFonts w:eastAsia="Calibri" w:cs="Arial"/>
                <w:i/>
                <w:iCs/>
                <w:kern w:val="0"/>
                <w:sz w:val="24"/>
                <w:szCs w:val="24"/>
                <w:lang w:val="ru-RU" w:eastAsia="en-US" w:bidi="ar-SA"/>
              </w:rPr>
              <w:t>(проведение в срок до окончания срока подачи заявок Заказчиком обсуждения с Участниками функциональных характеристик (потребительских свойств) продукции и иных условий исполнения договора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предусмотрен.</w:t>
            </w:r>
          </w:p>
          <w:p>
            <w:pPr>
              <w:pStyle w:val="Style24"/>
              <w:widowControl w:val="false"/>
              <w:suppressAutoHyphens w:val="true"/>
              <w:spacing w:lineRule="auto" w:line="240" w:before="60" w:after="60"/>
              <w:rPr>
                <w:sz w:val="24"/>
                <w:szCs w:val="24"/>
              </w:rPr>
            </w:pPr>
            <w:r>
              <w:rPr>
                <w:sz w:val="24"/>
                <w:szCs w:val="24"/>
              </w:rPr>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38" w:name="_Ref132896648"/>
            <w:bookmarkStart w:id="39" w:name="_Ref132896648"/>
            <w:bookmarkEnd w:id="39"/>
          </w:p>
        </w:tc>
        <w:tc>
          <w:tcPr>
            <w:tcW w:w="2972" w:type="dxa"/>
            <w:tcBorders/>
          </w:tcPr>
          <w:p>
            <w:pPr>
              <w:pStyle w:val="Normal"/>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Дополнительный этап закупки – Обсуждение заявок:</w:t>
            </w:r>
          </w:p>
          <w:p>
            <w:pPr>
              <w:pStyle w:val="Normal"/>
              <w:widowControl w:val="false"/>
              <w:suppressAutoHyphens w:val="true"/>
              <w:spacing w:lineRule="auto" w:line="240" w:before="60" w:after="60"/>
              <w:jc w:val="left"/>
              <w:rPr>
                <w:i/>
                <w:i/>
                <w:iCs/>
                <w:sz w:val="24"/>
                <w:szCs w:val="24"/>
              </w:rPr>
            </w:pPr>
            <w:r>
              <w:rPr>
                <w:rFonts w:eastAsia="Calibri" w:cs="Arial"/>
                <w:i/>
                <w:iCs/>
                <w:kern w:val="0"/>
                <w:sz w:val="24"/>
                <w:szCs w:val="24"/>
                <w:lang w:val="ru-RU" w:eastAsia="en-US" w:bidi="ar-SA"/>
              </w:rPr>
              <w:t>(обсуждение Заказчиком предложений о функциональных характеристиках (потребительских свойствах) продукции и об иных условиях исполнения договора, содержащихся в заявках Участников, в целях уточнения в Извещении, Документации о закупке, проекте договора требуемых характеристик (потребительских свойств) закупаемой продукции)</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предусмотрен.</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40" w:name="_Ref125475086"/>
            <w:bookmarkStart w:id="41" w:name="_Ref125475086"/>
            <w:bookmarkEnd w:id="41"/>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Место и порядок</w:t>
              <w:br/>
              <w:t>подачи заявок:</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Заявки подаются посредством функционала ЭП, по адресу ЭП, указанному в пункте </w:t>
            </w:r>
            <w:r>
              <w:rPr>
                <w:rFonts w:eastAsia="Calibri" w:cs="Arial"/>
                <w:kern w:val="0"/>
                <w:sz w:val="24"/>
                <w:szCs w:val="24"/>
                <w:lang w:val="ru-RU" w:eastAsia="en-US" w:bidi="ar-SA"/>
              </w:rPr>
              <w:fldChar w:fldCharType="begin"/>
            </w:r>
            <w:r>
              <w:rPr>
                <w:sz w:val="24"/>
                <w:kern w:val="0"/>
                <w:szCs w:val="24"/>
                <w:rFonts w:eastAsia="Calibri" w:cs="Arial"/>
                <w:lang w:val="ru-RU" w:eastAsia="en-US" w:bidi="ar-SA"/>
              </w:rPr>
              <w:instrText xml:space="preserve"> REF _Ref125360764 \r \h </w:instrText>
            </w:r>
            <w:r>
              <w:rPr>
                <w:sz w:val="24"/>
                <w:kern w:val="0"/>
                <w:szCs w:val="24"/>
                <w:rFonts w:eastAsia="Calibri" w:cs="Arial"/>
                <w:lang w:val="ru-RU" w:eastAsia="en-US" w:bidi="ar-SA"/>
              </w:rPr>
              <w:fldChar w:fldCharType="separate"/>
            </w:r>
            <w:r>
              <w:rPr>
                <w:sz w:val="24"/>
                <w:kern w:val="0"/>
                <w:szCs w:val="24"/>
                <w:rFonts w:eastAsia="Calibri" w:cs="Arial"/>
                <w:lang w:val="ru-RU" w:eastAsia="en-US" w:bidi="ar-SA"/>
              </w:rPr>
              <w:t>1.2.5</w:t>
            </w:r>
            <w:r>
              <w:rPr>
                <w:sz w:val="24"/>
                <w:kern w:val="0"/>
                <w:szCs w:val="24"/>
                <w:rFonts w:eastAsia="Calibri" w:cs="Arial"/>
                <w:lang w:val="ru-RU" w:eastAsia="en-US" w:bidi="ar-SA"/>
              </w:rPr>
              <w:fldChar w:fldCharType="end"/>
            </w:r>
            <w:r>
              <w:rPr>
                <w:rFonts w:eastAsia="Calibri" w:cs="Arial"/>
                <w:kern w:val="0"/>
                <w:sz w:val="24"/>
                <w:szCs w:val="24"/>
                <w:lang w:val="ru-RU" w:eastAsia="en-US" w:bidi="ar-SA"/>
              </w:rPr>
              <w:t>.</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Заявка должна состоять из двух частей и ценового предложения.</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42" w:name="_Ref125360779"/>
            <w:bookmarkStart w:id="43" w:name="_Ref125360779"/>
            <w:bookmarkEnd w:id="43"/>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Дата начала; дата и время окончания срока подачи заявок (окончательных предложений):</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Дата начала подачи заявок:</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«07» сентября 2026 г.</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Дата и время окончания срока подачи заявок (окончательных предложений):</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«16» сентября 2026 г. в 15 ч.00 мин.</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(по местному времени Организатора).</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Если в пункте </w:t>
            </w:r>
            <w:r>
              <w:rPr>
                <w:rFonts w:eastAsia="Calibri" w:cs="Arial"/>
                <w:kern w:val="0"/>
                <w:sz w:val="24"/>
                <w:szCs w:val="24"/>
                <w:lang w:val="ru-RU" w:eastAsia="en-US" w:bidi="ar-SA"/>
              </w:rPr>
              <w:fldChar w:fldCharType="begin"/>
            </w:r>
            <w:r>
              <w:rPr>
                <w:sz w:val="24"/>
                <w:kern w:val="0"/>
                <w:szCs w:val="24"/>
                <w:rFonts w:eastAsia="Calibri" w:cs="Arial"/>
                <w:lang w:val="ru-RU" w:eastAsia="en-US" w:bidi="ar-SA"/>
              </w:rPr>
              <w:instrText xml:space="preserve"> REF _Ref125533737 \r \h </w:instrText>
            </w:r>
            <w:r>
              <w:rPr>
                <w:sz w:val="24"/>
                <w:kern w:val="0"/>
                <w:szCs w:val="24"/>
                <w:rFonts w:eastAsia="Calibri" w:cs="Arial"/>
                <w:lang w:val="ru-RU" w:eastAsia="en-US" w:bidi="ar-SA"/>
              </w:rPr>
              <w:fldChar w:fldCharType="separate"/>
            </w:r>
            <w:r>
              <w:rPr>
                <w:sz w:val="24"/>
                <w:kern w:val="0"/>
                <w:szCs w:val="24"/>
                <w:rFonts w:eastAsia="Calibri" w:cs="Arial"/>
                <w:lang w:val="ru-RU" w:eastAsia="en-US" w:bidi="ar-SA"/>
              </w:rPr>
              <w:t>1.2.16</w:t>
            </w:r>
            <w:r>
              <w:rPr>
                <w:sz w:val="24"/>
                <w:kern w:val="0"/>
                <w:szCs w:val="24"/>
                <w:rFonts w:eastAsia="Calibri" w:cs="Arial"/>
                <w:lang w:val="ru-RU" w:eastAsia="en-US" w:bidi="ar-SA"/>
              </w:rPr>
              <w:fldChar w:fldCharType="end"/>
            </w:r>
            <w:r>
              <w:rPr>
                <w:rFonts w:eastAsia="Calibri" w:cs="Arial"/>
                <w:kern w:val="0"/>
                <w:sz w:val="24"/>
                <w:szCs w:val="24"/>
                <w:lang w:val="ru-RU" w:eastAsia="en-US" w:bidi="ar-SA"/>
              </w:rPr>
              <w:t xml:space="preserve"> или в пункте </w:t>
            </w:r>
            <w:r>
              <w:rPr>
                <w:rFonts w:eastAsia="Calibri" w:cs="Arial"/>
                <w:kern w:val="0"/>
                <w:sz w:val="24"/>
                <w:szCs w:val="24"/>
                <w:lang w:val="ru-RU" w:eastAsia="en-US" w:bidi="ar-SA"/>
              </w:rPr>
              <w:fldChar w:fldCharType="begin"/>
            </w:r>
            <w:r>
              <w:rPr>
                <w:sz w:val="24"/>
                <w:kern w:val="0"/>
                <w:szCs w:val="24"/>
                <w:rFonts w:eastAsia="Calibri" w:cs="Arial"/>
                <w:lang w:val="ru-RU" w:eastAsia="en-US" w:bidi="ar-SA"/>
              </w:rPr>
              <w:instrText xml:space="preserve"> REF _Ref132896648 \r \h </w:instrText>
            </w:r>
            <w:r>
              <w:rPr>
                <w:sz w:val="24"/>
                <w:kern w:val="0"/>
                <w:szCs w:val="24"/>
                <w:rFonts w:eastAsia="Calibri" w:cs="Arial"/>
                <w:lang w:val="ru-RU" w:eastAsia="en-US" w:bidi="ar-SA"/>
              </w:rPr>
              <w:fldChar w:fldCharType="separate"/>
            </w:r>
            <w:r>
              <w:rPr>
                <w:sz w:val="24"/>
                <w:kern w:val="0"/>
                <w:szCs w:val="24"/>
                <w:rFonts w:eastAsia="Calibri" w:cs="Arial"/>
                <w:lang w:val="ru-RU" w:eastAsia="en-US" w:bidi="ar-SA"/>
              </w:rPr>
              <w:t>1.2.17</w:t>
            </w:r>
            <w:r>
              <w:rPr>
                <w:sz w:val="24"/>
                <w:kern w:val="0"/>
                <w:szCs w:val="24"/>
                <w:rFonts w:eastAsia="Calibri" w:cs="Arial"/>
                <w:lang w:val="ru-RU" w:eastAsia="en-US" w:bidi="ar-SA"/>
              </w:rPr>
              <w:fldChar w:fldCharType="end"/>
            </w:r>
            <w:r>
              <w:rPr>
                <w:rFonts w:eastAsia="Calibri" w:cs="Arial"/>
                <w:kern w:val="0"/>
                <w:sz w:val="24"/>
                <w:szCs w:val="24"/>
                <w:lang w:val="ru-RU" w:eastAsia="en-US" w:bidi="ar-SA"/>
              </w:rPr>
              <w:t xml:space="preserve"> предусмотрено соответственно проведение Предзаявочного обсуждения или Обсуждения заявок, и по результатам проведения соответствующего обсуждения Заказчиком будет принято решение о необходимости уточнения функциональных характеристик (потребительских свойств) закупаемой продукции, иных условий исполнения договора, Организатор вправе, при необходимости, изменить данный срок для подачи окончательных предложений Участников.</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Срок предоставления Участникам разъяснений Документации о закупке:</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Дата и время окончания срока предоставления разъяснений:</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«16» сентября 2026 г. в 15 ч. 00 мин.</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(по местному времени Организатора).</w:t>
            </w:r>
          </w:p>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Arial"/>
                <w:kern w:val="0"/>
                <w:sz w:val="24"/>
                <w:szCs w:val="24"/>
                <w:lang w:val="ru-RU" w:eastAsia="en-US" w:bidi="ar-SA"/>
              </w:rPr>
              <w:fldChar w:fldCharType="begin"/>
            </w:r>
            <w:r>
              <w:rPr>
                <w:sz w:val="24"/>
                <w:kern w:val="0"/>
                <w:szCs w:val="24"/>
                <w:rFonts w:eastAsia="Calibri" w:cs="Arial"/>
                <w:lang w:val="ru-RU" w:eastAsia="en-US" w:bidi="ar-SA"/>
              </w:rPr>
              <w:instrText xml:space="preserve"> REF _Ref125360779 \r \h </w:instrText>
            </w:r>
            <w:r>
              <w:rPr>
                <w:sz w:val="24"/>
                <w:kern w:val="0"/>
                <w:szCs w:val="24"/>
                <w:rFonts w:eastAsia="Calibri" w:cs="Arial"/>
                <w:lang w:val="ru-RU" w:eastAsia="en-US" w:bidi="ar-SA"/>
              </w:rPr>
              <w:fldChar w:fldCharType="separate"/>
            </w:r>
            <w:r>
              <w:rPr>
                <w:sz w:val="24"/>
                <w:kern w:val="0"/>
                <w:szCs w:val="24"/>
                <w:rFonts w:eastAsia="Calibri" w:cs="Arial"/>
                <w:lang w:val="ru-RU" w:eastAsia="en-US" w:bidi="ar-SA"/>
              </w:rPr>
              <w:t>1.2.19</w:t>
            </w:r>
            <w:r>
              <w:rPr>
                <w:sz w:val="24"/>
                <w:kern w:val="0"/>
                <w:szCs w:val="24"/>
                <w:rFonts w:eastAsia="Calibri" w:cs="Arial"/>
                <w:lang w:val="ru-RU" w:eastAsia="en-US" w:bidi="ar-SA"/>
              </w:rPr>
              <w:fldChar w:fldCharType="end"/>
            </w:r>
            <w:r>
              <w:rPr>
                <w:rFonts w:eastAsia="Calibri" w:cs="Arial"/>
                <w:kern w:val="0"/>
                <w:sz w:val="24"/>
                <w:szCs w:val="24"/>
                <w:lang w:val="ru-RU" w:eastAsia="en-US" w:bidi="ar-SA"/>
              </w:rPr>
              <w:t>.</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44" w:name="_Ref125476197"/>
            <w:bookmarkStart w:id="45" w:name="_Ref125476197"/>
            <w:bookmarkEnd w:id="45"/>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Место открытия</w:t>
              <w:br/>
              <w:t>доступа к заявкам:</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Arial"/>
                <w:kern w:val="0"/>
                <w:sz w:val="24"/>
                <w:szCs w:val="24"/>
                <w:lang w:val="ru-RU" w:eastAsia="en-US" w:bidi="ar-SA"/>
              </w:rPr>
              <w:fldChar w:fldCharType="begin"/>
            </w:r>
            <w:r>
              <w:rPr>
                <w:sz w:val="24"/>
                <w:kern w:val="0"/>
                <w:szCs w:val="24"/>
                <w:rFonts w:eastAsia="Calibri" w:cs="Arial"/>
                <w:lang w:val="ru-RU" w:eastAsia="en-US" w:bidi="ar-SA"/>
              </w:rPr>
              <w:instrText xml:space="preserve"> REF _Ref125360764 \r \h </w:instrText>
            </w:r>
            <w:r>
              <w:rPr>
                <w:sz w:val="24"/>
                <w:kern w:val="0"/>
                <w:szCs w:val="24"/>
                <w:rFonts w:eastAsia="Calibri" w:cs="Arial"/>
                <w:lang w:val="ru-RU" w:eastAsia="en-US" w:bidi="ar-SA"/>
              </w:rPr>
              <w:fldChar w:fldCharType="separate"/>
            </w:r>
            <w:r>
              <w:rPr>
                <w:sz w:val="24"/>
                <w:kern w:val="0"/>
                <w:szCs w:val="24"/>
                <w:rFonts w:eastAsia="Calibri" w:cs="Arial"/>
                <w:lang w:val="ru-RU" w:eastAsia="en-US" w:bidi="ar-SA"/>
              </w:rPr>
              <w:t>1.2.5</w:t>
            </w:r>
            <w:r>
              <w:rPr>
                <w:sz w:val="24"/>
                <w:kern w:val="0"/>
                <w:szCs w:val="24"/>
                <w:rFonts w:eastAsia="Calibri" w:cs="Arial"/>
                <w:lang w:val="ru-RU" w:eastAsia="en-US" w:bidi="ar-SA"/>
              </w:rPr>
              <w:fldChar w:fldCharType="end"/>
            </w:r>
            <w:r>
              <w:rPr>
                <w:rFonts w:eastAsia="Calibri" w:cs="Arial"/>
                <w:kern w:val="0"/>
                <w:sz w:val="24"/>
                <w:szCs w:val="24"/>
                <w:lang w:val="ru-RU" w:eastAsia="en-US" w:bidi="ar-SA"/>
              </w:rPr>
              <w:t>.</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46" w:name="_Ref125362733"/>
            <w:bookmarkStart w:id="47" w:name="_Ref125362733"/>
            <w:bookmarkEnd w:id="47"/>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Дата окончания рассмотрения первых частей заявок (первых частей заявок, содержащихся в окончательных предложениях):</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«23» сентября 2026 г.</w:t>
            </w:r>
          </w:p>
          <w:p>
            <w:pPr>
              <w:pStyle w:val="Style21"/>
              <w:widowControl w:val="false"/>
              <w:suppressAutoHyphens w:val="true"/>
              <w:spacing w:lineRule="auto" w:line="240" w:before="60" w:after="60"/>
              <w:rPr>
                <w:rStyle w:val="Style3"/>
                <w:sz w:val="24"/>
                <w:szCs w:val="24"/>
              </w:rPr>
            </w:pPr>
            <w:r>
              <w:rPr>
                <w:sz w:val="24"/>
                <w:szCs w:val="24"/>
              </w:rPr>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Срок направления Оператором ЭП вторых частей заявок и ценовых предложений в адрес Организатора</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позднее 1 (одного) рабочего дня, следующего за днем официального размещения на Официальном сайте (ЕИС) протокола рассмотрения первых частей заявок (первых частей заявок, содержащихся в окончательных предложениях).</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48" w:name="_Ref132898515"/>
            <w:bookmarkStart w:id="49" w:name="_Ref132898515"/>
            <w:bookmarkEnd w:id="49"/>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Дата окончания рассмотрения вторых частей заявок и ценовых предложений:</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«07» октября 2026 г.</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Дополнительный этап закупки – Переторжка (подача дополнительных ценовых предложений):</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предусмотрен.</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50" w:name="_Ref125362757"/>
            <w:bookmarkStart w:id="51" w:name="_Ref125362757"/>
            <w:bookmarkEnd w:id="51"/>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Дата подведения</w:t>
              <w:br/>
              <w:t>итогов закупки:</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«07» октября 2026 г.</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52" w:name="_Ref125366047"/>
            <w:bookmarkStart w:id="53" w:name="_Ref125366047"/>
            <w:bookmarkEnd w:id="53"/>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Преференция продукции, изготовленной с использованием российского алюминия и (или) алюминиевых полуфабрикатов:</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предоставляется.</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54" w:name="_Ref125361769"/>
            <w:bookmarkStart w:id="55" w:name="_Ref125361769"/>
            <w:bookmarkEnd w:id="55"/>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Рассмотрение, оценка и сопоставление заявок Участников с учетом привлекаемых субподрядчиков:</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предусмотрено.</w:t>
            </w:r>
          </w:p>
          <w:p>
            <w:pPr>
              <w:pStyle w:val="Style24"/>
              <w:widowControl w:val="false"/>
              <w:suppressAutoHyphens w:val="true"/>
              <w:spacing w:lineRule="auto" w:line="240" w:before="60" w:after="60"/>
              <w:rPr>
                <w:sz w:val="24"/>
                <w:szCs w:val="24"/>
              </w:rPr>
            </w:pPr>
            <w:r>
              <w:rPr>
                <w:sz w:val="24"/>
                <w:szCs w:val="24"/>
              </w:rPr>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Порядок подведения итогов закупки:</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56" w:name="_Ref125366606"/>
            <w:bookmarkStart w:id="57" w:name="_Ref125366606"/>
            <w:bookmarkEnd w:id="57"/>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Количество победителей закупки (в рамках одного лота):</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Один победитель.</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58" w:name="_Ref125366813"/>
            <w:bookmarkStart w:id="59" w:name="_Ref125366813"/>
            <w:bookmarkEnd w:id="59"/>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Место подачи документов в отношении цепочки собственников, включая конечных бенефициаров:</w:t>
            </w:r>
          </w:p>
        </w:tc>
        <w:tc>
          <w:tcPr>
            <w:tcW w:w="5814" w:type="dxa"/>
            <w:tcBorders/>
          </w:tcPr>
          <w:p>
            <w:pPr>
              <w:pStyle w:val="Style21"/>
              <w:keepNext w:val="true"/>
              <w:widowControl w:val="false"/>
              <w:suppressAutoHyphens w:val="true"/>
              <w:spacing w:lineRule="auto" w:line="240" w:before="60" w:after="60"/>
              <w:jc w:val="both"/>
              <w:rPr>
                <w:i w:val="false"/>
                <w:i w:val="false"/>
                <w:iCs w:val="false"/>
                <w:sz w:val="24"/>
                <w:szCs w:val="24"/>
              </w:rPr>
            </w:pPr>
            <w:r>
              <w:rPr>
                <w:rFonts w:eastAsia="Calibri" w:cs="Arial"/>
                <w:i w:val="false"/>
                <w:iCs w:val="false"/>
                <w:kern w:val="0"/>
                <w:sz w:val="24"/>
                <w:szCs w:val="24"/>
                <w:lang w:val="ru-RU" w:eastAsia="en-US" w:bidi="ar-SA"/>
              </w:rPr>
              <w:t>Для подачи документов в бумажной форме:</w:t>
            </w:r>
          </w:p>
          <w:p>
            <w:pPr>
              <w:pStyle w:val="Style21"/>
              <w:keepNext w:val="true"/>
              <w:widowControl w:val="false"/>
              <w:suppressAutoHyphens w:val="true"/>
              <w:spacing w:lineRule="auto" w:line="240" w:before="60" w:after="60"/>
              <w:jc w:val="both"/>
              <w:rPr>
                <w:i w:val="false"/>
                <w:i w:val="false"/>
                <w:iCs w:val="false"/>
                <w:sz w:val="24"/>
                <w:szCs w:val="24"/>
              </w:rPr>
            </w:pPr>
            <w:r>
              <w:rPr>
                <w:rFonts w:eastAsia="Calibri" w:cs="Arial"/>
                <w:i w:val="false"/>
                <w:iCs w:val="false"/>
                <w:kern w:val="0"/>
                <w:sz w:val="24"/>
                <w:szCs w:val="24"/>
                <w:lang w:val="ru-RU" w:eastAsia="en-US" w:bidi="ar-SA"/>
              </w:rPr>
              <w:t>Контактное лицо (Ф.И.О.):</w:t>
            </w:r>
          </w:p>
          <w:p>
            <w:pPr>
              <w:pStyle w:val="Normal"/>
              <w:widowControl w:val="false"/>
              <w:suppressAutoHyphens w:val="true"/>
              <w:spacing w:lineRule="auto" w:line="240" w:before="60" w:after="60"/>
              <w:ind w:hanging="0"/>
              <w:jc w:val="both"/>
              <w:rPr>
                <w:i/>
                <w:i/>
                <w:sz w:val="24"/>
                <w:szCs w:val="24"/>
              </w:rPr>
            </w:pPr>
            <w:r>
              <w:rPr>
                <w:rFonts w:eastAsia="Calibri" w:cs="Arial"/>
                <w:i w:val="false"/>
                <w:iCs w:val="false"/>
                <w:kern w:val="0"/>
                <w:sz w:val="24"/>
                <w:szCs w:val="24"/>
                <w:lang w:val="ru-RU" w:eastAsia="en-US" w:bidi="ar-SA"/>
              </w:rPr>
              <w:t>Кардаш Инна Викторовна - Экономист 1 категории ОППР СП «НГРЭС» АО «ДГК», kardash-iv@dgk.ru</w:t>
            </w:r>
          </w:p>
          <w:p>
            <w:pPr>
              <w:pStyle w:val="Normal"/>
              <w:widowControl w:val="false"/>
              <w:suppressAutoHyphens w:val="true"/>
              <w:spacing w:lineRule="auto" w:line="240" w:before="60" w:after="60"/>
              <w:ind w:hanging="0"/>
              <w:jc w:val="both"/>
              <w:rPr>
                <w:i/>
                <w:i/>
                <w:sz w:val="24"/>
                <w:szCs w:val="24"/>
              </w:rPr>
            </w:pPr>
            <w:r>
              <w:rPr>
                <w:rFonts w:eastAsia="Calibri" w:cs="Arial"/>
                <w:i w:val="false"/>
                <w:iCs w:val="false"/>
                <w:kern w:val="0"/>
                <w:sz w:val="24"/>
                <w:szCs w:val="24"/>
                <w:lang w:val="ru-RU" w:eastAsia="en-US" w:bidi="ar-SA"/>
              </w:rPr>
              <w:t>Кудряшова Мария Олеговна - Экономист 1 категории ОППР СП «НГРЭС» АО «ДГК», kudryashova-mo@dgk.ru</w:t>
            </w:r>
          </w:p>
          <w:p>
            <w:pPr>
              <w:pStyle w:val="Style21"/>
              <w:keepNext w:val="true"/>
              <w:widowControl w:val="false"/>
              <w:suppressAutoHyphens w:val="true"/>
              <w:spacing w:lineRule="auto" w:line="240" w:before="60" w:after="60"/>
              <w:jc w:val="both"/>
              <w:rPr>
                <w:i w:val="false"/>
                <w:i w:val="false"/>
                <w:iCs w:val="false"/>
                <w:sz w:val="24"/>
                <w:szCs w:val="24"/>
              </w:rPr>
            </w:pPr>
            <w:r>
              <w:rPr>
                <w:rFonts w:eastAsia="Calibri" w:cs="Arial"/>
                <w:i w:val="false"/>
                <w:iCs w:val="false"/>
                <w:kern w:val="0"/>
                <w:sz w:val="24"/>
                <w:szCs w:val="24"/>
                <w:lang w:val="ru-RU" w:eastAsia="en-US" w:bidi="ar-SA"/>
              </w:rPr>
              <w:t>Почтовый адрес:</w:t>
            </w:r>
          </w:p>
          <w:p>
            <w:pPr>
              <w:pStyle w:val="Style21"/>
              <w:widowControl w:val="false"/>
              <w:suppressAutoHyphens w:val="true"/>
              <w:spacing w:lineRule="auto" w:line="240" w:before="60" w:after="60"/>
              <w:jc w:val="both"/>
              <w:rPr>
                <w:bCs w:val="false"/>
                <w:i w:val="false"/>
                <w:i w:val="false"/>
                <w:iCs w:val="false"/>
                <w:sz w:val="24"/>
                <w:szCs w:val="24"/>
              </w:rPr>
            </w:pPr>
            <w:r>
              <w:rPr>
                <w:rFonts w:eastAsia="Calibri" w:cs="Arial"/>
                <w:bCs w:val="false"/>
                <w:i w:val="false"/>
                <w:iCs w:val="false"/>
                <w:kern w:val="0"/>
                <w:sz w:val="24"/>
                <w:szCs w:val="24"/>
                <w:lang w:val="ru-RU" w:eastAsia="en-US" w:bidi="ar-SA"/>
              </w:rPr>
              <w:t>678995, Республика Саха(Якутия), г. Нерюнгри, пгт. Серебряный Бор, АО «ДГК» СП «Нерюнгринская ГРЭС»</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bookmarkStart w:id="60" w:name="_Ref125368490"/>
            <w:bookmarkStart w:id="61" w:name="_Ref125368490"/>
            <w:bookmarkEnd w:id="61"/>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Некритичные пункты Проекта договора:</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Отсутствуют.</w:t>
            </w:r>
          </w:p>
        </w:tc>
      </w:tr>
      <w:tr>
        <w:trPr/>
        <w:tc>
          <w:tcPr>
            <w:tcW w:w="1126" w:type="dxa"/>
            <w:tcBorders/>
          </w:tcPr>
          <w:p>
            <w:pPr>
              <w:pStyle w:val="Style17"/>
              <w:widowControl w:val="false"/>
              <w:suppressAutoHyphens w:val="true"/>
              <w:spacing w:lineRule="auto" w:line="240" w:before="60" w:after="60"/>
              <w:rPr>
                <w:sz w:val="24"/>
                <w:szCs w:val="24"/>
              </w:rPr>
            </w:pPr>
            <w:r>
              <w:rPr>
                <w:sz w:val="24"/>
                <w:szCs w:val="24"/>
              </w:rPr>
            </w:r>
          </w:p>
        </w:tc>
        <w:tc>
          <w:tcPr>
            <w:tcW w:w="2972" w:type="dxa"/>
            <w:tcBorders/>
          </w:tcPr>
          <w:p>
            <w:pPr>
              <w:pStyle w:val="Style21"/>
              <w:widowControl w:val="false"/>
              <w:suppressAutoHyphens w:val="true"/>
              <w:spacing w:lineRule="auto" w:line="240" w:before="60" w:after="60"/>
              <w:jc w:val="left"/>
              <w:rPr>
                <w:sz w:val="24"/>
                <w:szCs w:val="24"/>
              </w:rPr>
            </w:pPr>
            <w:r>
              <w:rPr>
                <w:rFonts w:eastAsia="Calibri" w:cs="Arial"/>
                <w:kern w:val="0"/>
                <w:sz w:val="24"/>
                <w:szCs w:val="24"/>
                <w:lang w:val="ru-RU" w:eastAsia="en-US" w:bidi="ar-SA"/>
              </w:rPr>
              <w:t>Обеспечение</w:t>
              <w:br/>
              <w:t>исполнения Договора:</w:t>
            </w:r>
          </w:p>
        </w:tc>
        <w:tc>
          <w:tcPr>
            <w:tcW w:w="5814" w:type="dxa"/>
            <w:tcBorders/>
          </w:tcPr>
          <w:p>
            <w:pPr>
              <w:pStyle w:val="Style21"/>
              <w:widowControl w:val="false"/>
              <w:suppressAutoHyphens w:val="true"/>
              <w:spacing w:lineRule="auto" w:line="240" w:before="60" w:after="60"/>
              <w:rPr>
                <w:sz w:val="24"/>
                <w:szCs w:val="24"/>
              </w:rPr>
            </w:pPr>
            <w:r>
              <w:rPr>
                <w:rFonts w:eastAsia="Calibri" w:cs="Arial"/>
                <w:kern w:val="0"/>
                <w:sz w:val="24"/>
                <w:szCs w:val="24"/>
                <w:lang w:val="ru-RU" w:eastAsia="en-US" w:bidi="ar-SA"/>
              </w:rPr>
              <w:t>Не требуется.</w:t>
            </w:r>
          </w:p>
        </w:tc>
      </w:tr>
    </w:tbl>
    <w:p>
      <w:pPr>
        <w:pStyle w:val="Style15"/>
        <w:spacing w:before="0" w:after="0"/>
        <w:rPr/>
      </w:pPr>
      <w:bookmarkStart w:id="62" w:name="_Ref125360073"/>
      <w:bookmarkStart w:id="63" w:name="_Ref125360337"/>
      <w:bookmarkStart w:id="64" w:name="_Toc6"/>
      <w:r>
        <w:rPr/>
        <w:t>Общие положения</w:t>
      </w:r>
      <w:bookmarkEnd w:id="62"/>
      <w:bookmarkEnd w:id="63"/>
      <w:bookmarkEnd w:id="64"/>
    </w:p>
    <w:p>
      <w:pPr>
        <w:pStyle w:val="Style16"/>
        <w:spacing w:before="360" w:after="0"/>
        <w:rPr/>
      </w:pPr>
      <w:bookmarkStart w:id="65" w:name="_Toc7"/>
      <w:r>
        <w:rPr/>
        <w:t>Общие сведения о закупке</w:t>
      </w:r>
      <w:bookmarkEnd w:id="65"/>
    </w:p>
    <w:p>
      <w:pPr>
        <w:pStyle w:val="Style17"/>
        <w:spacing w:before="120" w:after="0"/>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17"/>
        <w:spacing w:before="0" w:after="0"/>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17"/>
        <w:spacing w:before="0" w:after="0"/>
        <w:rPr/>
      </w:pPr>
      <w:r>
        <w:rPr/>
        <w:t xml:space="preserve">Требования к поставляемой продукции, включая срок, объем и место поставки продукции, изложены в </w:t>
      </w:r>
      <w:hyperlink w:anchor="Прил01_ТехТребования" w:tgtFrame="#Прил01_ТехТребования">
        <w:r>
          <w:rPr>
            <w:rStyle w:val="Style6"/>
          </w:rPr>
          <w:t>Технических требованиях (Приложение № 1)</w:t>
        </w:r>
      </w:hyperlink>
      <w:r>
        <w:rPr/>
        <w:t xml:space="preserve">. </w:t>
      </w:r>
      <w:hyperlink w:anchor="Прил02_ПроектДоговора" w:tgtFrame="#Прил02_ПроектДоговора">
        <w:r>
          <w:rPr>
            <w:rStyle w:val="Style6"/>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tgtFrame="#Прил02_ПроектДоговора">
        <w:r>
          <w:rPr>
            <w:rStyle w:val="Style6"/>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w:t>
      </w:r>
    </w:p>
    <w:p>
      <w:pPr>
        <w:pStyle w:val="Style17"/>
        <w:spacing w:before="0" w:after="0"/>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tgtFrame="#Прил04_ФормыЗаявки">
        <w:r>
          <w:rPr>
            <w:rStyle w:val="Style6"/>
          </w:rPr>
          <w:t>№ 4</w:t>
        </w:r>
      </w:hyperlink>
      <w:r>
        <w:rPr/>
        <w:t xml:space="preserve">, </w:t>
      </w:r>
      <w:hyperlink w:anchor="Прил05_ФормыПобедителя" w:tgtFrame="#Прил05_ФормыПобедителя">
        <w:r>
          <w:rPr>
            <w:rStyle w:val="Style6"/>
          </w:rPr>
          <w:t>№ 5</w:t>
        </w:r>
      </w:hyperlink>
      <w:r>
        <w:rPr/>
        <w:t>.</w:t>
      </w:r>
    </w:p>
    <w:p>
      <w:pPr>
        <w:pStyle w:val="Style16"/>
        <w:spacing w:before="360" w:after="0"/>
        <w:rPr/>
      </w:pPr>
      <w:bookmarkStart w:id="66" w:name="_Toc8"/>
      <w:r>
        <w:rPr/>
        <w:t>Правовой статус документов</w:t>
      </w:r>
      <w:bookmarkEnd w:id="66"/>
    </w:p>
    <w:p>
      <w:pPr>
        <w:pStyle w:val="Style17"/>
        <w:spacing w:before="120" w:after="0"/>
        <w:rPr/>
      </w:pPr>
      <w:r>
        <w:rPr/>
        <w:t>Документация о закупке вместе с Извещением, являющимся ее неотъемлемой частью, являются публичной офертой Организатора в соответствии со статьей 437 ГК РФ и должны рассматриваться Участниками в соответствии с этим до подведения итогов закупки. При наличии противоречий между положениями Извещения и Документации о закупке применяются положения Извещения.</w:t>
      </w:r>
    </w:p>
    <w:p>
      <w:pPr>
        <w:pStyle w:val="Style17"/>
        <w:spacing w:before="0" w:after="0"/>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17"/>
        <w:keepNext w:val="true"/>
        <w:spacing w:before="0" w:after="0"/>
        <w:rPr/>
      </w:pPr>
      <w:bookmarkStart w:id="67"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67"/>
      <w:r>
        <w:rPr/>
        <w:t>.</w:t>
      </w:r>
    </w:p>
    <w:p>
      <w:pPr>
        <w:pStyle w:val="Style17"/>
        <w:spacing w:before="0" w:after="0"/>
        <w:rPr/>
      </w:pPr>
      <w:r>
        <w:rPr/>
        <w:t>Заключенный по результатам закупки Договор, в том числе, фиксирует все достигнутые сторонами договоренности.</w:t>
      </w:r>
    </w:p>
    <w:p>
      <w:pPr>
        <w:pStyle w:val="Style17"/>
        <w:spacing w:before="0" w:after="0"/>
        <w:rPr/>
      </w:pPr>
      <w:r>
        <w:rPr/>
        <w:t>Во всем, что не урегулировано Извещением и Документацией о закупке, стороны руководствуются Законом 223-ФЗ и Положением о закупке (в редакции, действующей на дату официального размещения Извещения).</w:t>
      </w:r>
    </w:p>
    <w:p>
      <w:pPr>
        <w:pStyle w:val="Style17"/>
        <w:spacing w:before="0" w:after="0"/>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17"/>
        <w:spacing w:before="0" w:after="0"/>
        <w:rPr/>
      </w:pPr>
      <w:r>
        <w:rPr/>
        <w:t>Иные документы Организатора и Участников не определяют права и обязанности сторон в связи с данной закупкой.</w:t>
      </w:r>
    </w:p>
    <w:p>
      <w:pPr>
        <w:pStyle w:val="Style17"/>
        <w:spacing w:before="0" w:after="0"/>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16"/>
        <w:spacing w:before="360" w:after="0"/>
        <w:rPr/>
      </w:pPr>
      <w:bookmarkStart w:id="68" w:name="_Ref125363536"/>
      <w:bookmarkStart w:id="69" w:name="_Toc9"/>
      <w:r>
        <w:rPr/>
        <w:t>Обжалование</w:t>
      </w:r>
      <w:bookmarkEnd w:id="68"/>
      <w:bookmarkEnd w:id="69"/>
    </w:p>
    <w:p>
      <w:pPr>
        <w:pStyle w:val="Style17"/>
        <w:spacing w:before="120" w:after="0"/>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17"/>
        <w:spacing w:before="0" w:after="0"/>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17"/>
        <w:keepNext w:val="true"/>
        <w:spacing w:before="0" w:after="0"/>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18"/>
        <w:spacing w:before="120" w:after="0"/>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18"/>
        <w:spacing w:before="0" w:after="0"/>
        <w:rPr/>
      </w:pPr>
      <w:r>
        <w:rPr/>
        <w:t>признать заявление Участника необоснованным.</w:t>
      </w:r>
    </w:p>
    <w:p>
      <w:pPr>
        <w:pStyle w:val="Style17"/>
        <w:spacing w:before="120" w:after="0"/>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17"/>
        <w:spacing w:before="0" w:after="0"/>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18"/>
        <w:spacing w:before="120" w:after="0"/>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18"/>
        <w:spacing w:before="0" w:after="0"/>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70" w:name="_Hlk219296876"/>
      <w:bookmarkStart w:id="71" w:name="_Hlk219301278"/>
      <w:r>
        <w:rPr/>
        <w:t>Красноярского края</w:t>
      </w:r>
      <w:bookmarkEnd w:id="70"/>
      <w:bookmarkEnd w:id="71"/>
      <w:r>
        <w:rPr/>
        <w:t>.</w:t>
      </w:r>
    </w:p>
    <w:p>
      <w:pPr>
        <w:pStyle w:val="Style21"/>
        <w:ind w:hanging="0" w:left="1134"/>
        <w:rPr/>
      </w:pPr>
      <w:r>
        <w:rPr/>
        <w:t>Закупочная комиссия определяется в соответствии с Положением о закупке.</w:t>
      </w:r>
    </w:p>
    <w:p>
      <w:pPr>
        <w:pStyle w:val="Style16"/>
        <w:spacing w:before="360" w:after="0"/>
        <w:rPr/>
      </w:pPr>
      <w:bookmarkStart w:id="72" w:name="_Toc10"/>
      <w:r>
        <w:rPr/>
        <w:t>Особые положения при проведении закупки с использованием ЭП</w:t>
      </w:r>
      <w:bookmarkEnd w:id="72"/>
    </w:p>
    <w:p>
      <w:pPr>
        <w:pStyle w:val="Style17"/>
        <w:spacing w:before="120" w:after="0"/>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17"/>
        <w:spacing w:before="0" w:after="0"/>
        <w:rPr/>
      </w:pPr>
      <w:r>
        <w:rPr/>
        <w:t>Для участия в закупке Участник должен пройти процедуру регистрации в Едином реестре участников закупок в ЕИС в порядке, предусмотренным Законом 44-ФЗ, т.е. быть зарегистрированным на ЭП. Регистрация осуществляется Федеральным Казначейством, и Организатор (Заказчик) не несет ответственности за результат ее прохождения Участником, в том числе понесенные им затраты.</w:t>
      </w:r>
    </w:p>
    <w:p>
      <w:pPr>
        <w:pStyle w:val="Style17"/>
        <w:spacing w:before="0" w:after="0"/>
        <w:rPr/>
      </w:pPr>
      <w:r>
        <w:rPr/>
        <w:t>Правила проведения закупки в том числе определяются Регламентом ЭП.</w:t>
      </w:r>
    </w:p>
    <w:p>
      <w:pPr>
        <w:pStyle w:val="Style17"/>
        <w:spacing w:before="0" w:after="0"/>
        <w:rPr/>
      </w:pPr>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p>
    <w:p>
      <w:pPr>
        <w:pStyle w:val="Style17"/>
        <w:spacing w:before="0" w:after="0"/>
        <w:rPr/>
      </w:pPr>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p>
    <w:p>
      <w:pPr>
        <w:pStyle w:val="Style16"/>
        <w:spacing w:before="360" w:after="0"/>
        <w:rPr/>
      </w:pPr>
      <w:bookmarkStart w:id="73" w:name="_Toc11"/>
      <w:r>
        <w:rPr/>
        <w:t>Прочие положения</w:t>
      </w:r>
      <w:bookmarkEnd w:id="73"/>
    </w:p>
    <w:p>
      <w:pPr>
        <w:pStyle w:val="Style17"/>
        <w:spacing w:before="120" w:after="0"/>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17"/>
        <w:spacing w:before="0" w:after="0"/>
        <w:rPr/>
      </w:pPr>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p>
    <w:p>
      <w:pPr>
        <w:pStyle w:val="Style17"/>
        <w:spacing w:before="0" w:after="0"/>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15"/>
        <w:spacing w:before="0" w:after="0"/>
        <w:rPr/>
      </w:pPr>
      <w:bookmarkStart w:id="74" w:name="_Ref125361210"/>
      <w:bookmarkStart w:id="75" w:name="_Toc12"/>
      <w:r>
        <w:rPr/>
        <w:t>Требования к Участникам</w:t>
      </w:r>
      <w:bookmarkEnd w:id="74"/>
      <w:bookmarkEnd w:id="75"/>
    </w:p>
    <w:p>
      <w:pPr>
        <w:pStyle w:val="Style16"/>
        <w:spacing w:before="360" w:after="0"/>
        <w:rPr/>
      </w:pPr>
      <w:bookmarkStart w:id="76" w:name="_Ref127524530"/>
      <w:bookmarkStart w:id="77" w:name="_Toc13"/>
      <w:r>
        <w:rPr/>
        <w:t>Общие требования к Участникам</w:t>
      </w:r>
      <w:bookmarkEnd w:id="76"/>
      <w:bookmarkEnd w:id="77"/>
    </w:p>
    <w:p>
      <w:pPr>
        <w:pStyle w:val="Style17"/>
        <w:spacing w:before="120" w:after="0"/>
        <w:rPr/>
      </w:pPr>
      <w:bookmarkStart w:id="78"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w:t>
      </w:r>
      <w:bookmarkEnd w:id="78"/>
    </w:p>
    <w:p>
      <w:pPr>
        <w:pStyle w:val="Style17"/>
        <w:spacing w:before="0" w:after="0"/>
        <w:rPr/>
      </w:pPr>
      <w:r>
        <w:rPr/>
        <w:t>Однако, чтобы претендовать на победу в закупке Участник в целом должен отвечать требованиям, установленным в Документации о закупке.</w:t>
      </w:r>
    </w:p>
    <w:p>
      <w:pPr>
        <w:pStyle w:val="Style17"/>
        <w:spacing w:before="0" w:after="0"/>
        <w:rPr/>
      </w:pPr>
      <w:r>
        <w:rPr/>
        <w:t xml:space="preserve">Требования к Участникам установлены с учетом предмета договора, </w:t>
      </w:r>
      <w:hyperlink w:anchor="Прил01_ТехТребования" w:tgtFrame="#Прил01_ТехТребования">
        <w:r>
          <w:rPr>
            <w:rStyle w:val="Style6"/>
          </w:rPr>
          <w:t>Технических требований (Приложение № 1)</w:t>
        </w:r>
      </w:hyperlink>
      <w:r>
        <w:rPr/>
        <w:t xml:space="preserve"> и </w:t>
      </w:r>
      <w:hyperlink w:anchor="Прил02_ПроектДоговора" w:tgtFrame="#Прил02_ПроектДоговора">
        <w:r>
          <w:rPr>
            <w:rStyle w:val="Style6"/>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w:t>
      </w:r>
    </w:p>
    <w:p>
      <w:pPr>
        <w:pStyle w:val="Style17"/>
        <w:keepNext w:val="true"/>
        <w:spacing w:before="0" w:after="0"/>
        <w:rPr/>
      </w:pPr>
      <w:r>
        <w:rPr/>
        <w:t>Установлены следующие требования к Участникам, которые приведены в </w:t>
      </w:r>
      <w:hyperlink w:anchor="Прил03_ТребованияУчастникам" w:tgtFrame="#Прил03_ТребованияУчастникам">
        <w:r>
          <w:rPr>
            <w:rStyle w:val="Style6"/>
          </w:rPr>
          <w:t>Приложении № 3</w:t>
        </w:r>
      </w:hyperlink>
      <w:r>
        <w:rPr/>
        <w:t>:</w:t>
      </w:r>
    </w:p>
    <w:p>
      <w:pPr>
        <w:pStyle w:val="Style18"/>
        <w:spacing w:before="120" w:after="0"/>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18"/>
        <w:spacing w:before="0" w:after="0"/>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17"/>
        <w:keepNext w:val="true"/>
        <w:spacing w:before="120" w:after="0"/>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17"/>
        <w:spacing w:before="0" w:after="0"/>
        <w:rPr/>
      </w:pPr>
      <w:bookmarkStart w:id="79" w:name="_Ref125361969"/>
      <w:bookmarkStart w:id="80" w:name="_Ref125361976"/>
      <w:bookmarkEnd w:id="79"/>
      <w:bookmarkEnd w:id="80"/>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tgtFrame="#Прил03_ТребованияУчастникам">
        <w:r>
          <w:rPr>
            <w:rStyle w:val="Style6"/>
          </w:rPr>
          <w:t>Требованиях к Участникам (Приложение № 3)</w:t>
        </w:r>
      </w:hyperlink>
      <w:r>
        <w:rPr/>
        <w:t xml:space="preserve">, </w:t>
      </w:r>
      <w:bookmarkStart w:id="81" w:name="_Hlk132706049"/>
      <w:r>
        <w:rPr/>
        <w:t>если иное не установлено в Документации о закупке</w:t>
      </w:r>
      <w:bookmarkEnd w:id="81"/>
      <w:r>
        <w:rPr/>
        <w:t>.</w:t>
      </w:r>
    </w:p>
    <w:p>
      <w:pPr>
        <w:pStyle w:val="Style16"/>
        <w:spacing w:before="360" w:after="0"/>
        <w:rPr/>
      </w:pPr>
      <w:bookmarkStart w:id="82" w:name="_Ref125361702"/>
      <w:bookmarkStart w:id="83" w:name="_Toc14"/>
      <w:bookmarkStart w:id="84" w:name="_Ref125361969_Копия_1"/>
      <w:bookmarkStart w:id="85" w:name="_Ref125361976_Копия_1"/>
      <w:bookmarkEnd w:id="84"/>
      <w:bookmarkEnd w:id="85"/>
      <w:r>
        <w:rPr/>
        <w:t>Генеральные подрядчики</w:t>
      </w:r>
      <w:bookmarkEnd w:id="82"/>
      <w:bookmarkEnd w:id="83"/>
    </w:p>
    <w:p>
      <w:pPr>
        <w:pStyle w:val="Style17"/>
        <w:spacing w:before="120" w:after="0"/>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предусмотрены рассмотрение и оценка заявок Участников с учетом привлекаемых субподрядчиков.</w:t>
      </w:r>
    </w:p>
    <w:p>
      <w:pPr>
        <w:pStyle w:val="Style17"/>
        <w:spacing w:before="0" w:after="0"/>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8.4</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w:t>
      </w:r>
    </w:p>
    <w:p>
      <w:pPr>
        <w:pStyle w:val="Style17"/>
        <w:keepNext w:val="true"/>
        <w:spacing w:before="0" w:after="0"/>
        <w:rPr/>
      </w:pPr>
      <w:r>
        <w:rPr/>
        <w:t>Генеральный подрядчик:</w:t>
      </w:r>
    </w:p>
    <w:p>
      <w:pPr>
        <w:pStyle w:val="Style18"/>
        <w:spacing w:before="120" w:after="0"/>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18"/>
        <w:spacing w:before="0" w:after="0"/>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18"/>
        <w:spacing w:before="0" w:after="0"/>
        <w:rPr/>
      </w:pPr>
      <w:r>
        <w:rPr/>
        <w:t>в рамках остальных специальных требований (в случае их установления) должен отвечать им только в части объема поставки продукции, который ему предполагается поручить в соответствии с представленным в Техническом предложении Планом распределения объемов поставки продукции (форма 4) (</w:t>
      </w:r>
      <w:hyperlink w:anchor="Прил04_ФормыЗаявки" w:tgtFrame="#Прил04_ФормыЗаявки">
        <w:r>
          <w:rPr>
            <w:rStyle w:val="Style6"/>
          </w:rPr>
          <w:t>Приложение № 4</w:t>
        </w:r>
      </w:hyperlink>
      <w:r>
        <w:rPr/>
        <w:t>).</w:t>
      </w:r>
    </w:p>
    <w:p>
      <w:pPr>
        <w:pStyle w:val="Style17"/>
        <w:keepNext w:val="true"/>
        <w:spacing w:before="120" w:after="0"/>
        <w:rPr/>
      </w:pPr>
      <w:r>
        <w:rPr/>
        <w:t>Каждый субподрядчик из привлекаемых Генеральным подрядчиком должен отвечать:</w:t>
      </w:r>
    </w:p>
    <w:p>
      <w:pPr>
        <w:pStyle w:val="Style18"/>
        <w:spacing w:before="120" w:after="0"/>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18"/>
        <w:spacing w:before="0" w:after="0"/>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1"/>
        <w:ind w:hanging="0" w:left="1134"/>
        <w:rPr/>
      </w:pPr>
      <w:bookmarkStart w:id="86" w:name="_Ref125368863"/>
      <w:r>
        <w:rPr/>
        <w:t xml:space="preserve">При этом соответствовать специальным требованиям субподрядчик должен только в части объема поставки продукции, который ему </w:t>
      </w:r>
      <w:bookmarkEnd w:id="86"/>
      <w:r>
        <w:rPr/>
        <w:t>поручен в соответствии с представленным в Техническом предложении Планом распределения объемов поставки продукции (форма 4) (</w:t>
      </w:r>
      <w:hyperlink w:anchor="Прил04_ФормыЗаявки" w:tgtFrame="#Прил04_ФормыЗаявки">
        <w:r>
          <w:rPr>
            <w:rStyle w:val="Style6"/>
          </w:rPr>
          <w:t>Приложение № 4</w:t>
        </w:r>
      </w:hyperlink>
      <w:r>
        <w:rPr/>
        <w:t>).</w:t>
      </w:r>
    </w:p>
    <w:p>
      <w:pPr>
        <w:pStyle w:val="Style17"/>
        <w:spacing w:before="120" w:after="0"/>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tgtFrame="#Прил08_ПорядокОценки">
        <w:r>
          <w:rPr>
            <w:rStyle w:val="Style6"/>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17"/>
        <w:spacing w:before="0" w:after="0"/>
        <w:rPr/>
      </w:pPr>
      <w:bookmarkStart w:id="87"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87"/>
    </w:p>
    <w:p>
      <w:pPr>
        <w:sectPr>
          <w:headerReference w:type="default" r:id="rId5"/>
          <w:footerReference w:type="default" r:id="rId6"/>
          <w:footerReference w:type="first" r:id="rId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17"/>
        <w:spacing w:before="0" w:after="0"/>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8.4</w:t>
      </w:r>
      <w:r>
        <w:rPr/>
        <w:fldChar w:fldCharType="end"/>
      </w:r>
      <w:r>
        <w:rPr/>
        <w:t xml:space="preserve"> </w:t>
      </w:r>
      <w:hyperlink w:anchor="Прил03_ТребованияУчастникам" w:tgtFrame="#Прил03_ТребованияУчастникам">
        <w:r>
          <w:rPr>
            <w:rStyle w:val="Style6"/>
          </w:rPr>
          <w:t>Требований к Участникам (Приложение № 3)</w:t>
        </w:r>
      </w:hyperlink>
      <w:r>
        <w:rPr/>
        <w:t>. 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15"/>
        <w:spacing w:before="0" w:after="0"/>
        <w:rPr/>
      </w:pPr>
      <w:bookmarkStart w:id="88" w:name="_Ref125361211"/>
      <w:bookmarkStart w:id="89" w:name="_Ref125367098"/>
      <w:bookmarkStart w:id="90" w:name="_Ref125367107"/>
      <w:bookmarkStart w:id="91" w:name="_Ref125367974"/>
      <w:bookmarkStart w:id="92" w:name="_Toc15"/>
      <w:r>
        <w:rPr/>
        <w:t>Порядок проведения закупки</w:t>
      </w:r>
      <w:bookmarkEnd w:id="88"/>
      <w:bookmarkEnd w:id="89"/>
      <w:bookmarkEnd w:id="90"/>
      <w:bookmarkEnd w:id="91"/>
      <w:bookmarkEnd w:id="92"/>
    </w:p>
    <w:p>
      <w:pPr>
        <w:pStyle w:val="Style16"/>
        <w:spacing w:before="360" w:after="0"/>
        <w:rPr/>
      </w:pPr>
      <w:bookmarkStart w:id="93" w:name="_Ref126141932"/>
      <w:bookmarkStart w:id="94" w:name="_Toc16"/>
      <w:r>
        <w:rPr/>
        <w:t>Общий порядок проведения закупки</w:t>
      </w:r>
      <w:bookmarkEnd w:id="93"/>
      <w:bookmarkEnd w:id="94"/>
    </w:p>
    <w:p>
      <w:pPr>
        <w:pStyle w:val="Style17"/>
        <w:keepNext w:val="true"/>
        <w:spacing w:before="120" w:after="120"/>
        <w:rPr/>
      </w:pPr>
      <w:r>
        <w:rPr/>
        <w:t>Закупка проводится в следующем порядке:</w:t>
      </w:r>
    </w:p>
    <w:tbl>
      <w:tblPr>
        <w:tblStyle w:val="1158"/>
        <w:tblW w:w="14007" w:type="dxa"/>
        <w:jc w:val="left"/>
        <w:tblInd w:w="1129" w:type="dxa"/>
        <w:tblLayout w:type="fixed"/>
        <w:tblCellMar>
          <w:top w:w="0" w:type="dxa"/>
          <w:left w:w="0" w:type="dxa"/>
          <w:bottom w:w="0" w:type="dxa"/>
          <w:right w:w="5" w:type="dxa"/>
        </w:tblCellMar>
        <w:tblLook w:val="04a0" w:noHBand="0" w:noVBand="1" w:firstColumn="1" w:lastRow="0" w:lastColumn="0" w:firstRow="1"/>
      </w:tblPr>
      <w:tblGrid>
        <w:gridCol w:w="372"/>
        <w:gridCol w:w="3174"/>
        <w:gridCol w:w="3262"/>
        <w:gridCol w:w="2694"/>
        <w:gridCol w:w="2269"/>
        <w:gridCol w:w="2235"/>
      </w:tblGrid>
      <w:tr>
        <w:trPr/>
        <w:tc>
          <w:tcPr>
            <w:tcW w:w="372" w:type="dxa"/>
            <w:tcBorders>
              <w:left w:val="nil"/>
            </w:tcBorders>
            <w:vAlign w:val="bottom"/>
          </w:tcPr>
          <w:p>
            <w:pPr>
              <w:pStyle w:val="Style21"/>
              <w:keepNext w:val="true"/>
              <w:keepLines w:val="false"/>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13634" w:type="dxa"/>
            <w:gridSpan w:val="5"/>
            <w:tcBorders>
              <w:right w:val="nil"/>
            </w:tcBorders>
          </w:tcPr>
          <w:p>
            <w:pPr>
              <w:pStyle w:val="Style21"/>
              <w:keepNext w:val="true"/>
              <w:keepLines w:val="false"/>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Официальное размещение Извещения и Документации о закупке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_Ref130286532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4.2</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6436" w:type="dxa"/>
            <w:gridSpan w:val="2"/>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Подготовка заявки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_Ref130281199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4.3</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694" w:type="dxa"/>
            <w:vMerge w:val="restart"/>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Предоставление разъяснений положений Документации о закупке</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_Ref130394205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4.4</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c>
          <w:tcPr>
            <w:tcW w:w="2269" w:type="dxa"/>
            <w:vMerge w:val="restart"/>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Внесение изменений в Извещение и (или) Документацию о закупке</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_Ref125362076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4.5</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c>
          <w:tcPr>
            <w:tcW w:w="2235" w:type="dxa"/>
            <w:vMerge w:val="restart"/>
            <w:tcBorders>
              <w:right w:val="nil"/>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Отказ от проведения закупки (отмена закупки)</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_Ref132816134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4.17</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3174" w:type="dxa"/>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Подача заявок и их прием</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_Ref125362119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4.6</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3262" w:type="dxa"/>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Изменение и отзыв заявок</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_Ref125362130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4.7</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11399" w:type="dxa"/>
            <w:gridSpan w:val="4"/>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Открытие доступа к первым частям заявок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_Ref132816188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4.8</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235" w:type="dxa"/>
            <w:tcBorders>
              <w:bottom w:val="nil"/>
              <w:right w:val="nil"/>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cs="Times New Roman"/>
                <w:b w:val="false"/>
                <w:bCs w:val="false"/>
                <w:sz w:val="20"/>
                <w:szCs w:val="20"/>
              </w:rPr>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6436" w:type="dxa"/>
            <w:gridSpan w:val="2"/>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Рассмотрение первых частей заявок / окончательных предложений (отборочная стадия)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_Ref125362364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4.9</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cs="Times New Roman"/>
                <w:b w:val="false"/>
                <w:bCs w:val="false"/>
                <w:sz w:val="20"/>
                <w:szCs w:val="20"/>
              </w:rPr>
            </w:r>
          </w:p>
        </w:tc>
        <w:tc>
          <w:tcPr>
            <w:tcW w:w="2694" w:type="dxa"/>
            <w:vMerge w:val="restart"/>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Направление дополнительных запросов разъяснений заявок</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_Ref125362381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4.12</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269" w:type="dxa"/>
            <w:vMerge w:val="restart"/>
            <w:tcBorders>
              <w:top w:val="nil"/>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Признание закупки</w:t>
              <w:br/>
              <w:t>несостоявшейся</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_Ref125364149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4.16</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c>
          <w:tcPr>
            <w:tcW w:w="2235" w:type="dxa"/>
            <w:vMerge w:val="restart"/>
            <w:tcBorders>
              <w:top w:val="nil"/>
              <w:right w:val="nil"/>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_Ref132816141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4.17</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6436" w:type="dxa"/>
            <w:gridSpan w:val="2"/>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Открытие доступа ко вторым частям заявок</w:t>
              <w:br/>
              <w:t>и ценовым предложениям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_Ref132801184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4.10</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3174" w:type="dxa"/>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Рассмотрение вторых частей заявок (отборочная стадия), в том числе (при необходимости) проведение аккредитации,</w:t>
              <w:br/>
              <w:t>и ценовых предложений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_Ref132797154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4.11</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3262" w:type="dxa"/>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Применение законодательства о национальном режиме</w:t>
              <w:br/>
              <w:t>(</w:t>
            </w:r>
            <w:r>
              <w:rPr>
                <w:rFonts w:eastAsia="Times New Roman" w:cs="Times New Roman"/>
                <w:b w:val="false"/>
                <w:bCs w:val="false"/>
                <w:kern w:val="0"/>
                <w:sz w:val="20"/>
                <w:szCs w:val="20"/>
                <w:u w:val="single"/>
                <w:lang w:val="ru-RU" w:eastAsia="en-US" w:bidi="ar-SA"/>
              </w:rPr>
              <w:t>предоставление национального режима / запрета, ограничения</w:t>
            </w:r>
            <w:r>
              <w:rPr>
                <w:rFonts w:eastAsia="Times New Roman" w:cs="Times New Roman"/>
                <w:b w:val="false"/>
                <w:bCs w:val="false"/>
                <w:kern w:val="0"/>
                <w:sz w:val="20"/>
                <w:szCs w:val="20"/>
                <w:lang w:val="ru-RU" w:eastAsia="en-US" w:bidi="ar-SA"/>
              </w:rPr>
              <w:t>)</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_Ref132816300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4.14</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rHeight w:val="627" w:hRule="atLeast"/>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3174" w:type="dxa"/>
            <w:vMerge w:val="restart"/>
            <w:tcBorders/>
            <w:vAlign w:val="center"/>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Оценка и сопоставление заявок</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_Ref125362626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4.13</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3262" w:type="dxa"/>
            <w:vMerge w:val="restart"/>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_Ref132816300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4.14</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rHeight w:val="853" w:hRule="atLeast"/>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317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3262" w:type="dxa"/>
            <w:vMerge w:val="continue"/>
            <w:tcBorders/>
          </w:tcPr>
          <w:p>
            <w:pPr>
              <w:pStyle w:val="Normal"/>
              <w:widowControl w:val="false"/>
              <w:suppressAutoHyphens w:val="true"/>
              <w:spacing w:lineRule="auto" w:line="240" w:before="60" w:after="60"/>
              <w:jc w:val="left"/>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2694"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Ô</w:t>
            </w:r>
          </w:p>
        </w:tc>
        <w:tc>
          <w:tcPr>
            <w:tcW w:w="9130" w:type="dxa"/>
            <w:gridSpan w:val="3"/>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Подведение итогов закупки (определение Победителя)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_Ref125362658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4.15</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tc>
        <w:tc>
          <w:tcPr>
            <w:tcW w:w="2269" w:type="dxa"/>
            <w:vMerge w:val="continue"/>
            <w:tcBorders/>
          </w:tcPr>
          <w:p>
            <w:pPr>
              <w:pStyle w:val="Style21"/>
              <w:widowControl w:val="false"/>
              <w:suppressAutoHyphens w:val="true"/>
              <w:spacing w:lineRule="auto" w:line="240" w:before="40" w:after="40"/>
              <w:jc w:val="center"/>
              <w:rPr>
                <w:bCs/>
                <w:sz w:val="24"/>
                <w:szCs w:val="24"/>
              </w:rPr>
            </w:pPr>
            <w:r>
              <w:rPr>
                <w:bCs/>
                <w:sz w:val="24"/>
                <w:szCs w:val="24"/>
              </w:rPr>
            </w:r>
          </w:p>
        </w:tc>
        <w:tc>
          <w:tcPr>
            <w:tcW w:w="2235" w:type="dxa"/>
            <w:vMerge w:val="continue"/>
            <w:tcBorders>
              <w:right w:val="nil"/>
            </w:tcBorders>
          </w:tcPr>
          <w:p>
            <w:pPr>
              <w:pStyle w:val="Style21"/>
              <w:widowControl w:val="false"/>
              <w:suppressAutoHyphens w:val="true"/>
              <w:spacing w:lineRule="auto" w:line="240" w:before="40" w:after="40"/>
              <w:jc w:val="center"/>
              <w:rPr>
                <w:bCs/>
                <w:sz w:val="24"/>
                <w:szCs w:val="24"/>
              </w:rPr>
            </w:pPr>
            <w:r>
              <w:rPr>
                <w:bCs/>
                <w:sz w:val="24"/>
                <w:szCs w:val="24"/>
              </w:rPr>
            </w:r>
          </w:p>
        </w:tc>
      </w:tr>
      <w:tr>
        <w:trPr/>
        <w:tc>
          <w:tcPr>
            <w:tcW w:w="372" w:type="dxa"/>
            <w:tcBorders>
              <w:left w:val="nil"/>
            </w:tcBorders>
            <w:vAlign w:val="bottom"/>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u w:val="single"/>
                <w:lang w:val="ru-RU" w:eastAsia="en-US" w:bidi="ar-SA"/>
              </w:rPr>
              <w:t>Ô</w:t>
            </w:r>
          </w:p>
        </w:tc>
        <w:tc>
          <w:tcPr>
            <w:tcW w:w="6436" w:type="dxa"/>
            <w:gridSpan w:val="2"/>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Заключение Договора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_Ref138341423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5.2</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r>
          </w:p>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cs="Times New Roman"/>
                <w:b w:val="false"/>
                <w:bCs w:val="false"/>
                <w:sz w:val="20"/>
                <w:szCs w:val="20"/>
              </w:rPr>
            </w:r>
          </w:p>
        </w:tc>
        <w:tc>
          <w:tcPr>
            <w:tcW w:w="7198" w:type="dxa"/>
            <w:gridSpan w:val="3"/>
            <w:tcBorders>
              <w:right w:val="nil"/>
            </w:tcBorders>
          </w:tcPr>
          <w:p>
            <w:pPr>
              <w:pStyle w:val="Style21"/>
              <w:widowControl w:val="false"/>
              <w:suppressAutoHyphens w:val="true"/>
              <w:spacing w:lineRule="auto" w:line="240" w:before="40" w:after="40"/>
              <w:jc w:val="center"/>
              <w:rPr>
                <w:rFonts w:ascii="Times New Roman" w:hAnsi="Times New Roman" w:cs="Times New Roman"/>
                <w:b w:val="false"/>
                <w:bCs w:val="false"/>
                <w:sz w:val="20"/>
                <w:szCs w:val="20"/>
              </w:rPr>
            </w:pPr>
            <w:r>
              <w:rPr>
                <w:rFonts w:eastAsia="Times New Roman" w:cs="Times New Roman"/>
                <w:b w:val="false"/>
                <w:bCs w:val="false"/>
                <w:kern w:val="0"/>
                <w:sz w:val="20"/>
                <w:szCs w:val="20"/>
                <w:lang w:val="ru-RU" w:eastAsia="en-US" w:bidi="ar-SA"/>
              </w:rPr>
              <w:t>Уклонение Победителя от заключения Договора (подраздел </w:t>
            </w:r>
            <w:r>
              <w:rPr>
                <w:rFonts w:eastAsia="Times New Roman" w:cs="Times New Roman"/>
                <w:b w:val="false"/>
                <w:bCs w:val="false"/>
                <w:kern w:val="0"/>
                <w:sz w:val="20"/>
                <w:szCs w:val="20"/>
                <w:lang w:val="ru-RU" w:eastAsia="en-US" w:bidi="ar-SA"/>
              </w:rPr>
              <w:fldChar w:fldCharType="begin"/>
            </w:r>
            <w:r>
              <w:rPr>
                <w:sz w:val="20"/>
                <w:b w:val="false"/>
                <w:kern w:val="0"/>
                <w:szCs w:val="20"/>
                <w:bCs w:val="false"/>
                <w:rFonts w:eastAsia="Times New Roman" w:cs="Times New Roman"/>
                <w:lang w:val="ru-RU" w:eastAsia="en-US" w:bidi="ar-SA"/>
              </w:rPr>
              <w:instrText xml:space="preserve"> REF _Ref125367068 \r \h </w:instrText>
            </w:r>
            <w:r>
              <w:rPr>
                <w:sz w:val="20"/>
                <w:b w:val="false"/>
                <w:kern w:val="0"/>
                <w:szCs w:val="20"/>
                <w:bCs w:val="false"/>
                <w:rFonts w:eastAsia="Times New Roman" w:cs="Times New Roman"/>
                <w:lang w:val="ru-RU" w:eastAsia="en-US" w:bidi="ar-SA"/>
              </w:rPr>
              <w:fldChar w:fldCharType="separate"/>
            </w:r>
            <w:r>
              <w:rPr>
                <w:sz w:val="20"/>
                <w:b w:val="false"/>
                <w:kern w:val="0"/>
                <w:szCs w:val="20"/>
                <w:bCs w:val="false"/>
                <w:rFonts w:eastAsia="Times New Roman" w:cs="Times New Roman"/>
                <w:lang w:val="ru-RU" w:eastAsia="en-US" w:bidi="ar-SA"/>
              </w:rPr>
              <w:t>5.3</w:t>
            </w:r>
            <w:r>
              <w:rPr>
                <w:sz w:val="20"/>
                <w:b w:val="false"/>
                <w:kern w:val="0"/>
                <w:szCs w:val="20"/>
                <w:bCs w:val="false"/>
                <w:rFonts w:eastAsia="Times New Roman" w:cs="Times New Roman"/>
                <w:lang w:val="ru-RU" w:eastAsia="en-US" w:bidi="ar-SA"/>
              </w:rPr>
              <w:fldChar w:fldCharType="end"/>
            </w:r>
            <w:r>
              <w:rPr>
                <w:rFonts w:eastAsia="Times New Roman" w:cs="Times New Roman"/>
                <w:b w:val="false"/>
                <w:bCs w:val="false"/>
                <w:kern w:val="0"/>
                <w:sz w:val="20"/>
                <w:szCs w:val="20"/>
                <w:lang w:val="ru-RU" w:eastAsia="en-US" w:bidi="ar-SA"/>
              </w:rPr>
              <w:t>)</w:t>
              <w:br/>
            </w:r>
            <w:r>
              <w:rPr>
                <w:rFonts w:eastAsia="Times New Roman" w:cs="Times New Roman"/>
                <w:b w:val="false"/>
                <w:bCs w:val="false"/>
                <w:i/>
                <w:iCs/>
                <w:kern w:val="0"/>
                <w:sz w:val="20"/>
                <w:szCs w:val="20"/>
                <w:lang w:val="ru-RU" w:eastAsia="en-US" w:bidi="ar-SA"/>
              </w:rPr>
              <w:t>(опциональная процедура закупки)</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16"/>
        <w:spacing w:before="360" w:after="0"/>
        <w:rPr/>
      </w:pPr>
      <w:bookmarkStart w:id="95" w:name="_Ref130286532"/>
      <w:bookmarkStart w:id="96" w:name="_Toc17"/>
      <w:r>
        <w:rPr/>
        <w:t>Официальное размещение Извещения и Документации о закупке</w:t>
      </w:r>
      <w:bookmarkEnd w:id="95"/>
      <w:bookmarkEnd w:id="96"/>
    </w:p>
    <w:p>
      <w:pPr>
        <w:pStyle w:val="Style17"/>
        <w:spacing w:before="120" w:after="0"/>
        <w:rPr/>
      </w:pPr>
      <w:r>
        <w:rPr/>
        <w:t>Извещение и Документация о закупке официально размещены на Официальном сайте (ЕИС) и доступны для ознакомления без взимания платы. Иные публикации не влекут для Организатора никаких последствий.</w:t>
      </w:r>
    </w:p>
    <w:p>
      <w:pPr>
        <w:pStyle w:val="Style17"/>
        <w:spacing w:before="0" w:after="0"/>
        <w:rPr/>
      </w:pPr>
      <w:r>
        <w:rPr/>
        <w:t>При возникновении технических или иных неполадок, блокирующих доступ к Официальному сайту (ЕИС) в течение более чем 1 (одного) рабочего дня, информация размещается на официальном сайте Заказчика с последующим размещением ее на Официальном сайте (ЕИС) в течение 1 (одного) рабочего дня со дня устранения указанных неполадок.</w:t>
      </w:r>
    </w:p>
    <w:p>
      <w:pPr>
        <w:pStyle w:val="Style17"/>
        <w:spacing w:before="0" w:after="0"/>
        <w:rPr/>
      </w:pPr>
      <w:bookmarkStart w:id="97" w:name="_Ref125362785"/>
      <w:r>
        <w:rPr/>
        <w:t>Участники могут получить Документацию о закупке также через ЭП. Порядок получения информации через ЭП определяется Регламентом ЭП, с использованием которой проводится закупка.</w:t>
      </w:r>
      <w:bookmarkEnd w:id="97"/>
    </w:p>
    <w:p>
      <w:pPr>
        <w:pStyle w:val="Style17"/>
        <w:spacing w:before="0" w:after="0"/>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16"/>
        <w:spacing w:before="360" w:after="0"/>
        <w:rPr/>
      </w:pPr>
      <w:bookmarkStart w:id="98" w:name="_Ref130281199"/>
      <w:bookmarkStart w:id="99" w:name="_Ref130394681"/>
      <w:bookmarkStart w:id="100" w:name="_Toc18"/>
      <w:r>
        <w:rPr/>
        <w:t>Подготовка заявки</w:t>
      </w:r>
      <w:bookmarkEnd w:id="98"/>
      <w:bookmarkEnd w:id="99"/>
      <w:bookmarkEnd w:id="100"/>
    </w:p>
    <w:p>
      <w:pPr>
        <w:pStyle w:val="Style17"/>
        <w:spacing w:before="120" w:after="0"/>
        <w:rPr/>
      </w:pPr>
      <w:r>
        <w:rPr/>
        <w:t>Участник должен подготовить заявку с учетом требований Документации о закупке.</w:t>
      </w:r>
    </w:p>
    <w:p>
      <w:pPr>
        <w:pStyle w:val="Style17"/>
        <w:spacing w:before="0" w:after="0"/>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17"/>
        <w:spacing w:before="0" w:after="0"/>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tgtFrame="#Прил06_СоставЗаявки">
        <w:r>
          <w:rPr>
            <w:rStyle w:val="Style6"/>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tgtFrame="#Прил04_ФормыЗаявки">
        <w:r>
          <w:rPr>
            <w:rStyle w:val="Style6"/>
          </w:rPr>
          <w:t>Приложение № 4</w:t>
        </w:r>
      </w:hyperlink>
      <w:r>
        <w:rPr/>
        <w:t>.</w:t>
      </w:r>
    </w:p>
    <w:p>
      <w:pPr>
        <w:pStyle w:val="Style17"/>
        <w:spacing w:before="0" w:after="0"/>
        <w:rPr/>
      </w:pPr>
      <w:r>
        <w:rPr/>
        <w:t xml:space="preserve">Непосредственно перед подачей заявки Участник должен разделить подготовленные документы на отдельные части: </w:t>
      </w:r>
      <w:bookmarkStart w:id="101" w:name="_Hlk132886098"/>
      <w:r>
        <w:rPr/>
        <w:t>первую часть, вторую часть и ценовое предложение</w:t>
      </w:r>
      <w:bookmarkEnd w:id="101"/>
      <w:r>
        <w:rPr/>
        <w:t xml:space="preserve"> в соответствии с перечнем документов, входящих в каждую из частей, определенному </w:t>
      </w:r>
      <w:hyperlink w:anchor="Прил06_СоставЗаявки" w:tgtFrame="#Прил06_СоставЗаявки">
        <w:r>
          <w:rPr>
            <w:rStyle w:val="Style6"/>
          </w:rPr>
          <w:t>Приложением № 6 – Состав заявки</w:t>
        </w:r>
      </w:hyperlink>
      <w:r>
        <w:rPr/>
        <w:t>.</w:t>
      </w:r>
    </w:p>
    <w:p>
      <w:pPr>
        <w:pStyle w:val="Style17"/>
        <w:spacing w:before="0" w:after="0"/>
        <w:rPr/>
      </w:pPr>
      <w:r>
        <w:rPr/>
        <w:t>В первую часть заявки должны входить документы, содержащие исключительно описание предлагаемой к поставке продукции, которая является предметом настоящей закупки (без указания сведений об Участнике и (или) о его ценовом предложении), в том числе сведения по результатам проведения предзаявочного обсуждения или обсуждения заявок (в случае проведения), а также информация и документы, необходимые для осуществления оценки заявки в отношении предлагаемой к поставке продукции (в случае установления соответствующих критериев оценки в </w:t>
      </w:r>
      <w:hyperlink w:anchor="Прил08_ПорядокОценки" w:tgtFrame="#Прил08_ПорядокОценки">
        <w:r>
          <w:rPr>
            <w:rStyle w:val="Style6"/>
          </w:rPr>
          <w:t>Порядке и критериях оценки и сопоставления заявок (Приложение № 8)</w:t>
        </w:r>
      </w:hyperlink>
      <w:r>
        <w:rPr/>
        <w:t>).</w:t>
      </w:r>
    </w:p>
    <w:p>
      <w:pPr>
        <w:pStyle w:val="Style17"/>
        <w:spacing w:before="0" w:after="0"/>
        <w:rPr/>
      </w:pPr>
      <w:r>
        <w:rPr/>
        <w:t xml:space="preserve">Во вторую часть заявки должны входить документы, содержащие сведения об Участнике и информацию о его соответствии требованиям Документации о закупке, копии документов, подтверждающих соответствие поставляемой продукции, требованиям Документации о закупке, установленным в соответствии с законодательством (в случае установления таких требований в Документации о закупке), а также информация и документы, необходимые для осуществления оценки заявки в отношении Участника (в случае установления соответствующих критериев оценки в </w:t>
      </w:r>
      <w:hyperlink w:anchor="Прил08_ПорядокОценки" w:tgtFrame="#Прил08_ПорядокОценки">
        <w:r>
          <w:rPr>
            <w:rStyle w:val="Style6"/>
          </w:rPr>
          <w:t>Порядке и критериях оценки и сопоставления заявок (Приложение № 8)</w:t>
        </w:r>
      </w:hyperlink>
      <w:r>
        <w:rPr/>
        <w:t>).</w:t>
      </w:r>
    </w:p>
    <w:p>
      <w:pPr>
        <w:pStyle w:val="Style17"/>
        <w:spacing w:before="0" w:after="0"/>
        <w:rPr/>
      </w:pPr>
      <w:r>
        <w:rPr/>
        <w:t>При этом документы, входящие в состав первой части заявки, не должны подаваться на фирменном бланке Участника или иным образом содержать сведения, идентифицирующие его (наименование, адрес местонахождения, номер контактного телефона, адрес электронной почты, сайт в информационно-телекоммуникационной сети «Интернет» и т.п.).</w:t>
      </w:r>
    </w:p>
    <w:p>
      <w:pPr>
        <w:pStyle w:val="Style17"/>
        <w:spacing w:before="0" w:after="0"/>
        <w:rPr/>
      </w:pPr>
      <w:r>
        <w:rPr/>
        <w:t>В случае обнаружения в первой части заявки сведений об Участнике и (или) его ценовом предложении, такая заявка подлежит отклонению.</w:t>
      </w:r>
    </w:p>
    <w:p>
      <w:pPr>
        <w:pStyle w:val="Style17"/>
        <w:spacing w:before="0" w:after="0"/>
        <w:rPr/>
      </w:pPr>
      <w:bookmarkStart w:id="102" w:name="_Ref130394854"/>
      <w:bookmarkStart w:id="103" w:name="_Ref125365866"/>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02"/>
      <w:bookmarkEnd w:id="103"/>
    </w:p>
    <w:p>
      <w:pPr>
        <w:pStyle w:val="Style17"/>
        <w:spacing w:before="0" w:after="0"/>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tgtFrame="#Прил04_ФормыЗаявки">
        <w:r>
          <w:rPr>
            <w:rStyle w:val="Style6"/>
          </w:rPr>
          <w:t>Приложение № 4</w:t>
        </w:r>
      </w:hyperlink>
      <w:r>
        <w:rPr/>
        <w:t>) может служить основанием для отклонения заявки.</w:t>
      </w:r>
    </w:p>
    <w:p>
      <w:pPr>
        <w:pStyle w:val="Style17"/>
        <w:spacing w:before="0" w:after="0"/>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17"/>
        <w:spacing w:before="0" w:after="0"/>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17"/>
        <w:spacing w:before="0" w:after="0"/>
        <w:rPr/>
      </w:pPr>
      <w:bookmarkStart w:id="104" w:name="_Ref125370700"/>
      <w:bookmarkStart w:id="105" w:name="_Ref125370708"/>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17"/>
        <w:spacing w:before="0" w:after="0"/>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tgtFrame="#Прил01_ТехТребования">
        <w:r>
          <w:rPr>
            <w:rStyle w:val="Style6"/>
          </w:rPr>
          <w:t>Техническими требованиями (Приложение № 1)</w:t>
        </w:r>
      </w:hyperlink>
      <w:r>
        <w:rPr/>
        <w:t xml:space="preserve"> и </w:t>
      </w:r>
      <w:hyperlink w:anchor="Прил02_ПроектДоговора" w:tgtFrame="#Прил02_ПроектДоговора">
        <w:r>
          <w:rPr>
            <w:rStyle w:val="Style6"/>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04"/>
      <w:bookmarkEnd w:id="105"/>
    </w:p>
    <w:p>
      <w:pPr>
        <w:pStyle w:val="Style17"/>
        <w:spacing w:before="0" w:after="0"/>
        <w:rPr/>
      </w:pPr>
      <w:r>
        <w:rPr/>
        <w:t xml:space="preserve">В качестве Технического предложения Участник в составе заявки предоставляет по установленной форме (форма 4; </w:t>
      </w:r>
      <w:hyperlink w:anchor="Прил04_ФормыЗаявки" w:tgtFrame="#Прил04_ФормыЗаявки">
        <w:r>
          <w:rPr>
            <w:rStyle w:val="Style6"/>
          </w:rPr>
          <w:t>Приложение № 4</w:t>
        </w:r>
      </w:hyperlink>
      <w:r>
        <w:rPr/>
        <w:t xml:space="preserve">) согласие (декларацию) на поставку продукции на условиях, указанных в Документации о закупке, в том числе в </w:t>
      </w:r>
      <w:hyperlink w:anchor="Прил01_ТехТребования" w:tgtFrame="#Прил01_ТехТребования">
        <w:r>
          <w:rPr>
            <w:rStyle w:val="Style6"/>
          </w:rPr>
          <w:t>Технических требованиях (Приложение № 1)</w:t>
        </w:r>
      </w:hyperlink>
      <w:r>
        <w:rP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pPr>
        <w:pStyle w:val="Style17"/>
        <w:keepNext w:val="true"/>
        <w:spacing w:before="0" w:after="0"/>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17"/>
        <w:keepNext w:val="true"/>
        <w:spacing w:before="0" w:after="0"/>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18"/>
        <w:spacing w:before="120" w:after="0"/>
        <w:rPr/>
      </w:pPr>
      <w:r>
        <w:rPr/>
        <w:t>внутренние противоречия между различными частями и (или) документами заявки, в том числе по тексту внутри одного документа;</w:t>
      </w:r>
    </w:p>
    <w:p>
      <w:pPr>
        <w:pStyle w:val="Style18"/>
        <w:spacing w:before="0" w:after="0"/>
        <w:rPr/>
      </w:pPr>
      <w:bookmarkStart w:id="106" w:name="_Ref125370398"/>
      <w:bookmarkStart w:id="107" w:name="_Ref125714384"/>
      <w:r>
        <w:rPr/>
        <w:t>противоречия между документами заявки и сведениями, указанными Участником в структурированных формах на ЭП.</w:t>
      </w:r>
      <w:bookmarkEnd w:id="106"/>
      <w:bookmarkEnd w:id="107"/>
    </w:p>
    <w:p>
      <w:pPr>
        <w:pStyle w:val="Style17"/>
        <w:spacing w:before="120" w:after="0"/>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18"/>
        <w:spacing w:before="120" w:after="0"/>
        <w:rPr/>
      </w:pPr>
      <w:r>
        <w:rPr/>
        <w:t>полномочий таких органов / лиц на оформление этих документов;</w:t>
      </w:r>
    </w:p>
    <w:p>
      <w:pPr>
        <w:pStyle w:val="Style18"/>
        <w:spacing w:before="0" w:after="0"/>
        <w:rPr/>
      </w:pPr>
      <w:r>
        <w:rPr/>
        <w:t>формы, объема и содержания этих документов.</w:t>
      </w:r>
    </w:p>
    <w:p>
      <w:pPr>
        <w:pStyle w:val="Style17"/>
        <w:keepNext w:val="true"/>
        <w:spacing w:before="120" w:after="0"/>
        <w:rPr/>
      </w:pPr>
      <w:r>
        <w:rPr/>
        <w:t>Участник должен подготовить заявку с соблюдением следующих условий:</w:t>
      </w:r>
    </w:p>
    <w:p>
      <w:pPr>
        <w:pStyle w:val="Style18"/>
        <w:spacing w:before="120" w:after="0"/>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18"/>
        <w:spacing w:before="0" w:after="0"/>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18"/>
        <w:spacing w:before="0" w:after="0"/>
        <w:rPr/>
      </w:pPr>
      <w:r>
        <w:rPr/>
        <w:t>все файлы не должны иметь защиты от их открытия, изменения, копирования их содержимого или их печати;</w:t>
      </w:r>
    </w:p>
    <w:p>
      <w:pPr>
        <w:pStyle w:val="Style18"/>
        <w:spacing w:before="0" w:after="0"/>
        <w:rPr/>
      </w:pPr>
      <w:r>
        <w:rPr/>
        <w:t>файлы электронной заявки рекомендуется именовать так, чтобы можно было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18"/>
        <w:spacing w:before="0" w:after="0"/>
        <w:rPr/>
      </w:pPr>
      <w:r>
        <w:rPr/>
        <w:t>если какой-либо документ представлен в нечитаемом виде, данный документ считается непредставленным.</w:t>
      </w:r>
    </w:p>
    <w:p>
      <w:pPr>
        <w:pStyle w:val="Style17"/>
        <w:spacing w:before="120" w:after="0"/>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16"/>
        <w:spacing w:before="360" w:after="0"/>
        <w:rPr/>
      </w:pPr>
      <w:bookmarkStart w:id="108" w:name="_Ref130394205"/>
      <w:bookmarkStart w:id="109" w:name="_Ref130394785"/>
      <w:bookmarkStart w:id="110" w:name="_Ref130394802"/>
      <w:bookmarkStart w:id="111" w:name="_Toc19"/>
      <w:bookmarkStart w:id="112" w:name="_Ref125361260"/>
      <w:bookmarkStart w:id="113" w:name="_Ref125362071"/>
      <w:bookmarkStart w:id="114" w:name="_Ref125366672"/>
      <w:r>
        <w:rPr/>
        <w:t>Разъяснение Документации о закупке</w:t>
      </w:r>
      <w:bookmarkEnd w:id="108"/>
      <w:bookmarkEnd w:id="109"/>
      <w:bookmarkEnd w:id="110"/>
      <w:bookmarkEnd w:id="111"/>
      <w:bookmarkEnd w:id="112"/>
      <w:bookmarkEnd w:id="113"/>
      <w:bookmarkEnd w:id="114"/>
    </w:p>
    <w:p>
      <w:pPr>
        <w:pStyle w:val="Style17"/>
        <w:spacing w:before="120" w:after="0"/>
        <w:rPr/>
      </w:pPr>
      <w:r>
        <w:rPr/>
        <w:t>Участники вправе обратиться к Организатору за разъяснениями Документации о закупке.</w:t>
      </w:r>
    </w:p>
    <w:p>
      <w:pPr>
        <w:pStyle w:val="Style17"/>
        <w:spacing w:before="0" w:after="0"/>
        <w:rPr/>
      </w:pPr>
      <w:r>
        <w:rPr/>
        <w:t>Запросы подаются в соответствии с Регламентами и инструкциями Оператора ЭП, опубликованными на сайте соответствующей ЭП.</w:t>
      </w:r>
    </w:p>
    <w:p>
      <w:pPr>
        <w:pStyle w:val="Style17"/>
        <w:spacing w:before="0" w:after="0"/>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17"/>
        <w:spacing w:before="0" w:after="0"/>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17"/>
        <w:spacing w:before="0" w:after="0"/>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17"/>
        <w:spacing w:before="0" w:after="0"/>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tgtFrame="#Прил02_ПроектДоговора">
        <w:r>
          <w:rPr>
            <w:rStyle w:val="Style6"/>
          </w:rPr>
          <w:t>Проекта договора (Приложения № 2)</w:t>
        </w:r>
      </w:hyperlink>
      <w:r>
        <w:rPr>
          <w:rStyle w:val="Style6"/>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17"/>
        <w:spacing w:before="0" w:after="0"/>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16"/>
        <w:spacing w:before="360" w:after="0"/>
        <w:rPr/>
      </w:pPr>
      <w:bookmarkStart w:id="115" w:name="_Ref125362076"/>
      <w:bookmarkStart w:id="116" w:name="_Ref125363891"/>
      <w:bookmarkStart w:id="117" w:name="_Ref125364404"/>
      <w:bookmarkStart w:id="118" w:name="_Toc20"/>
      <w:r>
        <w:rPr/>
        <w:t>Изменения Извещения и (или) Документации о закупке</w:t>
      </w:r>
      <w:bookmarkEnd w:id="115"/>
      <w:bookmarkEnd w:id="116"/>
      <w:bookmarkEnd w:id="117"/>
      <w:bookmarkEnd w:id="118"/>
    </w:p>
    <w:p>
      <w:pPr>
        <w:pStyle w:val="Style17"/>
        <w:spacing w:before="120" w:after="0"/>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17"/>
        <w:keepNext w:val="true"/>
        <w:spacing w:before="0" w:after="0"/>
        <w:rPr/>
      </w:pPr>
      <w:r>
        <w:rPr/>
        <w:t>После окончания срока подачи заявок допускается изменение только в части установленных Документацией о закупке дат:</w:t>
      </w:r>
    </w:p>
    <w:p>
      <w:pPr>
        <w:pStyle w:val="Style18"/>
        <w:spacing w:before="120" w:after="0"/>
        <w:rPr/>
      </w:pPr>
      <w:r>
        <w:rPr/>
        <w:t>рассмотрения первых частей заявок / окончательных предложений;</w:t>
      </w:r>
    </w:p>
    <w:p>
      <w:pPr>
        <w:pStyle w:val="Style18"/>
        <w:spacing w:before="0" w:after="0"/>
        <w:rPr/>
      </w:pPr>
      <w:r>
        <w:rPr/>
        <w:t>рассмотрения вторых частей заявок и ценовых предложений;</w:t>
      </w:r>
    </w:p>
    <w:p>
      <w:pPr>
        <w:pStyle w:val="Style18"/>
        <w:spacing w:before="0" w:after="0"/>
        <w:rPr/>
      </w:pPr>
      <w:r>
        <w:rPr/>
        <w:t>проведения переторжки, если предусмотрен данный этап;</w:t>
      </w:r>
    </w:p>
    <w:p>
      <w:pPr>
        <w:pStyle w:val="Style18"/>
        <w:spacing w:before="0" w:after="0"/>
        <w:rPr/>
      </w:pPr>
      <w:r>
        <w:rPr/>
        <w:t>подведения итогов закупки;</w:t>
      </w:r>
    </w:p>
    <w:p>
      <w:pPr>
        <w:pStyle w:val="Style21"/>
        <w:ind w:hanging="0" w:left="1134"/>
        <w:rPr/>
      </w:pPr>
      <w:bookmarkStart w:id="119" w:name="_Ref125550844"/>
      <w:r>
        <w:rPr/>
        <w:t>в пределах срока действия заявок и с уведомлением Участников, подавших заявки.</w:t>
      </w:r>
      <w:bookmarkEnd w:id="119"/>
    </w:p>
    <w:p>
      <w:pPr>
        <w:pStyle w:val="Style17"/>
        <w:spacing w:before="120" w:after="0"/>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17"/>
        <w:spacing w:before="0" w:after="0"/>
        <w:rPr/>
      </w:pPr>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w:t>
      </w:r>
    </w:p>
    <w:p>
      <w:pPr>
        <w:pStyle w:val="Style18"/>
        <w:spacing w:before="120" w:after="0"/>
        <w:rPr/>
      </w:pPr>
      <w:r>
        <w:rPr/>
        <w:t>4 (четырех)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не превышает 30 000 000 (тридцать миллионов) рублей без НДС;</w:t>
      </w:r>
    </w:p>
    <w:p>
      <w:pPr>
        <w:pStyle w:val="Style18"/>
        <w:spacing w:before="0" w:after="0"/>
        <w:rPr/>
      </w:pPr>
      <w:r>
        <w:rPr/>
        <w:t>8 (восьми) календарных дней, если НМЦ закупки (подраздел </w:t>
      </w:r>
      <w:r>
        <w:rPr/>
        <w:fldChar w:fldCharType="begin"/>
      </w:r>
      <w:r>
        <w:rPr/>
        <w:instrText xml:space="preserve"> REF _Ref125359973 \r \h </w:instrText>
      </w:r>
      <w:r>
        <w:rPr/>
        <w:fldChar w:fldCharType="separate"/>
      </w:r>
      <w:r>
        <w:rPr/>
        <w:t>1.2</w:t>
      </w:r>
      <w:r>
        <w:rPr/>
        <w:fldChar w:fldCharType="end"/>
      </w:r>
      <w:r>
        <w:rPr/>
        <w:t>) превышает 30 000 000 (тридцать миллионов) рублей без НДС.</w:t>
      </w:r>
    </w:p>
    <w:p>
      <w:pPr>
        <w:pStyle w:val="Style17"/>
        <w:spacing w:before="120" w:after="0"/>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16"/>
        <w:spacing w:before="360" w:after="0"/>
        <w:rPr/>
      </w:pPr>
      <w:bookmarkStart w:id="120" w:name="_Ref125362119"/>
      <w:bookmarkStart w:id="121" w:name="_Toc21"/>
      <w:r>
        <w:rPr/>
        <w:t>Подача заявок и их прием</w:t>
      </w:r>
      <w:bookmarkEnd w:id="120"/>
      <w:bookmarkEnd w:id="121"/>
    </w:p>
    <w:p>
      <w:pPr>
        <w:pStyle w:val="Style17"/>
        <w:spacing w:before="120" w:after="0"/>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При этом все части заявок, включая ценовое предложение Участника, подаются им одновременно. Заявки, поданные позднее установленного срока, не могут быть приняты Организатором, независимо от причин опоздания.</w:t>
      </w:r>
    </w:p>
    <w:p>
      <w:pPr>
        <w:pStyle w:val="Style17"/>
        <w:spacing w:before="0" w:after="0"/>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17"/>
        <w:spacing w:before="0" w:after="0"/>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17"/>
        <w:spacing w:before="0" w:after="0"/>
        <w:rPr/>
      </w:pPr>
      <w:r>
        <w:rPr/>
        <w:t xml:space="preserve">Заявка должна быть подписана </w:t>
      </w:r>
      <w:bookmarkStart w:id="122" w:name="_Hlk219296949"/>
      <w:r>
        <w:rPr/>
        <w:t xml:space="preserve">усиленной квалифицированной </w:t>
      </w:r>
      <w:bookmarkEnd w:id="122"/>
      <w:r>
        <w:rPr/>
        <w:t>электронной подписью лица, которое является уполномоченным представителем Участника.</w:t>
      </w:r>
    </w:p>
    <w:p>
      <w:pPr>
        <w:pStyle w:val="Style17"/>
        <w:spacing w:before="0" w:after="0"/>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17"/>
        <w:spacing w:before="0" w:after="0"/>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17"/>
        <w:spacing w:before="0" w:after="0"/>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16"/>
        <w:spacing w:before="360" w:after="0"/>
        <w:rPr/>
      </w:pPr>
      <w:bookmarkStart w:id="123" w:name="_Ref125362130"/>
      <w:bookmarkStart w:id="124" w:name="_Ref125362192"/>
      <w:bookmarkStart w:id="125" w:name="_Ref125363819"/>
      <w:bookmarkStart w:id="126" w:name="_Ref125365136"/>
      <w:bookmarkStart w:id="127" w:name="_Toc22"/>
      <w:r>
        <w:rPr/>
        <w:t>Изменение и отзыв заявок</w:t>
      </w:r>
      <w:bookmarkEnd w:id="123"/>
      <w:bookmarkEnd w:id="124"/>
      <w:bookmarkEnd w:id="125"/>
      <w:bookmarkEnd w:id="126"/>
      <w:bookmarkEnd w:id="127"/>
    </w:p>
    <w:p>
      <w:pPr>
        <w:pStyle w:val="Style17"/>
        <w:spacing w:before="120" w:after="0"/>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17"/>
        <w:spacing w:before="0" w:after="0"/>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17"/>
        <w:spacing w:before="0" w:after="0"/>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17"/>
        <w:spacing w:before="0" w:after="0"/>
        <w:rPr/>
      </w:pPr>
      <w:r>
        <w:rPr/>
        <w:t>Изменения и отзыв заявки осуществляется посредством функционала ЭП (подробный порядок определяется Регламентом ЭП).</w:t>
      </w:r>
    </w:p>
    <w:p>
      <w:pPr>
        <w:pStyle w:val="Style16"/>
        <w:spacing w:before="360" w:after="0"/>
        <w:rPr/>
      </w:pPr>
      <w:bookmarkStart w:id="128" w:name="_Ref132816188"/>
      <w:bookmarkStart w:id="129" w:name="_Toc23"/>
      <w:r>
        <w:rPr/>
        <w:t>Открытие доступа к первым частям заявок</w:t>
      </w:r>
      <w:bookmarkEnd w:id="128"/>
      <w:bookmarkEnd w:id="129"/>
    </w:p>
    <w:p>
      <w:pPr>
        <w:pStyle w:val="Style17"/>
        <w:spacing w:before="120" w:after="0"/>
        <w:rPr/>
      </w:pPr>
      <w:r>
        <w:rPr/>
        <w:t>Оператор ЭП направляет в адрес Организатора первые части заявок в срок не позднее 1 (одного) дня, следующего за днем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17"/>
        <w:spacing w:before="0" w:after="0"/>
        <w:rPr/>
      </w:pPr>
      <w:r>
        <w:rPr/>
        <w:t>Подробные правила открытия Организатору доступа к первым частям заявок определяются Регламентом ЭП, с использованием которой проводится закупка. При этом Оператор ЭП обеспечивает конфиденциальность сведений о наименовании Участников, в том числе сведений, указанных в сертификатах ключей электронной подписи, которой подписана заявка, а также обеспечивает конфиденциальность сведений, содержащихся в первых частях заявок, от Участников такой закупки.</w:t>
      </w:r>
    </w:p>
    <w:p>
      <w:pPr>
        <w:pStyle w:val="Style16"/>
        <w:spacing w:before="360" w:after="0"/>
        <w:rPr/>
      </w:pPr>
      <w:bookmarkStart w:id="130" w:name="_Ref125362364"/>
      <w:bookmarkStart w:id="131" w:name="_Ref125366689"/>
      <w:bookmarkStart w:id="132" w:name="_Toc24"/>
      <w:r>
        <w:rPr/>
        <w:t>Рассмотрение первых частей заявок / окончательных предложений (отборочная стадия)</w:t>
      </w:r>
      <w:bookmarkEnd w:id="130"/>
      <w:bookmarkEnd w:id="131"/>
      <w:bookmarkEnd w:id="132"/>
    </w:p>
    <w:p>
      <w:pPr>
        <w:pStyle w:val="Style17"/>
        <w:spacing w:before="120" w:after="0"/>
        <w:rPr/>
      </w:pPr>
      <w:r>
        <w:rPr/>
        <w:t>Дата окончания срока рассмотрения первых частей заявок / окончательных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17"/>
        <w:spacing w:before="0" w:after="0"/>
        <w:rPr/>
      </w:pPr>
      <w:r>
        <w:rPr/>
        <w:t xml:space="preserve">В рамках рассмотрения первых частей заявок / окончательных предложений (отборочной стадии) осуществляется проверка каждой заявки на предмет соответствия </w:t>
      </w:r>
      <w:hyperlink w:anchor="Прил07_ОтборочныеКритерии" w:tgtFrame="#Прил07_ОтборочныеКритерии">
        <w:r>
          <w:rPr>
            <w:rStyle w:val="Style6"/>
          </w:rPr>
          <w:t>Отборочным критериям рассмотрения заявок (Приложение № 7)</w:t>
        </w:r>
      </w:hyperlink>
      <w:r>
        <w:rPr/>
        <w:t>.</w:t>
      </w:r>
    </w:p>
    <w:p>
      <w:pPr>
        <w:pStyle w:val="Style17"/>
        <w:spacing w:before="0" w:after="0"/>
        <w:rPr/>
      </w:pPr>
      <w:r>
        <w:rPr/>
        <w:t>Рассмотрение первых частей заявок / окончательных предложений проводится на основании представленных в составе заявки документов и сведений.</w:t>
      </w:r>
    </w:p>
    <w:p>
      <w:pPr>
        <w:pStyle w:val="Style17"/>
        <w:keepNext w:val="true"/>
        <w:spacing w:before="0" w:after="0"/>
        <w:rPr/>
      </w:pPr>
      <w:bookmarkStart w:id="133" w:name="_Ref125551456"/>
      <w:r>
        <w:rPr/>
        <w:t>По результатам рассмотрения первых частей заявок / окончательных предложений (проведения отборочной стадии) Закупочная комиссия отклоняет заявки по следующим основаниям:</w:t>
      </w:r>
      <w:bookmarkEnd w:id="133"/>
    </w:p>
    <w:p>
      <w:pPr>
        <w:pStyle w:val="Style18"/>
        <w:spacing w:before="120" w:after="0"/>
        <w:rPr/>
      </w:pPr>
      <w:r>
        <w:rPr/>
        <w:t>несоответствие первой части заявки / окончательного предложения по составу</w:t>
      </w:r>
      <w:r>
        <w:rPr>
          <w:rStyle w:val="FootnoteReference"/>
        </w:rPr>
        <w:footnoteReference w:id="3"/>
      </w:r>
      <w:r>
        <w:rPr/>
        <w:t>, содержанию и соблюдению требований Документации о закупке к подготовке (оформлению) заявки, в том числе наличие:</w:t>
      </w:r>
    </w:p>
    <w:p>
      <w:pPr>
        <w:pStyle w:val="Style19"/>
        <w:spacing w:before="120" w:after="0"/>
        <w:rPr/>
      </w:pPr>
      <w:r>
        <w:rPr/>
        <w:t>недостоверных сведений или намеренно искаженной информации или документов;</w:t>
      </w:r>
    </w:p>
    <w:p>
      <w:pPr>
        <w:pStyle w:val="Style19"/>
        <w:spacing w:before="0" w:after="0"/>
        <w:rPr/>
      </w:pPr>
      <w:r>
        <w:rPr/>
        <w:t>внутренних противоречий между различными частями и (или) документами первой части заявки / окончательного предложения, в том числе по тексту внутри одного документа;</w:t>
      </w:r>
    </w:p>
    <w:p>
      <w:pPr>
        <w:pStyle w:val="Style18"/>
        <w:spacing w:before="120" w:after="0"/>
        <w:rPr/>
      </w:pPr>
      <w:r>
        <w:rPr/>
        <w:t>несоответствие предлагаемой продукции требованиям Документации о закупке, в том числе порядка описания такой продукции;</w:t>
      </w:r>
    </w:p>
    <w:p>
      <w:pPr>
        <w:pStyle w:val="Style18"/>
        <w:spacing w:before="0" w:after="0"/>
        <w:rPr/>
      </w:pPr>
      <w:r>
        <w:rPr/>
        <w:t>несоответствие предлагаемых договорных условий требованиям Документации о закупке;</w:t>
      </w:r>
    </w:p>
    <w:p>
      <w:pPr>
        <w:pStyle w:val="Style18"/>
        <w:spacing w:before="0" w:after="0"/>
        <w:rPr/>
      </w:pPr>
      <w:r>
        <w:rPr/>
        <w:t>наличие в документах первой части заявки / окончательном предложении сведений об Участники и (или) о его ценовом предложении.</w:t>
      </w:r>
    </w:p>
    <w:p>
      <w:pPr>
        <w:pStyle w:val="Style17"/>
        <w:keepNext w:val="true"/>
        <w:spacing w:before="120" w:after="0"/>
        <w:rPr/>
      </w:pPr>
      <w:r>
        <w:rPr/>
        <w:t>Решение Закупочной комиссии по рассмотрению первых частей заявок / окончательных предложений оформляется протоколом, в котором, как минимум, указываются</w:t>
      </w:r>
      <w:r>
        <w:rPr>
          <w:rStyle w:val="FootnoteReference"/>
        </w:rPr>
        <w:footnoteReference w:id="4"/>
      </w:r>
      <w:r>
        <w:rPr/>
        <w:t>:</w:t>
      </w:r>
    </w:p>
    <w:p>
      <w:pPr>
        <w:pStyle w:val="Style18"/>
        <w:spacing w:before="120" w:after="0"/>
        <w:rPr/>
      </w:pPr>
      <w:r>
        <w:rPr/>
        <w:t>дата подписания протокола;</w:t>
      </w:r>
    </w:p>
    <w:p>
      <w:pPr>
        <w:pStyle w:val="Style18"/>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8"/>
        <w:spacing w:before="0" w:after="0"/>
        <w:rPr/>
      </w:pPr>
      <w:r>
        <w:rPr/>
        <w:t>идентификационные номера, присваиваемые Оператором ЭП;</w:t>
      </w:r>
    </w:p>
    <w:p>
      <w:pPr>
        <w:pStyle w:val="Style18"/>
        <w:keepNext w:val="true"/>
        <w:spacing w:before="0" w:after="0"/>
        <w:rPr/>
      </w:pPr>
      <w:r>
        <w:rPr/>
        <w:t>результаты рассмотрения первых частей заявок / окончательных предложений с указанием, в том числе:</w:t>
      </w:r>
    </w:p>
    <w:p>
      <w:pPr>
        <w:pStyle w:val="Style19"/>
        <w:spacing w:before="120" w:after="0"/>
        <w:rPr/>
      </w:pPr>
      <w:r>
        <w:rPr/>
        <w:t>количества заявок, которые были отклонены по результатам рассмотрения первых частей заявок / окончательных предложений;</w:t>
      </w:r>
    </w:p>
    <w:p>
      <w:pPr>
        <w:pStyle w:val="Style19"/>
        <w:spacing w:before="0" w:after="0"/>
        <w:rPr/>
      </w:pPr>
      <w:r>
        <w:rPr/>
        <w:t>оснований отклонения каждой заявки с указанием положений Документации о закупке, которым не соответствует первая часть такой заявка / окончательное предложение;</w:t>
      </w:r>
    </w:p>
    <w:p>
      <w:pPr>
        <w:pStyle w:val="Style18"/>
        <w:spacing w:before="120" w:after="0"/>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17"/>
        <w:spacing w:before="120" w:after="0"/>
        <w:rPr/>
      </w:pPr>
      <w:r>
        <w:rPr/>
        <w:t>Протокол рассмотрения первых частей заявок / окончательных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16"/>
        <w:spacing w:before="360" w:after="0"/>
        <w:rPr/>
      </w:pPr>
      <w:bookmarkStart w:id="134" w:name="_Ref132801184"/>
      <w:bookmarkStart w:id="135" w:name="_Toc25"/>
      <w:r>
        <w:rPr/>
        <w:t>Открытие доступа ко вторым частям заявок и ценовым предложениям</w:t>
      </w:r>
      <w:bookmarkEnd w:id="134"/>
      <w:bookmarkEnd w:id="135"/>
    </w:p>
    <w:p>
      <w:pPr>
        <w:pStyle w:val="Style17"/>
        <w:spacing w:before="120" w:after="0"/>
        <w:rPr/>
      </w:pPr>
      <w:r>
        <w:rPr/>
        <w:t>Оператор ЭП направляет в адрес Организатора вторые части заявок и ценовые предложения в срок, установленный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7"/>
        <w:spacing w:before="0" w:after="0"/>
        <w:rPr/>
      </w:pPr>
      <w:r>
        <w:rPr/>
        <w:t>Подробные правила открытия Организатору доступа ко вторым частям заявок и ценовым предложениям определяются Регламентом ЭП, с использованием которой проводится закупка. Оператор ЭП обеспечивает конфиденциальность сведений содержащихся во вторых частях заявок и ценовых предложениях Участников такой закупки.</w:t>
      </w:r>
    </w:p>
    <w:p>
      <w:pPr>
        <w:pStyle w:val="Style16"/>
        <w:spacing w:before="360" w:after="0"/>
        <w:rPr/>
      </w:pPr>
      <w:bookmarkStart w:id="136" w:name="_Ref132797154"/>
      <w:bookmarkStart w:id="137" w:name="_Toc26"/>
      <w:r>
        <w:rPr/>
        <w:t>Рассмотрение вторых частей заявок (отборочная стадия), в том числе (при необходимости) проведение аккредитации, и ценовых предложений</w:t>
      </w:r>
      <w:bookmarkEnd w:id="136"/>
      <w:bookmarkEnd w:id="137"/>
    </w:p>
    <w:p>
      <w:pPr>
        <w:pStyle w:val="Style17"/>
        <w:spacing w:before="120" w:after="0"/>
        <w:rPr/>
      </w:pPr>
      <w:r>
        <w:rPr/>
        <w:t>Дата окончания срока рассмотрения вторых частей заявок и ценовых предложений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17"/>
        <w:spacing w:before="0" w:after="0"/>
        <w:rPr/>
      </w:pPr>
      <w:r>
        <w:rPr/>
        <w:t xml:space="preserve">В рамках рассмотрения вторых частей заявок и ценового предложения (отборочной стадии) осуществляется проверка каждой заявки, не отклоненной по результатам рассмотрения первых частей заявок / окончательных предложений, на предмет соответствия </w:t>
      </w:r>
      <w:hyperlink w:anchor="Прил07_ОтборочныеКритерии" w:tgtFrame="#Прил07_ОтборочныеКритерии">
        <w:r>
          <w:rPr>
            <w:rStyle w:val="Style6"/>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17"/>
        <w:spacing w:before="0" w:after="0"/>
        <w:rPr/>
      </w:pPr>
      <w:r>
        <w:rPr/>
        <w:t>Рассмотрение вторых частей заявок и ценового предложения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17"/>
        <w:keepNext w:val="true"/>
        <w:spacing w:before="0" w:after="0"/>
        <w:rPr/>
      </w:pPr>
      <w:bookmarkStart w:id="138" w:name="_Ref224834720"/>
      <w:r>
        <w:rPr/>
        <w:t>При выявлении в рамках рассмотрения ценовых предложений наличия арифметических ошибок, в том числе:</w:t>
      </w:r>
      <w:bookmarkEnd w:id="138"/>
    </w:p>
    <w:p>
      <w:pPr>
        <w:pStyle w:val="Style18"/>
        <w:spacing w:before="120" w:after="0"/>
        <w:rPr/>
      </w:pPr>
      <w:r>
        <w:rPr/>
        <w:t>в результате суммирования единичных расценок;</w:t>
      </w:r>
    </w:p>
    <w:p>
      <w:pPr>
        <w:pStyle w:val="Style18"/>
        <w:spacing w:before="0" w:after="0"/>
        <w:rPr/>
      </w:pPr>
      <w:r>
        <w:rPr/>
        <w:t>в итогах умножения единичных расценок на объем продукции;</w:t>
      </w:r>
    </w:p>
    <w:p>
      <w:pPr>
        <w:pStyle w:val="Style18"/>
        <w:spacing w:before="0" w:after="0"/>
        <w:rPr/>
      </w:pPr>
      <w:r>
        <w:rPr/>
        <w:t>в вычислении суммы НДС и итоговой стоимости заявки с учетом НДС);</w:t>
      </w:r>
    </w:p>
    <w:p>
      <w:pPr>
        <w:pStyle w:val="Style18"/>
        <w:spacing w:before="0" w:after="0"/>
        <w:rPr/>
      </w:pPr>
      <w:r>
        <w:rPr/>
        <w:t>иных внутренних противоречий в составе заявки,</w:t>
      </w:r>
    </w:p>
    <w:p>
      <w:pPr>
        <w:pStyle w:val="Style21"/>
        <w:ind w:hanging="0" w:left="1134"/>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17"/>
        <w:keepNext w:val="true"/>
        <w:spacing w:before="120" w:after="0"/>
        <w:rPr/>
      </w:pPr>
      <w:bookmarkStart w:id="139" w:name="_Ref132793926"/>
      <w:r>
        <w:rPr/>
        <w:t>По результатам рассмотрения вторых частей заявок и ценовых предложений (проведения отборочной стадии) Закупочная комиссия отклоняет заявки по следующим основаниям:</w:t>
      </w:r>
      <w:bookmarkEnd w:id="139"/>
    </w:p>
    <w:p>
      <w:pPr>
        <w:pStyle w:val="Style18"/>
        <w:spacing w:before="120" w:after="0"/>
        <w:rPr/>
      </w:pPr>
      <w:r>
        <w:rPr/>
        <w:t>несоответствие второй части заявки и (или) ценового предложения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19"/>
        <w:spacing w:before="120" w:after="0"/>
        <w:rPr/>
      </w:pPr>
      <w:r>
        <w:rPr/>
        <w:t>недостоверных сведений или намеренно искаженной информации или документов;</w:t>
      </w:r>
    </w:p>
    <w:p>
      <w:pPr>
        <w:pStyle w:val="Style19"/>
        <w:spacing w:before="0" w:after="0"/>
        <w:rPr/>
      </w:pPr>
      <w:r>
        <w:rPr/>
        <w:t xml:space="preserve">внутренних противоречий между различными частями и (или) документами второй части заявки и (или) ценового предложения, в том числе по тексту внутри одного документа (за исключением ошибок, предусмотренных пунктом </w:t>
      </w:r>
      <w:r>
        <w:rPr/>
        <w:fldChar w:fldCharType="begin"/>
      </w:r>
      <w:r>
        <w:rPr/>
        <w:instrText xml:space="preserve"> REF _Ref224834720 \r \h </w:instrText>
      </w:r>
      <w:r>
        <w:rPr/>
        <w:fldChar w:fldCharType="separate"/>
      </w:r>
      <w:r>
        <w:rPr/>
        <w:t>4.11.4</w:t>
      </w:r>
      <w:r>
        <w:rPr/>
        <w:fldChar w:fldCharType="end"/>
      </w:r>
      <w:r>
        <w:rPr/>
        <w:t>);</w:t>
      </w:r>
    </w:p>
    <w:p>
      <w:pPr>
        <w:pStyle w:val="Style18"/>
        <w:spacing w:before="120" w:after="0"/>
        <w:rPr/>
      </w:pPr>
      <w:r>
        <w:rPr/>
        <w:t>несоответствие предлагаемой продукции требованиям Документации о закупке, с учетом представленных во второй части заявки соответствующих подтверждающих документов;</w:t>
      </w:r>
    </w:p>
    <w:p>
      <w:pPr>
        <w:pStyle w:val="Style18"/>
        <w:spacing w:before="0" w:after="0"/>
        <w:rPr/>
      </w:pPr>
      <w:r>
        <w:rPr/>
        <w:t>несоответствие Участников требованиям Документации о закупке;</w:t>
      </w:r>
    </w:p>
    <w:p>
      <w:pPr>
        <w:pStyle w:val="Style18"/>
        <w:spacing w:before="0" w:after="0"/>
        <w:rPr/>
      </w:pPr>
      <w:r>
        <w:rPr/>
        <w:t>несоответствие привлекаемых субподрядчиков (соисполнителей) требованиям Документации о закупке;</w:t>
      </w:r>
    </w:p>
    <w:p>
      <w:pPr>
        <w:pStyle w:val="Style18"/>
        <w:spacing w:before="0" w:after="0"/>
        <w:rPr/>
      </w:pPr>
      <w:r>
        <w:rPr/>
        <w:t>превышение ценового предложения над установленным размером НМЦ.</w:t>
      </w:r>
    </w:p>
    <w:p>
      <w:pPr>
        <w:pStyle w:val="Style17"/>
        <w:keepNext w:val="true"/>
        <w:spacing w:before="120" w:after="0"/>
        <w:rPr/>
      </w:pPr>
      <w:r>
        <w:rPr/>
        <w:t>Решение Закупочной комиссии по рассмотрению вторых частей заявок и ценового предложения оформляется протоколом, в котором, как минимум, указываются</w:t>
      </w:r>
      <w:r>
        <w:rPr>
          <w:rStyle w:val="FootnoteReference"/>
        </w:rPr>
        <w:footnoteReference w:id="6"/>
      </w:r>
      <w:r>
        <w:rPr/>
        <w:t>:</w:t>
      </w:r>
    </w:p>
    <w:p>
      <w:pPr>
        <w:pStyle w:val="Style18"/>
        <w:spacing w:before="120" w:after="0"/>
        <w:rPr/>
      </w:pPr>
      <w:r>
        <w:rPr/>
        <w:t>дата подписания протокола;</w:t>
      </w:r>
    </w:p>
    <w:p>
      <w:pPr>
        <w:pStyle w:val="Style18"/>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 с указанием ценового предложения такой заявки;</w:t>
      </w:r>
    </w:p>
    <w:p>
      <w:pPr>
        <w:pStyle w:val="Style18"/>
        <w:spacing w:before="0" w:after="0"/>
        <w:rPr/>
      </w:pPr>
      <w:r>
        <w:rPr/>
        <w:t>наименования Участников, заявки которых не были отклонены по результатам рассмотрения первых частей заявок / окончательных предложений, и (или) их идентификационные номера, присваиваемые Оператором ЭП;</w:t>
      </w:r>
    </w:p>
    <w:p>
      <w:pPr>
        <w:pStyle w:val="Style18"/>
        <w:keepNext w:val="true"/>
        <w:spacing w:before="0" w:after="0"/>
        <w:rPr/>
      </w:pPr>
      <w:r>
        <w:rPr/>
        <w:t>результаты рассмотрения вторых частей заявок и ценовых предложений с указанием, в том числе:</w:t>
      </w:r>
    </w:p>
    <w:p>
      <w:pPr>
        <w:pStyle w:val="Style19"/>
        <w:spacing w:before="120" w:after="0"/>
        <w:rPr/>
      </w:pPr>
      <w:r>
        <w:rPr/>
        <w:t>количества заявок, которые были отклонены по результатам рассмотрения вторых частей заявок и ценовых предложений;</w:t>
      </w:r>
    </w:p>
    <w:p>
      <w:pPr>
        <w:pStyle w:val="Style19"/>
        <w:spacing w:before="0" w:after="0"/>
        <w:rPr/>
      </w:pPr>
      <w:r>
        <w:rPr/>
        <w:t>оснований отклонения каждой заявки с указанием положений Документации о закупке, которым не соответствует вторая часть такой заявка и (или) ценовое предложение;</w:t>
      </w:r>
    </w:p>
    <w:p>
      <w:pPr>
        <w:pStyle w:val="Style18"/>
        <w:spacing w:before="120" w:after="0"/>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4.16</w:t>
      </w:r>
      <w:r>
        <w:rPr/>
        <w:fldChar w:fldCharType="end"/>
      </w:r>
      <w:r>
        <w:rPr/>
        <w:t xml:space="preserve"> (в случае ее признания таковой).</w:t>
      </w:r>
    </w:p>
    <w:p>
      <w:pPr>
        <w:pStyle w:val="Style17"/>
        <w:spacing w:before="120" w:after="0"/>
        <w:rPr/>
      </w:pPr>
      <w:r>
        <w:rPr/>
        <w:t>Протокол рассмотрения вторых частей заявок и (или) ценовых предложений направляется Организатором Оператору ЭП не позднее 3 (трех) календарных дней с даты подписания такого протокола, после чего он официально размещается (подраздел </w:t>
      </w:r>
      <w:r>
        <w:rPr/>
        <w:fldChar w:fldCharType="begin"/>
      </w:r>
      <w:r>
        <w:rPr/>
        <w:instrText xml:space="preserve"> REF _Ref130286532 \r \h </w:instrText>
      </w:r>
      <w:r>
        <w:rPr/>
        <w:fldChar w:fldCharType="separate"/>
      </w:r>
      <w:r>
        <w:rPr/>
        <w:t>4.2</w:t>
      </w:r>
      <w:r>
        <w:rPr/>
        <w:fldChar w:fldCharType="end"/>
      </w:r>
      <w:r>
        <w:rPr/>
        <w:t>) Оператором ЭП в течение 1 (одного) часа с момента его получения от Организатора.</w:t>
      </w:r>
    </w:p>
    <w:p>
      <w:pPr>
        <w:pStyle w:val="Style16"/>
        <w:spacing w:before="360" w:after="0"/>
        <w:rPr/>
      </w:pPr>
      <w:bookmarkStart w:id="140" w:name="_Ref125362381"/>
      <w:bookmarkStart w:id="141" w:name="_Ref125362425"/>
      <w:bookmarkStart w:id="142" w:name="_Ref125362464"/>
      <w:bookmarkStart w:id="143" w:name="_Ref125362610"/>
      <w:bookmarkStart w:id="144" w:name="_Toc27"/>
      <w:r>
        <w:rPr/>
        <w:t>Дополнительные запросы разъяснений заявок</w:t>
      </w:r>
      <w:bookmarkEnd w:id="140"/>
      <w:bookmarkEnd w:id="141"/>
      <w:bookmarkEnd w:id="142"/>
      <w:bookmarkEnd w:id="143"/>
      <w:bookmarkEnd w:id="144"/>
    </w:p>
    <w:p>
      <w:pPr>
        <w:pStyle w:val="Style17"/>
        <w:spacing w:before="120" w:after="0"/>
        <w:rPr/>
      </w:pPr>
      <w:bookmarkStart w:id="145" w:name="_Ref125365611"/>
      <w:r>
        <w:rPr/>
        <w:t>В рамках процедуры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45"/>
    </w:p>
    <w:p>
      <w:pPr>
        <w:pStyle w:val="Style18"/>
        <w:keepNext w:val="true"/>
        <w:spacing w:before="120" w:after="0"/>
        <w:rPr/>
      </w:pPr>
      <w:r>
        <w:rPr/>
        <w:t>в составе заявки (в какой-либо ее части) отсутствуют, представлены не в полном объеме или в нечитаемом виде документы или сведения, необходимые для определения:</w:t>
      </w:r>
    </w:p>
    <w:p>
      <w:pPr>
        <w:pStyle w:val="Style19"/>
        <w:spacing w:before="120" w:after="0"/>
        <w:rPr/>
      </w:pPr>
      <w:r>
        <w:rPr/>
        <w:t>соответствия Участника требованиям Документации о закупке;</w:t>
      </w:r>
    </w:p>
    <w:p>
      <w:pPr>
        <w:pStyle w:val="Style19"/>
        <w:spacing w:before="0" w:after="0"/>
        <w:rPr/>
      </w:pPr>
      <w:bookmarkStart w:id="146" w:name="_Hlk132793683"/>
      <w:r>
        <w:rPr/>
        <w:t>наличия соответствующих полномочий на подписание заявки от имени Участника у лица, подписавшего заявку</w:t>
      </w:r>
      <w:bookmarkEnd w:id="146"/>
      <w:r>
        <w:rPr/>
        <w:t>;</w:t>
      </w:r>
    </w:p>
    <w:p>
      <w:pPr>
        <w:pStyle w:val="Style19"/>
        <w:spacing w:before="0" w:after="0"/>
        <w:rPr/>
      </w:pPr>
      <w:r>
        <w:rPr/>
        <w:t xml:space="preserve">соответствия заявки требованиям Документации о закупке в части характеристик предлагаемой продукции, </w:t>
      </w:r>
      <w:bookmarkStart w:id="147" w:name="_Hlk207817392"/>
      <w:r>
        <w:rPr/>
        <w:t xml:space="preserve">страны происхождения товара и (или) страны регистрации Участника (в целях исполнения требований законодательства о национальном режиме </w:t>
      </w:r>
      <w:bookmarkEnd w:id="147"/>
      <w:r>
        <w:rPr/>
        <w:t>(подраздел </w:t>
      </w:r>
      <w:r>
        <w:rPr/>
        <w:fldChar w:fldCharType="begin"/>
      </w:r>
      <w:r>
        <w:rPr/>
        <w:instrText xml:space="preserve"> REF _Ref186181253 \r \h </w:instrText>
      </w:r>
      <w:r>
        <w:rPr/>
        <w:fldChar w:fldCharType="separate"/>
      </w:r>
      <w:r>
        <w:rPr/>
        <w:t>4.14</w:t>
      </w:r>
      <w:r>
        <w:rPr/>
        <w:fldChar w:fldCharType="end"/>
      </w:r>
      <w:r>
        <w:rPr/>
        <w:t>)), договорных условий и расчета цены Договора;</w:t>
      </w:r>
    </w:p>
    <w:p>
      <w:pPr>
        <w:pStyle w:val="Style18"/>
        <w:spacing w:before="120" w:after="0"/>
        <w:rPr/>
      </w:pPr>
      <w:bookmarkStart w:id="148" w:name="_Ref135033677"/>
      <w:r>
        <w:rPr/>
        <w:t>в составе заявки (в какой-либо ее части)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вторых частей заявок процедуры аккредитации (при необходимости);</w:t>
      </w:r>
    </w:p>
    <w:p>
      <w:pPr>
        <w:pStyle w:val="Style18"/>
        <w:spacing w:before="0" w:after="0"/>
        <w:rPr/>
      </w:pPr>
      <w:r>
        <w:rPr/>
        <w:t>в заявке (в какой-либо ее части)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7"/>
      </w:r>
      <w:r>
        <w:rPr/>
        <w:t>) требованиям Документации о закупке или осуществить оценку и сопоставление заявок.</w:t>
      </w:r>
      <w:bookmarkEnd w:id="148"/>
    </w:p>
    <w:p>
      <w:pPr>
        <w:pStyle w:val="Style17"/>
        <w:spacing w:before="120" w:after="0"/>
        <w:rPr/>
      </w:pPr>
      <w:r>
        <w:rPr/>
        <w:t>Если в рамках рассмотрения заявок (вторых частей заявок и ценовых предложений),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_Ref135033677 \r \h </w:instrText>
      </w:r>
      <w:r>
        <w:rPr/>
        <w:fldChar w:fldCharType="separate"/>
      </w:r>
      <w:r>
        <w:rPr/>
        <w:t>4.12.1б)</w:t>
      </w:r>
      <w:r>
        <w:rPr/>
        <w:fldChar w:fldCharType="end"/>
      </w:r>
      <w:r>
        <w:rPr/>
        <w:t>)).</w:t>
      </w:r>
    </w:p>
    <w:p>
      <w:pPr>
        <w:pStyle w:val="Style17"/>
        <w:spacing w:before="0" w:after="0"/>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17"/>
        <w:spacing w:before="0" w:after="0"/>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17"/>
        <w:spacing w:before="0" w:after="0"/>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пунктами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4.12.1</w:t>
      </w:r>
      <w:r>
        <w:rPr/>
        <w:fldChar w:fldCharType="end"/>
      </w:r>
      <w:r>
        <w:rPr/>
        <w:t>.</w:t>
      </w:r>
    </w:p>
    <w:p>
      <w:pPr>
        <w:pStyle w:val="Style17"/>
        <w:spacing w:before="0" w:after="0"/>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17"/>
        <w:spacing w:before="0" w:after="0"/>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17"/>
        <w:spacing w:before="0" w:after="0"/>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пунктов </w:t>
      </w:r>
      <w:r>
        <w:rPr/>
        <w:fldChar w:fldCharType="begin"/>
      </w:r>
      <w:r>
        <w:rPr/>
        <w:instrText xml:space="preserve"> REF _Ref125551456 \r \h </w:instrText>
      </w:r>
      <w:r>
        <w:rPr/>
        <w:fldChar w:fldCharType="separate"/>
      </w:r>
      <w:r>
        <w:rPr/>
        <w:t>4.9.4</w:t>
      </w:r>
      <w:r>
        <w:rPr/>
        <w:fldChar w:fldCharType="end"/>
      </w:r>
      <w:r>
        <w:rPr/>
        <w:t xml:space="preserve">, </w:t>
      </w:r>
      <w:r>
        <w:rPr/>
        <w:fldChar w:fldCharType="begin"/>
      </w:r>
      <w:r>
        <w:rPr/>
        <w:instrText xml:space="preserve"> REF _Ref132793926 \r \h </w:instrText>
      </w:r>
      <w:r>
        <w:rPr/>
        <w:fldChar w:fldCharType="separate"/>
      </w:r>
      <w:r>
        <w:rPr/>
        <w:t>4.11.5</w:t>
      </w:r>
      <w:r>
        <w:rPr/>
        <w:fldChar w:fldCharType="end"/>
      </w:r>
      <w:r>
        <w:rPr/>
        <w:t>.</w:t>
      </w:r>
    </w:p>
    <w:p>
      <w:pPr>
        <w:pStyle w:val="Style16"/>
        <w:spacing w:before="360" w:after="0"/>
        <w:rPr/>
      </w:pPr>
      <w:bookmarkStart w:id="149" w:name="_Ref125362626"/>
      <w:bookmarkStart w:id="150" w:name="_Ref125365335"/>
      <w:bookmarkStart w:id="151" w:name="_Ref125365519"/>
      <w:bookmarkStart w:id="152" w:name="_Ref125366534"/>
      <w:bookmarkStart w:id="153" w:name="_Ref125369041"/>
      <w:bookmarkStart w:id="154" w:name="_Ref125369308"/>
      <w:bookmarkStart w:id="155" w:name="_Toc28"/>
      <w:r>
        <w:rPr/>
        <w:t>Оценка и сопоставление заявок</w:t>
      </w:r>
      <w:bookmarkEnd w:id="149"/>
      <w:bookmarkEnd w:id="150"/>
      <w:bookmarkEnd w:id="151"/>
      <w:bookmarkEnd w:id="152"/>
      <w:bookmarkEnd w:id="153"/>
      <w:bookmarkEnd w:id="154"/>
      <w:bookmarkEnd w:id="155"/>
    </w:p>
    <w:p>
      <w:pPr>
        <w:pStyle w:val="Style17"/>
        <w:spacing w:before="120" w:after="0"/>
        <w:rPr/>
      </w:pPr>
      <w:r>
        <w:rPr/>
        <w:t xml:space="preserve">Оценка и сопоставление заявок, признанных Закупочной комиссией соответствующими по результатам рассмотрения заявок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осуществляется в соответствии с </w:t>
      </w:r>
      <w:hyperlink w:anchor="Прил08_ПорядокОценки" w:tgtFrame="#Прил08_ПорядокОценки">
        <w:r>
          <w:rPr>
            <w:rStyle w:val="Style6"/>
          </w:rPr>
          <w:t>Порядком и критериями оценки и сопоставления заявок (Приложение № 8)</w:t>
        </w:r>
      </w:hyperlink>
      <w:r>
        <w:rPr/>
        <w:t>, с присвоением каждой заявке итогового балла.</w:t>
      </w:r>
    </w:p>
    <w:p>
      <w:pPr>
        <w:pStyle w:val="Style17"/>
        <w:spacing w:before="0" w:after="0"/>
        <w:rPr/>
      </w:pPr>
      <w:r>
        <w:rPr/>
        <w:t>По результатам оценки заявок Закупочная комиссия в течение 1 (одного) рабочего дня осуществляет их сопоставление – ранжирует по степени их предпочтительности на основании полученного итогового балла (по мере уменьшения). При этом первое место в ранжировке присваивается заявке, получившей по результатам оценки наибольший итоговый балл (если в нескольких заявках содержатся одинаковые условия (заявкам присвоен одинаковый итоговый балл), меньший порядковый номер (более высокое место в ранжировке) присваивается заявке, которая поступила ранее других заявок, на основании информации о поступлении заявок, отражаемой на ЭП (по дате и времени последнего изменения заявки до окончания срока подачи заявок, а также если проводилась переторжка, с учетом даты и времени последнего изменения заявки на ЭП, обусловленного переторжкой)).</w:t>
      </w:r>
    </w:p>
    <w:p>
      <w:pPr>
        <w:pStyle w:val="Style17"/>
        <w:spacing w:before="0" w:after="0"/>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17"/>
        <w:spacing w:before="0" w:after="0"/>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_Ref132816300 \r \h </w:instrText>
      </w:r>
      <w:r>
        <w:rPr/>
        <w:fldChar w:fldCharType="separate"/>
      </w:r>
      <w:r>
        <w:rPr/>
        <w:t>4.14</w:t>
      </w:r>
      <w:r>
        <w:rPr/>
        <w:fldChar w:fldCharType="end"/>
      </w:r>
      <w:r>
        <w:rPr/>
        <w:t>).</w:t>
      </w:r>
    </w:p>
    <w:p>
      <w:pPr>
        <w:pStyle w:val="Style17"/>
        <w:spacing w:before="0" w:after="0"/>
        <w:rPr/>
      </w:pPr>
      <w:r>
        <w:rPr/>
        <w:t>Результаты оценки и сопоставления заявок указываются в итоговом протоколе по результатам закупки.</w:t>
      </w:r>
    </w:p>
    <w:p>
      <w:pPr>
        <w:pStyle w:val="Style16"/>
        <w:spacing w:before="360" w:after="0"/>
        <w:rPr/>
      </w:pPr>
      <w:bookmarkStart w:id="156" w:name="_Ref186181253"/>
      <w:bookmarkStart w:id="157" w:name="_Ref132816300"/>
      <w:bookmarkStart w:id="158" w:name="_Toc29"/>
      <w:bookmarkStart w:id="159" w:name="_Ref130985951"/>
      <w:bookmarkStart w:id="160" w:name="_Ref125366064"/>
      <w:bookmarkStart w:id="161" w:name="_Ref125369991"/>
      <w:bookmarkStart w:id="162" w:name="_Ref125370507"/>
      <w:bookmarkStart w:id="163" w:name="_Ref130458671"/>
      <w:r>
        <w:rPr/>
        <w:t>Применение законодательства о национальном режиме</w:t>
      </w:r>
      <w:bookmarkEnd w:id="156"/>
      <w:bookmarkEnd w:id="157"/>
      <w:bookmarkEnd w:id="158"/>
      <w:bookmarkEnd w:id="159"/>
      <w:bookmarkEnd w:id="160"/>
      <w:bookmarkEnd w:id="161"/>
      <w:bookmarkEnd w:id="162"/>
      <w:bookmarkEnd w:id="163"/>
    </w:p>
    <w:p>
      <w:pPr>
        <w:pStyle w:val="Style17"/>
        <w:spacing w:before="120" w:after="0"/>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7"/>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_Ref132797154 \r \h </w:instrText>
      </w:r>
      <w:r>
        <w:rPr/>
        <w:fldChar w:fldCharType="separate"/>
      </w:r>
      <w:r>
        <w:rPr/>
        <w:t>4.11</w:t>
      </w:r>
      <w:r>
        <w:rPr/>
        <w:fldChar w:fldCharType="end"/>
      </w:r>
      <w:r>
        <w:rPr/>
        <w:t>).</w:t>
      </w:r>
    </w:p>
    <w:p>
      <w:pPr>
        <w:pStyle w:val="Style17"/>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(подразделы  </w:t>
      </w:r>
      <w:r>
        <w:rPr/>
        <w:fldChar w:fldCharType="begin"/>
      </w:r>
      <w:r>
        <w:rPr/>
        <w:instrText xml:space="preserve"> REF _Ref132797154 \r \h </w:instrText>
      </w:r>
      <w:r>
        <w:rPr/>
        <w:fldChar w:fldCharType="separate"/>
      </w:r>
      <w:r>
        <w:rPr/>
        <w:t>4.11</w:t>
      </w:r>
      <w:r>
        <w:rPr/>
        <w:fldChar w:fldCharType="end"/>
      </w:r>
      <w:r>
        <w:rPr/>
        <w:t>).</w:t>
      </w:r>
    </w:p>
    <w:p>
      <w:pPr>
        <w:pStyle w:val="Style17"/>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4.13</w:t>
      </w:r>
      <w:r>
        <w:rPr/>
        <w:fldChar w:fldCharType="end"/>
      </w:r>
      <w:r>
        <w:rPr/>
        <w:t>), осуществляется снижение</w:t>
      </w:r>
      <w:r>
        <w:rPr>
          <w:rStyle w:val="FootnoteReference"/>
        </w:rPr>
        <w:footnoteReference w:id="8"/>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(в том числе поставляемых при выполнении закупаемых работ, оказании закупаемых услуг)), при условии наличия допущенной заявки с иностранной продукцией (на поставку товара иностранного происхождения).</w:t>
      </w:r>
    </w:p>
    <w:p>
      <w:pPr>
        <w:pStyle w:val="Style17"/>
        <w:spacing w:before="0" w:after="0"/>
        <w:rPr/>
      </w:pPr>
      <w:bookmarkStart w:id="164" w:name="_Ref195007400"/>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_Ref132797154 \r \h </w:instrText>
      </w:r>
      <w:r>
        <w:rPr/>
        <w:fldChar w:fldCharType="separate"/>
      </w:r>
      <w:r>
        <w:rPr/>
        <w:t>4.11</w:t>
      </w:r>
      <w:r>
        <w:rPr/>
        <w:fldChar w:fldCharType="end"/>
      </w:r>
      <w:r>
        <w:rPr/>
        <w:t>).</w:t>
      </w:r>
      <w:bookmarkEnd w:id="164"/>
    </w:p>
    <w:p>
      <w:pPr>
        <w:pStyle w:val="Style17"/>
        <w:spacing w:before="0" w:after="0"/>
        <w:rPr/>
      </w:pPr>
      <w:r>
        <w:rPr/>
        <w:t>Состав и требования к сведениям и (или) 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4.14.2 – </w:t>
      </w:r>
      <w:r>
        <w:rPr/>
        <w:fldChar w:fldCharType="begin"/>
      </w:r>
      <w:r>
        <w:rPr/>
        <w:instrText xml:space="preserve"> REF _Ref195007400 \r \h </w:instrText>
      </w:r>
      <w:r>
        <w:rPr/>
        <w:fldChar w:fldCharType="separate"/>
      </w:r>
      <w:r>
        <w:rPr/>
        <w:t>4.14.5</w:t>
      </w:r>
      <w:r>
        <w:rPr/>
        <w:fldChar w:fldCharType="end"/>
      </w:r>
      <w:r>
        <w:rPr/>
        <w:t>), установлены в Структуре НМЦ (в составе Коммерческого предложения (форма 3) (</w:t>
      </w:r>
      <w:hyperlink w:anchor="Прил04_ФормыЗаявки" w:tgtFrame="#Прил04_ФормыЗаявки">
        <w:r>
          <w:rPr>
            <w:rStyle w:val="Style6"/>
          </w:rPr>
          <w:t>Приложение № 4</w:t>
        </w:r>
      </w:hyperlink>
      <w:r>
        <w:rPr/>
        <w:t>), а также в Технических требованиях (</w:t>
      </w:r>
      <w:hyperlink w:anchor="Прил01_ТехТребования" w:tgtFrame="#Прил01_ТехТребования">
        <w:r>
          <w:rPr>
            <w:rStyle w:val="Style6"/>
          </w:rPr>
          <w:t>Приложение № 1</w:t>
        </w:r>
      </w:hyperlink>
      <w:r>
        <w:rPr/>
        <w:t>) при исполнении Заказчиком норм в части минимальной обязательной доли закупок товаров российского происхождения.</w:t>
      </w:r>
    </w:p>
    <w:p>
      <w:pPr>
        <w:pStyle w:val="Style17"/>
        <w:keepNext w:val="true"/>
        <w:spacing w:before="0" w:after="0"/>
        <w:rPr/>
      </w:pPr>
      <w:r>
        <w:rPr/>
        <w:t>Товар приравнивается к товарам, происходящим из иностранного государства (не являющегося государством – членом ЕАЭС), если:</w:t>
      </w:r>
    </w:p>
    <w:p>
      <w:pPr>
        <w:pStyle w:val="Style18"/>
        <w:spacing w:before="120" w:after="0"/>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18"/>
        <w:spacing w:before="0" w:after="0"/>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17"/>
        <w:spacing w:before="12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17"/>
        <w:spacing w:before="0" w:after="0"/>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17"/>
        <w:spacing w:before="0" w:after="0"/>
        <w:rPr/>
      </w:pPr>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pPr>
        <w:pStyle w:val="Style17"/>
        <w:spacing w:before="0" w:after="0"/>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17"/>
        <w:spacing w:before="0" w:after="0"/>
        <w:rPr/>
      </w:pPr>
      <w:bookmarkStart w:id="165" w:name="_Hlk207817767"/>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bookmarkEnd w:id="165"/>
      <w:r>
        <w:rPr/>
        <w:t>.</w:t>
      </w:r>
    </w:p>
    <w:p>
      <w:pPr>
        <w:pStyle w:val="Style16"/>
        <w:spacing w:before="360" w:after="0"/>
        <w:rPr/>
      </w:pPr>
      <w:bookmarkStart w:id="166" w:name="_Ref125362658"/>
      <w:bookmarkStart w:id="167" w:name="_Ref125366091"/>
      <w:bookmarkStart w:id="168" w:name="_Ref125367242"/>
      <w:bookmarkStart w:id="169" w:name="_Toc30"/>
      <w:r>
        <w:rPr/>
        <w:t>Подведение итогов закупки (определение Победителя)</w:t>
      </w:r>
      <w:bookmarkEnd w:id="166"/>
      <w:bookmarkEnd w:id="167"/>
      <w:bookmarkEnd w:id="168"/>
      <w:bookmarkEnd w:id="169"/>
    </w:p>
    <w:p>
      <w:pPr>
        <w:pStyle w:val="Style17"/>
        <w:spacing w:before="120" w:after="0"/>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17"/>
        <w:spacing w:before="0" w:after="0"/>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17"/>
        <w:spacing w:before="0" w:after="0"/>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17"/>
        <w:keepNext w:val="true"/>
        <w:spacing w:before="0" w:after="0"/>
        <w:rPr/>
      </w:pPr>
      <w:bookmarkStart w:id="170"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9"/>
      </w:r>
      <w:r>
        <w:rPr/>
        <w:t>:</w:t>
      </w:r>
      <w:bookmarkEnd w:id="170"/>
    </w:p>
    <w:p>
      <w:pPr>
        <w:pStyle w:val="Style18"/>
        <w:spacing w:before="120" w:after="0"/>
        <w:rPr/>
      </w:pPr>
      <w:r>
        <w:rPr/>
        <w:t>дата подписания протокола;</w:t>
      </w:r>
    </w:p>
    <w:p>
      <w:pPr>
        <w:pStyle w:val="Style18"/>
        <w:spacing w:before="0" w:after="0"/>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18"/>
        <w:spacing w:before="0" w:after="0"/>
        <w:rPr/>
      </w:pPr>
      <w:r>
        <w:rPr/>
        <w:t>наименования Участников, заявки которых были допущены по результатам рассмотрения вторых частей заявок и ценовых предложений, и (или) их идентификационные номера, присваиваемые Оператором ЭП;</w:t>
      </w:r>
    </w:p>
    <w:p>
      <w:pPr>
        <w:pStyle w:val="Style18"/>
        <w:keepNext w:val="true"/>
        <w:spacing w:before="0" w:after="0"/>
        <w:rPr/>
      </w:pPr>
      <w:r>
        <w:rPr/>
        <w:t>результаты рассмотрения заявок с указанием (в том числе с учетом результатов рассмотрения дополнительных ценовых предложений – если проводилась переторжка), в том числе:</w:t>
      </w:r>
    </w:p>
    <w:p>
      <w:pPr>
        <w:pStyle w:val="Style19"/>
        <w:spacing w:before="120" w:after="0"/>
        <w:rPr/>
      </w:pPr>
      <w:r>
        <w:rPr/>
        <w:t>количества заявок, которые были отклонены (отдельно по результатам рассмотрения первых частей заявок / окончательных предложений, по результатам рассмотрения вторых частей заявок и ценовых предложений и по результатам рассмотрения дополнительных ценовых предложений – если проводилась переторжка);</w:t>
      </w:r>
    </w:p>
    <w:p>
      <w:pPr>
        <w:pStyle w:val="Style19"/>
        <w:spacing w:before="0" w:after="0"/>
        <w:rPr/>
      </w:pPr>
      <w:r>
        <w:rPr/>
        <w:t>оснований отклонения каждой заявки с указанием положений Документации о закупке, которым не соответствует такая заявка;</w:t>
      </w:r>
    </w:p>
    <w:p>
      <w:pPr>
        <w:pStyle w:val="Style18"/>
        <w:spacing w:before="120" w:after="0"/>
        <w:rPr/>
      </w:pPr>
      <w:r>
        <w:rPr/>
        <w:t>результаты дополнительного рассмотрения заявок (при возникновении оснований для отклонения заявок по результатам проведения актуализации статуса аккредитации, если такая процедура проводились) с указанием, в том числе:</w:t>
      </w:r>
    </w:p>
    <w:p>
      <w:pPr>
        <w:pStyle w:val="Style19"/>
        <w:spacing w:before="120" w:after="0"/>
        <w:rPr/>
      </w:pPr>
      <w:r>
        <w:rPr/>
        <w:t>количества заявок, которые были отклонены;</w:t>
      </w:r>
    </w:p>
    <w:p>
      <w:pPr>
        <w:pStyle w:val="Style19"/>
        <w:spacing w:before="0" w:after="0"/>
        <w:rPr/>
      </w:pPr>
      <w:r>
        <w:rPr/>
        <w:t>оснований отклонения каждой заявки с указанием положений Документации о закупке, которым не соответствует такая заявка;</w:t>
      </w:r>
    </w:p>
    <w:p>
      <w:pPr>
        <w:pStyle w:val="Style18"/>
        <w:spacing w:before="120" w:after="0"/>
        <w:rPr/>
      </w:pPr>
      <w:r>
        <w:rPr/>
        <w:t>результаты оценки и сопоставления заявок с указанием, в том числе значения (в баллах), присвоенного каждой заявке по каждому из предусмотренных критериев оценки, установленных в Документации о закупке;</w:t>
      </w:r>
    </w:p>
    <w:p>
      <w:pPr>
        <w:pStyle w:val="Style18"/>
        <w:spacing w:before="0" w:after="0"/>
        <w:rPr/>
      </w:pPr>
      <w:r>
        <w:rPr/>
        <w:t>порядковые номера каждой заявки (с указанием стоимостей заявок (цен Договоров), не отклоненной по результатам рассмотрения вторых частей заявок и ценовых предложений (рассмотрения дополнительных ценовых предложений – если проводилась переторжка), в том числе с учетом результатов актуализации статуса аккредитации и проведения переторжки (если указанная процедура проводились), в ранжировке заявок;</w:t>
      </w:r>
    </w:p>
    <w:p>
      <w:pPr>
        <w:pStyle w:val="Style18"/>
        <w:spacing w:before="0" w:after="0"/>
        <w:rPr/>
      </w:pPr>
      <w:r>
        <w:rPr/>
        <w:t>наименование Победителя закупки или Единственного участника несостоявшейся закупки, с которым планируется заключить Договор;</w:t>
      </w:r>
    </w:p>
    <w:p>
      <w:pPr>
        <w:pStyle w:val="Style18"/>
        <w:spacing w:before="0" w:after="0"/>
        <w:rPr/>
      </w:pPr>
      <w:r>
        <w:rPr/>
        <w:t>причины, по которым закупка признана несостоявшейся (в случае ее признания таковой),</w:t>
      </w:r>
    </w:p>
    <w:p>
      <w:pPr>
        <w:pStyle w:val="Style21"/>
        <w:ind w:hanging="0" w:left="1134"/>
        <w:rPr/>
      </w:pPr>
      <w:r>
        <w:rPr/>
        <w:t>после чего Организатор официально размещает его в течение 3 (трех) календарных дней с даты подписания такого протокола.</w:t>
      </w:r>
    </w:p>
    <w:p>
      <w:pPr>
        <w:pStyle w:val="Style17"/>
        <w:spacing w:before="120" w:after="0"/>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17"/>
        <w:spacing w:before="0" w:after="0"/>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17"/>
        <w:spacing w:before="0" w:after="0"/>
        <w:rPr/>
      </w:pPr>
      <w:bookmarkStart w:id="171" w:name="_Hlk149314796"/>
      <w:r>
        <w:rPr/>
        <w:t>Любой Участник после официального размещения итогового протокола по результатам закупки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_Ref130394205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bookmarkEnd w:id="171"/>
    </w:p>
    <w:p>
      <w:pPr>
        <w:pStyle w:val="Style16"/>
        <w:spacing w:before="360" w:after="0"/>
        <w:rPr/>
      </w:pPr>
      <w:bookmarkStart w:id="172" w:name="_Ref125364149"/>
      <w:bookmarkStart w:id="173" w:name="_Ref125364187"/>
      <w:bookmarkStart w:id="174" w:name="_Ref125365305"/>
      <w:bookmarkStart w:id="175" w:name="_Ref125365570"/>
      <w:bookmarkStart w:id="176" w:name="_Ref125366631"/>
      <w:bookmarkStart w:id="177" w:name="_Ref125366796"/>
      <w:bookmarkStart w:id="178" w:name="_Toc31"/>
      <w:r>
        <w:rPr/>
        <w:t>Признание закупки несостоявшейся</w:t>
      </w:r>
      <w:bookmarkEnd w:id="172"/>
      <w:bookmarkEnd w:id="173"/>
      <w:bookmarkEnd w:id="174"/>
      <w:bookmarkEnd w:id="175"/>
      <w:bookmarkEnd w:id="176"/>
      <w:bookmarkEnd w:id="177"/>
      <w:bookmarkEnd w:id="178"/>
    </w:p>
    <w:p>
      <w:pPr>
        <w:pStyle w:val="Style17"/>
        <w:keepNext w:val="true"/>
        <w:spacing w:before="120" w:after="0"/>
        <w:rPr/>
      </w:pPr>
      <w:bookmarkStart w:id="179" w:name="_Ref214289498"/>
      <w:r>
        <w:rPr/>
        <w:t>Закупка признается несостоявшейся в следующих случаях:</w:t>
      </w:r>
      <w:bookmarkEnd w:id="179"/>
    </w:p>
    <w:p>
      <w:pPr>
        <w:pStyle w:val="Style18"/>
        <w:spacing w:before="120" w:after="0"/>
        <w:rPr/>
      </w:pPr>
      <w:r>
        <w:rPr/>
        <w:t>если по окончанию срока подачи заявок поступило менее 2 (двух) заявок (с учетом возможных отзывов заявок);</w:t>
      </w:r>
    </w:p>
    <w:p>
      <w:pPr>
        <w:pStyle w:val="Style18"/>
        <w:spacing w:before="0" w:after="0"/>
        <w:rPr/>
      </w:pPr>
      <w:r>
        <w:rPr/>
        <w:t>по результатам рассмотрения первых частей заявок / окончательных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18"/>
        <w:spacing w:before="0" w:after="0"/>
        <w:rPr/>
      </w:pPr>
      <w:r>
        <w:rPr/>
        <w:t>по результатам рассмотрения вторых частей заявок и ценовых предложений Закупочной комиссией принято решение о признании менее 2 (двух) заявок соответствующими требованиям Документации о закупки;</w:t>
      </w:r>
    </w:p>
    <w:p>
      <w:pPr>
        <w:pStyle w:val="Style18"/>
        <w:spacing w:before="0" w:after="0"/>
        <w:rPr/>
      </w:pPr>
      <w:r>
        <w:rPr/>
        <w:t>по результатам рассмотрения дополнительных ценовых предложений – если проводилась процедура переторжки, Закупочной комиссией принято решение о признании менее 2 (двух) заявок соответствующими требованиям Документации о закупки;</w:t>
      </w:r>
    </w:p>
    <w:p>
      <w:pPr>
        <w:pStyle w:val="Style18"/>
        <w:spacing w:before="0" w:after="0"/>
        <w:rPr/>
      </w:pPr>
      <w:bookmarkStart w:id="180" w:name="_Hlk219297033"/>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5.3</w:t>
      </w:r>
      <w:r>
        <w:rPr/>
        <w:fldChar w:fldCharType="end"/>
      </w:r>
      <w:bookmarkEnd w:id="180"/>
      <w:r>
        <w:rPr/>
        <w:t>).</w:t>
      </w:r>
    </w:p>
    <w:p>
      <w:pPr>
        <w:pStyle w:val="Style17"/>
        <w:spacing w:before="120" w:after="0"/>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17"/>
        <w:keepNext w:val="true"/>
        <w:spacing w:before="0" w:after="0"/>
        <w:rPr/>
      </w:pPr>
      <w:r>
        <w:rPr/>
        <w:t>В случае признания закупки несостоявшейся (с учетом условий, предусмотренных Положением о закупке):</w:t>
      </w:r>
    </w:p>
    <w:p>
      <w:pPr>
        <w:pStyle w:val="Style18"/>
        <w:rPr/>
      </w:pPr>
      <w:r>
        <w:rPr/>
        <w:t xml:space="preserve">если поступила только 1 (одна) заявка от одного Участника (с учетом отозванных Участниками заявок), либо по результатам рассмотрения заявок (частей заявок, ценовых предложений, дополнительных ценовых предложений в соответствии с пунктом </w:t>
      </w:r>
      <w:r>
        <w:rPr/>
        <w:fldChar w:fldCharType="begin"/>
      </w:r>
      <w:r>
        <w:rPr/>
        <w:instrText xml:space="preserve"> REF _Ref214289498 \r \h </w:instrText>
      </w:r>
      <w:r>
        <w:rPr/>
        <w:fldChar w:fldCharType="separate"/>
      </w:r>
      <w:r>
        <w:rPr/>
        <w:t>4.16.1</w:t>
      </w:r>
      <w:r>
        <w:rPr/>
        <w:fldChar w:fldCharType="end"/>
      </w:r>
      <w:r>
        <w:rPr/>
        <w:t>)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28"/>
        <w:numPr>
          <w:ilvl w:val="0"/>
          <w:numId w:val="0"/>
        </w:numPr>
        <w:ind w:hanging="0" w:left="1701"/>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1"/>
        <w:numPr>
          <w:ilvl w:val="0"/>
          <w:numId w:val="16"/>
        </w:numPr>
        <w:tabs>
          <w:tab w:val="clear" w:pos="2552"/>
        </w:tabs>
        <w:spacing w:before="0" w:after="0"/>
        <w:ind w:hanging="426" w:left="2127"/>
        <w:rPr>
          <w:sz w:val="26"/>
          <w:szCs w:val="26"/>
        </w:rPr>
      </w:pPr>
      <w:r>
        <w:rPr>
          <w:sz w:val="26"/>
          <w:szCs w:val="26"/>
        </w:rPr>
        <w:t>повторное проведение закупки (в том числе с возможностью снятия признака закупки только среди субъектов МСП);</w:t>
      </w:r>
    </w:p>
    <w:p>
      <w:pPr>
        <w:pStyle w:val="-1"/>
        <w:numPr>
          <w:ilvl w:val="0"/>
          <w:numId w:val="16"/>
        </w:numPr>
        <w:tabs>
          <w:tab w:val="clear" w:pos="2552"/>
        </w:tabs>
        <w:spacing w:before="0" w:after="0"/>
        <w:ind w:hanging="0" w:left="1701"/>
        <w:rPr>
          <w:sz w:val="26"/>
          <w:szCs w:val="26"/>
        </w:rPr>
      </w:pPr>
      <w:r>
        <w:rPr>
          <w:sz w:val="26"/>
          <w:szCs w:val="26"/>
        </w:rPr>
        <w:t>отказ от заключения договора по следующим основаниям:</w:t>
      </w:r>
    </w:p>
    <w:p>
      <w:pPr>
        <w:pStyle w:val="-1"/>
        <w:numPr>
          <w:ilvl w:val="0"/>
          <w:numId w:val="17"/>
        </w:numPr>
        <w:tabs>
          <w:tab w:val="clear" w:pos="2552"/>
        </w:tabs>
        <w:spacing w:before="0" w:after="0"/>
        <w:ind w:hanging="283" w:left="2410"/>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7"/>
        </w:numPr>
        <w:tabs>
          <w:tab w:val="clear" w:pos="2552"/>
        </w:tabs>
        <w:spacing w:before="0" w:after="0"/>
        <w:ind w:hanging="283" w:left="2410"/>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1"/>
        <w:numPr>
          <w:ilvl w:val="0"/>
          <w:numId w:val="17"/>
        </w:numPr>
        <w:tabs>
          <w:tab w:val="clear" w:pos="2552"/>
        </w:tabs>
        <w:spacing w:before="0" w:after="0"/>
        <w:ind w:hanging="283" w:left="2410"/>
        <w:rPr>
          <w:sz w:val="26"/>
          <w:szCs w:val="26"/>
        </w:rPr>
      </w:pPr>
      <w:r>
        <w:rPr>
          <w:sz w:val="26"/>
          <w:szCs w:val="26"/>
        </w:rPr>
        <w:t>необходимость исполнения предписаний антимонопольного органа;</w:t>
      </w:r>
    </w:p>
    <w:p>
      <w:pPr>
        <w:pStyle w:val="-1"/>
        <w:numPr>
          <w:ilvl w:val="0"/>
          <w:numId w:val="16"/>
        </w:numPr>
        <w:tabs>
          <w:tab w:val="clear" w:pos="2552"/>
        </w:tabs>
        <w:ind w:hanging="426" w:left="2127"/>
        <w:rPr>
          <w:sz w:val="26"/>
          <w:szCs w:val="26"/>
        </w:rPr>
      </w:pPr>
      <w:bookmarkStart w:id="181"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181"/>
    </w:p>
    <w:p>
      <w:pPr>
        <w:pStyle w:val="Style18"/>
        <w:rPr/>
      </w:pPr>
      <w:r>
        <w:rPr/>
        <w:t xml:space="preserve">если не поступило ни одной заявки, либо по результатам рассмотрения заявок (частей заявок, ценовых предложений, дополнительных ценовых предложений в соответствии с пунктом </w:t>
      </w:r>
      <w:r>
        <w:rPr/>
        <w:fldChar w:fldCharType="begin"/>
      </w:r>
      <w:r>
        <w:rPr/>
        <w:instrText xml:space="preserve"> REF _Ref214289498 \r \h </w:instrText>
      </w:r>
      <w:r>
        <w:rPr/>
        <w:fldChar w:fldCharType="separate"/>
      </w:r>
      <w:r>
        <w:rPr/>
        <w:t>4.16.1</w:t>
      </w:r>
      <w:r>
        <w:rPr/>
        <w:fldChar w:fldCharType="end"/>
      </w:r>
      <w:r>
        <w:rPr/>
        <w:t xml:space="preserve">), принято решение о признании их не соответствующими требованиям Документации о закупке, </w:t>
      </w:r>
      <w:bookmarkStart w:id="182" w:name="_Hlk219301655"/>
      <w:bookmarkStart w:id="183" w:name="_Hlk219297054"/>
      <w:r>
        <w:rPr/>
        <w:t>либо по результатам проведения закупки от заключения договора уклонились все допущенные Участники</w:t>
      </w:r>
      <w:bookmarkEnd w:id="183"/>
      <w:r>
        <w:rPr/>
        <w:t xml:space="preserve"> </w:t>
      </w:r>
      <w:bookmarkEnd w:id="182"/>
      <w:r>
        <w:rPr/>
        <w:t>– Заказчик проводит повторную закупку (</w:t>
      </w:r>
      <w:r>
        <w:rPr>
          <w:szCs w:val="26"/>
        </w:rPr>
        <w:t>в том числе с возможностью снятия признака закупки только среди субъектов МСП</w:t>
      </w:r>
      <w:r>
        <w:rPr/>
        <w:t>).</w:t>
      </w:r>
    </w:p>
    <w:p>
      <w:pPr>
        <w:pStyle w:val="Style28"/>
        <w:numPr>
          <w:ilvl w:val="0"/>
          <w:numId w:val="0"/>
        </w:numPr>
        <w:ind w:hanging="0" w:left="1701"/>
        <w:rPr>
          <w:sz w:val="26"/>
          <w:szCs w:val="26"/>
        </w:rPr>
      </w:pPr>
      <w:r>
        <w:rPr>
          <w:sz w:val="26"/>
          <w:szCs w:val="26"/>
        </w:rPr>
        <w:t>Заказчик вправе отказаться от проведения повторной закупки по следующим основаниям:</w:t>
      </w:r>
    </w:p>
    <w:p>
      <w:pPr>
        <w:pStyle w:val="-1"/>
        <w:numPr>
          <w:ilvl w:val="0"/>
          <w:numId w:val="17"/>
        </w:numPr>
        <w:tabs>
          <w:tab w:val="clear" w:pos="2552"/>
        </w:tabs>
        <w:spacing w:before="0" w:after="0"/>
        <w:ind w:hanging="426" w:left="2127"/>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1"/>
        <w:numPr>
          <w:ilvl w:val="0"/>
          <w:numId w:val="17"/>
        </w:numPr>
        <w:tabs>
          <w:tab w:val="clear" w:pos="2552"/>
        </w:tabs>
        <w:spacing w:before="0" w:after="0"/>
        <w:ind w:hanging="426" w:left="2127"/>
        <w:rPr>
          <w:sz w:val="26"/>
          <w:szCs w:val="26"/>
        </w:rPr>
      </w:pPr>
      <w:r>
        <w:rPr>
          <w:sz w:val="26"/>
          <w:szCs w:val="26"/>
        </w:rPr>
        <w:t>изменение потребности в продукции, в том числе изменение характеристик продукции;</w:t>
      </w:r>
    </w:p>
    <w:p>
      <w:pPr>
        <w:pStyle w:val="-1"/>
        <w:numPr>
          <w:ilvl w:val="0"/>
          <w:numId w:val="17"/>
        </w:numPr>
        <w:tabs>
          <w:tab w:val="clear" w:pos="2552"/>
        </w:tabs>
        <w:spacing w:before="0" w:after="0"/>
        <w:ind w:hanging="426" w:left="2127"/>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16"/>
        <w:spacing w:before="360" w:after="0"/>
        <w:rPr/>
      </w:pPr>
      <w:bookmarkStart w:id="184" w:name="_Ref132816134"/>
      <w:bookmarkStart w:id="185" w:name="_Ref132816141"/>
      <w:bookmarkStart w:id="186" w:name="_Toc32"/>
      <w:bookmarkStart w:id="187" w:name="_Ref126141962"/>
      <w:r>
        <w:rPr/>
        <w:t>Отказ от проведения закупки</w:t>
      </w:r>
      <w:bookmarkEnd w:id="187"/>
      <w:r>
        <w:rPr/>
        <w:t xml:space="preserve"> (отмена закупки)</w:t>
      </w:r>
      <w:bookmarkEnd w:id="184"/>
      <w:bookmarkEnd w:id="185"/>
      <w:bookmarkEnd w:id="186"/>
    </w:p>
    <w:p>
      <w:pPr>
        <w:pStyle w:val="Style17"/>
        <w:spacing w:before="120" w:after="0"/>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17"/>
        <w:spacing w:before="0" w:after="0"/>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17"/>
        <w:spacing w:before="0" w:after="0"/>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16"/>
        <w:spacing w:before="360" w:after="0"/>
        <w:rPr/>
      </w:pPr>
      <w:bookmarkStart w:id="188" w:name="_Ref130455226"/>
      <w:bookmarkStart w:id="189" w:name="_Toc33"/>
      <w:r>
        <w:rPr/>
        <w:t>Особенности проведения закупки с необходимостью обеспечения заявки</w:t>
      </w:r>
      <w:bookmarkEnd w:id="188"/>
      <w:bookmarkEnd w:id="189"/>
    </w:p>
    <w:p>
      <w:pPr>
        <w:pStyle w:val="Style17"/>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17"/>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7"/>
        <w:spacing w:before="0" w:after="0"/>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17"/>
        <w:spacing w:before="0" w:after="0"/>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0"/>
      </w:r>
      <w:r>
        <w:rPr/>
        <w:t xml:space="preserve"> и на сайте ЭП, с использованием которой проводится настоящая закупка,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 а также наличия соответствующего соглашения об интеграции и обмене информацией с Оператором ЭП.</w:t>
      </w:r>
    </w:p>
    <w:p>
      <w:pPr>
        <w:pStyle w:val="Style17"/>
        <w:spacing w:before="0" w:after="0"/>
        <w:rPr/>
      </w:pPr>
      <w:r>
        <w:rPr/>
        <w:t>В течение 1 (одного) часа с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Оператор ЭП направляет в банк, в котором Участником открыт специальный банковский счет, информацию о таком Участнике и размере денежных средств, необходимом для обеспечения заявки. Банк в течение 1 (одного) часа с момента получения указанной информации осуществляет блокирование при наличии на специальном банковском счете Участника незаблокированных денежных средств в размере обеспечения заявки и информирует об этом Оператора ЭП.</w:t>
      </w:r>
    </w:p>
    <w:p>
      <w:pPr>
        <w:pStyle w:val="Style17"/>
        <w:spacing w:before="0" w:after="0"/>
        <w:rPr/>
      </w:pPr>
      <w:r>
        <w:rPr/>
        <w:t>Блокирование денежных средств не осуществляется в случае отсутствия на специальном банковском счете Участника денежных средств в требуемом размере, либо в случае приостановления операций по такому счету в соответствии с законодательством, о чем Оператор ЭП информируется в течение 1 (одного) часа.</w:t>
      </w:r>
    </w:p>
    <w:p>
      <w:pPr>
        <w:pStyle w:val="Style17"/>
        <w:spacing w:before="0" w:after="0"/>
        <w:rPr/>
      </w:pPr>
      <w:r>
        <w:rPr/>
        <w:t>Если блокирование денежных средств не может быть осуществлено, Оператор ЭП возвращает заявку подавшему ее Участнику в течение 1 (одного) часа с момента получения соответствующей информации от банка. Такая заявка автоматически отклоняется Оператором ЭП от дальнейшего участия в закупке, а сведения о ней не направляются в адрес Организатора.</w:t>
      </w:r>
    </w:p>
    <w:p>
      <w:pPr>
        <w:pStyle w:val="Style17"/>
        <w:keepNext w:val="true"/>
        <w:spacing w:before="0" w:after="0"/>
        <w:rPr/>
      </w:pPr>
      <w:r>
        <w:rPr/>
        <w:t>В случае выбора Участником обеспечения заявки путем предоставления независимой гарантии, такая независимая гарантия составляется с учетом требований статей 368 – 379 ГК РФ, а также следующих условий:</w:t>
      </w:r>
    </w:p>
    <w:p>
      <w:pPr>
        <w:pStyle w:val="Style18"/>
        <w:spacing w:before="120" w:after="0"/>
        <w:rPr/>
      </w:pPr>
      <w:r>
        <w:rPr/>
        <w:t>независимая гарантия должна быть безотзывной и безусловной (гарантия по первому требованию);</w:t>
      </w:r>
    </w:p>
    <w:p>
      <w:pPr>
        <w:pStyle w:val="Style18"/>
        <w:spacing w:before="0" w:after="0"/>
        <w:rPr/>
      </w:pPr>
      <w:r>
        <w:rPr/>
        <w:t>сумма независимой гарантии должна быть выражена в российских рублях и составлять не менее суммы,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18"/>
        <w:spacing w:before="0" w:after="0"/>
        <w:rPr/>
      </w:pPr>
      <w:r>
        <w:rPr/>
        <w:t>бенефициаром в независимой гарантии должен быть указан Заказчик, принципалом – Участник, гарантом – организация, выдавшая независимую гарантию (подпункт </w:t>
      </w:r>
      <w:r>
        <w:rPr/>
        <w:fldChar w:fldCharType="begin"/>
      </w:r>
      <w:r>
        <w:rPr/>
        <w:instrText xml:space="preserve"> REF _Ref132716380 \w \h </w:instrText>
      </w:r>
      <w:r>
        <w:rPr/>
        <w:fldChar w:fldCharType="separate"/>
      </w:r>
      <w:r>
        <w:rPr/>
        <w:t>4.18.8л)</w:t>
      </w:r>
      <w:r>
        <w:rPr/>
        <w:fldChar w:fldCharType="end"/>
      </w:r>
      <w:r>
        <w:rPr/>
        <w:t>);</w:t>
      </w:r>
    </w:p>
    <w:p>
      <w:pPr>
        <w:pStyle w:val="Style18"/>
        <w:spacing w:before="0" w:after="0"/>
        <w:rPr/>
      </w:pPr>
      <w:r>
        <w:rPr/>
        <w:t>в независимой гарантии должно быть предусмотрено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ГК РФ оснований для отказа в удовлетворении этого требования;</w:t>
      </w:r>
    </w:p>
    <w:p>
      <w:pPr>
        <w:pStyle w:val="Style18"/>
        <w:spacing w:before="0" w:after="0"/>
        <w:rPr/>
      </w:pPr>
      <w:r>
        <w:rPr/>
        <w:t>в независимой гарантии должен быть указан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w:t>
      </w:r>
    </w:p>
    <w:p>
      <w:pPr>
        <w:pStyle w:val="Style18"/>
        <w:spacing w:before="0" w:after="0"/>
        <w:rPr/>
      </w:pPr>
      <w:r>
        <w:rPr/>
        <w:t>в независимой гарантии должен быть указан срок действия независимой гарантии, который не может составлять менее одного месяца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18"/>
        <w:spacing w:before="0" w:after="0"/>
        <w:rPr/>
      </w:pPr>
      <w:r>
        <w:rPr/>
        <w:t>независимая гарантия не должна содержать условие о предоставлении Заказчиком гаранту судебных актов, подтверждающих неисполнение Участником обязательств, обеспечиваемых независимой гарантией;</w:t>
      </w:r>
    </w:p>
    <w:p>
      <w:pPr>
        <w:pStyle w:val="Style18"/>
        <w:spacing w:before="0" w:after="0"/>
        <w:rPr/>
      </w:pPr>
      <w:r>
        <w:rPr/>
        <w:t>в независимой гарантии должно быть предусмотрено безусловное право Заказчика на истребование суммы независимой гарантии полностью или частично, в случае нарушения Участником закупки своих обязательств (пункт </w:t>
      </w:r>
      <w:r>
        <w:rPr/>
        <w:fldChar w:fldCharType="begin"/>
      </w:r>
      <w:r>
        <w:rPr/>
        <w:instrText xml:space="preserve"> REF _Ref132716182 \r \h </w:instrText>
      </w:r>
      <w:r>
        <w:rPr/>
        <w:fldChar w:fldCharType="separate"/>
      </w:r>
      <w:r>
        <w:rPr/>
        <w:t>4.18.14</w:t>
      </w:r>
      <w:r>
        <w:rPr/>
        <w:fldChar w:fldCharType="end"/>
      </w:r>
      <w:r>
        <w:rPr/>
        <w:t>);</w:t>
      </w:r>
    </w:p>
    <w:p>
      <w:pPr>
        <w:pStyle w:val="Style18"/>
        <w:spacing w:before="0" w:after="0"/>
        <w:rPr/>
      </w:pPr>
      <w:r>
        <w:rPr/>
        <w:t>независимая гарантия должна содержать условия, предусмотренные Законом 223-ФЗ, а также соответствовать дополнительным требованиям к независимой гарантии, используемой для целей проведения конкурентных закупок с участием субъектов МСП, устанавливаемым Правительством Российской Федерации;</w:t>
      </w:r>
    </w:p>
    <w:p>
      <w:pPr>
        <w:pStyle w:val="Style18"/>
        <w:spacing w:before="0" w:after="0"/>
        <w:rPr/>
      </w:pPr>
      <w:r>
        <w:rPr/>
        <w:t>в независимой гарантии не должно быть условий или требований, противоречащих вышеизложенному или делающих вышеизложенное неисполнимым;</w:t>
      </w:r>
    </w:p>
    <w:p>
      <w:pPr>
        <w:pStyle w:val="Style18"/>
        <w:spacing w:before="0" w:after="0"/>
        <w:rPr/>
      </w:pPr>
      <w:bookmarkStart w:id="190" w:name="_Ref132716380"/>
      <w:r>
        <w:rPr/>
        <w:t>независимая гарантия должна быть выдана организацией из числа указанных в части 1 статьи 45 Закона 44-ФЗ;</w:t>
      </w:r>
      <w:bookmarkEnd w:id="190"/>
    </w:p>
    <w:p>
      <w:pPr>
        <w:pStyle w:val="Style18"/>
        <w:spacing w:before="0" w:after="0"/>
        <w:rPr/>
      </w:pPr>
      <w:r>
        <w:rPr/>
        <w:t>независимая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независимой гарантии;</w:t>
      </w:r>
    </w:p>
    <w:p>
      <w:pPr>
        <w:pStyle w:val="Style18"/>
        <w:spacing w:before="0" w:after="0"/>
        <w:rPr/>
      </w:pPr>
      <w:r>
        <w:rPr/>
        <w:t>информация о независимой гарантии должна быть включена в реестр независимых гарантий, предусмотренный частью 8 статьи </w:t>
      </w:r>
      <w:r>
        <w:rPr>
          <w:lang w:val="en-US"/>
        </w:rPr>
        <w:t>4</w:t>
      </w:r>
      <w:r>
        <w:rPr/>
        <w:t>5 Закона 44</w:t>
        <w:noBreakHyphen/>
        <w:t>ФЗ.</w:t>
      </w:r>
    </w:p>
    <w:p>
      <w:pPr>
        <w:pStyle w:val="Style17"/>
        <w:spacing w:before="120" w:after="0"/>
        <w:rPr/>
      </w:pPr>
      <w:r>
        <w:rPr/>
        <w:t>В случае выбора Участником обеспечения заявки путем предоставления независимой гарантии он должен предоставить в составе своей заявки копию такой гарантии,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17"/>
        <w:spacing w:before="0" w:after="0"/>
        <w:rPr/>
      </w:pPr>
      <w:r>
        <w:rPr/>
        <w:t>Несоответствие независимой гарантии, предоставленной Участником закупки, предусмотренным настоящей Документацией о закупке требованиям, является основанием для отклонения заявки такого Участника.</w:t>
      </w:r>
    </w:p>
    <w:p>
      <w:pPr>
        <w:pStyle w:val="Style17"/>
        <w:spacing w:before="0" w:after="0"/>
        <w:rPr/>
      </w:pPr>
      <w:r>
        <w:rPr/>
        <w:t>При многолотовой закупке (подраздел </w:t>
      </w:r>
      <w:r>
        <w:rPr/>
        <w:fldChar w:fldCharType="begin"/>
      </w:r>
      <w:r>
        <w:rPr/>
        <w:instrText xml:space="preserve"> REF _Ref149317133 \n \h </w:instrText>
      </w:r>
      <w:r>
        <w:rPr/>
        <w:fldChar w:fldCharType="separate"/>
      </w:r>
      <w:r>
        <w:rPr/>
        <w:t>4.19</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17"/>
        <w:spacing w:before="0" w:after="0"/>
        <w:rPr/>
      </w:pPr>
      <w:r>
        <w:rPr/>
        <w:t>Подать заявку (принять участие в закупке) могут только Участники, предоставившие надлежащее обеспечение их заявок.</w:t>
      </w:r>
    </w:p>
    <w:p>
      <w:pPr>
        <w:pStyle w:val="Style17"/>
        <w:spacing w:before="0" w:after="0"/>
        <w:rPr/>
      </w:pPr>
      <w:r>
        <w:rPr/>
        <w:t>Требование об обеспечении заявки в равной мере распространяется на всех Участников.</w:t>
      </w:r>
    </w:p>
    <w:p>
      <w:pPr>
        <w:pStyle w:val="Style17"/>
        <w:keepNext w:val="true"/>
        <w:spacing w:before="0" w:after="0"/>
        <w:rPr/>
      </w:pPr>
      <w:bookmarkStart w:id="191" w:name="_Ref132716182"/>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91"/>
    </w:p>
    <w:p>
      <w:pPr>
        <w:pStyle w:val="Style18"/>
        <w:spacing w:before="120" w:after="0"/>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tgtFrame="#Прил05_ФормыПобедителя">
        <w:r>
          <w:rPr>
            <w:rStyle w:val="Style6"/>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_Ref138341423 \r \h </w:instrText>
      </w:r>
      <w:r>
        <w:rPr/>
        <w:fldChar w:fldCharType="separate"/>
      </w:r>
      <w:r>
        <w:rPr/>
        <w:t>5.2</w:t>
      </w:r>
      <w:r>
        <w:rPr/>
        <w:fldChar w:fldCharType="end"/>
      </w:r>
      <w:r>
        <w:rPr/>
        <w:t>;</w:t>
      </w:r>
    </w:p>
    <w:p>
      <w:pPr>
        <w:pStyle w:val="Style18"/>
        <w:spacing w:before="0" w:after="0"/>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tgtFrame="#Прил02_ПроектДоговора">
        <w:r>
          <w:rPr>
            <w:rStyle w:val="Style6"/>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tgtFrame="#Прил02_ПроектДоговора">
        <w:r>
          <w:rPr>
            <w:rStyle w:val="Style6"/>
          </w:rPr>
          <w:t>Проектом договора</w:t>
        </w:r>
      </w:hyperlink>
      <w:r>
        <w:rPr/>
        <w:t>).</w:t>
      </w:r>
    </w:p>
    <w:p>
      <w:pPr>
        <w:pStyle w:val="Style17"/>
        <w:spacing w:before="120" w:after="0"/>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соответствующую организацию-гарант. При этом в случае предоставления Участником обеспечения в виде денежных средств, сумма обеспечения заявки, внесенная на специальный банковский счет, перечисляется банком-гарантом на счет Заказчика (подраздел </w:t>
      </w:r>
      <w:r>
        <w:rPr/>
        <w:fldChar w:fldCharType="begin"/>
      </w:r>
      <w:r>
        <w:rPr/>
        <w:instrText xml:space="preserve"> REF _Ref125359973 \r \h </w:instrText>
      </w:r>
      <w:r>
        <w:rPr/>
        <w:fldChar w:fldCharType="separate"/>
      </w:r>
      <w:r>
        <w:rPr/>
        <w:t>1.2</w:t>
      </w:r>
      <w:r>
        <w:rPr/>
        <w:fldChar w:fldCharType="end"/>
      </w:r>
      <w:r>
        <w:rPr/>
        <w:t>).</w:t>
      </w:r>
    </w:p>
    <w:p>
      <w:pPr>
        <w:pStyle w:val="Style17"/>
        <w:keepNext w:val="true"/>
        <w:spacing w:before="0" w:after="0"/>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18"/>
        <w:spacing w:before="120" w:after="0"/>
        <w:rPr/>
      </w:pPr>
      <w:r>
        <w:rPr/>
        <w:t>принятия решения об отказе от проведения закупки – всем Участникам, подавшим заявки к моменту принятия такого решения;</w:t>
      </w:r>
    </w:p>
    <w:p>
      <w:pPr>
        <w:pStyle w:val="Style18"/>
        <w:spacing w:before="0" w:after="0"/>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18"/>
        <w:spacing w:before="0" w:after="0"/>
        <w:rPr/>
      </w:pPr>
      <w:r>
        <w:rPr/>
        <w:t>официального размещения итогового протокола по результатам закупки – всем Участникам, кроме Победителя;</w:t>
      </w:r>
    </w:p>
    <w:p>
      <w:pPr>
        <w:pStyle w:val="Style18"/>
        <w:spacing w:before="0" w:after="0"/>
        <w:rPr/>
      </w:pPr>
      <w:r>
        <w:rPr/>
        <w:t>заключения Договора по результатам закупки – Победителю, с которым заключен Договор;</w:t>
      </w:r>
    </w:p>
    <w:p>
      <w:pPr>
        <w:pStyle w:val="Style18"/>
        <w:spacing w:before="0" w:after="0"/>
        <w:rPr/>
      </w:pPr>
      <w:r>
        <w:rPr/>
        <w:t>признания закупки несостоявшейся – Участнику, которому обеспечение не было возвращено по иным основаниям.</w:t>
      </w:r>
    </w:p>
    <w:p>
      <w:pPr>
        <w:pStyle w:val="Style17"/>
        <w:spacing w:before="120" w:after="0"/>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w:t>
      </w:r>
    </w:p>
    <w:p>
      <w:pPr>
        <w:pStyle w:val="Style16"/>
        <w:spacing w:before="360" w:after="0"/>
        <w:rPr/>
      </w:pPr>
      <w:bookmarkStart w:id="192" w:name="_Ref149317133"/>
      <w:bookmarkStart w:id="193" w:name="_Toc34"/>
      <w:bookmarkStart w:id="194" w:name="_Ref130225422"/>
      <w:r>
        <w:rPr/>
        <w:t>Особенности проведения многолотовой закупки</w:t>
      </w:r>
      <w:bookmarkEnd w:id="192"/>
      <w:bookmarkEnd w:id="193"/>
      <w:bookmarkEnd w:id="194"/>
    </w:p>
    <w:p>
      <w:pPr>
        <w:pStyle w:val="Style17"/>
        <w:spacing w:before="120" w:after="0"/>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17"/>
        <w:spacing w:before="0" w:after="0"/>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17"/>
        <w:spacing w:before="0" w:after="0"/>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17"/>
        <w:spacing w:before="0" w:after="0"/>
        <w:rPr/>
      </w:pPr>
      <w:r>
        <w:rPr/>
        <w:t>Участник может подать одну заявку / одно окончательное предложение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 одному окончательному предложению на каждый лот, не считается подачей второй заявки / окончательного предложения на закупку.</w:t>
      </w:r>
    </w:p>
    <w:p>
      <w:pPr>
        <w:pStyle w:val="Style17"/>
        <w:keepNext w:val="true"/>
        <w:spacing w:before="0" w:after="0"/>
        <w:rPr/>
      </w:pPr>
      <w:r>
        <w:rPr/>
        <w:t>В случае подачи заявки / окончательного предложения на несколько лотов дополнительно должны быть соблюдены следующие требования:</w:t>
      </w:r>
    </w:p>
    <w:p>
      <w:pPr>
        <w:pStyle w:val="Style18"/>
        <w:spacing w:before="120" w:after="0"/>
        <w:rPr/>
      </w:pPr>
      <w:r>
        <w:rPr/>
        <w:t>Письмо о подаче оферты (форма 2) (</w:t>
      </w:r>
      <w:hyperlink w:anchor="Прил04_ФормыЗаявки" w:tgtFrame="#Прил04_ФормыЗаявки">
        <w:r>
          <w:rPr>
            <w:rStyle w:val="Style6"/>
          </w:rPr>
          <w:t>Приложение № 4</w:t>
        </w:r>
      </w:hyperlink>
      <w:r>
        <w:rPr/>
        <w:t>) должно содержать указание номера и названия каждого лота;</w:t>
      </w:r>
    </w:p>
    <w:p>
      <w:pPr>
        <w:pStyle w:val="Style18"/>
        <w:spacing w:before="0" w:after="0"/>
        <w:rPr/>
      </w:pPr>
      <w:r>
        <w:rPr/>
        <w:t xml:space="preserve">Коммерческое предложение (форма 3), Техническое предложение (форма 4), План распределения объемов поставки продукции (форма 4) – </w:t>
      </w:r>
      <w:hyperlink w:anchor="Прил04_ФормыЗаявки" w:tgtFrame="#Прил04_ФормыЗаявки">
        <w:r>
          <w:rPr>
            <w:rStyle w:val="Style6"/>
          </w:rPr>
          <w:t>Приложение № 4</w:t>
        </w:r>
      </w:hyperlink>
      <w:r>
        <w:rPr/>
        <w:t>, должны быть подготовлены отдельно по каждому из лотов с указанием номера и названия лота.</w:t>
      </w:r>
    </w:p>
    <w:p>
      <w:pPr>
        <w:pStyle w:val="Style17"/>
        <w:spacing w:before="120" w:after="0"/>
        <w:rPr/>
      </w:pPr>
      <w:r>
        <w:rPr/>
        <w:t>Решения, принимаемые в ходе процедуры закупки, в том числе решения в рамках рассмотрения (первых частей заявок / окончательных предложений, вторых частей заявок и ценовых предложений, рассмотрения дополнительных ценовых предложений – если проводилась процедура переторжки),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15"/>
        <w:spacing w:before="0" w:after="0"/>
        <w:rPr/>
      </w:pPr>
      <w:bookmarkStart w:id="195" w:name="_Ref126142429"/>
      <w:bookmarkStart w:id="196" w:name="_Ref130224037"/>
      <w:bookmarkStart w:id="197" w:name="_Toc35"/>
      <w:bookmarkStart w:id="198" w:name="_Ref125361212"/>
      <w:bookmarkStart w:id="199" w:name="_Ref125362671"/>
      <w:bookmarkStart w:id="200" w:name="_Ref125363439"/>
      <w:bookmarkStart w:id="201" w:name="_Ref125366769"/>
      <w:bookmarkStart w:id="202" w:name="_Ref125367083"/>
      <w:bookmarkStart w:id="203" w:name="_Ref125367087"/>
      <w:r>
        <w:rPr/>
        <w:t>Порядок заключения Договора</w:t>
      </w:r>
      <w:bookmarkEnd w:id="195"/>
      <w:bookmarkEnd w:id="196"/>
      <w:bookmarkEnd w:id="197"/>
      <w:bookmarkEnd w:id="198"/>
      <w:bookmarkEnd w:id="199"/>
      <w:bookmarkEnd w:id="200"/>
      <w:bookmarkEnd w:id="201"/>
      <w:bookmarkEnd w:id="202"/>
      <w:bookmarkEnd w:id="203"/>
    </w:p>
    <w:p>
      <w:pPr>
        <w:pStyle w:val="Style16"/>
        <w:spacing w:before="360" w:after="0"/>
        <w:rPr/>
      </w:pPr>
      <w:bookmarkStart w:id="204" w:name="_Toc36"/>
      <w:r>
        <w:rPr/>
        <w:t>Общие положения</w:t>
      </w:r>
      <w:bookmarkEnd w:id="204"/>
    </w:p>
    <w:p>
      <w:pPr>
        <w:pStyle w:val="Style17"/>
        <w:spacing w:before="120" w:after="0"/>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16"/>
        <w:spacing w:before="360" w:after="0"/>
        <w:rPr/>
      </w:pPr>
      <w:bookmarkStart w:id="205" w:name="_Ref138341423"/>
      <w:bookmarkStart w:id="206" w:name="_Toc37"/>
      <w:bookmarkStart w:id="207" w:name="_Ref125366947"/>
      <w:bookmarkStart w:id="208" w:name="_Ref125368755"/>
      <w:r>
        <w:rPr/>
        <w:t>Заключение Договора</w:t>
      </w:r>
      <w:bookmarkEnd w:id="205"/>
      <w:bookmarkEnd w:id="206"/>
      <w:bookmarkEnd w:id="207"/>
      <w:bookmarkEnd w:id="208"/>
    </w:p>
    <w:p>
      <w:pPr>
        <w:pStyle w:val="Style17"/>
        <w:spacing w:before="120" w:after="0"/>
        <w:rPr/>
      </w:pPr>
      <w:bookmarkStart w:id="209" w:name="_Ref125362935"/>
      <w:bookmarkStart w:id="210" w:name="_Ref130293821"/>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09"/>
      <w:bookmarkEnd w:id="210"/>
    </w:p>
    <w:p>
      <w:pPr>
        <w:pStyle w:val="Style17"/>
        <w:spacing w:before="0" w:after="0"/>
        <w:rPr/>
      </w:pPr>
      <w:r>
        <w:rPr/>
        <w:t>Договор не может быть заключен, если это запрещено законодательством о национальном режиме .</w:t>
      </w:r>
    </w:p>
    <w:p>
      <w:pPr>
        <w:pStyle w:val="Style17"/>
        <w:spacing w:before="0" w:after="0"/>
        <w:rPr/>
      </w:pPr>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17"/>
        <w:spacing w:before="0" w:after="0"/>
        <w:rPr/>
      </w:pPr>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tgtFrame="#Прил05_ФормыПобедителя">
        <w:r>
          <w:rPr>
            <w:rStyle w:val="Style6"/>
          </w:rPr>
          <w:t>Приложением № 5</w:t>
        </w:r>
      </w:hyperlink>
      <w:r>
        <w:rPr/>
        <w:t>, с приложением подтверждающих документов согласно перечню, установленному в Приложении 1 к указанной справке, 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p>
      <w:pPr>
        <w:pStyle w:val="Style17"/>
        <w:spacing w:before="0" w:after="0"/>
        <w:rPr/>
      </w:pPr>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(скан-копия в формате </w:t>
      </w:r>
      <w:bookmarkStart w:id="211" w:name="_Hlk207818034"/>
      <w:r>
        <w:rPr/>
        <w:t>Portable Document Format (</w:t>
      </w:r>
      <w:r>
        <w:rPr>
          <w:lang w:val="en-US"/>
        </w:rPr>
        <w:t>pdf</w:t>
      </w:r>
      <w:r>
        <w:rPr/>
        <w:t>)</w:t>
      </w:r>
      <w:bookmarkEnd w:id="211"/>
      <w:r>
        <w:rPr/>
        <w:t xml:space="preserve">)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tgtFrame="#Прил05_ФормыПобедителя">
        <w:r>
          <w:rPr>
            <w:rStyle w:val="Style6"/>
          </w:rPr>
          <w:t>Приложением № 5</w:t>
        </w:r>
      </w:hyperlink>
      <w:r>
        <w:rPr/>
        <w:t>.</w:t>
      </w:r>
    </w:p>
    <w:p>
      <w:pPr>
        <w:pStyle w:val="Style17"/>
        <w:keepNext w:val="true"/>
        <w:spacing w:before="0" w:after="0"/>
        <w:rPr/>
      </w:pPr>
      <w:bookmarkStart w:id="212"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tgtFrame="#Прил03_ТребованияУчастникам">
        <w:r>
          <w:rPr>
            <w:rStyle w:val="Style6"/>
          </w:rPr>
          <w:t>Приложение № 3</w:t>
        </w:r>
      </w:hyperlink>
      <w:r>
        <w:rPr/>
        <w:t>), следующие документы (скан-копии в формате Portable Document Format (</w:t>
      </w:r>
      <w:r>
        <w:rPr>
          <w:lang w:val="en-US"/>
        </w:rPr>
        <w:t>pdf</w:t>
      </w:r>
      <w:r>
        <w:rPr/>
        <w:t>)):</w:t>
      </w:r>
      <w:bookmarkEnd w:id="212"/>
    </w:p>
    <w:p>
      <w:pPr>
        <w:pStyle w:val="Style18"/>
        <w:keepNext w:val="true"/>
        <w:spacing w:before="120" w:after="0"/>
        <w:rPr/>
      </w:pPr>
      <w:r>
        <w:rPr/>
        <w:t>для юридического лица:</w:t>
      </w:r>
    </w:p>
    <w:p>
      <w:pPr>
        <w:pStyle w:val="Style19"/>
        <w:spacing w:before="120" w:after="0"/>
        <w:rPr/>
      </w:pPr>
      <w:r>
        <w:rPr/>
        <w:t>копия устава в действующей редакции с отметкой ИФНС либо копия нотариально заверенного устава (с отметкой нотариуса);</w:t>
      </w:r>
    </w:p>
    <w:p>
      <w:pPr>
        <w:pStyle w:val="Style19"/>
        <w:spacing w:before="0" w:after="0"/>
        <w:rPr/>
      </w:pPr>
      <w:bookmarkStart w:id="213"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13"/>
    </w:p>
    <w:p>
      <w:pPr>
        <w:pStyle w:val="Style19"/>
        <w:spacing w:before="0" w:after="0"/>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18"/>
        <w:spacing w:before="120" w:after="0"/>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18"/>
        <w:spacing w:before="0" w:after="0"/>
        <w:rPr/>
      </w:pPr>
      <w:r>
        <w:rPr/>
        <w:t>для физического лица: нотариально заверенная копия всех страниц документа, удостоверяющего личность (паспорта)</w:t>
      </w:r>
      <w:bookmarkStart w:id="214" w:name="_Ref125361554"/>
      <w:r>
        <w:rPr/>
        <w:t>.</w:t>
      </w:r>
      <w:bookmarkEnd w:id="214"/>
    </w:p>
    <w:p>
      <w:pPr>
        <w:pStyle w:val="Style17"/>
        <w:spacing w:before="120" w:after="0"/>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17"/>
        <w:spacing w:before="0" w:after="0"/>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17"/>
        <w:keepNext w:val="true"/>
        <w:spacing w:before="0" w:after="0"/>
        <w:rPr/>
      </w:pPr>
      <w:bookmarkStart w:id="215"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15"/>
    </w:p>
    <w:p>
      <w:pPr>
        <w:pStyle w:val="Style18"/>
        <w:spacing w:before="120" w:after="0"/>
        <w:rPr/>
      </w:pPr>
      <w:r>
        <w:rPr/>
        <w:t>итоговый протокол по результатам закупки;</w:t>
      </w:r>
    </w:p>
    <w:p>
      <w:pPr>
        <w:pStyle w:val="Style18"/>
        <w:spacing w:before="0" w:after="0"/>
        <w:rPr/>
      </w:pPr>
      <w:r>
        <w:rPr/>
        <w:t>Извещение и Документация о закупке со всеми изменениями;</w:t>
      </w:r>
    </w:p>
    <w:p>
      <w:pPr>
        <w:pStyle w:val="Style18"/>
        <w:spacing w:before="0" w:after="0"/>
        <w:rPr/>
      </w:pPr>
      <w:r>
        <w:rPr/>
        <w:t>заявка Победителя со всеми дополнениями и разъяснениями.</w:t>
      </w:r>
    </w:p>
    <w:p>
      <w:pPr>
        <w:pStyle w:val="Style17"/>
        <w:spacing w:before="120" w:after="0"/>
        <w:rPr/>
      </w:pPr>
      <w:r>
        <w:rPr/>
        <w:t>Договор согласовывается и заключается с использованием функционала ЭП, в том числе подписывается усиленной квалифицированной электронной подписью уполномоченного лица Победителя и Заказчика соответственно.</w:t>
      </w:r>
    </w:p>
    <w:p>
      <w:pPr>
        <w:pStyle w:val="Style17"/>
        <w:spacing w:before="0" w:after="0"/>
        <w:rPr/>
      </w:pPr>
      <w:r>
        <w:rPr/>
        <w:t>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Заказчик с использованием функционала ЭП направляет в адрес Победителя заполненный со своей стороны проект Договора.</w:t>
      </w:r>
    </w:p>
    <w:p>
      <w:pPr>
        <w:pStyle w:val="Style17"/>
        <w:spacing w:before="0" w:after="0"/>
        <w:rPr/>
      </w:pPr>
      <w:bookmarkStart w:id="216" w:name="_Ref49437111"/>
      <w:r>
        <w:rPr/>
        <w:t>В случае наличия у Победителя разногласий по направленному Заказчиком проекту Договора, Победитель составляет Протокол разногласий с указанием в нем своих замечаний к положениям проекта Договора, не соответствующим условиям настоящей Документации о закупке и (или) заявке Победителя (с приведением ссылок на конкретные пункты / положения данных документов, которым они не соответствуют). Протокол разногласий направляется Заказчику с использованием функционала ЭП. После рассмотрения указанного протокола разногласий Заказчик вправе направить Победителю доработанный проект Договора либо повторно направить исходный проект Договора с указанием в отдельном документе причин отказа учесть полностью или частично замечания, содержащиеся в протоколе разногласий Победителя.</w:t>
      </w:r>
      <w:bookmarkEnd w:id="216"/>
    </w:p>
    <w:p>
      <w:pPr>
        <w:pStyle w:val="Style17"/>
        <w:spacing w:before="0" w:after="0"/>
        <w:rPr/>
      </w:pPr>
      <w:bookmarkStart w:id="217" w:name="_Ref125368506"/>
      <w:r>
        <w:rPr/>
        <w:t xml:space="preserve">Сведения о заключенном Договоре в течение 3 (трех) рабочих дней со дня заключения такого Договора на ЭП вносятся Оператором ЭП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w:t>
      </w:r>
      <w:bookmarkStart w:id="218" w:name="_Hlk132806825"/>
      <w:r>
        <w:rPr/>
        <w:t>соответствующая информация с указанием измененных условий Договора также размещается в ЕИС (если размещение таких сведений допустимо Законом 223-ФЗ)</w:t>
      </w:r>
      <w:bookmarkEnd w:id="218"/>
      <w:r>
        <w:rPr/>
        <w:t>.</w:t>
      </w:r>
      <w:bookmarkEnd w:id="217"/>
    </w:p>
    <w:p>
      <w:pPr>
        <w:pStyle w:val="Style17"/>
        <w:spacing w:before="0" w:after="0"/>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16"/>
        <w:spacing w:before="360" w:after="0"/>
        <w:rPr/>
      </w:pPr>
      <w:bookmarkStart w:id="219" w:name="_Ref125367068"/>
      <w:bookmarkStart w:id="220" w:name="_Toc38"/>
      <w:r>
        <w:rPr/>
        <w:t>Уклонение Победителя от заключения Договора</w:t>
      </w:r>
      <w:bookmarkEnd w:id="219"/>
      <w:bookmarkEnd w:id="220"/>
    </w:p>
    <w:p>
      <w:pPr>
        <w:pStyle w:val="Style17"/>
        <w:keepNext w:val="true"/>
        <w:spacing w:before="120" w:after="0"/>
        <w:rPr/>
      </w:pPr>
      <w:r>
        <w:rPr/>
        <w:t>Если Победитель закупки:</w:t>
      </w:r>
    </w:p>
    <w:p>
      <w:pPr>
        <w:pStyle w:val="Style18"/>
        <w:spacing w:before="120" w:after="0"/>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18"/>
        <w:spacing w:before="0" w:after="0"/>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18"/>
        <w:spacing w:before="0" w:after="0"/>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tgtFrame="#Прил05_ФормыПобедителя">
        <w:r>
          <w:rPr>
            <w:rStyle w:val="Style6"/>
          </w:rPr>
          <w:t>Приложение № 5</w:t>
        </w:r>
      </w:hyperlink>
      <w:r>
        <w:rPr/>
        <w:t>), с приложением подтверждающих документов;</w:t>
      </w:r>
    </w:p>
    <w:p>
      <w:pPr>
        <w:pStyle w:val="Style18"/>
        <w:spacing w:before="0" w:after="0"/>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tgtFrame="#Прил05_ФормыПобедителя">
        <w:r>
          <w:rPr>
            <w:rStyle w:val="Style6"/>
          </w:rPr>
          <w:t>Приложением № 5</w:t>
        </w:r>
      </w:hyperlink>
      <w:r>
        <w:rPr/>
        <w:t>;</w:t>
      </w:r>
    </w:p>
    <w:p>
      <w:pPr>
        <w:pStyle w:val="Style18"/>
        <w:spacing w:before="0" w:after="0"/>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tgtFrame="#Прил01_ТехТребования">
        <w:r>
          <w:rPr>
            <w:rStyle w:val="Style6"/>
          </w:rPr>
          <w:t>Приложения № 1 – Технические требования</w:t>
        </w:r>
      </w:hyperlink>
      <w:r>
        <w:rPr/>
        <w:t xml:space="preserve"> (в случае установления таковых);</w:t>
      </w:r>
    </w:p>
    <w:p>
      <w:pPr>
        <w:pStyle w:val="Style18"/>
        <w:spacing w:before="0" w:after="0"/>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18"/>
        <w:spacing w:before="0" w:after="0"/>
        <w:rPr/>
      </w:pPr>
      <w:r>
        <w:rPr/>
        <w:t>не выполнит другие условия, прямо предусмотренные Документацией о закупке,</w:t>
      </w:r>
    </w:p>
    <w:p>
      <w:pPr>
        <w:pStyle w:val="Style21"/>
        <w:ind w:hanging="0" w:left="1134"/>
        <w:rPr/>
      </w:pPr>
      <w:r>
        <w:rPr/>
        <w:t>то он (по истечению установленных в подразделе </w:t>
      </w:r>
      <w:r>
        <w:rPr/>
        <w:fldChar w:fldCharType="begin"/>
      </w:r>
      <w:r>
        <w:rPr/>
        <w:instrText xml:space="preserve"> REF _Ref138341423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15"/>
        <w:spacing w:before="0" w:after="0"/>
        <w:rPr/>
      </w:pPr>
      <w:bookmarkStart w:id="221" w:name="_Ref125363016"/>
      <w:bookmarkStart w:id="222" w:name="_Ref125363023"/>
      <w:bookmarkStart w:id="223" w:name="_Ref125363034"/>
      <w:bookmarkStart w:id="224" w:name="_Ref125363600"/>
      <w:bookmarkStart w:id="225" w:name="_Ref125363752"/>
      <w:bookmarkStart w:id="226" w:name="_Ref125364088"/>
      <w:bookmarkStart w:id="227" w:name="_Ref125364201"/>
      <w:bookmarkStart w:id="228" w:name="_Ref125370732"/>
      <w:bookmarkStart w:id="229" w:name="_Ref125370741"/>
      <w:bookmarkStart w:id="230" w:name="_Ref125370746"/>
      <w:bookmarkStart w:id="231" w:name="_Ref125370750"/>
      <w:bookmarkStart w:id="232" w:name="_Ref125370843"/>
      <w:bookmarkStart w:id="233" w:name="Прил01_ТехТребования"/>
      <w:bookmarkStart w:id="234" w:name="_Toc39"/>
      <w:r>
        <w:rPr/>
        <w:t>Приложение № 1 – Технические требования</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Style16"/>
        <w:spacing w:before="360" w:after="0"/>
        <w:rPr/>
      </w:pPr>
      <w:bookmarkStart w:id="235" w:name="_Toc40"/>
      <w:r>
        <w:rPr/>
        <w:t>Пояснения к Техническим требованиям</w:t>
      </w:r>
      <w:bookmarkEnd w:id="235"/>
    </w:p>
    <w:p>
      <w:pPr>
        <w:pStyle w:val="Style17"/>
        <w:spacing w:before="120" w:after="0"/>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15"/>
        <w:spacing w:before="0" w:after="0"/>
        <w:rPr/>
      </w:pPr>
      <w:bookmarkStart w:id="236" w:name="_Ref125361746"/>
      <w:bookmarkStart w:id="237" w:name="_Ref125363040"/>
      <w:bookmarkStart w:id="238" w:name="_Ref125363605"/>
      <w:bookmarkStart w:id="239" w:name="_Ref125363759"/>
      <w:bookmarkStart w:id="240" w:name="_Ref125364081"/>
      <w:bookmarkStart w:id="241" w:name="_Ref125364206"/>
      <w:bookmarkStart w:id="242" w:name="_Ref125370754"/>
      <w:bookmarkStart w:id="243" w:name="Прил02_ПроектДоговора"/>
      <w:bookmarkStart w:id="244" w:name="_Toc41"/>
      <w:r>
        <w:rPr/>
        <w:t>Приложение № 2 – Проект договора</w:t>
      </w:r>
      <w:bookmarkEnd w:id="236"/>
      <w:bookmarkEnd w:id="237"/>
      <w:bookmarkEnd w:id="238"/>
      <w:bookmarkEnd w:id="239"/>
      <w:bookmarkEnd w:id="240"/>
      <w:bookmarkEnd w:id="241"/>
      <w:bookmarkEnd w:id="242"/>
      <w:bookmarkEnd w:id="243"/>
      <w:bookmarkEnd w:id="244"/>
    </w:p>
    <w:p>
      <w:pPr>
        <w:pStyle w:val="Style16"/>
        <w:spacing w:before="360" w:after="0"/>
        <w:rPr/>
      </w:pPr>
      <w:bookmarkStart w:id="245" w:name="_Toc42"/>
      <w:r>
        <w:rPr/>
        <w:t>Пояснения к Проекту договора</w:t>
      </w:r>
      <w:bookmarkEnd w:id="245"/>
    </w:p>
    <w:p>
      <w:pPr>
        <w:pStyle w:val="Style17"/>
        <w:spacing w:before="120" w:after="0"/>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17"/>
        <w:spacing w:before="0" w:after="0"/>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_Ref132876309 \r \h </w:instrText>
      </w:r>
      <w:r>
        <w:rPr/>
        <w:fldChar w:fldCharType="separate"/>
      </w:r>
      <w:r>
        <w:rPr/>
        <w:t>1.2</w:t>
      </w:r>
      <w:r>
        <w:rPr/>
        <w:fldChar w:fldCharType="end"/>
      </w:r>
      <w:r>
        <w:rPr/>
        <w:t xml:space="preserve"> как «Некритичные пункты Проекта договора».</w:t>
      </w:r>
    </w:p>
    <w:p>
      <w:pPr>
        <w:pStyle w:val="Style17"/>
        <w:spacing w:before="0" w:after="0"/>
        <w:rPr/>
      </w:pPr>
      <w:r>
        <w:rPr/>
        <w:t>В соответствии с пунктом </w:t>
      </w:r>
      <w:r>
        <w:rPr/>
        <w:fldChar w:fldCharType="begin"/>
      </w:r>
      <w:r>
        <w:rPr/>
        <w:instrText xml:space="preserve"> REF _Ref49437111 \r \h </w:instrText>
      </w:r>
      <w:r>
        <w:rPr/>
        <w:fldChar w:fldCharType="separate"/>
      </w:r>
      <w:r>
        <w:rPr/>
        <w:t>5.2.12</w:t>
      </w:r>
      <w:r>
        <w:rPr/>
        <w:fldChar w:fldCharType="end"/>
      </w:r>
      <w:r>
        <w:rP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17"/>
        <w:spacing w:before="0" w:after="0"/>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46" w:name="_MON_1736255517"/>
      <w:bookmarkEnd w:id="246"/>
    </w:p>
    <w:p>
      <w:pPr>
        <w:sectPr>
          <w:headerReference w:type="default" r:id="rId14"/>
          <w:headerReference w:type="first" r:id="rId15"/>
          <w:footerReference w:type="default" r:id="rId16"/>
          <w:footerReference w:type="first" r:id="rId17"/>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1"/>
        <w:jc w:val="center"/>
        <w:rPr/>
      </w:pPr>
      <w:r>
        <w:rPr/>
        <w:object>
          <v:shapetype id="_x0000_tole_rId12" coordsize="21600,21600" o:spt="ole_rId1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2" type="_x0000_tole_rId12" style="width:78.05pt;height:47.8pt;mso-wrap-distance-right:0pt" filled="f" o:ole="">
            <v:imagedata r:id="rId13" o:title=""/>
          </v:shape>
          <o:OLEObject Type="Embed" ProgID="Word.Document.12" ShapeID="ole_rId12" DrawAspect="Icon" ObjectID="_295904447" r:id="rId12"/>
        </w:object>
      </w:r>
    </w:p>
    <w:p>
      <w:pPr>
        <w:pStyle w:val="Style15"/>
        <w:spacing w:before="0" w:after="0"/>
        <w:rPr/>
      </w:pPr>
      <w:bookmarkStart w:id="247" w:name="_Ref125361494"/>
      <w:bookmarkStart w:id="248" w:name="_Ref125361908"/>
      <w:bookmarkStart w:id="249" w:name="_Ref125365476"/>
      <w:bookmarkStart w:id="250" w:name="_Ref125370013"/>
      <w:bookmarkStart w:id="251" w:name="Прил03_ТребованияУчастникам"/>
      <w:bookmarkStart w:id="252" w:name="_Toc43"/>
      <w:r>
        <w:rPr/>
        <w:t>Приложение № 3 – Требования к Участникам</w:t>
      </w:r>
      <w:bookmarkEnd w:id="247"/>
      <w:bookmarkEnd w:id="248"/>
      <w:bookmarkEnd w:id="249"/>
      <w:bookmarkEnd w:id="250"/>
      <w:bookmarkEnd w:id="251"/>
      <w:bookmarkEnd w:id="252"/>
    </w:p>
    <w:p>
      <w:pPr>
        <w:pStyle w:val="Style16"/>
        <w:spacing w:before="360" w:after="0"/>
        <w:rPr/>
      </w:pPr>
      <w:bookmarkStart w:id="253" w:name="_Toc44"/>
      <w:r>
        <w:rPr/>
        <w:t>Пояснения к требованиям к Участникам</w:t>
      </w:r>
      <w:bookmarkEnd w:id="253"/>
    </w:p>
    <w:p>
      <w:pPr>
        <w:pStyle w:val="Style17"/>
        <w:spacing w:before="120" w:after="0"/>
        <w:rPr/>
      </w:pPr>
      <w:bookmarkStart w:id="254" w:name="_Hlk125628168"/>
      <w:r>
        <w:rPr/>
        <w:t>Чтобы претендовать на победу в закупке и получение права заключить Договор с Заказчиком, Участник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254"/>
    </w:p>
    <w:p>
      <w:pPr>
        <w:pStyle w:val="Style16"/>
        <w:spacing w:before="360" w:after="120"/>
        <w:rPr/>
      </w:pPr>
      <w:bookmarkStart w:id="255" w:name="_Ref125361435"/>
      <w:bookmarkStart w:id="256" w:name="_Ref125361590"/>
      <w:bookmarkStart w:id="257" w:name="_Ref125361617"/>
      <w:bookmarkStart w:id="258" w:name="_Ref125361832"/>
      <w:bookmarkStart w:id="259" w:name="_Ref125361846"/>
      <w:bookmarkStart w:id="260" w:name="_Ref125361926"/>
      <w:bookmarkStart w:id="261" w:name="_Ref125366879"/>
      <w:bookmarkStart w:id="262" w:name="_Ref125368812"/>
      <w:bookmarkStart w:id="263" w:name="_Ref125368895"/>
      <w:bookmarkStart w:id="264" w:name="_Ref125369088"/>
      <w:bookmarkStart w:id="265" w:name="_Ref125370058"/>
      <w:bookmarkStart w:id="266" w:name="_Ref125370064"/>
      <w:bookmarkStart w:id="267" w:name="_Ref125370071"/>
      <w:bookmarkStart w:id="268" w:name="_Toc45"/>
      <w:r>
        <w:rPr/>
        <w:t>Обязательные требования</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tbl>
      <w:tblPr>
        <w:tblStyle w:val="115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1"/>
              <w:widowControl w:val="false"/>
              <w:numPr>
                <w:ilvl w:val="0"/>
                <w:numId w:val="2"/>
              </w:numPr>
              <w:suppressAutoHyphens w:val="true"/>
              <w:spacing w:lineRule="auto" w:line="240" w:before="60" w:after="60"/>
              <w:ind w:hanging="0" w:left="284"/>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69" w:name="_Ref125552433"/>
            <w:bookmarkStart w:id="270" w:name="_Ref125552433"/>
            <w:bookmarkEnd w:id="270"/>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21"/>
              <w:widowControl w:val="false"/>
              <w:numPr>
                <w:ilvl w:val="0"/>
                <w:numId w:val="13"/>
              </w:numPr>
              <w:suppressAutoHyphens w:val="true"/>
              <w:spacing w:lineRule="auto" w:line="240" w:before="60" w:after="60"/>
              <w:ind w:hanging="284" w:left="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отношении гражданской правоспособности:</w:t>
            </w:r>
          </w:p>
          <w:p>
            <w:pPr>
              <w:pStyle w:val="Style21"/>
              <w:widowControl w:val="false"/>
              <w:numPr>
                <w:ilvl w:val="0"/>
                <w:numId w:val="14"/>
              </w:numPr>
              <w:suppressAutoHyphens w:val="true"/>
              <w:spacing w:lineRule="auto" w:line="240" w:before="60" w:after="60"/>
              <w:ind w:hanging="284" w:left="568"/>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(*.pdf)) оригинала соответствующей доверенности либо ее нотариально заверенной копии (с указанием правомочий на подписание заявки);</w:t>
            </w:r>
          </w:p>
          <w:p>
            <w:pPr>
              <w:pStyle w:val="Style21"/>
              <w:widowControl w:val="false"/>
              <w:numPr>
                <w:ilvl w:val="0"/>
                <w:numId w:val="13"/>
              </w:numPr>
              <w:suppressAutoHyphens w:val="true"/>
              <w:spacing w:lineRule="auto" w:line="240" w:before="60" w:after="60"/>
              <w:ind w:hanging="284" w:left="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отношении аккредитации:</w:t>
            </w:r>
          </w:p>
          <w:p>
            <w:pPr>
              <w:pStyle w:val="Style21"/>
              <w:widowControl w:val="false"/>
              <w:numPr>
                <w:ilvl w:val="0"/>
                <w:numId w:val="14"/>
              </w:numPr>
              <w:suppressAutoHyphens w:val="true"/>
              <w:spacing w:lineRule="auto" w:line="240" w:before="60" w:after="0"/>
              <w:ind w:hanging="284" w:left="568"/>
              <w:rPr/>
            </w:pPr>
            <w:r>
              <w:rPr>
                <w:rFonts w:eastAsia="Calibri" w:cs="Arial"/>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и обновленная Заявка на аккредитацию по установленной в Документации о закупке форме (</w:t>
            </w:r>
            <w:hyperlink w:anchor="Прил10_ФормаЗаявкиНаАккредитацию" w:tgtFrame="#Прил10_ФормаЗаявкиНаАккредитацию">
              <w:r>
                <w:rPr>
                  <w:rStyle w:val="Style6"/>
                  <w:rFonts w:eastAsia="Calibri" w:cs="Arial"/>
                  <w:kern w:val="0"/>
                  <w:sz w:val="26"/>
                  <w:szCs w:val="22"/>
                  <w:lang w:val="ru-RU" w:eastAsia="en-US" w:bidi="ar-SA"/>
                </w:rPr>
                <w:t>Приложение № 10</w:t>
              </w:r>
            </w:hyperlink>
            <w:r>
              <w:rPr>
                <w:rFonts w:eastAsia="Calibri" w:cs="Arial"/>
                <w:kern w:val="0"/>
                <w:sz w:val="26"/>
                <w:szCs w:val="22"/>
                <w:lang w:val="ru-RU" w:eastAsia="en-US" w:bidi="ar-SA"/>
              </w:rPr>
              <w:t>);</w:t>
            </w:r>
          </w:p>
          <w:p>
            <w:pPr>
              <w:pStyle w:val="Style21"/>
              <w:widowControl w:val="false"/>
              <w:numPr>
                <w:ilvl w:val="0"/>
                <w:numId w:val="14"/>
              </w:numPr>
              <w:suppressAutoHyphens w:val="true"/>
              <w:spacing w:lineRule="auto" w:line="240" w:before="0" w:after="0"/>
              <w:ind w:hanging="284" w:left="568"/>
              <w:rPr/>
            </w:pPr>
            <w:r>
              <w:rPr>
                <w:rFonts w:eastAsia="Calibri" w:cs="Arial"/>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1"/>
              <w:widowControl w:val="false"/>
              <w:numPr>
                <w:ilvl w:val="0"/>
                <w:numId w:val="14"/>
              </w:numPr>
              <w:suppressAutoHyphens w:val="true"/>
              <w:spacing w:lineRule="auto" w:line="240" w:before="0" w:after="60"/>
              <w:ind w:hanging="284" w:left="568"/>
              <w:rPr/>
            </w:pPr>
            <w:r>
              <w:rPr>
                <w:rFonts w:eastAsia="Calibri" w:cs="Arial"/>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 Заявка на аккредитацию по установленной в Документации о закупке форме (</w:t>
            </w:r>
            <w:hyperlink w:anchor="Прил10_ФормаЗаявкиНаАккредитацию" w:tgtFrame="#Прил10_ФормаЗаявкиНаАккредитацию">
              <w:r>
                <w:rPr>
                  <w:rStyle w:val="Style6"/>
                  <w:rFonts w:eastAsia="Calibri" w:cs="Arial"/>
                  <w:kern w:val="0"/>
                  <w:sz w:val="26"/>
                  <w:szCs w:val="22"/>
                  <w:lang w:val="ru-RU" w:eastAsia="en-US" w:bidi="ar-SA"/>
                </w:rPr>
                <w:t>Приложение № 10</w:t>
              </w:r>
            </w:hyperlink>
            <w:r>
              <w:rPr>
                <w:rFonts w:eastAsia="Calibri" w:cs="Arial"/>
                <w:kern w:val="0"/>
                <w:sz w:val="26"/>
                <w:szCs w:val="22"/>
                <w:lang w:val="ru-RU" w:eastAsia="en-US" w:bidi="ar-SA"/>
              </w:rPr>
              <w:t>).</w:t>
            </w:r>
          </w:p>
          <w:p>
            <w:pPr>
              <w:pStyle w:val="Style21"/>
              <w:widowControl w:val="false"/>
              <w:suppressAutoHyphens w:val="true"/>
              <w:spacing w:lineRule="auto" w:line="240" w:before="60" w:after="60"/>
              <w:ind w:hanging="0" w:left="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w:t>
            </w:r>
          </w:p>
          <w:p>
            <w:pPr>
              <w:pStyle w:val="Style21"/>
              <w:widowControl w:val="false"/>
              <w:suppressAutoHyphens w:val="true"/>
              <w:spacing w:lineRule="auto" w:line="240" w:before="60" w:after="60"/>
              <w:ind w:hanging="0" w:left="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21"/>
              <w:widowControl w:val="false"/>
              <w:suppressAutoHyphens w:val="true"/>
              <w:spacing w:lineRule="auto" w:line="240" w:before="60" w:after="60"/>
              <w:ind w:hanging="0" w:left="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w:t>
            </w:r>
            <w:r>
              <w:rPr>
                <w:rFonts w:eastAsia="Calibri" w:cs="Arial"/>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1"/>
              <w:widowControl w:val="false"/>
              <w:suppressAutoHyphens w:val="true"/>
              <w:spacing w:lineRule="auto" w:line="240" w:before="60" w:after="60"/>
              <w:ind w:hanging="0" w:left="284"/>
              <w:rPr/>
            </w:pPr>
            <w:r>
              <w:rPr>
                <w:rFonts w:eastAsia="Calibri" w:cs="Arial"/>
                <w:kern w:val="0"/>
                <w:sz w:val="26"/>
                <w:szCs w:val="22"/>
                <w:lang w:val="ru-RU" w:eastAsia="en-US" w:bidi="ar-SA"/>
              </w:rPr>
              <w:t>−</w:t>
            </w:r>
            <w:r>
              <w:rPr>
                <w:rFonts w:eastAsia="Calibri" w:cs="Arial"/>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tgtFrame="#Прил11_Данные_бухотчетность">
              <w:r>
                <w:rPr>
                  <w:rStyle w:val="Hyperlink"/>
                  <w:rFonts w:eastAsia="Calibri" w:cs="Arial"/>
                  <w:kern w:val="0"/>
                  <w:sz w:val="26"/>
                  <w:szCs w:val="22"/>
                  <w:lang w:val="ru-RU" w:eastAsia="en-US" w:bidi="ar-SA"/>
                </w:rPr>
                <w:t>Приложении № 11</w:t>
              </w:r>
            </w:hyperlink>
            <w:r>
              <w:rPr>
                <w:rFonts w:eastAsia="Calibri" w:cs="Arial"/>
                <w:kern w:val="0"/>
                <w:sz w:val="26"/>
                <w:szCs w:val="22"/>
                <w:lang w:val="ru-RU" w:eastAsia="en-US" w:bidi="ar-SA"/>
              </w:rPr>
              <w:t>).</w:t>
            </w:r>
          </w:p>
          <w:p>
            <w:pPr>
              <w:pStyle w:val="Style21"/>
              <w:widowControl w:val="false"/>
              <w:suppressAutoHyphens w:val="true"/>
              <w:spacing w:lineRule="auto" w:line="240" w:before="60" w:after="60"/>
              <w:ind w:hanging="0" w:left="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21"/>
              <w:widowControl w:val="false"/>
              <w:numPr>
                <w:ilvl w:val="0"/>
                <w:numId w:val="2"/>
              </w:numPr>
              <w:suppressAutoHyphens w:val="true"/>
              <w:spacing w:lineRule="auto" w:line="240" w:before="60" w:after="60"/>
              <w:ind w:hanging="0" w:left="284"/>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71" w:name="_Ref132893662"/>
            <w:bookmarkStart w:id="272" w:name="_Ref132893662"/>
            <w:bookmarkEnd w:id="272"/>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Предоставление документов не требуется.</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21"/>
              <w:widowControl w:val="false"/>
              <w:numPr>
                <w:ilvl w:val="0"/>
                <w:numId w:val="2"/>
              </w:numPr>
              <w:suppressAutoHyphens w:val="true"/>
              <w:spacing w:lineRule="auto" w:line="240" w:before="60" w:after="60"/>
              <w:ind w:hanging="0" w:left="284"/>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73" w:name="_Ref139029906"/>
            <w:bookmarkStart w:id="274" w:name="_Ref139029906"/>
            <w:bookmarkEnd w:id="274"/>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Arial"/>
                <w:kern w:val="0"/>
                <w:sz w:val="26"/>
                <w:szCs w:val="22"/>
                <w:lang w:val="ru-RU" w:eastAsia="en-US" w:bidi="ar-SA"/>
              </w:rPr>
              <w:footnoteReference w:id="11"/>
            </w:r>
            <w:r>
              <w:rPr>
                <w:rFonts w:eastAsia="Calibri" w:cs="Arial"/>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Arial"/>
                <w:kern w:val="0"/>
                <w:sz w:val="26"/>
                <w:szCs w:val="22"/>
                <w:lang w:val="ru-RU" w:eastAsia="en-US" w:bidi="ar-SA"/>
              </w:rPr>
              <w:footnoteReference w:id="12"/>
            </w:r>
            <w:r>
              <w:rPr>
                <w:rFonts w:eastAsia="Calibri" w:cs="Arial"/>
                <w:kern w:val="0"/>
                <w:sz w:val="26"/>
                <w:szCs w:val="22"/>
                <w:lang w:val="ru-RU" w:eastAsia="en-US" w:bidi="ar-SA"/>
              </w:rPr>
              <w:t>:</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Предоставление документов не требуется.</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21"/>
              <w:widowControl w:val="false"/>
              <w:numPr>
                <w:ilvl w:val="0"/>
                <w:numId w:val="2"/>
              </w:numPr>
              <w:suppressAutoHyphens w:val="true"/>
              <w:spacing w:lineRule="auto" w:line="240" w:before="60" w:after="60"/>
              <w:ind w:hanging="0" w:left="284"/>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75" w:name="_Ref186181914"/>
            <w:bookmarkStart w:id="276" w:name="_Ref186181914"/>
            <w:bookmarkEnd w:id="276"/>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соответствующих сведений.</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21"/>
              <w:widowControl w:val="false"/>
              <w:numPr>
                <w:ilvl w:val="0"/>
                <w:numId w:val="2"/>
              </w:numPr>
              <w:suppressAutoHyphens w:val="true"/>
              <w:spacing w:lineRule="auto" w:line="240" w:before="60" w:after="60"/>
              <w:ind w:hanging="0" w:left="284"/>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277" w:name="_Ref186181918"/>
            <w:bookmarkStart w:id="278" w:name="_Ref186181918"/>
            <w:bookmarkEnd w:id="278"/>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закупаемых работ и (или) оказании закупаемых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соответствующих сведений.</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16"/>
        <w:spacing w:before="360" w:after="120"/>
        <w:rPr/>
      </w:pPr>
      <w:bookmarkStart w:id="279" w:name="_Ref125361442"/>
      <w:bookmarkStart w:id="280" w:name="_Ref125361633"/>
      <w:bookmarkStart w:id="281" w:name="_Ref125361671"/>
      <w:bookmarkStart w:id="282" w:name="_Ref125361869"/>
      <w:bookmarkStart w:id="283" w:name="_Ref125361937"/>
      <w:bookmarkStart w:id="284" w:name="_Ref125365459"/>
      <w:bookmarkStart w:id="285" w:name="_Ref125367521"/>
      <w:bookmarkStart w:id="286" w:name="_Ref125367539"/>
      <w:bookmarkStart w:id="287" w:name="_Ref125368818"/>
      <w:bookmarkStart w:id="288" w:name="_Ref125368901"/>
      <w:bookmarkStart w:id="289" w:name="_Ref125368916"/>
      <w:bookmarkStart w:id="290" w:name="_Ref125369099"/>
      <w:bookmarkStart w:id="291" w:name="_Ref125370079"/>
      <w:bookmarkStart w:id="292" w:name="_Ref125709153"/>
      <w:bookmarkStart w:id="293" w:name="_Ref125709250"/>
      <w:bookmarkStart w:id="294" w:name="_Ref125709401"/>
      <w:bookmarkStart w:id="295" w:name="_Ref125709888"/>
      <w:bookmarkStart w:id="296" w:name="_Toc46"/>
      <w:r>
        <w:rPr/>
        <w:t>Специальные требования</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tbl>
      <w:tblPr>
        <w:tblStyle w:val="115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Участнику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21"/>
              <w:widowControl w:val="false"/>
              <w:numPr>
                <w:ilvl w:val="0"/>
                <w:numId w:val="3"/>
              </w:numPr>
              <w:suppressAutoHyphens w:val="true"/>
              <w:spacing w:lineRule="auto" w:line="240" w:before="60" w:after="60"/>
              <w:ind w:hanging="0" w:left="284"/>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5671" w:type="dxa"/>
            <w:tcBorders/>
          </w:tcPr>
          <w:p>
            <w:pPr>
              <w:pStyle w:val="Style21"/>
              <w:widowControl w:val="false"/>
              <w:suppressAutoHyphens w:val="true"/>
              <w:spacing w:lineRule="auto" w:line="240" w:before="60" w:after="60"/>
              <w:rPr>
                <w:rFonts w:eastAsia="Calibri" w:cs="Arial" w:cstheme="minorBidi" w:eastAsiaTheme="minorHAnsi"/>
                <w:highlight w:val="none"/>
                <w:shd w:fill="FFFF00" w:val="clear"/>
              </w:rPr>
            </w:pPr>
            <w:r>
              <w:rPr>
                <w:rFonts w:eastAsia="Calibri" w:cs="Arial" w:cstheme="minorBidi" w:eastAsiaTheme="minorHAnsi"/>
                <w:kern w:val="0"/>
                <w:sz w:val="26"/>
                <w:szCs w:val="22"/>
                <w:shd w:fill="FFFF00" w:val="clear"/>
                <w:lang w:val="ru-RU" w:eastAsia="en-US" w:bidi="ar-SA"/>
              </w:rPr>
              <w:t>В соответствии с п. 15 части 1 ст.12  Федерального закона от 04.05.2011 № 99-ФЗ «О лицензировании отдельных видов деятельности» и Постановлением Правительства РФ от 28.07.2020 №1128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pPr>
              <w:pStyle w:val="Style21"/>
              <w:widowControl w:val="false"/>
              <w:suppressAutoHyphens w:val="true"/>
              <w:spacing w:lineRule="auto" w:line="240" w:before="60" w:after="60"/>
              <w:rPr>
                <w:rFonts w:eastAsia="Calibri" w:cs="Arial" w:cstheme="minorBidi" w:eastAsiaTheme="minorHAnsi"/>
                <w:highlight w:val="none"/>
                <w:shd w:fill="FFFF00" w:val="clear"/>
              </w:rPr>
            </w:pPr>
            <w:r>
              <w:rPr>
                <w:rFonts w:eastAsia="Calibri" w:cs="Arial" w:cstheme="minorBidi" w:eastAsiaTheme="minorHAnsi"/>
                <w:kern w:val="0"/>
                <w:sz w:val="26"/>
                <w:szCs w:val="22"/>
                <w:shd w:fill="FFFF00" w:val="clear"/>
                <w:lang w:val="ru-RU" w:eastAsia="en-US" w:bidi="ar-SA"/>
              </w:rPr>
              <w:t>наличие у Участника действующей лицензии МЧС России, выданной на осуществление деятельности по монтажу, техническому обслуживанию и ремонту средств обеспечения пожарной безопасности зданий и сооружений, включающую в себя следующие виды работы в составе лицензируемого вида деятельности: выполнение работ по огнезащите материалов, изделий и конструкций.</w:t>
            </w:r>
          </w:p>
        </w:tc>
        <w:tc>
          <w:tcPr>
            <w:tcW w:w="8327" w:type="dxa"/>
            <w:tcBorders/>
          </w:tcPr>
          <w:p>
            <w:pPr>
              <w:pStyle w:val="Style21"/>
              <w:widowControl w:val="false"/>
              <w:suppressAutoHyphens w:val="true"/>
              <w:spacing w:lineRule="auto" w:line="240" w:before="60" w:after="60"/>
              <w:rPr>
                <w:rFonts w:eastAsia="Calibri" w:cs="Arial" w:cstheme="minorBidi" w:eastAsiaTheme="minorHAnsi"/>
                <w:highlight w:val="none"/>
                <w:shd w:fill="FFFF00" w:val="clear"/>
              </w:rPr>
            </w:pPr>
            <w:r>
              <w:rPr>
                <w:rFonts w:eastAsia="Calibri" w:cs="Arial" w:cstheme="minorBidi" w:eastAsiaTheme="minorHAnsi"/>
                <w:kern w:val="0"/>
                <w:sz w:val="26"/>
                <w:szCs w:val="22"/>
                <w:shd w:fill="FFFF00" w:val="clear"/>
                <w:lang w:val="ru-RU" w:eastAsia="en-US" w:bidi="ar-SA"/>
              </w:rPr>
              <w:t>Участник должен предоставить в составе Письма о подаче оферты соответствующую декларацию о соответствии установленному требованию с указанием адреса сайта или страницы сайта в информационно-телекоммуникационной сети «Интернет», на которых размещены сведения о наличии лицензии.</w:t>
            </w:r>
          </w:p>
          <w:p>
            <w:pPr>
              <w:pStyle w:val="Style21"/>
              <w:widowControl w:val="false"/>
              <w:suppressAutoHyphens w:val="true"/>
              <w:spacing w:lineRule="auto" w:line="240" w:before="60" w:after="60"/>
              <w:rPr>
                <w:rFonts w:eastAsia="Calibri" w:cs="Arial" w:cstheme="minorBidi" w:eastAsiaTheme="minorHAnsi"/>
                <w:highlight w:val="none"/>
                <w:shd w:fill="FFFF00" w:val="clear"/>
              </w:rPr>
            </w:pPr>
            <w:r>
              <w:rPr>
                <w:rFonts w:eastAsia="Calibri" w:cs="Arial" w:cstheme="minorBidi" w:eastAsiaTheme="minorHAnsi"/>
                <w:kern w:val="0"/>
                <w:sz w:val="26"/>
                <w:szCs w:val="22"/>
                <w:shd w:fill="FFFF00" w:val="clear"/>
                <w:lang w:val="ru-RU" w:eastAsia="en-US" w:bidi="ar-SA"/>
              </w:rPr>
              <w:t>Проверка наличие лицензии осуществляется по общедоступному ресурсу на сайте digital.mchs.gov.ru в информационно-телекоммуникационной сети «Интернет», на которых размещены требуемая информация и документы.</w:t>
            </w:r>
          </w:p>
          <w:p>
            <w:pPr>
              <w:pStyle w:val="Style21"/>
              <w:widowControl w:val="false"/>
              <w:suppressAutoHyphens w:val="true"/>
              <w:spacing w:lineRule="auto" w:line="240" w:before="60" w:after="60"/>
              <w:rPr>
                <w:rFonts w:eastAsia="Calibri" w:cs="Arial" w:cstheme="minorBidi" w:eastAsiaTheme="minorHAnsi"/>
                <w:highlight w:val="none"/>
                <w:shd w:fill="FFFF00" w:val="clear"/>
              </w:rPr>
            </w:pPr>
            <w:r>
              <w:rPr>
                <w:rFonts w:eastAsia="Calibri" w:cs="Arial" w:cstheme="minorBidi" w:eastAsiaTheme="minorHAnsi"/>
                <w:kern w:val="0"/>
                <w:sz w:val="26"/>
                <w:szCs w:val="22"/>
                <w:shd w:fill="FFFF00" w:val="clear"/>
                <w:lang w:val="ru-RU" w:eastAsia="en-US" w:bidi="ar-SA"/>
              </w:rPr>
              <w:t>Требование является обязательным, неисполнение которого повлечет отклонение заявки.</w:t>
            </w:r>
          </w:p>
        </w:tc>
      </w:tr>
    </w:tbl>
    <w:p>
      <w:pPr>
        <w:pStyle w:val="Style16"/>
        <w:spacing w:before="360" w:after="120"/>
        <w:rPr/>
      </w:pPr>
      <w:bookmarkStart w:id="297" w:name="_Ref125361823"/>
      <w:bookmarkStart w:id="298" w:name="_Ref125362031"/>
      <w:bookmarkStart w:id="299" w:name="_Ref125369117"/>
      <w:bookmarkStart w:id="300" w:name="_Ref125370173"/>
      <w:bookmarkStart w:id="301" w:name="_Ref125370180"/>
      <w:bookmarkStart w:id="302" w:name="_Ref125370209"/>
      <w:bookmarkStart w:id="303" w:name="_Ref125709777"/>
      <w:bookmarkStart w:id="304" w:name="_Ref125709973"/>
      <w:bookmarkStart w:id="305" w:name="_Toc47"/>
      <w:r>
        <w:rPr/>
        <w:t>Дополнительные требования к Генеральным подрядчикам</w:t>
      </w:r>
      <w:bookmarkEnd w:id="297"/>
      <w:bookmarkEnd w:id="298"/>
      <w:bookmarkEnd w:id="299"/>
      <w:bookmarkEnd w:id="300"/>
      <w:bookmarkEnd w:id="301"/>
      <w:bookmarkEnd w:id="302"/>
      <w:bookmarkEnd w:id="303"/>
      <w:bookmarkEnd w:id="304"/>
      <w:bookmarkEnd w:id="305"/>
    </w:p>
    <w:tbl>
      <w:tblPr>
        <w:tblStyle w:val="115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tc>
          <w:tcPr>
            <w:tcW w:w="1128"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5671"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Генеральному подрядчику</w:t>
            </w:r>
          </w:p>
        </w:tc>
        <w:tc>
          <w:tcPr>
            <w:tcW w:w="8327" w:type="dxa"/>
            <w:tcBorders/>
          </w:tcPr>
          <w:p>
            <w:pPr>
              <w:pStyle w:val="Style21"/>
              <w:keepNext w:val="fals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21"/>
              <w:widowControl w:val="false"/>
              <w:numPr>
                <w:ilvl w:val="0"/>
                <w:numId w:val="4"/>
              </w:numPr>
              <w:suppressAutoHyphens w:val="true"/>
              <w:spacing w:lineRule="auto" w:line="240" w:before="60" w:after="60"/>
              <w:ind w:hanging="0" w:left="284"/>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06" w:name="_Ref125370187"/>
            <w:bookmarkStart w:id="307" w:name="_Ref125370187"/>
            <w:bookmarkEnd w:id="307"/>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Техническое предложение (форма 4)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содержащие План распределения объемов поставки продукции;</w:t>
            </w:r>
          </w:p>
        </w:tc>
      </w:tr>
      <w:tr>
        <w:trPr/>
        <w:tc>
          <w:tcPr>
            <w:tcW w:w="1128" w:type="dxa"/>
            <w:tcBorders/>
          </w:tcPr>
          <w:p>
            <w:pPr>
              <w:pStyle w:val="Style21"/>
              <w:widowControl w:val="false"/>
              <w:numPr>
                <w:ilvl w:val="0"/>
                <w:numId w:val="4"/>
              </w:numPr>
              <w:suppressAutoHyphens w:val="true"/>
              <w:spacing w:lineRule="auto" w:line="240" w:before="60" w:after="60"/>
              <w:ind w:hanging="0" w:left="284"/>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08" w:name="_Ref125370193"/>
            <w:bookmarkStart w:id="309" w:name="_Ref125370193"/>
            <w:bookmarkEnd w:id="309"/>
          </w:p>
        </w:tc>
        <w:tc>
          <w:tcPr>
            <w:tcW w:w="5671"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Соответствие каждого субподрядчика установленным требованиям (с учетом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_Ref125368863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представленным внутри Технических требованиях (форма 4)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Сведения и документы, аналогичные установленным в подразделах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_Ref125361442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21"/>
              <w:widowControl w:val="false"/>
              <w:numPr>
                <w:ilvl w:val="0"/>
                <w:numId w:val="4"/>
              </w:numPr>
              <w:suppressAutoHyphens w:val="true"/>
              <w:spacing w:lineRule="auto" w:line="240" w:before="60" w:after="60"/>
              <w:ind w:hanging="0" w:left="284"/>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10" w:name="_Ref125553847"/>
            <w:bookmarkStart w:id="311" w:name="_Ref125553847"/>
            <w:bookmarkEnd w:id="311"/>
          </w:p>
        </w:tc>
        <w:tc>
          <w:tcPr>
            <w:tcW w:w="5671"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c>
          <w:tcPr>
            <w:tcW w:w="8327"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Дополнительные требования не установлены.</w:t>
            </w:r>
          </w:p>
        </w:tc>
      </w:tr>
    </w:tbl>
    <w:p>
      <w:pPr>
        <w:sectPr>
          <w:headerReference w:type="default" r:id="rId18"/>
          <w:headerReference w:type="first" r:id="rId19"/>
          <w:footerReference w:type="default" r:id="rId20"/>
          <w:footerReference w:type="first" r:id="rId21"/>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15"/>
        <w:spacing w:before="0" w:after="0"/>
        <w:rPr/>
      </w:pPr>
      <w:bookmarkStart w:id="312" w:name="_Toc48"/>
      <w:bookmarkStart w:id="313" w:name="Прил04_ФормыЗаявки"/>
      <w:bookmarkEnd w:id="313"/>
      <w:r>
        <w:rPr/>
        <w:t>Приложение № 4 – Образцы форм документов, включаемых в состав заявки</w:t>
      </w:r>
      <w:bookmarkEnd w:id="312"/>
    </w:p>
    <w:p>
      <w:pPr>
        <w:pStyle w:val="Style16"/>
        <w:spacing w:before="360" w:after="0"/>
        <w:rPr/>
      </w:pPr>
      <w:bookmarkStart w:id="314" w:name="_Toc49"/>
      <w:r>
        <w:rPr/>
        <w:t>Пояснения к Образцам форм документов, включаемых в состав заявки</w:t>
      </w:r>
      <w:bookmarkEnd w:id="314"/>
    </w:p>
    <w:p>
      <w:pPr>
        <w:pStyle w:val="Style17"/>
        <w:spacing w:before="120" w:after="0"/>
        <w:rPr/>
      </w:pPr>
      <w:r>
        <w:rPr/>
        <w:t xml:space="preserve">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w:t>
      </w:r>
      <w:bookmarkStart w:id="315" w:name="_Hlk207818315"/>
      <w:r>
        <w:rPr/>
        <w:t>Участник при подготовке заявки обязан придерживаться установленных форм документов</w:t>
      </w:r>
      <w:bookmarkEnd w:id="315"/>
      <w:r>
        <w:rPr/>
        <w:t>.</w:t>
      </w:r>
    </w:p>
    <w:p>
      <w:pPr>
        <w:pStyle w:val="Style15"/>
        <w:spacing w:before="0" w:after="0"/>
        <w:rPr/>
      </w:pPr>
      <w:bookmarkStart w:id="316" w:name="_Toc50"/>
      <w:bookmarkStart w:id="317" w:name="Прил05_ФормыПобедителя"/>
      <w:bookmarkEnd w:id="317"/>
      <w:r>
        <w:rPr/>
        <w:t>Приложение № 5 – Образцы форм документов, предоставляемых Победителем</w:t>
      </w:r>
      <w:bookmarkEnd w:id="316"/>
    </w:p>
    <w:p>
      <w:pPr>
        <w:pStyle w:val="Style16"/>
        <w:spacing w:before="360" w:after="0"/>
        <w:rPr/>
      </w:pPr>
      <w:bookmarkStart w:id="318" w:name="_Toc51"/>
      <w:r>
        <w:rPr/>
        <w:t>Пояснения к Образцам форм документов, предоставляемых Победителем</w:t>
      </w:r>
      <w:bookmarkEnd w:id="318"/>
    </w:p>
    <w:p>
      <w:pPr>
        <w:pStyle w:val="Style17"/>
        <w:spacing w:before="120" w:after="0"/>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16"/>
        <w:spacing w:before="360" w:after="0"/>
        <w:rPr/>
      </w:pPr>
      <w:bookmarkStart w:id="319" w:name="_Ref130395470"/>
      <w:bookmarkStart w:id="320" w:name="_Toc52"/>
      <w:r>
        <w:rPr/>
        <w:t>Форма справки «Сведения о цепочке собственников, включая бенефициаров (в том числе конечных)»</w:t>
      </w:r>
      <w:bookmarkEnd w:id="319"/>
      <w:bookmarkEnd w:id="320"/>
    </w:p>
    <w:p>
      <w:pPr>
        <w:pStyle w:val="Style17"/>
        <w:spacing w:before="120" w:after="0"/>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17"/>
        <w:spacing w:before="0" w:after="0"/>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p>
    <w:p>
      <w:pPr>
        <w:pStyle w:val="Style21"/>
        <w:jc w:val="center"/>
        <w:rPr/>
      </w:pPr>
      <w:bookmarkStart w:id="321" w:name="_Hlk207818329"/>
      <w:bookmarkStart w:id="322" w:name="_MON_1805621314"/>
      <w:bookmarkEnd w:id="322"/>
      <w:r>
        <w:rPr/>
        <w:object>
          <v:shapetype id="_x0000_tole_rId22" coordsize="21600,21600" o:spt="ole_rId22"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2" type="_x0000_tole_rId22" style="width:76.25pt;height:50.8pt;mso-wrap-distance-right:0pt" filled="f" o:ole="">
            <v:imagedata r:id="rId23" o:title=""/>
          </v:shape>
          <o:OLEObject Type="Embed" ProgID="Word.Document.12" ShapeID="ole_rId22" DrawAspect="Icon" ObjectID="_163410526" r:id="rId22"/>
        </w:object>
      </w:r>
      <w:bookmarkEnd w:id="321"/>
    </w:p>
    <w:p>
      <w:pPr>
        <w:pStyle w:val="Style16"/>
        <w:spacing w:before="360" w:after="0"/>
        <w:rPr/>
      </w:pPr>
      <w:bookmarkStart w:id="323" w:name="_Ref130395475"/>
      <w:bookmarkStart w:id="324" w:name="_Toc53"/>
      <w:r>
        <w:rPr/>
        <w:t>Форма «Заверение об обстоятельствах»</w:t>
      </w:r>
      <w:bookmarkEnd w:id="323"/>
      <w:bookmarkEnd w:id="324"/>
    </w:p>
    <w:p>
      <w:pPr>
        <w:pStyle w:val="Style17"/>
        <w:spacing w:before="120" w:after="0"/>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17"/>
        <w:spacing w:before="0" w:after="0"/>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17"/>
        <w:spacing w:before="0" w:after="0"/>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17"/>
        <w:keepNext w:val="true"/>
        <w:spacing w:before="0" w:after="0"/>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p>
    <w:p>
      <w:pPr>
        <w:pStyle w:val="Style21"/>
        <w:spacing w:before="120" w:after="120"/>
        <w:jc w:val="center"/>
        <w:rPr/>
      </w:pPr>
      <w:bookmarkStart w:id="325" w:name="_MON_1741074184"/>
      <w:bookmarkEnd w:id="325"/>
      <w:r>
        <w:rPr/>
        <w:object>
          <v:shapetype id="_x0000_tole_rId24" coordsize="21600,21600" o:spt="ole_rId24"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4" type="_x0000_tole_rId24" style="width:78.05pt;height:50.8pt;mso-wrap-distance-right:0pt;mso-wrap-distance-bottom:6pt" filled="f" o:ole="">
            <v:imagedata r:id="rId25" o:title=""/>
          </v:shape>
          <o:OLEObject Type="Embed" ProgID="Word.Document.12" ShapeID="ole_rId24" DrawAspect="Icon" ObjectID="_709435233" r:id="rId24"/>
        </w:object>
      </w:r>
    </w:p>
    <w:p>
      <w:pPr>
        <w:pStyle w:val="Style15"/>
        <w:spacing w:before="0" w:after="0"/>
        <w:rPr/>
      </w:pPr>
      <w:bookmarkStart w:id="326" w:name="_Toc54"/>
      <w:bookmarkStart w:id="327" w:name="_Ref125362865"/>
      <w:bookmarkStart w:id="328" w:name="_Ref125362900"/>
      <w:bookmarkStart w:id="329" w:name="Прил06_СоставЗаявки"/>
      <w:bookmarkEnd w:id="329"/>
      <w:r>
        <w:rPr/>
        <w:t>Приложение № 6 – Состав заявки</w:t>
      </w:r>
      <w:bookmarkEnd w:id="326"/>
      <w:bookmarkEnd w:id="327"/>
      <w:bookmarkEnd w:id="328"/>
    </w:p>
    <w:p>
      <w:pPr>
        <w:pStyle w:val="Style16"/>
        <w:spacing w:before="360" w:after="0"/>
        <w:rPr/>
      </w:pPr>
      <w:bookmarkStart w:id="330" w:name="_Toc55"/>
      <w:r>
        <w:rPr/>
        <w:t>Состав заявки</w:t>
      </w:r>
      <w:bookmarkEnd w:id="330"/>
    </w:p>
    <w:p>
      <w:pPr>
        <w:pStyle w:val="Style17"/>
        <w:spacing w:before="120" w:after="120"/>
        <w:rPr/>
      </w:pPr>
      <w:r>
        <w:rPr/>
        <w:t>Заявка на участие в закупке (окончательное предложение) должна состоять из первой части, второй части и ценового предложения, которые должны содержать следующий комплект документов (</w:t>
      </w:r>
      <w:bookmarkStart w:id="331" w:name="_Hlk207818365"/>
      <w:r>
        <w:rPr/>
        <w:t>по установленным формам и в соответствии с инструкциями, приведенными</w:t>
      </w:r>
      <w:bookmarkEnd w:id="331"/>
      <w:r>
        <w:rPr/>
        <w:t xml:space="preserve"> в </w:t>
      </w:r>
      <w:hyperlink w:anchor="Прил04_ФормыЗаявки" w:tgtFrame="#Прил04_ФормыЗаявки">
        <w:r>
          <w:rPr>
            <w:rStyle w:val="Style6"/>
          </w:rPr>
          <w:t>Приложении № 4</w:t>
        </w:r>
      </w:hyperlink>
      <w:r>
        <w:rPr/>
        <w:t>):</w:t>
      </w:r>
    </w:p>
    <w:tbl>
      <w:tblPr>
        <w:tblStyle w:val="1158"/>
        <w:tblW w:w="8783" w:type="dxa"/>
        <w:jc w:val="left"/>
        <w:tblInd w:w="1129" w:type="dxa"/>
        <w:tblLayout w:type="fixed"/>
        <w:tblCellMar>
          <w:top w:w="0" w:type="dxa"/>
          <w:left w:w="57" w:type="dxa"/>
          <w:bottom w:w="0" w:type="dxa"/>
          <w:right w:w="57" w:type="dxa"/>
        </w:tblCellMar>
        <w:tblLook w:val="04a0" w:noHBand="0" w:noVBand="1" w:firstColumn="1" w:lastRow="0" w:lastColumn="0" w:firstRow="1"/>
      </w:tblPr>
      <w:tblGrid>
        <w:gridCol w:w="707"/>
        <w:gridCol w:w="8075"/>
      </w:tblGrid>
      <w:tr>
        <w:trPr/>
        <w:tc>
          <w:tcPr>
            <w:tcW w:w="70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w:t>
            </w:r>
            <w:r>
              <w:rPr>
                <w:rFonts w:eastAsia="Calibri" w:cs="Arial"/>
                <w:b/>
                <w:kern w:val="0"/>
                <w:sz w:val="26"/>
                <w:szCs w:val="22"/>
                <w:lang w:val="ru-RU" w:eastAsia="en-US" w:bidi="ar-SA"/>
              </w:rPr>
              <w:br/>
              <w:t>п/п</w:t>
            </w:r>
          </w:p>
        </w:tc>
        <w:tc>
          <w:tcPr>
            <w:tcW w:w="8075"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 документа</w:t>
            </w:r>
          </w:p>
        </w:tc>
      </w:tr>
      <w:tr>
        <w:trPr/>
        <w:tc>
          <w:tcPr>
            <w:tcW w:w="707" w:type="dxa"/>
            <w:tcBorders/>
          </w:tcPr>
          <w:p>
            <w:pPr>
              <w:pStyle w:val="Style21"/>
              <w:keepNext w:val="true"/>
              <w:widowControl w:val="false"/>
              <w:suppressAutoHyphens w:val="true"/>
              <w:spacing w:lineRule="auto" w:line="240" w:before="60" w:after="60"/>
              <w:ind w:hanging="0" w:left="360"/>
              <w:jc w:val="center"/>
              <w:rPr>
                <w:b/>
                <w:bCs/>
              </w:rPr>
            </w:pPr>
            <w:r>
              <w:rPr>
                <w:b/>
                <w:bCs/>
              </w:rPr>
            </w:r>
          </w:p>
        </w:tc>
        <w:tc>
          <w:tcPr>
            <w:tcW w:w="8075" w:type="dxa"/>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Первая часть заявки (первая часть заявки, содержащиеся в окончательном предложении):</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 xml:space="preserve">Техническое предложение (форма 4), которое в том числе может включать План распределения объемов поставки продукции </w:t>
            </w:r>
            <w:r>
              <w:rPr>
                <w:rFonts w:eastAsia="Calibri" w:cs="Arial"/>
                <w:i/>
                <w:iCs/>
                <w:kern w:val="0"/>
                <w:sz w:val="26"/>
                <w:szCs w:val="22"/>
                <w:lang w:val="ru-RU" w:eastAsia="en-US" w:bidi="ar-SA"/>
              </w:rPr>
              <w:t>(без указания сведений, позволяющих каким-либо образом идентифицировать генерального подрядчика или привлекаемого им субподрядчика / соисполнителя)</w:t>
            </w:r>
            <w:r>
              <w:rPr>
                <w:rFonts w:eastAsia="Calibri" w:cs="Arial"/>
                <w:kern w:val="0"/>
                <w:sz w:val="26"/>
                <w:szCs w:val="22"/>
                <w:lang w:val="ru-RU" w:eastAsia="en-US" w:bidi="ar-SA"/>
              </w:rPr>
              <w:t>;</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Документы и сведения, предоставляемые в первой части заявки исключительно для целей проведения оценки заявок – предоставляются,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установлены соответствующие критерии оценки, которые касаются или продукции или условий исполнения договора </w:t>
            </w:r>
            <w:r>
              <w:rPr>
                <w:rFonts w:eastAsia="Calibri" w:cs="Arial"/>
                <w:i/>
                <w:iCs/>
                <w:kern w:val="0"/>
                <w:sz w:val="26"/>
                <w:szCs w:val="22"/>
                <w:lang w:val="ru-RU" w:eastAsia="en-US" w:bidi="ar-SA"/>
              </w:rPr>
              <w:t>(такие документы и сведения не должны позволять каким-либо образом идентифицировать Участника, в том числе через сведения о материально-технических или кадровых ресурсах)</w:t>
            </w:r>
            <w:r>
              <w:rPr>
                <w:rFonts w:eastAsia="Calibri" w:cs="Arial"/>
                <w:kern w:val="0"/>
                <w:sz w:val="26"/>
                <w:szCs w:val="22"/>
                <w:lang w:val="ru-RU" w:eastAsia="en-US" w:bidi="ar-SA"/>
              </w:rPr>
              <w:t>;</w:t>
            </w:r>
          </w:p>
        </w:tc>
      </w:tr>
      <w:tr>
        <w:trPr/>
        <w:tc>
          <w:tcPr>
            <w:tcW w:w="707" w:type="dxa"/>
            <w:tcBorders/>
          </w:tcPr>
          <w:p>
            <w:pPr>
              <w:pStyle w:val="Style21"/>
              <w:keepNext w:val="true"/>
              <w:widowControl w:val="false"/>
              <w:suppressAutoHyphens w:val="true"/>
              <w:spacing w:lineRule="auto" w:line="240" w:before="60" w:after="60"/>
              <w:ind w:hanging="0" w:left="360"/>
              <w:jc w:val="center"/>
              <w:rPr>
                <w:b/>
                <w:bCs/>
              </w:rPr>
            </w:pPr>
            <w:r>
              <w:rPr>
                <w:b/>
                <w:bCs/>
              </w:rPr>
            </w:r>
          </w:p>
        </w:tc>
        <w:tc>
          <w:tcPr>
            <w:tcW w:w="8075" w:type="dxa"/>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Вторая часть заявки:</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Письмо о подаче оферты (форма 2);</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Анкета Участника (форма 5);</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_Ref125709153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 – предоставляются, если Участник подает заявку от лица Генерального подрядчика (подраздел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_Ref125361702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а именно:</w:t>
            </w:r>
          </w:p>
          <w:p>
            <w:pPr>
              <w:pStyle w:val="Style21"/>
              <w:widowControl w:val="false"/>
              <w:numPr>
                <w:ilvl w:val="0"/>
                <w:numId w:val="7"/>
              </w:numPr>
              <w:suppressAutoHyphens w:val="true"/>
              <w:spacing w:lineRule="auto" w:line="240" w:before="60" w:after="0"/>
              <w:ind w:hanging="284" w:left="284"/>
              <w:rPr/>
            </w:pPr>
            <w:r>
              <w:rPr>
                <w:rFonts w:eastAsia="Calibri" w:cs="Arial"/>
                <w:kern w:val="0"/>
                <w:sz w:val="26"/>
                <w:szCs w:val="22"/>
                <w:lang w:val="ru-RU" w:eastAsia="en-US" w:bidi="ar-SA"/>
              </w:rPr>
              <w:t>План распределения объемов поставки продукции, представленный внутри Технических требованиях (форма 4)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1"/>
              <w:widowControl w:val="false"/>
              <w:numPr>
                <w:ilvl w:val="0"/>
                <w:numId w:val="7"/>
              </w:numPr>
              <w:suppressAutoHyphens w:val="true"/>
              <w:spacing w:lineRule="auto" w:line="240" w:before="0" w:after="60"/>
              <w:ind w:hanging="284" w:left="284"/>
              <w:rPr/>
            </w:pPr>
            <w:r>
              <w:rPr>
                <w:rFonts w:eastAsia="Calibri" w:cs="Arial"/>
                <w:kern w:val="0"/>
                <w:sz w:val="26"/>
                <w:szCs w:val="22"/>
                <w:lang w:val="ru-RU" w:eastAsia="en-US" w:bidi="ar-SA"/>
              </w:rPr>
              <w:t>прочие документы, определенные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Приложения № 3</w:t>
              </w:r>
            </w:hyperlink>
            <w:r>
              <w:rPr>
                <w:rFonts w:eastAsia="Calibri" w:cs="Arial"/>
                <w:kern w:val="0"/>
                <w:sz w:val="26"/>
                <w:szCs w:val="22"/>
                <w:lang w:val="ru-RU" w:eastAsia="en-US" w:bidi="ar-SA"/>
              </w:rPr>
              <w:t>;</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32" w:name="_Ref132888537"/>
            <w:bookmarkStart w:id="333" w:name="_Ref132888537"/>
            <w:bookmarkEnd w:id="333"/>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Копия независимой гарантии – предоставляется при необходимости и в случае отсутствия внесенных Участником денежных средств на специальный банковский счет;</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34" w:name="_Ref130389408"/>
            <w:bookmarkStart w:id="335" w:name="_Ref130389408"/>
            <w:bookmarkEnd w:id="335"/>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Справка об опыте Участника (форма 6),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36" w:name="_Ref130389413"/>
            <w:bookmarkStart w:id="337" w:name="_Ref130389413"/>
            <w:bookmarkEnd w:id="337"/>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Справка о материально-технических ресурсах (форма 7),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38" w:name="_Ref130389419"/>
            <w:bookmarkStart w:id="339" w:name="_Ref130389419"/>
            <w:bookmarkEnd w:id="339"/>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Справка о кадровых ресурсах (форма 8), с необходимыми приложениями к ней, если требуется, – предоставляется во второй части заявки исключительно для целей проведения оценки,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Участники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tgtFrame="#Прил08_ПорядокОценки">
              <w:r>
                <w:rPr>
                  <w:rStyle w:val="Style6"/>
                  <w:rFonts w:eastAsia="Calibri" w:cs="Arial"/>
                  <w:kern w:val="0"/>
                  <w:sz w:val="26"/>
                  <w:szCs w:val="22"/>
                  <w:lang w:val="ru-RU" w:eastAsia="en-US" w:bidi="ar-SA"/>
                </w:rPr>
                <w:t>Порядке и критериях оценки и сопоставления заявок (Приложение № 8)</w:t>
              </w:r>
            </w:hyperlink>
            <w:r>
              <w:rPr>
                <w:rFonts w:eastAsia="Calibri" w:cs="Arial"/>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 предоставляются, если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было установлено соответствующее требование;</w:t>
            </w:r>
          </w:p>
        </w:tc>
      </w:tr>
      <w:tr>
        <w:trPr/>
        <w:tc>
          <w:tcPr>
            <w:tcW w:w="707" w:type="dxa"/>
            <w:tcBorders/>
          </w:tcPr>
          <w:p>
            <w:pPr>
              <w:pStyle w:val="Style21"/>
              <w:keepNext w:val="true"/>
              <w:widowControl w:val="false"/>
              <w:suppressAutoHyphens w:val="true"/>
              <w:spacing w:lineRule="auto" w:line="240" w:before="60" w:after="60"/>
              <w:ind w:hanging="0" w:left="360"/>
              <w:jc w:val="center"/>
              <w:rPr>
                <w:b/>
                <w:bCs/>
              </w:rPr>
            </w:pPr>
            <w:r>
              <w:rPr>
                <w:b/>
                <w:bCs/>
              </w:rPr>
            </w:r>
          </w:p>
        </w:tc>
        <w:tc>
          <w:tcPr>
            <w:tcW w:w="8075" w:type="dxa"/>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Ценовое предложение:</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21"/>
              <w:widowControl w:val="false"/>
              <w:numPr>
                <w:ilvl w:val="0"/>
                <w:numId w:val="5"/>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075"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tgtFrame="#Прил01_ТехТребования">
              <w:r>
                <w:rPr>
                  <w:rStyle w:val="Style6"/>
                  <w:rFonts w:eastAsia="Calibri" w:cs="Arial"/>
                  <w:kern w:val="0"/>
                  <w:sz w:val="26"/>
                  <w:szCs w:val="22"/>
                  <w:lang w:val="ru-RU" w:eastAsia="en-US" w:bidi="ar-SA"/>
                </w:rPr>
                <w:t>Техническими требованиями (Приложение № 1)</w:t>
              </w:r>
            </w:hyperlink>
            <w:r>
              <w:rPr>
                <w:rFonts w:eastAsia="Calibri" w:cs="Arial"/>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bl>
    <w:p>
      <w:pPr>
        <w:sectPr>
          <w:headerReference w:type="default" r:id="rId26"/>
          <w:headerReference w:type="first" r:id="rId27"/>
          <w:footerReference w:type="default" r:id="rId28"/>
          <w:footerReference w:type="first" r:id="rId29"/>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17"/>
        <w:spacing w:before="120" w:after="0"/>
        <w:rPr>
          <w:rStyle w:val="Style3"/>
          <w:i w:val="false"/>
          <w:i w:val="false"/>
          <w:iCs w:val="false"/>
          <w:shd w:fill="auto" w:val="clear"/>
        </w:rPr>
      </w:pPr>
      <w:r>
        <w:rPr>
          <w:rStyle w:val="Style3"/>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15"/>
        <w:spacing w:before="0" w:after="0"/>
        <w:rPr/>
      </w:pPr>
      <w:bookmarkStart w:id="340" w:name="_Ref125365264"/>
      <w:bookmarkStart w:id="341" w:name="_Toc56"/>
      <w:bookmarkStart w:id="342" w:name="Прил07_ОтборочныеКритерии"/>
      <w:bookmarkEnd w:id="342"/>
      <w:r>
        <w:rPr/>
        <w:t>Приложение № 7 – Отборочные критерии рассмотрения заявок</w:t>
      </w:r>
      <w:bookmarkEnd w:id="340"/>
      <w:bookmarkEnd w:id="341"/>
    </w:p>
    <w:p>
      <w:pPr>
        <w:pStyle w:val="Style16"/>
        <w:spacing w:before="360" w:after="120"/>
        <w:rPr>
          <w:rStyle w:val="Style3"/>
          <w:i w:val="false"/>
          <w:i w:val="false"/>
          <w:iCs w:val="false"/>
          <w:shd w:fill="auto" w:val="clear"/>
        </w:rPr>
      </w:pPr>
      <w:bookmarkStart w:id="343" w:name="_Toc57"/>
      <w:r>
        <w:rPr>
          <w:rStyle w:val="Style3"/>
          <w:i w:val="false"/>
          <w:iCs w:val="false"/>
          <w:shd w:fill="auto" w:val="clear"/>
        </w:rPr>
        <w:t>Отборочные критерии рассмотрения первых частей заявок (первых частей заявок, содержащихся в окончательных предложениях)</w:t>
      </w:r>
      <w:bookmarkEnd w:id="343"/>
    </w:p>
    <w:tbl>
      <w:tblPr>
        <w:tblStyle w:val="115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11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Состав и правильность оформления первой части заявки, в том числе:</w:t>
            </w:r>
          </w:p>
        </w:tc>
        <w:tc>
          <w:tcPr>
            <w:tcW w:w="3117"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6"/>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Наличие в составе первой части заявки обязательных к предоставлению (для целей рассмотрения первых частей заявок в рамках отборочной стадии) документов в соответствии с требованиями </w:t>
            </w:r>
            <w:hyperlink w:anchor="Прил06_СоставЗаявки" w:tgtFrame="#Прил06_СоставЗаявки">
              <w:r>
                <w:rPr>
                  <w:rStyle w:val="Style6"/>
                  <w:rFonts w:eastAsia="Calibri" w:cs="Arial"/>
                  <w:kern w:val="0"/>
                  <w:sz w:val="26"/>
                  <w:szCs w:val="22"/>
                  <w:lang w:val="ru-RU" w:eastAsia="en-US" w:bidi="ar-SA"/>
                </w:rPr>
                <w:t>Приложения № 6 «Состав заявки»</w:t>
              </w:r>
            </w:hyperlink>
            <w:r>
              <w:rPr>
                <w:rFonts w:eastAsia="Calibri" w:cs="Arial"/>
                <w:kern w:val="0"/>
                <w:sz w:val="26"/>
                <w:szCs w:val="22"/>
                <w:lang w:val="ru-RU" w:eastAsia="en-US" w:bidi="ar-SA"/>
              </w:rPr>
              <w:t>, а также правильность их оформления (в т.ч. в части языка заявки)</w:t>
            </w:r>
          </w:p>
        </w:tc>
        <w:tc>
          <w:tcPr>
            <w:tcW w:w="3117" w:type="dxa"/>
            <w:tcBorders/>
          </w:tcPr>
          <w:p>
            <w:pPr>
              <w:pStyle w:val="Style21"/>
              <w:widowControl w:val="false"/>
              <w:suppressAutoHyphens w:val="true"/>
              <w:spacing w:lineRule="auto" w:line="240" w:before="60" w:after="60"/>
              <w:jc w:val="center"/>
              <w:rPr>
                <w:rStyle w:val="Style6"/>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br/>
            </w:r>
            <w:hyperlink w:anchor="Прил06_СоставЗаявки" w:tgtFrame="#Прил06_СоставЗаявки">
              <w:r>
                <w:rPr>
                  <w:rStyle w:val="Style6"/>
                  <w:rFonts w:eastAsia="Calibri" w:cs="Arial"/>
                  <w:kern w:val="0"/>
                  <w:sz w:val="26"/>
                  <w:szCs w:val="22"/>
                  <w:lang w:val="ru-RU" w:eastAsia="en-US" w:bidi="ar-SA"/>
                </w:rPr>
                <w:t>Приложение № 6</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(документах) первой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первой части заявки сведений об Участнике и (или) о его ценовом предложении</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 xml:space="preserve">Соответствие Технического предложения Участника </w:t>
            </w:r>
            <w:hyperlink w:anchor="Прил01_ТехТребования" w:tgtFrame="#Прил01_ТехТребования">
              <w:r>
                <w:rPr>
                  <w:rStyle w:val="Style6"/>
                  <w:rFonts w:eastAsia="Calibri" w:cs="Arial"/>
                  <w:b/>
                  <w:bCs/>
                  <w:kern w:val="0"/>
                  <w:sz w:val="26"/>
                  <w:szCs w:val="22"/>
                  <w:lang w:val="ru-RU" w:eastAsia="en-US" w:bidi="ar-SA"/>
                </w:rPr>
                <w:t>Техническим требованиям (Приложение № 1)</w:t>
              </w:r>
            </w:hyperlink>
            <w:r>
              <w:rPr>
                <w:rFonts w:eastAsia="Calibri" w:cs="Arial"/>
                <w:b/>
                <w:bCs/>
                <w:kern w:val="0"/>
                <w:sz w:val="26"/>
                <w:szCs w:val="22"/>
                <w:lang w:val="ru-RU" w:eastAsia="en-US" w:bidi="ar-SA"/>
              </w:rPr>
              <w:t>, в том числе:</w:t>
            </w:r>
          </w:p>
        </w:tc>
        <w:tc>
          <w:tcPr>
            <w:tcW w:w="3117"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6"/>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и (или) в </w:t>
            </w:r>
            <w:hyperlink w:anchor="Прил02_ПроектДоговора" w:tgtFrame="#Прил02_ПроектДоговора">
              <w:r>
                <w:rPr>
                  <w:rStyle w:val="Style6"/>
                  <w:rFonts w:eastAsia="Calibri" w:cs="Arial"/>
                  <w:kern w:val="0"/>
                  <w:sz w:val="26"/>
                  <w:szCs w:val="22"/>
                  <w:lang w:val="ru-RU" w:eastAsia="en-US" w:bidi="ar-SA"/>
                </w:rPr>
                <w:t>Проекте договора (Приложение № 2)</w:t>
              </w:r>
            </w:hyperlink>
            <w:r>
              <w:rPr>
                <w:rFonts w:eastAsia="Calibri" w:cs="Arial"/>
                <w:kern w:val="0"/>
                <w:sz w:val="26"/>
                <w:szCs w:val="22"/>
                <w:lang w:val="ru-RU" w:eastAsia="en-US" w:bidi="ar-SA"/>
              </w:rPr>
              <w:t>, или согласие с ними в Письме о подаче оферты</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r>
              <w:rPr>
                <w:rFonts w:eastAsia="Calibri" w:cs="Arial"/>
                <w:kern w:val="0"/>
                <w:sz w:val="26"/>
                <w:szCs w:val="22"/>
                <w:lang w:val="ru-RU" w:eastAsia="en-US" w:bidi="ar-SA"/>
              </w:rPr>
              <w:t>,</w:t>
              <w:br/>
            </w:r>
            <w:hyperlink w:anchor="Прил02_ПроектДоговора" w:tgtFrame="#Прил02_ПроектДоговора">
              <w:r>
                <w:rPr>
                  <w:rStyle w:val="Style6"/>
                  <w:rFonts w:eastAsia="Calibri" w:cs="Arial"/>
                  <w:kern w:val="0"/>
                  <w:sz w:val="26"/>
                  <w:szCs w:val="22"/>
                  <w:lang w:val="ru-RU" w:eastAsia="en-US" w:bidi="ar-SA"/>
                </w:rPr>
                <w:t>Приложение № 2</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xml:space="preserve"> и (или) в </w:t>
            </w:r>
            <w:hyperlink w:anchor="Прил02_ПроектДоговора" w:tgtFrame="#Прил02_ПроектДоговора">
              <w:r>
                <w:rPr>
                  <w:rStyle w:val="Style6"/>
                  <w:rFonts w:eastAsia="Calibri" w:cs="Arial"/>
                  <w:kern w:val="0"/>
                  <w:sz w:val="26"/>
                  <w:szCs w:val="22"/>
                  <w:lang w:val="ru-RU" w:eastAsia="en-US" w:bidi="ar-SA"/>
                </w:rPr>
                <w:t>Проекте договора (Приложение № 2)</w:t>
              </w:r>
            </w:hyperlink>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r>
              <w:rPr>
                <w:rFonts w:eastAsia="Calibri" w:cs="Arial"/>
                <w:kern w:val="0"/>
                <w:sz w:val="26"/>
                <w:szCs w:val="22"/>
                <w:lang w:val="ru-RU" w:eastAsia="en-US" w:bidi="ar-SA"/>
              </w:rPr>
              <w:t>,</w:t>
              <w:br/>
            </w:r>
            <w:hyperlink w:anchor="Прил02_ПроектДоговора" w:tgtFrame="#Прил02_ПроектДоговора">
              <w:r>
                <w:rPr>
                  <w:rStyle w:val="Style6"/>
                  <w:rFonts w:eastAsia="Calibri" w:cs="Arial"/>
                  <w:kern w:val="0"/>
                  <w:sz w:val="26"/>
                  <w:szCs w:val="22"/>
                  <w:lang w:val="ru-RU" w:eastAsia="en-US" w:bidi="ar-SA"/>
                </w:rPr>
                <w:t>Приложение № 2</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6"/>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предлагаемой к поставке продукции дополнительным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с предоставлением требуемых подтверждающих документов / сведений</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bl>
    <w:p>
      <w:pPr>
        <w:pStyle w:val="Style16"/>
        <w:spacing w:before="360" w:after="120"/>
        <w:rPr>
          <w:rStyle w:val="Style3"/>
          <w:i w:val="false"/>
          <w:i w:val="false"/>
          <w:iCs w:val="false"/>
          <w:shd w:fill="auto" w:val="clear"/>
        </w:rPr>
      </w:pPr>
      <w:bookmarkStart w:id="344" w:name="_Hlk132891087"/>
      <w:bookmarkStart w:id="345" w:name="_Toc58"/>
      <w:r>
        <w:rPr>
          <w:rStyle w:val="Style3"/>
          <w:i w:val="false"/>
          <w:iCs w:val="false"/>
          <w:shd w:fill="auto" w:val="clear"/>
        </w:rPr>
        <w:t>Отборочные критерии рассмотрения вторых частей заявок</w:t>
      </w:r>
      <w:bookmarkEnd w:id="344"/>
      <w:bookmarkEnd w:id="345"/>
    </w:p>
    <w:tbl>
      <w:tblPr>
        <w:tblStyle w:val="115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11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Состав и правильность оформления второй части заявки, в том числе:</w:t>
            </w:r>
          </w:p>
        </w:tc>
        <w:tc>
          <w:tcPr>
            <w:tcW w:w="3117"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Наличие в составе второй части заявки всех обязательных к предоставлению (для целей рассмотрения вторых частей заявок в рамках отборочной стадии) документов в соответствии с требованиями </w:t>
            </w:r>
            <w:hyperlink w:anchor="Прил06_СоставЗаявки" w:tgtFrame="#Прил06_СоставЗаявки">
              <w:r>
                <w:rPr>
                  <w:rStyle w:val="Style6"/>
                  <w:rFonts w:eastAsia="Calibri" w:cs="Arial"/>
                  <w:kern w:val="0"/>
                  <w:sz w:val="26"/>
                  <w:szCs w:val="22"/>
                  <w:lang w:val="ru-RU" w:eastAsia="en-US" w:bidi="ar-SA"/>
                </w:rPr>
                <w:t>Приложения № 6 «Состав заявки»</w:t>
              </w:r>
            </w:hyperlink>
            <w:r>
              <w:rPr>
                <w:rFonts w:eastAsia="Calibri" w:cs="Arial"/>
                <w:kern w:val="0"/>
                <w:sz w:val="26"/>
                <w:szCs w:val="22"/>
                <w:lang w:val="ru-RU" w:eastAsia="en-US" w:bidi="ar-SA"/>
              </w:rPr>
              <w:t>, а также правильность их оформления (в т.ч. в части наличия должных печатей (при наличии), подписей, формы заверения, языка и валюты заявки)</w:t>
            </w:r>
          </w:p>
        </w:tc>
        <w:tc>
          <w:tcPr>
            <w:tcW w:w="3117" w:type="dxa"/>
            <w:tcBorders/>
          </w:tcPr>
          <w:p>
            <w:pPr>
              <w:pStyle w:val="Style21"/>
              <w:widowControl w:val="false"/>
              <w:suppressAutoHyphens w:val="true"/>
              <w:spacing w:lineRule="auto" w:line="240" w:before="60" w:after="60"/>
              <w:jc w:val="center"/>
              <w:rPr>
                <w:rStyle w:val="Style6"/>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br/>
            </w:r>
            <w:hyperlink w:anchor="Прил06_СоставЗаявки" w:tgtFrame="#Прил06_СоставЗаявки">
              <w:r>
                <w:rPr>
                  <w:rStyle w:val="Style6"/>
                  <w:rFonts w:eastAsia="Calibri" w:cs="Arial"/>
                  <w:kern w:val="0"/>
                  <w:sz w:val="26"/>
                  <w:szCs w:val="22"/>
                  <w:lang w:val="ru-RU" w:eastAsia="en-US" w:bidi="ar-SA"/>
                </w:rPr>
                <w:t>Приложение № 6</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Юр</w:t>
            </w:r>
          </w:p>
        </w:tc>
      </w:tr>
      <w:tr>
        <w:trPr/>
        <w:tc>
          <w:tcPr>
            <w:tcW w:w="1412" w:type="dxa"/>
            <w:tcBorders/>
          </w:tcPr>
          <w:p>
            <w:pPr>
              <w:pStyle w:val="Style21"/>
              <w:widowControl w:val="false"/>
              <w:numPr>
                <w:ilvl w:val="0"/>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bookmarkStart w:id="346" w:name="_Ref132890414"/>
            <w:bookmarkStart w:id="347" w:name="_Ref132890414"/>
            <w:bookmarkEnd w:id="347"/>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Наличие обеспечения обязательств Участника, связанного с подачей заявки, в виде независимой гарантии и ее соответствие установленным требованиям Документации о закупке – если подразделом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внесение денежных средств на специальный банковский счет, открытый Участником в банке, включенном в перечень, определенный Правительством Российской Федерации в соответствии с Законом 44-ФЗ</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_Ref130455226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4.18</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 в части наличия сведений в реестре,</w:t>
            </w:r>
          </w:p>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Фин – в части соответствия</w:t>
            </w:r>
          </w:p>
        </w:tc>
      </w:tr>
      <w:tr>
        <w:trPr/>
        <w:tc>
          <w:tcPr>
            <w:tcW w:w="1412" w:type="dxa"/>
            <w:tcBorders/>
          </w:tcPr>
          <w:p>
            <w:pPr>
              <w:pStyle w:val="Style21"/>
              <w:widowControl w:val="false"/>
              <w:numPr>
                <w:ilvl w:val="0"/>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(документах) второй части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br/>
              <w:t>Юр</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Соответствие Письма о подаче оферты:</w:t>
            </w:r>
          </w:p>
        </w:tc>
        <w:tc>
          <w:tcPr>
            <w:tcW w:w="3117" w:type="dxa"/>
            <w:tcBorders/>
          </w:tcPr>
          <w:p>
            <w:pPr>
              <w:pStyle w:val="Style21"/>
              <w:keepNext w:val="true"/>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1"/>
              <w:keepNext w:val="true"/>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срока действия заявки</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_Ref125552433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_Ref138341423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5.2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Юр</w:t>
            </w:r>
          </w:p>
        </w:tc>
      </w:tr>
      <w:tr>
        <w:trPr/>
        <w:tc>
          <w:tcPr>
            <w:tcW w:w="1412" w:type="dxa"/>
            <w:tcBorders/>
          </w:tcPr>
          <w:p>
            <w:pPr>
              <w:pStyle w:val="Style21"/>
              <w:widowControl w:val="false"/>
              <w:numPr>
                <w:ilvl w:val="0"/>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_Ref132893662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1412" w:type="dxa"/>
            <w:tcBorders/>
          </w:tcPr>
          <w:p>
            <w:pPr>
              <w:pStyle w:val="Style21"/>
              <w:widowControl w:val="false"/>
              <w:numPr>
                <w:ilvl w:val="0"/>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3 обязательных требований к Участникам</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w:t>
            </w:r>
          </w:p>
        </w:tc>
      </w:tr>
      <w:tr>
        <w:trPr/>
        <w:tc>
          <w:tcPr>
            <w:tcW w:w="1412" w:type="dxa"/>
            <w:tcBorders/>
          </w:tcPr>
          <w:p>
            <w:pPr>
              <w:pStyle w:val="Style21"/>
              <w:widowControl w:val="false"/>
              <w:numPr>
                <w:ilvl w:val="0"/>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_Ref186181914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_Ref132816300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4.14</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 xml:space="preserve">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_Ref186181253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пункту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_Ref186181918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5</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обязательных требований к Участникам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_Ref132816300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4.14</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 xml:space="preserve">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_Ref186181253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_Ref125361435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Участника специальным требованиям к Участникам</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_Ref125361442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Генерального подрядчика установленным в отношении его требованиям:</w:t>
            </w:r>
          </w:p>
          <w:p>
            <w:pPr>
              <w:pStyle w:val="Style21"/>
              <w:widowControl w:val="false"/>
              <w:suppressAutoHyphens w:val="true"/>
              <w:spacing w:lineRule="auto" w:line="240" w:before="60" w:after="60"/>
              <w:rPr>
                <w:i/>
                <w:i/>
                <w:iCs/>
              </w:rPr>
            </w:pPr>
            <w:r>
              <w:rPr>
                <w:rFonts w:eastAsia="Calibri" w:cs="Arial"/>
                <w:i/>
                <w:iCs/>
                <w:kern w:val="0"/>
                <w:sz w:val="26"/>
                <w:szCs w:val="22"/>
                <w:lang w:val="ru-RU" w:eastAsia="en-US" w:bidi="ar-SA"/>
              </w:rPr>
              <w:t>(пункт применяется только в случае проведения закупки, принять участие в которой можно от лица Генерального подрядчика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_Ref125359973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1.2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_Ref125361702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3.2</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 и заявка подана от его лица)</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1"/>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numPr>
                <w:ilvl w:val="0"/>
                <w:numId w:val="7"/>
              </w:numPr>
              <w:suppressAutoHyphens w:val="true"/>
              <w:spacing w:lineRule="auto" w:line="240" w:before="60" w:after="60"/>
              <w:ind w:hanging="284" w:left="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пунктов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_Ref125370187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_Ref125553847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3</w:t>
            </w:r>
            <w:r>
              <w:rPr>
                <w:sz w:val="26"/>
                <w:kern w:val="0"/>
                <w:szCs w:val="22"/>
                <w:rFonts w:eastAsia="Calibri" w:cs="Arial"/>
                <w:lang w:val="ru-RU" w:eastAsia="en-US" w:bidi="ar-SA"/>
              </w:rPr>
              <w:fldChar w:fldCharType="end"/>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1"/>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numPr>
                <w:ilvl w:val="0"/>
                <w:numId w:val="7"/>
              </w:numPr>
              <w:suppressAutoHyphens w:val="true"/>
              <w:spacing w:lineRule="auto" w:line="240" w:before="60" w:after="60"/>
              <w:ind w:hanging="284" w:left="284"/>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 части требований пункта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_Ref125370193 \w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2</w:t>
            </w:r>
            <w:r>
              <w:rPr>
                <w:sz w:val="26"/>
                <w:kern w:val="0"/>
                <w:szCs w:val="22"/>
                <w:rFonts w:eastAsia="Calibri" w:cs="Arial"/>
                <w:lang w:val="ru-RU" w:eastAsia="en-US" w:bidi="ar-SA"/>
              </w:rPr>
              <w:fldChar w:fldCharType="end"/>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_Ref125709777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8.4</w:t>
            </w:r>
            <w:r>
              <w:rPr>
                <w:sz w:val="26"/>
                <w:kern w:val="0"/>
                <w:szCs w:val="22"/>
                <w:rFonts w:eastAsia="Calibri" w:cs="Arial"/>
                <w:lang w:val="ru-RU" w:eastAsia="en-US" w:bidi="ar-SA"/>
              </w:rPr>
              <w:fldChar w:fldCharType="end"/>
            </w:r>
            <w:r>
              <w:rPr>
                <w:rFonts w:eastAsia="Calibri" w:cs="Arial"/>
                <w:kern w:val="0"/>
                <w:sz w:val="26"/>
                <w:szCs w:val="22"/>
                <w:lang w:val="ru-RU" w:eastAsia="en-US" w:bidi="ar-SA"/>
              </w:rPr>
              <w:br/>
              <w:t>(</w:t>
            </w:r>
            <w:hyperlink w:anchor="Прил03_ТребованияУчастникам" w:tgtFrame="#Прил03_ТребованияУчастникам">
              <w:r>
                <w:rPr>
                  <w:rStyle w:val="Style6"/>
                  <w:rFonts w:eastAsia="Calibri" w:cs="Arial"/>
                  <w:kern w:val="0"/>
                  <w:sz w:val="26"/>
                  <w:szCs w:val="22"/>
                  <w:lang w:val="ru-RU" w:eastAsia="en-US" w:bidi="ar-SA"/>
                </w:rPr>
                <w:t>Приложение № 3</w:t>
              </w:r>
            </w:hyperlink>
            <w:r>
              <w:rPr>
                <w:rFonts w:eastAsia="Calibri" w:cs="Arial"/>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Орг, Тех</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 xml:space="preserve">Соответствие Технического предложения Участника </w:t>
            </w:r>
            <w:hyperlink w:anchor="Прил01_ТехТребования" w:tgtFrame="#Прил01_ТехТребования">
              <w:r>
                <w:rPr>
                  <w:rStyle w:val="Style6"/>
                  <w:rFonts w:eastAsia="Calibri" w:cs="Arial"/>
                  <w:b/>
                  <w:bCs/>
                  <w:kern w:val="0"/>
                  <w:sz w:val="26"/>
                  <w:szCs w:val="22"/>
                  <w:lang w:val="ru-RU" w:eastAsia="en-US" w:bidi="ar-SA"/>
                </w:rPr>
                <w:t>Техническим требованиям (Приложение № 1)</w:t>
              </w:r>
            </w:hyperlink>
            <w:r>
              <w:rPr>
                <w:rFonts w:eastAsia="Calibri" w:cs="Arial"/>
                <w:b/>
                <w:bCs/>
                <w:kern w:val="0"/>
                <w:sz w:val="26"/>
                <w:szCs w:val="22"/>
                <w:lang w:val="ru-RU" w:eastAsia="en-US" w:bidi="ar-SA"/>
              </w:rPr>
              <w:t>, в том числе:</w:t>
            </w:r>
          </w:p>
        </w:tc>
        <w:tc>
          <w:tcPr>
            <w:tcW w:w="3117"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21"/>
              <w:widowControl w:val="false"/>
              <w:suppressAutoHyphens w:val="true"/>
              <w:spacing w:lineRule="auto" w:line="240" w:before="60" w:after="60"/>
              <w:rPr>
                <w:rFonts w:ascii="Times New Roman" w:hAnsi="Times New Roman" w:eastAsia="Calibri" w:cs="Arial"/>
                <w:kern w:val="0"/>
                <w:sz w:val="26"/>
                <w:szCs w:val="22"/>
                <w:lang w:eastAsia="en-US" w:bidi="ar-SA"/>
              </w:rPr>
            </w:pPr>
            <w:r>
              <w:rPr>
                <w:rFonts w:eastAsia="Calibri" w:cs="Arial"/>
                <w:i/>
                <w:iCs/>
                <w:kern w:val="0"/>
                <w:sz w:val="26"/>
                <w:szCs w:val="22"/>
                <w:lang w:val="ru-RU" w:eastAsia="en-US" w:bidi="ar-SA"/>
              </w:rPr>
              <w:t>(пункт применяется только в случае исполнения Заказчиком норм в части минимальной обязательной доли закупок товаров российского происхождения (подраздел</w:t>
            </w:r>
            <w:r>
              <w:rPr>
                <w:rFonts w:eastAsia="Calibri" w:cs="Arial"/>
                <w:i/>
                <w:iCs/>
                <w:kern w:val="0"/>
                <w:sz w:val="26"/>
                <w:szCs w:val="22"/>
                <w:lang w:val="en-US" w:eastAsia="en-US" w:bidi="ar-SA"/>
              </w:rPr>
              <w:t> </w:t>
            </w:r>
            <w:r>
              <w:rPr>
                <w:rFonts w:eastAsia="Calibri" w:cs="Arial"/>
                <w:i/>
                <w:iCs/>
                <w:kern w:val="0"/>
                <w:sz w:val="26"/>
                <w:szCs w:val="22"/>
                <w:lang w:val="en-US" w:eastAsia="en-US" w:bidi="ar-SA"/>
              </w:rPr>
              <w:fldChar w:fldCharType="begin"/>
            </w:r>
            <w:r>
              <w:rPr>
                <w:sz w:val="26"/>
                <w:i/>
                <w:kern w:val="0"/>
                <w:szCs w:val="22"/>
                <w:iCs/>
                <w:rFonts w:eastAsia="Calibri" w:cs="Arial"/>
                <w:lang w:val="en-US" w:eastAsia="en-US" w:bidi="ar-SA"/>
              </w:rPr>
              <w:instrText xml:space="preserve"> REF _Ref186181253 \r \h </w:instrText>
            </w:r>
            <w:r>
              <w:rPr>
                <w:sz w:val="26"/>
                <w:i/>
                <w:kern w:val="0"/>
                <w:szCs w:val="22"/>
                <w:iCs/>
                <w:rFonts w:eastAsia="Calibri" w:cs="Arial"/>
                <w:lang w:val="en-US" w:eastAsia="en-US" w:bidi="ar-SA"/>
              </w:rPr>
              <w:fldChar w:fldCharType="separate"/>
            </w:r>
            <w:r>
              <w:rPr>
                <w:sz w:val="26"/>
                <w:i/>
                <w:kern w:val="0"/>
                <w:szCs w:val="22"/>
                <w:iCs/>
                <w:rFonts w:eastAsia="Calibri" w:cs="Arial"/>
                <w:lang w:val="en-US" w:eastAsia="en-US" w:bidi="ar-SA"/>
              </w:rPr>
              <w:t>4.14</w:t>
            </w:r>
            <w:r>
              <w:rPr>
                <w:sz w:val="26"/>
                <w:i/>
                <w:kern w:val="0"/>
                <w:szCs w:val="22"/>
                <w:iCs/>
                <w:rFonts w:eastAsia="Calibri" w:cs="Arial"/>
                <w:lang w:val="en-US"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подразделы</w:t>
            </w:r>
            <w:r>
              <w:rPr>
                <w:rFonts w:eastAsia="Calibri" w:cs="Arial"/>
                <w:kern w:val="0"/>
                <w:sz w:val="26"/>
                <w:szCs w:val="22"/>
                <w:lang w:val="en-US" w:eastAsia="en-US" w:bidi="ar-SA"/>
              </w:rPr>
              <w:t> </w:t>
            </w:r>
            <w:r>
              <w:rPr>
                <w:rFonts w:eastAsia="Calibri" w:cs="Arial"/>
                <w:kern w:val="0"/>
                <w:sz w:val="26"/>
                <w:szCs w:val="22"/>
                <w:lang w:val="en-US" w:eastAsia="en-US" w:bidi="ar-SA"/>
              </w:rPr>
              <w:fldChar w:fldCharType="begin"/>
            </w:r>
            <w:r>
              <w:rPr>
                <w:sz w:val="26"/>
                <w:kern w:val="0"/>
                <w:szCs w:val="22"/>
                <w:rFonts w:eastAsia="Calibri" w:cs="Arial"/>
                <w:lang w:val="en-US" w:eastAsia="en-US" w:bidi="ar-SA"/>
              </w:rPr>
              <w:instrText xml:space="preserve"> REF _Ref130281199 \r \h </w:instrText>
            </w:r>
            <w:r>
              <w:rPr>
                <w:sz w:val="26"/>
                <w:kern w:val="0"/>
                <w:szCs w:val="22"/>
                <w:rFonts w:eastAsia="Calibri" w:cs="Arial"/>
                <w:lang w:val="en-US" w:eastAsia="en-US" w:bidi="ar-SA"/>
              </w:rPr>
              <w:fldChar w:fldCharType="separate"/>
            </w:r>
            <w:r>
              <w:rPr>
                <w:sz w:val="26"/>
                <w:kern w:val="0"/>
                <w:szCs w:val="22"/>
                <w:rFonts w:eastAsia="Calibri" w:cs="Arial"/>
                <w:lang w:val="en-US" w:eastAsia="en-US" w:bidi="ar-SA"/>
              </w:rPr>
              <w:t>4.3</w:t>
            </w:r>
            <w:r>
              <w:rPr>
                <w:sz w:val="26"/>
                <w:kern w:val="0"/>
                <w:szCs w:val="22"/>
                <w:rFonts w:eastAsia="Calibri" w:cs="Arial"/>
                <w:lang w:val="en-US"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en-US" w:eastAsia="en-US" w:bidi="ar-SA"/>
              </w:rPr>
              <w:fldChar w:fldCharType="begin"/>
            </w:r>
            <w:r>
              <w:rPr>
                <w:sz w:val="26"/>
                <w:kern w:val="0"/>
                <w:szCs w:val="22"/>
                <w:rFonts w:eastAsia="Calibri" w:cs="Arial"/>
                <w:lang w:val="en-US" w:eastAsia="en-US" w:bidi="ar-SA"/>
              </w:rPr>
              <w:instrText xml:space="preserve"> REF _Ref186181253 \r \h </w:instrText>
            </w:r>
            <w:r>
              <w:rPr>
                <w:sz w:val="26"/>
                <w:kern w:val="0"/>
                <w:szCs w:val="22"/>
                <w:rFonts w:eastAsia="Calibri" w:cs="Arial"/>
                <w:lang w:val="en-US" w:eastAsia="en-US" w:bidi="ar-SA"/>
              </w:rPr>
              <w:fldChar w:fldCharType="separate"/>
            </w:r>
            <w:r>
              <w:rPr>
                <w:sz w:val="26"/>
                <w:kern w:val="0"/>
                <w:szCs w:val="22"/>
                <w:rFonts w:eastAsia="Calibri" w:cs="Arial"/>
                <w:lang w:val="en-US" w:eastAsia="en-US" w:bidi="ar-SA"/>
              </w:rPr>
              <w:t>4.14</w:t>
            </w:r>
            <w:r>
              <w:rPr>
                <w:sz w:val="26"/>
                <w:kern w:val="0"/>
                <w:szCs w:val="22"/>
                <w:rFonts w:eastAsia="Calibri" w:cs="Arial"/>
                <w:lang w:val="en-US" w:eastAsia="en-US" w:bidi="ar-SA"/>
              </w:rPr>
              <w:fldChar w:fldCharType="end"/>
            </w:r>
            <w:r>
              <w:rPr>
                <w:rFonts w:eastAsia="Calibri" w:cs="Arial"/>
                <w:kern w:val="0"/>
                <w:sz w:val="26"/>
                <w:szCs w:val="22"/>
                <w:lang w:val="en-US" w:eastAsia="en-US" w:bidi="ar-SA"/>
              </w:rPr>
              <w:br/>
            </w: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10"/>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r>
              <w:rPr>
                <w:rFonts w:eastAsia="Calibri" w:cs="Arial"/>
                <w:kern w:val="0"/>
                <w:sz w:val="26"/>
                <w:szCs w:val="22"/>
                <w:lang w:val="ru-RU" w:eastAsia="en-US" w:bidi="ar-SA"/>
              </w:rPr>
              <w:t>, с предоставлением требуемых подтверждающих документов</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bl>
    <w:p>
      <w:pPr>
        <w:pStyle w:val="Style16"/>
        <w:spacing w:before="360" w:after="120"/>
        <w:rPr>
          <w:rStyle w:val="Style3"/>
          <w:i w:val="false"/>
          <w:i w:val="false"/>
          <w:iCs w:val="false"/>
          <w:shd w:fill="auto" w:val="clear"/>
        </w:rPr>
      </w:pPr>
      <w:bookmarkStart w:id="348" w:name="_Toc59"/>
      <w:r>
        <w:rPr>
          <w:rStyle w:val="Style3"/>
          <w:i w:val="false"/>
          <w:iCs w:val="false"/>
          <w:shd w:fill="auto" w:val="clear"/>
        </w:rPr>
        <w:t>Отборочные критерии рассмотрения ценовых предложений (дополнительных ценовых предложений)</w:t>
      </w:r>
      <w:bookmarkEnd w:id="348"/>
    </w:p>
    <w:tbl>
      <w:tblPr>
        <w:tblStyle w:val="115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11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Состав, содержание и правильность оформления ценового предложения, в том числе:</w:t>
            </w:r>
          </w:p>
        </w:tc>
        <w:tc>
          <w:tcPr>
            <w:tcW w:w="3117"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11"/>
              </w:numPr>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 xml:space="preserve">Соответствие ценового предложения по составу требованиям </w:t>
            </w:r>
            <w:hyperlink w:anchor="Прил06_СоставЗаявки" w:tgtFrame="#Прил06_СоставЗаявки">
              <w:r>
                <w:rPr>
                  <w:rStyle w:val="Style6"/>
                  <w:rFonts w:eastAsia="Calibri" w:cs="Arial"/>
                  <w:kern w:val="0"/>
                  <w:sz w:val="26"/>
                  <w:szCs w:val="22"/>
                  <w:lang w:val="ru-RU" w:eastAsia="en-US" w:bidi="ar-SA"/>
                </w:rPr>
                <w:t>Приложения № 6 «Состав заявки»</w:t>
              </w:r>
            </w:hyperlink>
            <w:r>
              <w:rPr>
                <w:rFonts w:eastAsia="Calibri" w:cs="Arial"/>
                <w:kern w:val="0"/>
                <w:sz w:val="26"/>
                <w:szCs w:val="22"/>
                <w:lang w:val="ru-RU" w:eastAsia="en-US" w:bidi="ar-SA"/>
              </w:rPr>
              <w:t>, а также правильности оформления документов, входящих в его состав, в том числе установленной форме и иным и иным требованиям Документации о закупке (в т.ч. в части языка и валюты заявки)</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_Ref125362119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4.6</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Приложение №1,</w:t>
            </w:r>
          </w:p>
          <w:p>
            <w:pPr>
              <w:pStyle w:val="Style21"/>
              <w:widowControl w:val="false"/>
              <w:suppressAutoHyphens w:val="true"/>
              <w:spacing w:lineRule="auto" w:line="240" w:before="60" w:after="60"/>
              <w:jc w:val="center"/>
              <w:rPr>
                <w:rStyle w:val="Style6"/>
              </w:rPr>
            </w:pPr>
            <w:hyperlink w:anchor="Прил06_СоставЗаявки" w:tgtFrame="#Прил06_СоставЗаявки">
              <w:r>
                <w:rPr>
                  <w:rStyle w:val="Style6"/>
                  <w:rFonts w:eastAsia="Calibri" w:cs="Arial"/>
                  <w:kern w:val="0"/>
                  <w:sz w:val="26"/>
                  <w:szCs w:val="22"/>
                  <w:lang w:val="ru-RU" w:eastAsia="en-US" w:bidi="ar-SA"/>
                </w:rPr>
                <w:t>Приложение № 6</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r>
        <w:trPr/>
        <w:tc>
          <w:tcPr>
            <w:tcW w:w="1412" w:type="dxa"/>
            <w:tcBorders/>
          </w:tcPr>
          <w:p>
            <w:pPr>
              <w:pStyle w:val="Style21"/>
              <w:widowControl w:val="false"/>
              <w:numPr>
                <w:ilvl w:val="0"/>
                <w:numId w:val="11"/>
              </w:numPr>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Отсутствие в материалах (документов) ценового предложения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_Ref132797154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4.11</w:t>
            </w:r>
            <w:r>
              <w:rPr>
                <w:sz w:val="26"/>
                <w:kern w:val="0"/>
                <w:szCs w:val="22"/>
                <w:rFonts w:eastAsia="Calibri" w:cs="Arial"/>
                <w:lang w:val="ru-RU" w:eastAsia="en-US" w:bidi="ar-SA"/>
              </w:rPr>
              <w:fldChar w:fldCharType="end"/>
            </w:r>
          </w:p>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r>
        <w:trPr/>
        <w:tc>
          <w:tcPr>
            <w:tcW w:w="9918" w:type="dxa"/>
            <w:gridSpan w:val="2"/>
            <w:tcBorders/>
          </w:tcPr>
          <w:p>
            <w:pPr>
              <w:pStyle w:val="Style21"/>
              <w:keepNext w:val="true"/>
              <w:widowControl w:val="false"/>
              <w:suppressAutoHyphens w:val="true"/>
              <w:spacing w:lineRule="auto" w:line="240" w:before="60" w:after="60"/>
              <w:rPr>
                <w:b/>
                <w:bCs/>
              </w:rPr>
            </w:pPr>
            <w:r>
              <w:rPr>
                <w:rFonts w:eastAsia="Calibri" w:cs="Arial"/>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c>
          <w:tcPr>
            <w:tcW w:w="2090" w:type="dxa"/>
            <w:tcBorders/>
          </w:tcPr>
          <w:p>
            <w:pPr>
              <w:pStyle w:val="Style21"/>
              <w:keepNext w:val="true"/>
              <w:widowControl w:val="false"/>
              <w:suppressAutoHyphens w:val="true"/>
              <w:spacing w:lineRule="auto" w:line="240" w:before="60" w:after="60"/>
              <w:jc w:val="center"/>
              <w:rPr>
                <w:b/>
                <w:bCs/>
              </w:rPr>
            </w:pPr>
            <w:r>
              <w:rPr>
                <w:rFonts w:eastAsia="Calibri" w:cs="Arial"/>
                <w:b/>
                <w:bCs/>
                <w:kern w:val="0"/>
                <w:sz w:val="26"/>
                <w:szCs w:val="22"/>
                <w:lang w:val="ru-RU" w:eastAsia="en-US" w:bidi="ar-SA"/>
              </w:rPr>
              <w:t>–</w:t>
            </w:r>
          </w:p>
        </w:tc>
      </w:tr>
      <w:tr>
        <w:trPr/>
        <w:tc>
          <w:tcPr>
            <w:tcW w:w="1412" w:type="dxa"/>
            <w:tcBorders/>
          </w:tcPr>
          <w:p>
            <w:pPr>
              <w:pStyle w:val="Style21"/>
              <w:widowControl w:val="false"/>
              <w:numPr>
                <w:ilvl w:val="0"/>
                <w:numId w:val="11"/>
              </w:numPr>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_Ref130394681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w:t>
            </w:r>
          </w:p>
          <w:p>
            <w:pPr>
              <w:pStyle w:val="Style21"/>
              <w:widowControl w:val="false"/>
              <w:suppressAutoHyphens w:val="true"/>
              <w:spacing w:lineRule="auto" w:line="240" w:before="60" w:after="60"/>
              <w:jc w:val="center"/>
              <w:rPr/>
            </w:pPr>
            <w:r>
              <w:rPr>
                <w:rFonts w:eastAsia="Calibri" w:cs="Arial"/>
                <w:kern w:val="0"/>
                <w:sz w:val="26"/>
                <w:szCs w:val="22"/>
                <w:lang w:val="ru-RU" w:eastAsia="en-US" w:bidi="ar-SA"/>
              </w:rPr>
              <w:t>Приложение №1,</w:t>
              <w:br/>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r>
        <w:trPr/>
        <w:tc>
          <w:tcPr>
            <w:tcW w:w="1412" w:type="dxa"/>
            <w:tcBorders/>
          </w:tcPr>
          <w:p>
            <w:pPr>
              <w:pStyle w:val="Style21"/>
              <w:widowControl w:val="false"/>
              <w:numPr>
                <w:ilvl w:val="0"/>
                <w:numId w:val="11"/>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w:t>
            </w:r>
          </w:p>
          <w:p>
            <w:pPr>
              <w:pStyle w:val="Style21"/>
              <w:widowControl w:val="false"/>
              <w:suppressAutoHyphens w:val="true"/>
              <w:spacing w:lineRule="auto" w:line="240" w:before="60" w:after="60"/>
              <w:rPr>
                <w:rFonts w:ascii="Times New Roman" w:hAnsi="Times New Roman" w:eastAsia="Calibri" w:cs="Arial"/>
                <w:kern w:val="0"/>
                <w:sz w:val="26"/>
                <w:szCs w:val="22"/>
                <w:lang w:eastAsia="en-US" w:bidi="ar-SA"/>
              </w:rPr>
            </w:pPr>
            <w:r>
              <w:rPr>
                <w:rFonts w:eastAsia="Calibri" w:cs="Arial"/>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Arial"/>
                <w:i/>
                <w:iCs/>
                <w:kern w:val="0"/>
                <w:sz w:val="26"/>
                <w:szCs w:val="22"/>
                <w:lang w:val="en-US" w:eastAsia="en-US" w:bidi="ar-SA"/>
              </w:rPr>
              <w:fldChar w:fldCharType="begin"/>
            </w:r>
            <w:r>
              <w:rPr>
                <w:sz w:val="26"/>
                <w:i/>
                <w:kern w:val="0"/>
                <w:szCs w:val="22"/>
                <w:iCs/>
                <w:rFonts w:eastAsia="Calibri" w:cs="Arial"/>
                <w:lang w:val="en-US" w:eastAsia="en-US" w:bidi="ar-SA"/>
              </w:rPr>
              <w:instrText xml:space="preserve"> REF _Ref186181253 \r \h </w:instrText>
            </w:r>
            <w:r>
              <w:rPr>
                <w:sz w:val="26"/>
                <w:i/>
                <w:kern w:val="0"/>
                <w:szCs w:val="22"/>
                <w:iCs/>
                <w:rFonts w:eastAsia="Calibri" w:cs="Arial"/>
                <w:lang w:val="en-US" w:eastAsia="en-US" w:bidi="ar-SA"/>
              </w:rPr>
              <w:fldChar w:fldCharType="separate"/>
            </w:r>
            <w:r>
              <w:rPr>
                <w:sz w:val="26"/>
                <w:i/>
                <w:kern w:val="0"/>
                <w:szCs w:val="22"/>
                <w:iCs/>
                <w:rFonts w:eastAsia="Calibri" w:cs="Arial"/>
                <w:lang w:val="en-US" w:eastAsia="en-US" w:bidi="ar-SA"/>
              </w:rPr>
              <w:t>4.14</w:t>
            </w:r>
            <w:r>
              <w:rPr>
                <w:sz w:val="26"/>
                <w:i/>
                <w:kern w:val="0"/>
                <w:szCs w:val="22"/>
                <w:iCs/>
                <w:rFonts w:eastAsia="Calibri" w:cs="Arial"/>
                <w:lang w:val="en-US"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eastAsia="en-US" w:bidi="ar-SA"/>
              </w:rPr>
            </w:pPr>
            <w:r>
              <w:rPr>
                <w:rFonts w:eastAsia="Calibri" w:cs="Arial"/>
                <w:kern w:val="0"/>
                <w:sz w:val="26"/>
                <w:szCs w:val="22"/>
                <w:lang w:val="ru-RU" w:eastAsia="en-US" w:bidi="ar-SA"/>
              </w:rPr>
              <w:t>подразделы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_Ref130281199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4.3</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w:t>
            </w:r>
            <w:r>
              <w:rPr>
                <w:rFonts w:eastAsia="Calibri" w:cs="Arial"/>
                <w:kern w:val="0"/>
                <w:sz w:val="26"/>
                <w:szCs w:val="22"/>
                <w:lang w:val="en-US" w:eastAsia="en-US" w:bidi="ar-SA"/>
              </w:rPr>
              <w:fldChar w:fldCharType="begin"/>
            </w:r>
            <w:r>
              <w:rPr>
                <w:sz w:val="26"/>
                <w:kern w:val="0"/>
                <w:szCs w:val="22"/>
                <w:rFonts w:eastAsia="Calibri" w:cs="Arial"/>
                <w:lang w:val="en-US" w:eastAsia="en-US" w:bidi="ar-SA"/>
              </w:rPr>
              <w:instrText xml:space="preserve"> REF _Ref186181253 \r \h </w:instrText>
            </w:r>
            <w:r>
              <w:rPr>
                <w:sz w:val="26"/>
                <w:kern w:val="0"/>
                <w:szCs w:val="22"/>
                <w:rFonts w:eastAsia="Calibri" w:cs="Arial"/>
                <w:lang w:val="en-US" w:eastAsia="en-US" w:bidi="ar-SA"/>
              </w:rPr>
              <w:fldChar w:fldCharType="separate"/>
            </w:r>
            <w:r>
              <w:rPr>
                <w:sz w:val="26"/>
                <w:kern w:val="0"/>
                <w:szCs w:val="22"/>
                <w:rFonts w:eastAsia="Calibri" w:cs="Arial"/>
                <w:lang w:val="en-US" w:eastAsia="en-US" w:bidi="ar-SA"/>
              </w:rPr>
              <w:t>4.14</w:t>
            </w:r>
            <w:r>
              <w:rPr>
                <w:sz w:val="26"/>
                <w:kern w:val="0"/>
                <w:szCs w:val="22"/>
                <w:rFonts w:eastAsia="Calibri" w:cs="Arial"/>
                <w:lang w:val="en-US" w:eastAsia="en-US" w:bidi="ar-SA"/>
              </w:rPr>
              <w:fldChar w:fldCharType="end"/>
            </w:r>
          </w:p>
          <w:p>
            <w:pPr>
              <w:pStyle w:val="Style21"/>
              <w:widowControl w:val="false"/>
              <w:suppressAutoHyphens w:val="true"/>
              <w:spacing w:lineRule="auto" w:line="240" w:before="60" w:after="60"/>
              <w:jc w:val="center"/>
              <w:rPr/>
            </w:pP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br/>
              <w:t>(форма Коммерческого предложения)</w:t>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r>
        <w:trPr/>
        <w:tc>
          <w:tcPr>
            <w:tcW w:w="1412" w:type="dxa"/>
            <w:tcBorders/>
          </w:tcPr>
          <w:p>
            <w:pPr>
              <w:pStyle w:val="Style21"/>
              <w:widowControl w:val="false"/>
              <w:numPr>
                <w:ilvl w:val="0"/>
                <w:numId w:val="11"/>
              </w:numPr>
              <w:suppressAutoHyphens w:val="true"/>
              <w:spacing w:lineRule="auto" w:line="240" w:before="60" w:after="60"/>
              <w:ind w:hanging="0" w:left="17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pPr>
            <w:r>
              <w:rPr>
                <w:rFonts w:eastAsia="Calibri" w:cs="Arial"/>
                <w:kern w:val="0"/>
                <w:sz w:val="26"/>
                <w:szCs w:val="22"/>
                <w:lang w:val="ru-RU" w:eastAsia="en-US" w:bidi="ar-SA"/>
              </w:rPr>
              <w:t>Соответствие подтверждающей документации, прилагаемой к</w:t>
            </w:r>
            <w:r>
              <w:rPr>
                <w:rFonts w:eastAsia="Calibri" w:cs="Arial"/>
                <w:kern w:val="0"/>
                <w:sz w:val="26"/>
                <w:szCs w:val="22"/>
                <w:lang w:val="en-US" w:eastAsia="en-US" w:bidi="ar-SA"/>
              </w:rPr>
              <w:t> </w:t>
            </w:r>
            <w:r>
              <w:rPr>
                <w:rFonts w:eastAsia="Calibri" w:cs="Arial"/>
                <w:kern w:val="0"/>
                <w:sz w:val="26"/>
                <w:szCs w:val="22"/>
                <w:lang w:val="ru-RU" w:eastAsia="en-US" w:bidi="ar-SA"/>
              </w:rPr>
              <w:t>Коммерческому приложению (форма 3) (</w:t>
            </w:r>
            <w:hyperlink w:anchor="Прил04_ФормыЗаявки" w:tgtFrame="#Прил04_ФормыЗаявки">
              <w:r>
                <w:rPr>
                  <w:rStyle w:val="Style6"/>
                  <w:rFonts w:eastAsia="Calibri" w:cs="Arial"/>
                  <w:kern w:val="0"/>
                  <w:sz w:val="26"/>
                  <w:szCs w:val="22"/>
                  <w:lang w:val="ru-RU" w:eastAsia="en-US" w:bidi="ar-SA"/>
                </w:rPr>
                <w:t>Приложение № 4</w:t>
              </w:r>
            </w:hyperlink>
            <w:r>
              <w:rPr>
                <w:rFonts w:eastAsia="Calibri" w:cs="Arial"/>
                <w:kern w:val="0"/>
                <w:sz w:val="26"/>
                <w:szCs w:val="22"/>
                <w:lang w:val="ru-RU" w:eastAsia="en-US" w:bidi="ar-SA"/>
              </w:rPr>
              <w:t xml:space="preserve">) требованиям, указанным в </w:t>
            </w:r>
            <w:hyperlink w:anchor="Прил01_ТехТребования" w:tgtFrame="#Прил01_ТехТребования">
              <w:r>
                <w:rPr>
                  <w:rStyle w:val="Style6"/>
                  <w:rFonts w:eastAsia="Calibri" w:cs="Arial"/>
                  <w:kern w:val="0"/>
                  <w:sz w:val="26"/>
                  <w:szCs w:val="22"/>
                  <w:lang w:val="ru-RU" w:eastAsia="en-US" w:bidi="ar-SA"/>
                </w:rPr>
                <w:t>Технических требованиях (Приложение № 1)</w:t>
              </w:r>
            </w:hyperlink>
          </w:p>
          <w:p>
            <w:pPr>
              <w:pStyle w:val="Style21"/>
              <w:widowControl w:val="false"/>
              <w:suppressAutoHyphens w:val="true"/>
              <w:spacing w:lineRule="auto" w:line="240" w:before="60" w:after="60"/>
              <w:rPr/>
            </w:pPr>
            <w:r>
              <w:rPr>
                <w:rFonts w:eastAsia="Calibri" w:cs="Arial"/>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tgtFrame="#Прил01_ТехТребования">
              <w:r>
                <w:rPr>
                  <w:rStyle w:val="Style6"/>
                  <w:rFonts w:eastAsia="Calibri" w:cs="Arial"/>
                  <w:i/>
                  <w:iCs/>
                  <w:kern w:val="0"/>
                  <w:sz w:val="26"/>
                  <w:szCs w:val="22"/>
                  <w:lang w:val="ru-RU" w:eastAsia="en-US" w:bidi="ar-SA"/>
                </w:rPr>
                <w:t>Технических требованиях (Приложение № 1)</w:t>
              </w:r>
            </w:hyperlink>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pPr>
            <w:hyperlink w:anchor="Прил01_ТехТребования" w:tgtFrame="#Прил01_ТехТребования">
              <w:r>
                <w:rPr>
                  <w:rStyle w:val="Style6"/>
                  <w:rFonts w:eastAsia="Calibri" w:cs="Arial"/>
                  <w:kern w:val="0"/>
                  <w:sz w:val="26"/>
                  <w:szCs w:val="22"/>
                  <w:lang w:val="ru-RU" w:eastAsia="en-US" w:bidi="ar-SA"/>
                </w:rPr>
                <w:t>Приложение № 1</w:t>
              </w:r>
            </w:hyperlink>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Цена</w:t>
            </w:r>
          </w:p>
        </w:tc>
      </w:tr>
    </w:tbl>
    <w:p>
      <w:pPr>
        <w:pStyle w:val="Style16"/>
        <w:rPr>
          <w:rStyle w:val="Style3"/>
          <w:i w:val="false"/>
          <w:i w:val="false"/>
          <w:iCs w:val="false"/>
          <w:shd w:fill="auto" w:val="clear"/>
        </w:rPr>
      </w:pPr>
      <w:bookmarkStart w:id="349" w:name="_Toc60"/>
      <w:r>
        <w:rPr>
          <w:rStyle w:val="Style3"/>
          <w:i w:val="false"/>
          <w:iCs w:val="false"/>
          <w:shd w:fill="auto" w:val="clear"/>
        </w:rPr>
        <w:t>Дополнительные критерии проверки заявок на соответствие условиям Документации о закупке</w:t>
      </w:r>
      <w:bookmarkEnd w:id="349"/>
    </w:p>
    <w:p>
      <w:pPr>
        <w:pStyle w:val="Style21"/>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1158"/>
        <w:tblW w:w="15126" w:type="dxa"/>
        <w:jc w:val="left"/>
        <w:tblInd w:w="0"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tc>
          <w:tcPr>
            <w:tcW w:w="1412"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w:t>
              <w:br/>
              <w:t>критерия</w:t>
            </w:r>
          </w:p>
        </w:tc>
        <w:tc>
          <w:tcPr>
            <w:tcW w:w="8506"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Наименование</w:t>
              <w:br/>
              <w:t>отборочного критерия</w:t>
            </w:r>
          </w:p>
        </w:tc>
        <w:tc>
          <w:tcPr>
            <w:tcW w:w="3117"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Номер пункта</w:t>
              <w:br/>
              <w:t>Документации о закупке</w:t>
            </w:r>
          </w:p>
        </w:tc>
        <w:tc>
          <w:tcPr>
            <w:tcW w:w="2090" w:type="dxa"/>
            <w:tcBorders/>
          </w:tcPr>
          <w:p>
            <w:pPr>
              <w:pStyle w:val="Style21"/>
              <w:keepNext w:val="true"/>
              <w:keepLines w:val="false"/>
              <w:widowControl w:val="false"/>
              <w:suppressAutoHyphens w:val="true"/>
              <w:spacing w:lineRule="auto" w:line="240" w:before="60" w:after="60"/>
              <w:jc w:val="center"/>
              <w:rPr>
                <w:rFonts w:ascii="Times New Roman" w:hAnsi="Times New Roman" w:eastAsia="Calibri" w:cs="Arial"/>
                <w:b/>
                <w:kern w:val="0"/>
                <w:sz w:val="26"/>
                <w:szCs w:val="22"/>
                <w:lang w:val="ru-RU" w:eastAsia="en-US" w:bidi="ar-SA"/>
              </w:rPr>
            </w:pPr>
            <w:r>
              <w:rPr>
                <w:rFonts w:eastAsia="Calibri" w:cs="Arial"/>
                <w:b/>
                <w:kern w:val="0"/>
                <w:sz w:val="26"/>
                <w:szCs w:val="22"/>
                <w:lang w:val="ru-RU" w:eastAsia="en-US" w:bidi="ar-SA"/>
              </w:rPr>
              <w:t>Направления</w:t>
              <w:br/>
              <w:t>оценки заявок*</w:t>
            </w:r>
          </w:p>
        </w:tc>
      </w:tr>
      <w:tr>
        <w:trPr/>
        <w:tc>
          <w:tcPr>
            <w:tcW w:w="1412" w:type="dxa"/>
            <w:tcBorders/>
          </w:tcPr>
          <w:p>
            <w:pPr>
              <w:pStyle w:val="Style21"/>
              <w:widowControl w:val="false"/>
              <w:numPr>
                <w:ilvl w:val="0"/>
                <w:numId w:val="12"/>
              </w:numPr>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r>
          </w:p>
        </w:tc>
        <w:tc>
          <w:tcPr>
            <w:tcW w:w="8506" w:type="dxa"/>
            <w:tcBorders/>
          </w:tcPr>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Возможность применения преимущества, если в подразделе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_Ref125359973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1.2</w:t>
            </w:r>
            <w:r>
              <w:rPr>
                <w:sz w:val="26"/>
                <w:kern w:val="0"/>
                <w:szCs w:val="22"/>
                <w:rFonts w:eastAsia="Calibri" w:cs="Arial"/>
                <w:lang w:val="ru-RU" w:eastAsia="en-US" w:bidi="ar-SA"/>
              </w:rPr>
              <w:fldChar w:fldCharType="end"/>
            </w:r>
            <w:r>
              <w:rPr>
                <w:rFonts w:eastAsia="Calibri" w:cs="Arial"/>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21"/>
              <w:widowControl w:val="false"/>
              <w:suppressAutoHyphens w:val="true"/>
              <w:spacing w:lineRule="auto" w:line="240" w:before="60" w:after="60"/>
              <w:rPr>
                <w:rFonts w:ascii="Times New Roman" w:hAnsi="Times New Roman" w:eastAsia="Calibri" w:cs="Arial"/>
                <w:kern w:val="0"/>
                <w:sz w:val="26"/>
                <w:szCs w:val="22"/>
                <w:lang w:val="ru-RU" w:eastAsia="en-US" w:bidi="ar-SA"/>
              </w:rPr>
            </w:pPr>
            <w:r>
              <w:rPr>
                <w:rFonts w:eastAsia="Calibri" w:cs="Arial"/>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Arial"/>
                <w:i/>
                <w:iCs/>
                <w:kern w:val="0"/>
                <w:sz w:val="26"/>
                <w:szCs w:val="22"/>
                <w:lang w:val="ru-RU" w:eastAsia="en-US" w:bidi="ar-SA"/>
              </w:rPr>
              <w:fldChar w:fldCharType="begin"/>
            </w:r>
            <w:r>
              <w:rPr>
                <w:sz w:val="26"/>
                <w:i/>
                <w:kern w:val="0"/>
                <w:szCs w:val="22"/>
                <w:iCs/>
                <w:rFonts w:eastAsia="Calibri" w:cs="Arial"/>
                <w:lang w:val="ru-RU" w:eastAsia="en-US" w:bidi="ar-SA"/>
              </w:rPr>
              <w:instrText xml:space="preserve"> REF _Ref130985951 \r \h </w:instrText>
            </w:r>
            <w:r>
              <w:rPr>
                <w:sz w:val="26"/>
                <w:i/>
                <w:kern w:val="0"/>
                <w:szCs w:val="22"/>
                <w:iCs/>
                <w:rFonts w:eastAsia="Calibri" w:cs="Arial"/>
                <w:lang w:val="ru-RU" w:eastAsia="en-US" w:bidi="ar-SA"/>
              </w:rPr>
              <w:fldChar w:fldCharType="separate"/>
            </w:r>
            <w:r>
              <w:rPr>
                <w:sz w:val="26"/>
                <w:i/>
                <w:kern w:val="0"/>
                <w:szCs w:val="22"/>
                <w:iCs/>
                <w:rFonts w:eastAsia="Calibri" w:cs="Arial"/>
                <w:lang w:val="ru-RU" w:eastAsia="en-US" w:bidi="ar-SA"/>
              </w:rPr>
              <w:t>4.14</w:t>
            </w:r>
            <w:r>
              <w:rPr>
                <w:sz w:val="26"/>
                <w:i/>
                <w:kern w:val="0"/>
                <w:szCs w:val="22"/>
                <w:iCs/>
                <w:rFonts w:eastAsia="Calibri" w:cs="Arial"/>
                <w:lang w:val="ru-RU" w:eastAsia="en-US" w:bidi="ar-SA"/>
              </w:rPr>
              <w:fldChar w:fldCharType="end"/>
            </w:r>
            <w:r>
              <w:rPr>
                <w:rFonts w:eastAsia="Calibri" w:cs="Arial"/>
                <w:i/>
                <w:iCs/>
                <w:kern w:val="0"/>
                <w:sz w:val="26"/>
                <w:szCs w:val="22"/>
                <w:lang w:val="ru-RU" w:eastAsia="en-US" w:bidi="ar-SA"/>
              </w:rPr>
              <w:t>))</w:t>
            </w:r>
          </w:p>
        </w:tc>
        <w:tc>
          <w:tcPr>
            <w:tcW w:w="3117" w:type="dxa"/>
            <w:tcBorders/>
          </w:tcPr>
          <w:p>
            <w:pPr>
              <w:pStyle w:val="Style21"/>
              <w:widowControl w:val="false"/>
              <w:suppressAutoHyphens w:val="true"/>
              <w:spacing w:lineRule="auto" w:line="240" w:before="60" w:after="60"/>
              <w:jc w:val="center"/>
              <w:rPr>
                <w:rStyle w:val="Style6"/>
              </w:rPr>
            </w:pPr>
            <w:r>
              <w:rPr>
                <w:rFonts w:eastAsia="Calibri" w:cs="Arial"/>
                <w:kern w:val="0"/>
                <w:sz w:val="26"/>
                <w:szCs w:val="22"/>
                <w:lang w:val="ru-RU" w:eastAsia="en-US" w:bidi="ar-SA"/>
              </w:rPr>
              <w:t>подраздел </w:t>
            </w:r>
            <w:r>
              <w:rPr>
                <w:rFonts w:eastAsia="Calibri" w:cs="Arial"/>
                <w:kern w:val="0"/>
                <w:sz w:val="26"/>
                <w:szCs w:val="22"/>
                <w:lang w:val="ru-RU" w:eastAsia="en-US" w:bidi="ar-SA"/>
              </w:rPr>
              <w:fldChar w:fldCharType="begin"/>
            </w:r>
            <w:r>
              <w:rPr>
                <w:sz w:val="26"/>
                <w:kern w:val="0"/>
                <w:szCs w:val="22"/>
                <w:rFonts w:eastAsia="Calibri" w:cs="Arial"/>
                <w:lang w:val="ru-RU" w:eastAsia="en-US" w:bidi="ar-SA"/>
              </w:rPr>
              <w:instrText xml:space="preserve"> REF _Ref132816300 \r \h </w:instrText>
            </w:r>
            <w:r>
              <w:rPr>
                <w:sz w:val="26"/>
                <w:kern w:val="0"/>
                <w:szCs w:val="22"/>
                <w:rFonts w:eastAsia="Calibri" w:cs="Arial"/>
                <w:lang w:val="ru-RU" w:eastAsia="en-US" w:bidi="ar-SA"/>
              </w:rPr>
              <w:fldChar w:fldCharType="separate"/>
            </w:r>
            <w:r>
              <w:rPr>
                <w:sz w:val="26"/>
                <w:kern w:val="0"/>
                <w:szCs w:val="22"/>
                <w:rFonts w:eastAsia="Calibri" w:cs="Arial"/>
                <w:lang w:val="ru-RU" w:eastAsia="en-US" w:bidi="ar-SA"/>
              </w:rPr>
              <w:t>4.14</w:t>
            </w:r>
            <w:r>
              <w:rPr>
                <w:sz w:val="26"/>
                <w:kern w:val="0"/>
                <w:szCs w:val="22"/>
                <w:rFonts w:eastAsia="Calibri" w:cs="Arial"/>
                <w:lang w:val="ru-RU" w:eastAsia="en-US" w:bidi="ar-SA"/>
              </w:rPr>
              <w:fldChar w:fldCharType="end"/>
            </w:r>
          </w:p>
        </w:tc>
        <w:tc>
          <w:tcPr>
            <w:tcW w:w="2090" w:type="dxa"/>
            <w:tcBorders/>
          </w:tcPr>
          <w:p>
            <w:pPr>
              <w:pStyle w:val="Style21"/>
              <w:widowControl w:val="false"/>
              <w:suppressAutoHyphens w:val="true"/>
              <w:spacing w:lineRule="auto" w:line="240" w:before="60" w:after="60"/>
              <w:jc w:val="center"/>
              <w:rPr>
                <w:rFonts w:ascii="Times New Roman" w:hAnsi="Times New Roman" w:eastAsia="Calibri" w:cs="Arial"/>
                <w:kern w:val="0"/>
                <w:sz w:val="26"/>
                <w:szCs w:val="22"/>
                <w:lang w:val="ru-RU" w:eastAsia="en-US" w:bidi="ar-SA"/>
              </w:rPr>
            </w:pPr>
            <w:r>
              <w:rPr>
                <w:rFonts w:eastAsia="Calibri" w:cs="Arial"/>
                <w:kern w:val="0"/>
                <w:sz w:val="26"/>
                <w:szCs w:val="22"/>
                <w:lang w:val="ru-RU" w:eastAsia="en-US" w:bidi="ar-SA"/>
              </w:rPr>
              <w:t>Тех</w:t>
            </w:r>
          </w:p>
        </w:tc>
      </w:tr>
    </w:tbl>
    <w:p>
      <w:pPr>
        <w:pStyle w:val="Style21"/>
        <w:keepNext w:val="true"/>
        <w:tabs>
          <w:tab w:val="clear" w:pos="708"/>
          <w:tab w:val="left" w:pos="851" w:leader="none"/>
        </w:tabs>
        <w:spacing w:before="240" w:after="0"/>
        <w:rPr>
          <w:b/>
          <w:bCs/>
        </w:rPr>
      </w:pPr>
      <w:r>
        <w:rPr>
          <w:b/>
          <w:bCs/>
        </w:rPr>
        <w:t>* Направления оценки заявок:</w:t>
      </w:r>
    </w:p>
    <w:p>
      <w:pPr>
        <w:pStyle w:val="Style21"/>
        <w:tabs>
          <w:tab w:val="clear" w:pos="708"/>
          <w:tab w:val="left" w:pos="1134" w:leader="none"/>
        </w:tabs>
        <w:ind w:hanging="1701" w:left="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независимой гарантии (в том числе наличие сведений о ней в соответствующем реестре в ЕИС) – в случае отсутствия внесенных Участником денежных средств на специальный банковский счет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 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(https://npd.nalog.ru/check-status/);</w:t>
      </w:r>
    </w:p>
    <w:p>
      <w:pPr>
        <w:pStyle w:val="Style21"/>
        <w:tabs>
          <w:tab w:val="clear" w:pos="708"/>
          <w:tab w:val="left" w:pos="1134" w:leader="none"/>
        </w:tabs>
        <w:ind w:hanging="1701" w:left="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350" w:name="_Hlk207818776"/>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350"/>
      <w:r>
        <w:rPr/>
        <w:t>; оценка Технических предложений и сведений, подтверждающих соответствия Участника специальным требованиям Документации о закупке; оценка квалификационных данных Участника (в рамках оценки заявок по соответствующим критериям оценки), 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p>
    <w:p>
      <w:pPr>
        <w:pStyle w:val="Style21"/>
        <w:tabs>
          <w:tab w:val="clear" w:pos="708"/>
          <w:tab w:val="left" w:pos="1134" w:leader="none"/>
        </w:tabs>
        <w:ind w:hanging="1701" w:left="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21"/>
        <w:keepNext w:val="true"/>
        <w:tabs>
          <w:tab w:val="clear" w:pos="708"/>
          <w:tab w:val="left" w:pos="1134" w:leader="none"/>
        </w:tabs>
        <w:ind w:hanging="1701" w:left="1701"/>
        <w:rPr/>
      </w:pPr>
      <w:r>
        <w:rPr>
          <w:b/>
          <w:bCs/>
        </w:rPr>
        <w:t>Цена</w:t>
      </w:r>
      <w:r>
        <w:rPr/>
        <w:tab/>
        <w:t>–</w:t>
        <w:tab/>
      </w:r>
      <w:bookmarkStart w:id="351" w:name="_Hlk207821342"/>
      <w:bookmarkStart w:id="352" w:name="_Hlk207818793"/>
      <w:r>
        <w:rP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(сметная документация и т.п.),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  </w:t>
      </w:r>
      <w:bookmarkEnd w:id="351"/>
      <w:bookmarkEnd w:id="352"/>
      <w:r>
        <w:rPr/>
        <w:t xml:space="preserve"> непревышения ценового предложения участника установленного размера НМЦ.</w:t>
      </w:r>
    </w:p>
    <w:p>
      <w:pPr>
        <w:pStyle w:val="Style21"/>
        <w:tabs>
          <w:tab w:val="clear" w:pos="708"/>
          <w:tab w:val="left" w:pos="1134" w:leader="none"/>
        </w:tabs>
        <w:ind w:hanging="1701" w:left="1701"/>
        <w:rPr/>
      </w:pPr>
      <w:r>
        <w:rPr>
          <w:b/>
          <w:bCs/>
        </w:rPr>
        <w:t>Фин</w:t>
      </w:r>
      <w:r>
        <w:rPr/>
        <w:tab/>
        <w:t>–</w:t>
        <w:tab/>
        <w:t xml:space="preserve">оценка независимой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независимой гарантии)</w:t>
      </w:r>
      <w:r>
        <w:rPr/>
        <w:t>.</w:t>
      </w:r>
    </w:p>
    <w:p>
      <w:pPr>
        <w:sectPr>
          <w:headerReference w:type="default" r:id="rId30"/>
          <w:headerReference w:type="first" r:id="rId31"/>
          <w:footerReference w:type="default" r:id="rId32"/>
          <w:footerReference w:type="first" r:id="rId33"/>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1"/>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15"/>
        <w:spacing w:before="0" w:after="0"/>
        <w:rPr/>
      </w:pPr>
      <w:bookmarkStart w:id="353" w:name="_Ref125361648"/>
      <w:bookmarkStart w:id="354" w:name="_Ref125361951"/>
      <w:bookmarkStart w:id="355" w:name="_Ref125366013"/>
      <w:bookmarkStart w:id="356" w:name="_Ref125366280"/>
      <w:bookmarkStart w:id="357" w:name="_Ref125366285"/>
      <w:bookmarkStart w:id="358" w:name="_Ref125368140"/>
      <w:bookmarkStart w:id="359" w:name="_Ref125368150"/>
      <w:bookmarkStart w:id="360" w:name="_Ref125368165"/>
      <w:bookmarkStart w:id="361" w:name="_Ref125368172"/>
      <w:bookmarkStart w:id="362" w:name="_Ref125368184"/>
      <w:bookmarkStart w:id="363" w:name="_Ref125368283"/>
      <w:bookmarkStart w:id="364" w:name="_Ref125368291"/>
      <w:bookmarkStart w:id="365" w:name="_Ref125368302"/>
      <w:bookmarkStart w:id="366" w:name="_Ref125368313"/>
      <w:bookmarkStart w:id="367" w:name="_Ref125368331"/>
      <w:bookmarkStart w:id="368" w:name="_Ref125369021"/>
      <w:bookmarkStart w:id="369" w:name="_Ref125369438"/>
      <w:bookmarkStart w:id="370" w:name="_Toc61"/>
      <w:bookmarkStart w:id="371" w:name="Прил08_ПорядокОценки"/>
      <w:bookmarkEnd w:id="371"/>
      <w:r>
        <w:rPr/>
        <w:t>Приложение № 8 – Порядок и критерии оценки и сопоставления заявок</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pPr>
        <w:pStyle w:val="Style16"/>
        <w:spacing w:before="360" w:after="0"/>
        <w:rPr/>
      </w:pPr>
      <w:bookmarkStart w:id="372" w:name="_Toc62"/>
      <w:r>
        <w:rPr/>
        <w:t>Порядок и критерии оценки и сопоставления заявок</w:t>
      </w:r>
      <w:bookmarkEnd w:id="372"/>
    </w:p>
    <w:p>
      <w:pPr>
        <w:pStyle w:val="Style17"/>
        <w:rPr/>
      </w:pPr>
      <w:r>
        <w:rPr/>
        <w:t>Расчет итоговой оценки предпочтительности каждой заявки, успешно прошедшей отборочную стадию: рассмотрение вторых частей заявок и ценовых предложений, рассмотрение дополнительных ценовых предложений – если проводилась переторжка, осуществляется по следующим критериям оценки и в соответствии со следующим порядком оценки предпочтительности и сопоставления заявок:</w:t>
      </w:r>
    </w:p>
    <w:tbl>
      <w:tblPr>
        <w:tblW w:w="15135" w:type="dxa"/>
        <w:jc w:val="left"/>
        <w:tblInd w:w="-1" w:type="dxa"/>
        <w:tblLayout w:type="fixed"/>
        <w:tblCellMar>
          <w:top w:w="0" w:type="dxa"/>
          <w:left w:w="108" w:type="dxa"/>
          <w:bottom w:w="0" w:type="dxa"/>
          <w:right w:w="108" w:type="dxa"/>
        </w:tblCellMar>
        <w:tblLook w:val="04a0" w:noHBand="0" w:noVBand="1" w:firstColumn="1" w:lastRow="0" w:lastColumn="0" w:firstRow="1"/>
      </w:tblPr>
      <w:tblGrid>
        <w:gridCol w:w="850"/>
        <w:gridCol w:w="1415"/>
        <w:gridCol w:w="1470"/>
        <w:gridCol w:w="1530"/>
        <w:gridCol w:w="1305"/>
        <w:gridCol w:w="2099"/>
        <w:gridCol w:w="6465"/>
      </w:tblGrid>
      <w:tr>
        <w:trPr>
          <w:cantSplit w:val="true"/>
        </w:trPr>
        <w:tc>
          <w:tcPr>
            <w:tcW w:w="850"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Style21"/>
              <w:widowControl w:val="false"/>
              <w:spacing w:before="40" w:after="40"/>
              <w:jc w:val="center"/>
              <w:rPr>
                <w:sz w:val="18"/>
                <w:szCs w:val="18"/>
              </w:rPr>
            </w:pPr>
            <w:r>
              <w:rPr>
                <w:sz w:val="18"/>
                <w:szCs w:val="18"/>
              </w:rPr>
              <w:t>Номер критерия оценки в</w:t>
            </w:r>
            <w:r>
              <w:rPr>
                <w:sz w:val="18"/>
                <w:szCs w:val="18"/>
                <w:lang w:val="en-US"/>
              </w:rPr>
              <w:t> </w:t>
            </w:r>
            <w:r>
              <w:rPr>
                <w:sz w:val="18"/>
                <w:szCs w:val="18"/>
              </w:rPr>
              <w:t>структуре</w:t>
            </w:r>
          </w:p>
          <w:p>
            <w:pPr>
              <w:pStyle w:val="Normal"/>
              <w:keepNext w:val="true"/>
              <w:widowControl w:val="false"/>
              <w:numPr>
                <w:ilvl w:val="0"/>
                <w:numId w:val="0"/>
              </w:numPr>
              <w:spacing w:lineRule="auto" w:line="240" w:before="40" w:after="40"/>
              <w:ind w:hanging="0" w:left="0"/>
              <w:jc w:val="center"/>
              <w:rPr>
                <w:rFonts w:eastAsia="Calibri"/>
                <w:sz w:val="20"/>
                <w:szCs w:val="20"/>
              </w:rPr>
            </w:pPr>
            <w:r>
              <w:rPr>
                <w:rFonts w:eastAsia="Calibri"/>
                <w:sz w:val="20"/>
                <w:szCs w:val="20"/>
              </w:rPr>
            </w:r>
          </w:p>
        </w:tc>
        <w:tc>
          <w:tcPr>
            <w:tcW w:w="1415"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spacing w:before="40" w:after="40"/>
              <w:jc w:val="center"/>
              <w:rPr>
                <w:rFonts w:cs="Times New Roman"/>
                <w:sz w:val="20"/>
                <w:szCs w:val="20"/>
              </w:rPr>
            </w:pPr>
            <w:r>
              <w:rPr>
                <w:rFonts w:cs="Times New Roman"/>
                <w:bCs/>
                <w:sz w:val="20"/>
                <w:szCs w:val="20"/>
              </w:rPr>
              <w:t>Вид критерия оценки / направление оценки заявок</w:t>
            </w:r>
          </w:p>
        </w:tc>
        <w:tc>
          <w:tcPr>
            <w:tcW w:w="3000" w:type="dxa"/>
            <w:gridSpan w:val="2"/>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hanging="0" w:left="0"/>
              <w:jc w:val="center"/>
              <w:rPr>
                <w:rFonts w:eastAsia="Calibri"/>
                <w:sz w:val="20"/>
                <w:szCs w:val="20"/>
              </w:rPr>
            </w:pPr>
            <w:r>
              <w:rPr>
                <w:rFonts w:eastAsia="Calibri"/>
                <w:sz w:val="20"/>
                <w:szCs w:val="20"/>
              </w:rPr>
              <w:t>Наименование критерия оценки</w:t>
            </w:r>
          </w:p>
        </w:tc>
        <w:tc>
          <w:tcPr>
            <w:tcW w:w="1305"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hanging="0" w:left="0"/>
              <w:jc w:val="center"/>
              <w:rPr>
                <w:rFonts w:eastAsia="Calibri"/>
                <w:sz w:val="20"/>
                <w:szCs w:val="20"/>
              </w:rPr>
            </w:pPr>
            <w:r>
              <w:rPr>
                <w:rFonts w:eastAsia="Calibri"/>
                <w:sz w:val="20"/>
                <w:szCs w:val="20"/>
              </w:rPr>
              <w:t>Значимость критерия оценки</w:t>
            </w:r>
          </w:p>
        </w:tc>
        <w:tc>
          <w:tcPr>
            <w:tcW w:w="2099"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hanging="0" w:left="0"/>
              <w:jc w:val="center"/>
              <w:rPr>
                <w:rFonts w:eastAsia="Calibri"/>
                <w:sz w:val="20"/>
                <w:szCs w:val="20"/>
              </w:rPr>
            </w:pPr>
            <w:r>
              <w:rPr>
                <w:rFonts w:eastAsia="Calibri"/>
                <w:sz w:val="20"/>
                <w:szCs w:val="20"/>
              </w:rPr>
              <w:t>Содержание частного критерия оценки</w:t>
            </w:r>
          </w:p>
        </w:tc>
        <w:tc>
          <w:tcPr>
            <w:tcW w:w="6465" w:type="dxa"/>
            <w:vMerge w:val="restart"/>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hanging="0" w:left="0"/>
              <w:jc w:val="center"/>
              <w:rPr>
                <w:rFonts w:eastAsia="Calibri"/>
                <w:sz w:val="20"/>
                <w:szCs w:val="20"/>
              </w:rPr>
            </w:pPr>
            <w:r>
              <w:rPr>
                <w:rFonts w:eastAsia="Calibri"/>
                <w:sz w:val="20"/>
                <w:szCs w:val="20"/>
              </w:rPr>
              <w:t>Расчёт оценки предпочтительности заявки</w:t>
            </w:r>
          </w:p>
        </w:tc>
      </w:tr>
      <w:tr>
        <w:trPr>
          <w:cantSplit w:val="true"/>
        </w:trPr>
        <w:tc>
          <w:tcPr>
            <w:tcW w:w="850"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hanging="0" w:left="0"/>
              <w:jc w:val="center"/>
              <w:rPr>
                <w:rFonts w:eastAsia="Calibri"/>
                <w:color w:val="FF0000"/>
                <w:sz w:val="20"/>
              </w:rPr>
            </w:pPr>
            <w:r>
              <w:rPr>
                <w:rFonts w:eastAsia="Calibri"/>
                <w:color w:val="FF0000"/>
                <w:sz w:val="20"/>
              </w:rPr>
            </w:r>
          </w:p>
        </w:tc>
        <w:tc>
          <w:tcPr>
            <w:tcW w:w="1415"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hanging="0" w:left="0"/>
              <w:jc w:val="center"/>
              <w:rPr>
                <w:rFonts w:eastAsia="Calibri"/>
                <w:color w:val="FF0000"/>
                <w:sz w:val="20"/>
              </w:rPr>
            </w:pPr>
            <w:r>
              <w:rPr>
                <w:rFonts w:eastAsia="Calibri"/>
                <w:color w:val="FF0000"/>
                <w:sz w:val="20"/>
              </w:rPr>
            </w:r>
          </w:p>
        </w:tc>
        <w:tc>
          <w:tcPr>
            <w:tcW w:w="1470" w:type="dxa"/>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hanging="0" w:left="0"/>
              <w:jc w:val="center"/>
              <w:rPr>
                <w:rFonts w:eastAsia="Calibri"/>
                <w:sz w:val="20"/>
                <w:szCs w:val="20"/>
              </w:rPr>
            </w:pPr>
            <w:r>
              <w:rPr>
                <w:rFonts w:eastAsia="Calibri"/>
                <w:sz w:val="20"/>
                <w:szCs w:val="20"/>
              </w:rPr>
              <w:t>критерий оценки первого уровня</w:t>
            </w:r>
          </w:p>
        </w:tc>
        <w:tc>
          <w:tcPr>
            <w:tcW w:w="1530" w:type="dxa"/>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hanging="0" w:left="0"/>
              <w:jc w:val="center"/>
              <w:rPr>
                <w:rFonts w:eastAsia="Calibri"/>
                <w:sz w:val="20"/>
                <w:szCs w:val="20"/>
              </w:rPr>
            </w:pPr>
            <w:r>
              <w:rPr>
                <w:rFonts w:eastAsia="Calibri"/>
                <w:sz w:val="20"/>
                <w:szCs w:val="20"/>
              </w:rPr>
              <w:t>критерий оценки второго уровня</w:t>
            </w:r>
          </w:p>
        </w:tc>
        <w:tc>
          <w:tcPr>
            <w:tcW w:w="1305"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hanging="0" w:left="0"/>
              <w:jc w:val="center"/>
              <w:rPr>
                <w:rFonts w:eastAsia="Calibri"/>
                <w:color w:val="FF0000"/>
                <w:sz w:val="20"/>
              </w:rPr>
            </w:pPr>
            <w:r>
              <w:rPr>
                <w:rFonts w:eastAsia="Calibri"/>
                <w:color w:val="FF0000"/>
                <w:sz w:val="20"/>
              </w:rPr>
            </w:r>
          </w:p>
        </w:tc>
        <w:tc>
          <w:tcPr>
            <w:tcW w:w="2099"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hanging="0" w:left="0"/>
              <w:jc w:val="center"/>
              <w:rPr>
                <w:rFonts w:eastAsia="Calibri"/>
                <w:color w:val="FF0000"/>
                <w:sz w:val="20"/>
              </w:rPr>
            </w:pPr>
            <w:r>
              <w:rPr>
                <w:rFonts w:eastAsia="Calibri"/>
                <w:color w:val="FF0000"/>
                <w:sz w:val="20"/>
              </w:rPr>
            </w:r>
          </w:p>
        </w:tc>
        <w:tc>
          <w:tcPr>
            <w:tcW w:w="6465" w:type="dxa"/>
            <w:vMerge w:val="continue"/>
            <w:tcBorders>
              <w:top w:val="single" w:sz="4" w:space="0" w:color="000000"/>
              <w:left w:val="single" w:sz="4" w:space="0" w:color="000000"/>
              <w:bottom w:val="single" w:sz="4" w:space="0" w:color="000000"/>
              <w:right w:val="single" w:sz="4" w:space="0" w:color="000000"/>
            </w:tcBorders>
            <w:shd w:color="FFFFFF" w:fill="D5DCE4" w:val="clear"/>
          </w:tcPr>
          <w:p>
            <w:pPr>
              <w:pStyle w:val="Normal"/>
              <w:keepNext w:val="true"/>
              <w:widowControl w:val="false"/>
              <w:numPr>
                <w:ilvl w:val="0"/>
                <w:numId w:val="0"/>
              </w:numPr>
              <w:spacing w:lineRule="auto" w:line="240" w:before="40" w:after="40"/>
              <w:ind w:hanging="0" w:left="0"/>
              <w:jc w:val="center"/>
              <w:rPr>
                <w:rFonts w:eastAsia="Calibri"/>
                <w:color w:val="FF0000"/>
                <w:sz w:val="20"/>
              </w:rPr>
            </w:pPr>
            <w:r>
              <w:rPr>
                <w:rFonts w:eastAsia="Calibri"/>
                <w:color w:val="FF0000"/>
                <w:sz w:val="20"/>
              </w:rPr>
            </w:r>
          </w:p>
        </w:tc>
      </w:tr>
      <w:tr>
        <w:trPr>
          <w:trHeight w:val="4123" w:hRule="atLeast"/>
        </w:trPr>
        <w:tc>
          <w:tcPr>
            <w:tcW w:w="85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hanging="0" w:left="0"/>
              <w:jc w:val="center"/>
              <w:rPr>
                <w:rFonts w:eastAsia="Calibri"/>
                <w:sz w:val="20"/>
                <w:szCs w:val="20"/>
              </w:rPr>
            </w:pPr>
            <w:r>
              <w:rPr>
                <w:rFonts w:eastAsia="Calibri"/>
                <w:sz w:val="20"/>
                <w:szCs w:val="20"/>
              </w:rPr>
              <w:t>1.</w:t>
            </w:r>
          </w:p>
        </w:tc>
        <w:tc>
          <w:tcPr>
            <w:tcW w:w="141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Autospacing="0" w:after="0"/>
              <w:ind w:hanging="0" w:left="0"/>
              <w:jc w:val="center"/>
              <w:rPr>
                <w:rFonts w:eastAsia="Calibri"/>
                <w:sz w:val="20"/>
                <w:szCs w:val="20"/>
              </w:rPr>
            </w:pPr>
            <w:r>
              <w:rPr>
                <w:sz w:val="20"/>
                <w:szCs w:val="20"/>
              </w:rPr>
              <w:t>Ценовой (стоимостный) частный критерий оценки первого уровня / ЦЕНА</w:t>
            </w:r>
          </w:p>
        </w:tc>
        <w:tc>
          <w:tcPr>
            <w:tcW w:w="1470" w:type="dxa"/>
            <w:tcBorders>
              <w:top w:val="single" w:sz="4" w:space="0" w:color="000000"/>
              <w:left w:val="single" w:sz="4" w:space="0" w:color="000000"/>
              <w:bottom w:val="single" w:sz="4" w:space="0" w:color="000000"/>
              <w:right w:val="single" w:sz="4" w:space="0" w:color="000000"/>
            </w:tcBorders>
            <w:shd w:color="FFFFFF" w:fill="FFFFFF" w:val="clear"/>
          </w:tcPr>
          <w:p>
            <w:pPr>
              <w:pStyle w:val="31"/>
              <w:widowControl w:val="false"/>
              <w:numPr>
                <w:ilvl w:val="7"/>
                <w:numId w:val="27"/>
              </w:numPr>
              <w:tabs>
                <w:tab w:val="clear" w:pos="708"/>
                <w:tab w:val="left" w:pos="1440" w:leader="none"/>
                <w:tab w:val="left" w:pos="2880" w:leader="none"/>
              </w:tabs>
              <w:spacing w:lineRule="auto" w:line="240" w:before="0" w:after="0"/>
              <w:ind w:hanging="0" w:left="0" w:right="0"/>
              <w:contextualSpacing/>
              <w:jc w:val="center"/>
              <w:rPr>
                <w:rFonts w:ascii="Times New Roman" w:hAnsi="Times New Roman"/>
                <w:sz w:val="20"/>
                <w:szCs w:val="20"/>
              </w:rPr>
            </w:pPr>
            <w:r>
              <w:rPr>
                <w:sz w:val="20"/>
                <w:szCs w:val="20"/>
              </w:rPr>
              <w:t>Цена договора (стоимость заявки)</w:t>
            </w:r>
          </w:p>
          <w:p>
            <w:pPr>
              <w:pStyle w:val="31"/>
              <w:widowControl w:val="false"/>
              <w:numPr>
                <w:ilvl w:val="7"/>
                <w:numId w:val="21"/>
              </w:numPr>
              <w:spacing w:lineRule="auto" w:line="240" w:before="40" w:after="40"/>
              <w:ind w:hanging="0" w:left="0" w:right="0"/>
              <w:jc w:val="center"/>
              <w:rPr>
                <w:sz w:val="18"/>
                <w:szCs w:val="18"/>
              </w:rPr>
            </w:pPr>
            <w:r>
              <w:rPr>
                <w:sz w:val="18"/>
                <w:szCs w:val="18"/>
              </w:rPr>
            </w:r>
          </w:p>
          <w:p>
            <w:pPr>
              <w:pStyle w:val="Normal"/>
              <w:widowControl w:val="false"/>
              <w:numPr>
                <w:ilvl w:val="0"/>
                <w:numId w:val="0"/>
              </w:numPr>
              <w:spacing w:lineRule="auto" w:line="240" w:beforeAutospacing="0" w:before="0" w:afterAutospacing="0" w:after="0"/>
              <w:ind w:hanging="0" w:left="0"/>
              <w:jc w:val="center"/>
              <w:rPr>
                <w:rFonts w:eastAsia="Calibri"/>
                <w:sz w:val="20"/>
                <w:szCs w:val="20"/>
              </w:rPr>
            </w:pPr>
            <w:r>
              <w:rPr>
                <w:rFonts w:eastAsia="Calibri"/>
                <w:sz w:val="20"/>
                <w:szCs w:val="20"/>
              </w:rPr>
            </w:r>
          </w:p>
        </w:tc>
        <w:tc>
          <w:tcPr>
            <w:tcW w:w="153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Autospacing="0" w:after="0"/>
              <w:ind w:hanging="0" w:left="0"/>
              <w:jc w:val="center"/>
              <w:rPr>
                <w:rFonts w:eastAsia="Calibri"/>
                <w:bCs/>
                <w:i/>
                <w:i/>
                <w:sz w:val="20"/>
                <w:szCs w:val="20"/>
                <w:highlight w:val="none"/>
              </w:rPr>
            </w:pPr>
            <w:r>
              <w:rPr>
                <w:rFonts w:eastAsia="Calibri"/>
                <w:i/>
                <w:sz w:val="20"/>
                <w:szCs w:val="20"/>
              </w:rPr>
              <w:t>отсутствует</w:t>
            </w:r>
          </w:p>
          <w:p>
            <w:pPr>
              <w:pStyle w:val="Normal"/>
              <w:widowControl w:val="false"/>
              <w:numPr>
                <w:ilvl w:val="0"/>
                <w:numId w:val="0"/>
              </w:numPr>
              <w:spacing w:lineRule="auto" w:line="240" w:beforeAutospacing="0" w:before="0" w:afterAutospacing="0" w:after="0"/>
              <w:ind w:hanging="0" w:left="0"/>
              <w:jc w:val="center"/>
              <w:rPr>
                <w:rFonts w:eastAsia="Calibri"/>
                <w:bCs/>
                <w:i/>
                <w:i/>
                <w:sz w:val="20"/>
                <w:szCs w:val="20"/>
              </w:rPr>
            </w:pPr>
            <w:r>
              <w:rPr>
                <w:rFonts w:eastAsia="Calibri"/>
                <w:bCs/>
                <w:i/>
                <w:sz w:val="20"/>
                <w:szCs w:val="20"/>
              </w:rPr>
            </w:r>
          </w:p>
        </w:tc>
        <w:tc>
          <w:tcPr>
            <w:tcW w:w="130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119" w:afterAutospacing="0" w:after="0"/>
              <w:ind w:hanging="0" w:left="0"/>
              <w:jc w:val="center"/>
              <w:rPr/>
            </w:pPr>
            <w:r>
              <w:rPr>
                <w:rFonts w:eastAsia="Times New Roman" w:cs="Times New Roman"/>
                <w:sz w:val="20"/>
                <w:szCs w:val="20"/>
              </w:rPr>
              <w:t>90%</w:t>
              <w:br/>
              <w:t>(В</w:t>
            </w:r>
            <w:r>
              <w:rPr>
                <w:rFonts w:eastAsia="Times New Roman" w:cs="Times New Roman"/>
                <w:sz w:val="20"/>
                <w:szCs w:val="20"/>
                <w:vertAlign w:val="subscript"/>
              </w:rPr>
              <w:t>1</w:t>
            </w:r>
            <w:r>
              <w:rPr>
                <w:rFonts w:eastAsia="Times New Roman" w:cs="Times New Roman"/>
                <w:sz w:val="20"/>
                <w:szCs w:val="20"/>
              </w:rPr>
              <w:t xml:space="preserve"> = 0,90)</w:t>
            </w:r>
          </w:p>
        </w:tc>
        <w:tc>
          <w:tcPr>
            <w:tcW w:w="2099" w:type="dxa"/>
            <w:tcBorders>
              <w:top w:val="single" w:sz="4" w:space="0" w:color="000000"/>
              <w:left w:val="single" w:sz="4" w:space="0" w:color="000000"/>
              <w:bottom w:val="single" w:sz="4" w:space="0" w:color="000000"/>
              <w:right w:val="single" w:sz="4" w:space="0" w:color="000000"/>
            </w:tcBorders>
            <w:shd w:color="FFFFFF" w:fill="FFFFFF" w:val="clear"/>
          </w:tcPr>
          <w:p>
            <w:pPr>
              <w:pStyle w:val="31"/>
              <w:widowControl w:val="false"/>
              <w:numPr>
                <w:ilvl w:val="7"/>
                <w:numId w:val="20"/>
              </w:numPr>
              <w:spacing w:lineRule="auto" w:line="240" w:beforeAutospacing="0" w:before="0" w:afterAutospacing="0" w:after="0"/>
              <w:ind w:hanging="0" w:left="0" w:right="0"/>
              <w:jc w:val="center"/>
              <w:rPr>
                <w:sz w:val="18"/>
                <w:szCs w:val="18"/>
              </w:rPr>
            </w:pPr>
            <w:r>
              <w:rPr>
                <w:sz w:val="20"/>
                <w:szCs w:val="20"/>
              </w:rPr>
              <w:t>Чем меньше стоимость заявки Участника, тем выше предпочтительность</w:t>
            </w:r>
          </w:p>
          <w:p>
            <w:pPr>
              <w:pStyle w:val="Normal"/>
              <w:widowControl w:val="false"/>
              <w:numPr>
                <w:ilvl w:val="0"/>
                <w:numId w:val="0"/>
              </w:numPr>
              <w:spacing w:lineRule="auto" w:line="240" w:beforeAutospacing="0" w:before="0" w:afterAutospacing="0" w:after="0"/>
              <w:ind w:hanging="0" w:left="0"/>
              <w:jc w:val="center"/>
              <w:rPr>
                <w:rFonts w:eastAsia="Calibri"/>
                <w:sz w:val="20"/>
                <w:szCs w:val="20"/>
              </w:rPr>
            </w:pPr>
            <w:r>
              <w:rPr>
                <w:rFonts w:eastAsia="Calibri"/>
                <w:sz w:val="20"/>
                <w:szCs w:val="20"/>
              </w:rPr>
            </w:r>
          </w:p>
        </w:tc>
        <w:tc>
          <w:tcPr>
            <w:tcW w:w="646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Autospacing="0" w:after="0"/>
              <w:ind w:hanging="0" w:left="0"/>
              <w:jc w:val="both"/>
              <w:rPr>
                <w:rFonts w:eastAsia="Calibri"/>
                <w:sz w:val="20"/>
                <w:szCs w:val="20"/>
              </w:rPr>
            </w:pPr>
            <w:r>
              <w:rPr>
                <w:rFonts w:eastAsia="Calibri"/>
                <w:sz w:val="20"/>
                <w:szCs w:val="20"/>
              </w:rPr>
              <w:t>Расчет оценки предпочтительности по частному критерию по методу «Математическая формула, задающая «функцию ценности»:</w:t>
            </w:r>
          </w:p>
          <w:p>
            <w:pPr>
              <w:pStyle w:val="Normal"/>
              <w:widowControl w:val="false"/>
              <w:numPr>
                <w:ilvl w:val="0"/>
                <w:numId w:val="0"/>
              </w:numPr>
              <w:spacing w:lineRule="auto" w:line="240" w:beforeAutospacing="0" w:before="0" w:afterAutospacing="0" w:after="0"/>
              <w:ind w:hanging="0" w:left="0"/>
              <w:jc w:val="center"/>
              <w:rPr>
                <w:rFonts w:eastAsia="Calibri"/>
                <w:sz w:val="20"/>
                <w:szCs w:val="20"/>
              </w:rPr>
            </w:pPr>
            <w:r>
              <w:rPr/>
            </w:r>
            <m:oMathPara xmlns:m="http://schemas.openxmlformats.org/officeDocument/2006/math">
              <m:oMathParaPr>
                <m:jc m:val="center"/>
              </m:oMathParaPr>
              <m:oMath>
                <m:sSub>
                  <m:e>
                    <m:r>
                      <w:rPr>
                        <w:rFonts w:ascii="Cambria Math" w:hAnsi="Cambria Math"/>
                      </w:rPr>
                      <m:t xml:space="preserve">Б</m:t>
                    </m:r>
                  </m:e>
                  <m:sub>
                    <m:r>
                      <w:rPr>
                        <w:rFonts w:ascii="Cambria Math" w:hAnsi="Cambria Math"/>
                      </w:rPr>
                      <m:t xml:space="preserve">1</m:t>
                    </m:r>
                  </m:sub>
                </m:sSub>
                <m:r>
                  <w:rPr>
                    <w:rFonts w:ascii="Cambria Math" w:hAnsi="Cambria Math"/>
                  </w:rPr>
                  <m:t xml:space="preserve">=</m:t>
                </m:r>
                <m:f>
                  <m:num>
                    <m:r>
                      <w:rPr>
                        <w:rFonts w:ascii="Cambria Math" w:hAnsi="Cambria Math"/>
                      </w:rPr>
                      <m:t xml:space="preserve">ЦЕНА</m:t>
                    </m:r>
                    <m:r>
                      <w:rPr>
                        <w:rFonts w:ascii="Cambria Math" w:hAnsi="Cambria Math"/>
                      </w:rPr>
                      <m:t xml:space="preserve">min</m:t>
                    </m:r>
                  </m:num>
                  <m:den>
                    <m:r>
                      <w:rPr>
                        <w:rFonts w:ascii="Cambria Math" w:hAnsi="Cambria Math"/>
                      </w:rPr>
                      <m:t xml:space="preserve">ЦЕНА</m:t>
                    </m:r>
                    <m:r>
                      <w:rPr>
                        <w:rFonts w:ascii="Cambria Math" w:hAnsi="Cambria Math"/>
                      </w:rPr>
                      <m:t xml:space="preserve">i</m:t>
                    </m:r>
                  </m:den>
                </m:f>
                <m:r>
                  <w:rPr>
                    <w:rFonts w:ascii="Cambria Math" w:hAnsi="Cambria Math"/>
                  </w:rPr>
                  <m:t xml:space="preserve">×</m:t>
                </m:r>
                <m:r>
                  <w:rPr>
                    <w:rFonts w:ascii="Cambria Math" w:hAnsi="Cambria Math"/>
                  </w:rPr>
                  <m:t xml:space="preserve">Ш</m:t>
                </m:r>
                <m:r>
                  <w:rPr>
                    <w:rFonts w:ascii="Cambria Math" w:hAnsi="Cambria Math"/>
                  </w:rPr>
                  <m:t xml:space="preserve">,</m:t>
                </m:r>
              </m:oMath>
            </m:oMathPara>
          </w:p>
          <w:p>
            <w:pPr>
              <w:pStyle w:val="Normal"/>
              <w:keepNext w:val="true"/>
              <w:widowControl w:val="false"/>
              <w:numPr>
                <w:ilvl w:val="0"/>
                <w:numId w:val="0"/>
              </w:numPr>
              <w:spacing w:lineRule="auto" w:line="240" w:beforeAutospacing="0" w:before="0" w:afterAutospacing="0" w:after="0"/>
              <w:ind w:hanging="0" w:left="0"/>
              <w:jc w:val="both"/>
              <w:rPr>
                <w:rFonts w:eastAsia="Calibri"/>
                <w:sz w:val="20"/>
                <w:szCs w:val="20"/>
              </w:rPr>
            </w:pPr>
            <w:r>
              <w:rPr>
                <w:rFonts w:eastAsia="Calibri"/>
                <w:sz w:val="20"/>
                <w:szCs w:val="20"/>
              </w:rPr>
              <w:t>где:</w:t>
            </w:r>
          </w:p>
          <w:p>
            <w:pPr>
              <w:pStyle w:val="Normal"/>
              <w:widowControl w:val="false"/>
              <w:numPr>
                <w:ilvl w:val="0"/>
                <w:numId w:val="0"/>
              </w:numPr>
              <w:spacing w:lineRule="auto" w:line="240" w:beforeAutospacing="0" w:before="0" w:afterAutospacing="0" w:after="0"/>
              <w:ind w:hanging="0" w:left="0"/>
              <w:jc w:val="both"/>
              <w:rPr>
                <w:rFonts w:eastAsia="Calibri"/>
                <w:sz w:val="20"/>
                <w:szCs w:val="20"/>
              </w:rPr>
            </w:pPr>
            <w:r>
              <w:rPr>
                <w:rFonts w:eastAsia="Calibri"/>
                <w:sz w:val="20"/>
                <w:szCs w:val="20"/>
                <w:lang w:eastAsia="en-US"/>
              </w:rPr>
              <w:t>Б</w:t>
            </w:r>
            <w:r>
              <w:rPr>
                <w:rFonts w:eastAsia="Calibri"/>
                <w:sz w:val="20"/>
                <w:szCs w:val="20"/>
                <w:vertAlign w:val="subscript"/>
                <w:lang w:eastAsia="en-US"/>
              </w:rPr>
              <w:t>1</w:t>
            </w:r>
            <w:r>
              <w:rPr>
                <w:rFonts w:eastAsia="Calibri"/>
                <w:sz w:val="20"/>
                <w:szCs w:val="20"/>
                <w:lang w:eastAsia="en-US"/>
              </w:rPr>
              <w:t xml:space="preserve"> – рассчитанная оценка предпочтительности по частному критерию оценки в баллах;</w:t>
            </w:r>
          </w:p>
          <w:p>
            <w:pPr>
              <w:pStyle w:val="Normal"/>
              <w:widowControl w:val="false"/>
              <w:numPr>
                <w:ilvl w:val="0"/>
                <w:numId w:val="0"/>
              </w:numPr>
              <w:spacing w:lineRule="auto" w:line="240" w:beforeAutospacing="0" w:before="0" w:afterAutospacing="0" w:after="0"/>
              <w:ind w:hanging="0" w:left="0"/>
              <w:jc w:val="both"/>
              <w:rPr>
                <w:rFonts w:eastAsia="Calibri"/>
                <w:sz w:val="20"/>
                <w:szCs w:val="20"/>
              </w:rPr>
            </w:pPr>
            <w:r>
              <w:rPr>
                <w:rFonts w:eastAsia="Calibri"/>
                <w:sz w:val="20"/>
                <w:szCs w:val="20"/>
                <w:lang w:eastAsia="en-US"/>
              </w:rPr>
              <w:t>ЦЕНА</w:t>
            </w:r>
            <w:r>
              <w:rPr>
                <w:rFonts w:eastAsia="Calibri"/>
                <w:i/>
                <w:iCs/>
                <w:sz w:val="20"/>
                <w:szCs w:val="20"/>
                <w:vertAlign w:val="subscript"/>
                <w:lang w:val="en-US" w:eastAsia="en-US"/>
              </w:rPr>
              <w:t>i</w:t>
            </w:r>
            <w:r>
              <w:rPr>
                <w:rFonts w:eastAsia="Calibri"/>
                <w:sz w:val="20"/>
                <w:szCs w:val="20"/>
                <w:lang w:eastAsia="en-US"/>
              </w:rPr>
              <w:t>  – цена коммерческого предложения (без НДС), указанная в заявке допущенного участника;</w:t>
            </w:r>
          </w:p>
          <w:p>
            <w:pPr>
              <w:pStyle w:val="Normal"/>
              <w:widowControl w:val="false"/>
              <w:numPr>
                <w:ilvl w:val="0"/>
                <w:numId w:val="0"/>
              </w:numPr>
              <w:spacing w:lineRule="auto" w:line="240" w:beforeAutospacing="0" w:before="0" w:afterAutospacing="0" w:after="0"/>
              <w:ind w:hanging="0" w:left="0"/>
              <w:jc w:val="both"/>
              <w:rPr>
                <w:rFonts w:eastAsia="Calibri"/>
                <w:sz w:val="20"/>
                <w:szCs w:val="20"/>
              </w:rPr>
            </w:pPr>
            <w:r>
              <w:rPr>
                <w:rFonts w:eastAsia="Calibri"/>
                <w:sz w:val="20"/>
                <w:szCs w:val="20"/>
                <w:lang w:eastAsia="en-US"/>
              </w:rPr>
              <w:t>ЦЕНА</w:t>
            </w:r>
            <w:r>
              <w:rPr>
                <w:rFonts w:eastAsia="Calibri"/>
                <w:sz w:val="20"/>
                <w:szCs w:val="20"/>
                <w:vertAlign w:val="subscript"/>
                <w:lang w:val="en-US" w:eastAsia="en-US"/>
              </w:rPr>
              <w:t>min</w:t>
            </w:r>
            <w:r>
              <w:rPr>
                <w:rFonts w:eastAsia="Calibri"/>
                <w:sz w:val="20"/>
                <w:szCs w:val="20"/>
                <w:vertAlign w:val="subscript"/>
                <w:lang w:eastAsia="en-US"/>
              </w:rPr>
              <w:t xml:space="preserve"> </w:t>
            </w:r>
            <w:r>
              <w:rPr>
                <w:rFonts w:eastAsia="Calibri"/>
                <w:sz w:val="20"/>
                <w:szCs w:val="20"/>
                <w:lang w:eastAsia="en-US"/>
              </w:rPr>
              <w:t>– минимальная цена коммерческого предложения (без НДС) среди всех допущенных заявок участников;</w:t>
            </w:r>
          </w:p>
          <w:p>
            <w:pPr>
              <w:pStyle w:val="Normal"/>
              <w:widowControl w:val="false"/>
              <w:numPr>
                <w:ilvl w:val="0"/>
                <w:numId w:val="0"/>
              </w:numPr>
              <w:spacing w:lineRule="auto" w:line="240" w:beforeAutospacing="0" w:before="0" w:afterAutospacing="0" w:after="0"/>
              <w:ind w:hanging="0" w:left="0"/>
              <w:jc w:val="both"/>
              <w:rPr>
                <w:rFonts w:eastAsia="Calibri"/>
                <w:sz w:val="20"/>
                <w:szCs w:val="20"/>
              </w:rPr>
            </w:pPr>
            <w:r>
              <w:rPr>
                <w:rFonts w:eastAsia="Calibri"/>
                <w:sz w:val="20"/>
                <w:szCs w:val="20"/>
                <w:lang w:eastAsia="en-US"/>
              </w:rPr>
              <w:t>Ш – максимально возможный балл (максимальная возможная оценка предпочтительности) по установленной в документации о закупке шкале оценок (Ш = 5).</w:t>
            </w:r>
          </w:p>
          <w:p>
            <w:pPr>
              <w:pStyle w:val="Normal"/>
              <w:widowControl w:val="false"/>
              <w:numPr>
                <w:ilvl w:val="0"/>
                <w:numId w:val="0"/>
              </w:numPr>
              <w:spacing w:lineRule="auto" w:line="240" w:beforeAutospacing="0" w:before="0" w:afterAutospacing="0" w:after="0"/>
              <w:ind w:hanging="0" w:left="0"/>
              <w:jc w:val="both"/>
              <w:rPr>
                <w:rFonts w:eastAsia="Calibri"/>
                <w:sz w:val="20"/>
                <w:szCs w:val="20"/>
              </w:rPr>
            </w:pPr>
            <w:r>
              <w:rPr>
                <w:rFonts w:eastAsia="Calibri"/>
                <w:sz w:val="20"/>
                <w:szCs w:val="20"/>
                <w:lang w:eastAsia="en-US"/>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p>
          <w:p>
            <w:pPr>
              <w:pStyle w:val="Normal"/>
              <w:widowControl w:val="false"/>
              <w:spacing w:beforeAutospacing="0" w:before="0" w:afterAutospacing="0" w:after="0"/>
              <w:ind w:hanging="0"/>
              <w:jc w:val="both"/>
              <w:rPr>
                <w:rFonts w:eastAsia="Calibri"/>
                <w:sz w:val="20"/>
                <w:szCs w:val="20"/>
              </w:rPr>
            </w:pPr>
            <w:r>
              <w:rPr>
                <w:rFonts w:eastAsia="Calibri"/>
                <w:b/>
                <w:bCs/>
                <w:sz w:val="20"/>
                <w:szCs w:val="20"/>
                <w:lang w:eastAsia="en-US"/>
              </w:rPr>
              <w:t>Шкала оценок от 0 до 5 баллов.</w:t>
            </w:r>
          </w:p>
        </w:tc>
      </w:tr>
      <w:tr>
        <w:trPr>
          <w:trHeight w:val="1125" w:hRule="atLeast"/>
        </w:trPr>
        <w:tc>
          <w:tcPr>
            <w:tcW w:w="85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hanging="0" w:left="0"/>
              <w:jc w:val="center"/>
              <w:rPr>
                <w:rFonts w:eastAsia="Calibri"/>
                <w:sz w:val="20"/>
                <w:szCs w:val="20"/>
              </w:rPr>
            </w:pPr>
            <w:r>
              <w:rPr>
                <w:rFonts w:eastAsia="Calibri"/>
                <w:sz w:val="20"/>
                <w:szCs w:val="20"/>
              </w:rPr>
              <w:t>2.</w:t>
            </w:r>
          </w:p>
        </w:tc>
        <w:tc>
          <w:tcPr>
            <w:tcW w:w="141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spacing w:before="0" w:after="0"/>
              <w:jc w:val="center"/>
              <w:rPr>
                <w:rFonts w:eastAsia="Calibri" w:cs="Times New Roman"/>
                <w:sz w:val="20"/>
                <w:szCs w:val="20"/>
              </w:rPr>
            </w:pPr>
            <w:r>
              <w:rPr>
                <w:sz w:val="20"/>
                <w:szCs w:val="20"/>
              </w:rPr>
              <w:t>Неценовой критерий оценки первого уровня / ТЕХ</w:t>
            </w:r>
          </w:p>
          <w:p>
            <w:pPr>
              <w:pStyle w:val="Normal"/>
              <w:widowControl w:val="false"/>
              <w:numPr>
                <w:ilvl w:val="0"/>
                <w:numId w:val="0"/>
              </w:numPr>
              <w:spacing w:lineRule="auto" w:line="240"/>
              <w:ind w:hanging="0" w:left="0"/>
              <w:jc w:val="center"/>
              <w:rPr>
                <w:rFonts w:eastAsia="Calibri"/>
                <w:sz w:val="20"/>
                <w:szCs w:val="20"/>
              </w:rPr>
            </w:pPr>
            <w:r>
              <w:rPr>
                <w:rFonts w:eastAsia="Calibri"/>
                <w:sz w:val="20"/>
                <w:szCs w:val="20"/>
              </w:rPr>
            </w:r>
          </w:p>
        </w:tc>
        <w:tc>
          <w:tcPr>
            <w:tcW w:w="147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hanging="0" w:left="0"/>
              <w:jc w:val="center"/>
              <w:rPr>
                <w:rFonts w:eastAsia="Calibri"/>
                <w:sz w:val="20"/>
                <w:szCs w:val="20"/>
              </w:rPr>
            </w:pPr>
            <w:r>
              <w:rPr>
                <w:sz w:val="20"/>
                <w:szCs w:val="20"/>
              </w:rPr>
              <w:t>Квалификация (предпочтительность) участника</w:t>
            </w:r>
          </w:p>
        </w:tc>
        <w:tc>
          <w:tcPr>
            <w:tcW w:w="153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Autospacing="0" w:before="0" w:after="0"/>
              <w:ind w:hanging="0" w:left="0"/>
              <w:jc w:val="center"/>
              <w:rPr>
                <w:rFonts w:eastAsia="Calibri"/>
                <w:sz w:val="20"/>
                <w:szCs w:val="20"/>
              </w:rPr>
            </w:pPr>
            <w:r>
              <w:rPr>
                <w:rFonts w:eastAsia="Calibri"/>
                <w:i/>
                <w:sz w:val="20"/>
                <w:szCs w:val="20"/>
              </w:rPr>
              <w:t>отсутствует</w:t>
            </w:r>
            <w:r>
              <w:rPr>
                <w:sz w:val="20"/>
                <w:szCs w:val="20"/>
              </w:rPr>
              <w:t xml:space="preserve"> </w:t>
            </w:r>
          </w:p>
        </w:tc>
        <w:tc>
          <w:tcPr>
            <w:tcW w:w="130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19" w:after="0"/>
              <w:ind w:hanging="0" w:left="0"/>
              <w:jc w:val="center"/>
              <w:rPr/>
            </w:pPr>
            <w:r>
              <w:rPr>
                <w:rFonts w:eastAsia="Times New Roman" w:cs="Times New Roman"/>
                <w:sz w:val="20"/>
                <w:szCs w:val="20"/>
              </w:rPr>
              <w:t>5%</w:t>
              <w:br/>
              <w:t>(В</w:t>
            </w:r>
            <w:r>
              <w:rPr>
                <w:rFonts w:eastAsia="Times New Roman" w:cs="Times New Roman"/>
                <w:sz w:val="20"/>
                <w:szCs w:val="20"/>
                <w:vertAlign w:val="subscript"/>
              </w:rPr>
              <w:t>2</w:t>
            </w:r>
            <w:r>
              <w:rPr>
                <w:rFonts w:eastAsia="Times New Roman" w:cs="Times New Roman"/>
                <w:sz w:val="20"/>
                <w:szCs w:val="20"/>
              </w:rPr>
              <w:t xml:space="preserve"> = 0,05)</w:t>
            </w:r>
          </w:p>
        </w:tc>
        <w:tc>
          <w:tcPr>
            <w:tcW w:w="2099"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keepNext w:val="true"/>
              <w:keepLines/>
              <w:widowControl w:val="false"/>
              <w:numPr>
                <w:ilvl w:val="0"/>
                <w:numId w:val="0"/>
              </w:numPr>
              <w:spacing w:beforeAutospacing="0" w:before="0" w:afterAutospacing="0" w:after="0"/>
              <w:ind w:hanging="0" w:left="0"/>
              <w:jc w:val="center"/>
              <w:rPr>
                <w:rFonts w:ascii="Times New Roman" w:hAnsi="Times New Roman" w:cs="Times New Roman"/>
                <w:b w:val="false"/>
                <w:bCs w:val="false"/>
                <w:sz w:val="20"/>
                <w:szCs w:val="20"/>
              </w:rPr>
            </w:pPr>
            <w:r>
              <w:rPr>
                <w:rFonts w:eastAsia="Times New Roman" w:cs="Times New Roman"/>
                <w:b w:val="false"/>
                <w:bCs w:val="false"/>
                <w:i w:val="false"/>
                <w:iCs w:val="false"/>
                <w:sz w:val="20"/>
                <w:szCs w:val="20"/>
              </w:rPr>
              <w:t>Чем больше опыт выполнения работ</w:t>
            </w:r>
            <w:r>
              <w:rPr>
                <w:rFonts w:eastAsia="Times New Roman" w:cs="Times New Roman"/>
                <w:b w:val="false"/>
                <w:bCs w:val="false"/>
                <w:i w:val="false"/>
                <w:iCs w:val="false"/>
                <w:sz w:val="20"/>
                <w:szCs w:val="20"/>
                <w:highlight w:val="white"/>
                <w:u w:val="none"/>
              </w:rPr>
              <w:t xml:space="preserve"> по</w:t>
            </w:r>
            <w:r>
              <w:rPr>
                <w:rFonts w:eastAsia="Times New Roman" w:cs="Times New Roman"/>
                <w:b w:val="false"/>
                <w:bCs w:val="false"/>
                <w:i w:val="false"/>
                <w:iCs w:val="false"/>
                <w:sz w:val="20"/>
                <w:szCs w:val="20"/>
                <w:highlight w:val="yellow"/>
                <w:u w:val="single"/>
                <w:lang w:eastAsia="ru-RU"/>
              </w:rPr>
              <w:t xml:space="preserve"> покрытию огнезащитным составом </w:t>
            </w:r>
            <w:r>
              <w:rPr>
                <w:rFonts w:eastAsia="Times New Roman" w:cs="Times New Roman"/>
                <w:b w:val="false"/>
                <w:bCs w:val="false"/>
                <w:i w:val="false"/>
                <w:iCs w:val="false"/>
                <w:sz w:val="20"/>
                <w:szCs w:val="20"/>
                <w:highlight w:val="yellow"/>
                <w:u w:val="single"/>
                <w:lang w:eastAsia="ru-RU"/>
              </w:rPr>
              <w:t xml:space="preserve">кабельных трасс/ </w:t>
            </w:r>
            <w:r>
              <w:rPr>
                <w:rFonts w:eastAsia="Times New Roman" w:cs="Times New Roman"/>
                <w:b w:val="false"/>
                <w:bCs w:val="false"/>
                <w:i w:val="false"/>
                <w:iCs w:val="false"/>
                <w:sz w:val="20"/>
                <w:szCs w:val="20"/>
                <w:highlight w:val="yellow"/>
                <w:u w:val="single"/>
                <w:lang w:eastAsia="ru-RU"/>
              </w:rPr>
              <w:t>зданий и сооружений</w:t>
            </w:r>
            <w:r>
              <w:rPr>
                <w:rFonts w:eastAsia="Times New Roman" w:cs="Times New Roman"/>
                <w:b w:val="false"/>
                <w:bCs w:val="false"/>
                <w:i w:val="false"/>
                <w:iCs w:val="false"/>
                <w:sz w:val="20"/>
                <w:szCs w:val="20"/>
              </w:rPr>
              <w:t>, тем выше предпочтительность.</w:t>
            </w:r>
          </w:p>
          <w:p>
            <w:pPr>
              <w:pStyle w:val="Normal"/>
              <w:keepNext w:val="true"/>
              <w:keepLines/>
              <w:widowControl w:val="false"/>
              <w:numPr>
                <w:ilvl w:val="0"/>
                <w:numId w:val="0"/>
              </w:numPr>
              <w:spacing w:before="0" w:after="0"/>
              <w:ind w:hanging="0" w:left="0"/>
              <w:jc w:val="center"/>
              <w:rPr>
                <w:rFonts w:ascii="Times New Roman" w:hAnsi="Times New Roman" w:cs="Times New Roman"/>
                <w:b w:val="false"/>
                <w:bCs w:val="false"/>
                <w:sz w:val="20"/>
                <w:szCs w:val="20"/>
              </w:rPr>
            </w:pPr>
            <w:r>
              <w:rPr>
                <w:rFonts w:cs="Times New Roman"/>
                <w:b w:val="false"/>
                <w:bCs w:val="false"/>
                <w:sz w:val="20"/>
                <w:szCs w:val="20"/>
              </w:rPr>
            </w:r>
          </w:p>
          <w:p>
            <w:pPr>
              <w:pStyle w:val="Normal"/>
              <w:widowControl w:val="false"/>
              <w:numPr>
                <w:ilvl w:val="0"/>
                <w:numId w:val="0"/>
              </w:numPr>
              <w:spacing w:lineRule="auto" w:line="240" w:before="120" w:after="0"/>
              <w:ind w:hanging="0" w:left="0"/>
              <w:contextualSpacing/>
              <w:jc w:val="center"/>
              <w:rPr>
                <w:sz w:val="20"/>
                <w:szCs w:val="20"/>
              </w:rPr>
            </w:pPr>
            <w:r>
              <w:rPr>
                <w:sz w:val="20"/>
                <w:szCs w:val="20"/>
              </w:rPr>
            </w:r>
          </w:p>
        </w:tc>
        <w:tc>
          <w:tcPr>
            <w:tcW w:w="646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spacing w:lineRule="auto" w:line="240" w:beforeAutospacing="0" w:before="0" w:after="0"/>
              <w:ind w:hanging="0"/>
              <w:jc w:val="both"/>
              <w:rPr>
                <w:color w:val="000000" w:themeColor="text1"/>
                <w:sz w:val="20"/>
                <w:szCs w:val="20"/>
              </w:rPr>
            </w:pPr>
            <w:r>
              <w:rPr>
                <w:color w:val="000000" w:themeColor="text1"/>
                <w:sz w:val="20"/>
                <w:szCs w:val="20"/>
              </w:rPr>
              <w:t xml:space="preserve">Расчет оценки предпочтительности по частному критерию по методу «Оценка предпочтительности посредством однозначной числовой шкалы измерений»: </w:t>
            </w:r>
          </w:p>
          <w:p>
            <w:pPr>
              <w:pStyle w:val="31"/>
              <w:keepNext w:val="true"/>
              <w:widowControl w:val="false"/>
              <w:numPr>
                <w:ilvl w:val="7"/>
                <w:numId w:val="19"/>
              </w:numPr>
              <w:spacing w:lineRule="auto" w:line="240" w:beforeAutospacing="0" w:before="0" w:afterAutospacing="0" w:after="0"/>
              <w:ind w:hanging="0" w:left="0" w:right="0"/>
              <w:jc w:val="both"/>
              <w:rPr>
                <w:rFonts w:eastAsia="Times New Roman"/>
                <w:i w:val="false"/>
                <w:i w:val="false"/>
                <w:iCs w:val="false"/>
                <w:color w:val="000000" w:themeColor="text1"/>
                <w:sz w:val="20"/>
                <w:szCs w:val="20"/>
              </w:rPr>
            </w:pPr>
            <w:r>
              <w:rPr>
                <w:rFonts w:eastAsia="Times New Roman"/>
                <w:i w:val="false"/>
                <w:iCs w:val="false"/>
                <w:color w:val="000000" w:themeColor="text1"/>
                <w:sz w:val="20"/>
                <w:szCs w:val="20"/>
                <w:lang w:eastAsia="ru-RU"/>
              </w:rPr>
              <w:t xml:space="preserve">Для целей проведения оценки по данному критерию Участник должен предоставить в составе 2-ой части заявки </w:t>
            </w:r>
            <w:r>
              <w:rPr>
                <w:sz w:val="20"/>
                <w:szCs w:val="20"/>
                <w:lang w:eastAsia="ru-RU"/>
              </w:rPr>
              <w:t>(в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договоров) выполнения работ</w:t>
            </w:r>
            <w:r>
              <w:rPr>
                <w:rFonts w:eastAsia="Calibri"/>
                <w:bCs/>
                <w:color w:val="000000" w:themeColor="text1"/>
                <w:sz w:val="20"/>
                <w:szCs w:val="20"/>
              </w:rPr>
              <w:t xml:space="preserve"> по</w:t>
            </w:r>
            <w:r>
              <w:rPr>
                <w:rFonts w:eastAsia="Calibri" w:cs="Times New Roman"/>
                <w:b w:val="false"/>
                <w:bCs/>
                <w:i w:val="false"/>
                <w:iCs w:val="false"/>
                <w:strike w:val="false"/>
                <w:dstrike w:val="false"/>
                <w:color w:val="000000"/>
                <w:sz w:val="20"/>
                <w:szCs w:val="20"/>
                <w:highlight w:val="yellow"/>
                <w:u w:val="single"/>
                <w:lang w:val="ru-RU" w:eastAsia="ru-RU" w:bidi="ar-SA"/>
              </w:rPr>
              <w:t xml:space="preserve"> покрытию огнезащитным составом  кабельных трасс/ зданий и сооружений </w:t>
            </w:r>
            <w:r>
              <w:rPr>
                <w:rFonts w:eastAsia="Times New Roman"/>
                <w:color w:val="000000" w:themeColor="text1"/>
                <w:sz w:val="20"/>
                <w:szCs w:val="20"/>
                <w:lang w:eastAsia="ru-RU"/>
              </w:rPr>
              <w:t>за последние 5 лет, предшествующих дате подачи заявки Участником, с учетом правоприемственности</w:t>
            </w:r>
            <w:r>
              <w:rPr>
                <w:rFonts w:eastAsia="Times New Roman"/>
                <w:color w:val="000000" w:themeColor="text1"/>
                <w:sz w:val="20"/>
                <w:szCs w:val="20"/>
              </w:rPr>
              <w:t>,</w:t>
            </w:r>
            <w:r>
              <w:rPr>
                <w:rFonts w:eastAsia="Times New Roman"/>
                <w:color w:val="000000" w:themeColor="text1"/>
                <w:sz w:val="20"/>
                <w:szCs w:val="20"/>
                <w:lang w:eastAsia="ru-RU"/>
              </w:rPr>
              <w:t xml:space="preserve"> с</w:t>
            </w:r>
            <w:r>
              <w:rPr>
                <w:rFonts w:eastAsia="Times New Roman"/>
                <w:color w:val="000000" w:themeColor="text1"/>
                <w:sz w:val="20"/>
                <w:szCs w:val="20"/>
                <w:u w:val="single"/>
                <w:lang w:eastAsia="ru-RU"/>
              </w:rPr>
              <w:t xml:space="preserve"> приложением следующих подтверждающих док</w:t>
            </w:r>
            <w:r>
              <w:rPr>
                <w:rFonts w:eastAsia="Times New Roman"/>
                <w:i w:val="false"/>
                <w:iCs w:val="false"/>
                <w:color w:val="000000" w:themeColor="text1"/>
                <w:sz w:val="20"/>
                <w:szCs w:val="20"/>
                <w:u w:val="single"/>
                <w:lang w:eastAsia="ru-RU"/>
              </w:rPr>
              <w:t>ументов</w:t>
            </w:r>
            <w:r>
              <w:rPr>
                <w:rFonts w:eastAsia="Times New Roman"/>
                <w:i w:val="false"/>
                <w:iCs w:val="false"/>
                <w:color w:val="000000" w:themeColor="text1"/>
                <w:sz w:val="20"/>
                <w:szCs w:val="20"/>
                <w:lang w:eastAsia="ru-RU"/>
              </w:rPr>
              <w:t xml:space="preserve">: </w:t>
            </w:r>
          </w:p>
          <w:p>
            <w:pPr>
              <w:pStyle w:val="31"/>
              <w:keepNext w:val="true"/>
              <w:widowControl w:val="false"/>
              <w:numPr>
                <w:ilvl w:val="7"/>
                <w:numId w:val="19"/>
              </w:numPr>
              <w:spacing w:lineRule="auto" w:line="240" w:beforeAutospacing="0" w:before="0" w:afterAutospacing="0" w:after="0"/>
              <w:ind w:firstLine="380" w:left="0" w:right="0"/>
              <w:jc w:val="both"/>
              <w:rPr>
                <w:rFonts w:ascii="Times New Roman" w:hAnsi="Times New Roman" w:eastAsia="Times New Roman" w:cs="Times New Roman"/>
                <w:i w:val="false"/>
                <w:i w:val="false"/>
                <w:iCs w:val="false"/>
                <w:color w:val="000000" w:themeColor="text1"/>
                <w:sz w:val="20"/>
                <w:szCs w:val="20"/>
              </w:rPr>
            </w:pPr>
            <w:r>
              <w:rPr>
                <w:rFonts w:eastAsia="Times New Roman"/>
                <w:i w:val="false"/>
                <w:iCs w:val="false"/>
                <w:color w:val="000000" w:themeColor="text1"/>
                <w:sz w:val="20"/>
                <w:szCs w:val="20"/>
                <w:lang w:eastAsia="ru-RU"/>
              </w:rPr>
              <w:t xml:space="preserve">- </w:t>
            </w:r>
            <w:r>
              <w:rPr>
                <w:rFonts w:eastAsia="Times New Roman" w:cs="Times New Roman"/>
                <w:i w:val="false"/>
                <w:iCs w:val="false"/>
                <w:color w:val="000000" w:themeColor="text1"/>
                <w:sz w:val="20"/>
                <w:szCs w:val="20"/>
                <w:lang w:eastAsia="en-US"/>
              </w:rPr>
              <w:t>копии договоров, подписанных с обеих сторон и скрепленных печатями каждой из сторон договора;</w:t>
            </w:r>
          </w:p>
          <w:p>
            <w:pPr>
              <w:pStyle w:val="31"/>
              <w:keepNext w:val="true"/>
              <w:widowControl w:val="false"/>
              <w:numPr>
                <w:ilvl w:val="7"/>
                <w:numId w:val="19"/>
              </w:numPr>
              <w:spacing w:lineRule="auto" w:line="240" w:beforeAutospacing="0" w:before="0" w:afterAutospacing="0" w:after="0"/>
              <w:ind w:firstLine="380" w:left="0" w:right="0"/>
              <w:jc w:val="both"/>
              <w:rPr>
                <w:rFonts w:eastAsia="Times New Roman"/>
                <w:i w:val="false"/>
                <w:i w:val="false"/>
                <w:iCs w:val="false"/>
                <w:color w:val="000000" w:themeColor="text1"/>
                <w:sz w:val="20"/>
                <w:szCs w:val="20"/>
              </w:rPr>
            </w:pPr>
            <w:r>
              <w:rPr>
                <w:rFonts w:eastAsia="Times New Roman" w:cs="Times New Roman"/>
                <w:i w:val="false"/>
                <w:iCs w:val="false"/>
                <w:color w:val="000000" w:themeColor="text1"/>
                <w:sz w:val="20"/>
                <w:szCs w:val="20"/>
                <w:lang w:eastAsia="en-US"/>
              </w:rPr>
              <w:t>- копии документов, предусмотренных требованиями договора, подтверждающих факт его исполнения, с указанием стоимости и наименования выполненных работ, подписанных с обеих сторон и скрепленных печатями каждой из сторон договора.</w:t>
            </w:r>
          </w:p>
          <w:p>
            <w:pPr>
              <w:pStyle w:val="31"/>
              <w:keepNext w:val="true"/>
              <w:widowControl w:val="false"/>
              <w:numPr>
                <w:ilvl w:val="7"/>
                <w:numId w:val="22"/>
              </w:numPr>
              <w:spacing w:lineRule="auto" w:line="240" w:beforeAutospacing="0" w:before="0" w:after="0"/>
              <w:ind w:firstLine="380" w:left="0" w:right="0"/>
              <w:jc w:val="both"/>
              <w:rPr>
                <w:rFonts w:eastAsia="Times New Roman"/>
                <w:color w:val="000000" w:themeColor="text1"/>
                <w:sz w:val="18"/>
                <w:szCs w:val="18"/>
                <w:highlight w:val="white"/>
              </w:rPr>
            </w:pPr>
            <w:r>
              <w:rPr>
                <w:sz w:val="20"/>
                <w:szCs w:val="20"/>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pPr>
              <w:pStyle w:val="31"/>
              <w:widowControl w:val="false"/>
              <w:numPr>
                <w:ilvl w:val="7"/>
                <w:numId w:val="23"/>
              </w:numPr>
              <w:spacing w:lineRule="auto" w:line="240" w:beforeAutospacing="0" w:before="0" w:after="0"/>
              <w:ind w:firstLine="380" w:left="0" w:right="0"/>
              <w:jc w:val="both"/>
              <w:rPr>
                <w:color w:val="FF0000" w:themeColor="text1"/>
                <w:sz w:val="18"/>
                <w:szCs w:val="18"/>
              </w:rPr>
            </w:pPr>
            <w:r>
              <w:rPr>
                <w:rFonts w:eastAsia="Times New Roman"/>
                <w:color w:val="000000" w:themeColor="text1"/>
                <w:sz w:val="20"/>
                <w:szCs w:val="20"/>
                <w:lang w:eastAsia="ru-RU"/>
              </w:rPr>
              <w:t xml:space="preserve">Порядок осуществления оценки (значение оцениваемого параметра), в зависимости от предоставленных в </w:t>
            </w:r>
            <w:r>
              <w:rPr>
                <w:rFonts w:eastAsia="Times New Roman"/>
                <w:i/>
                <w:color w:val="000000" w:themeColor="text1"/>
                <w:sz w:val="20"/>
                <w:szCs w:val="20"/>
                <w:lang w:val="en-US" w:eastAsia="ru-RU"/>
              </w:rPr>
              <w:t>i</w:t>
            </w:r>
            <w:r>
              <w:rPr>
                <w:rFonts w:eastAsia="Times New Roman"/>
                <w:color w:val="000000" w:themeColor="text1"/>
                <w:sz w:val="20"/>
                <w:szCs w:val="20"/>
                <w:lang w:eastAsia="ru-RU"/>
              </w:rPr>
              <w:t>-ой заявке сведений о наличии у Участника совокупного опыта за последние 5 лет, на общую сумму:</w:t>
            </w:r>
          </w:p>
          <w:p>
            <w:pPr>
              <w:pStyle w:val="Normal"/>
              <w:widowControl w:val="false"/>
              <w:numPr>
                <w:ilvl w:val="0"/>
                <w:numId w:val="0"/>
              </w:numPr>
              <w:spacing w:lineRule="auto" w:line="240" w:beforeAutospacing="0" w:before="0" w:after="0"/>
              <w:ind w:hanging="0" w:left="0"/>
              <w:jc w:val="both"/>
              <w:rPr>
                <w:rFonts w:eastAsia="Calibri" w:eastAsiaTheme="minorHAnsi"/>
                <w:sz w:val="20"/>
                <w:szCs w:val="20"/>
                <w:highlight w:val="white"/>
              </w:rPr>
            </w:pPr>
            <w:r>
              <w:rPr>
                <w:rFonts w:eastAsia="Calibri" w:eastAsiaTheme="minorHAnsi"/>
                <w:sz w:val="20"/>
                <w:szCs w:val="20"/>
                <w:highlight w:val="white"/>
              </w:rPr>
            </w:r>
          </w:p>
          <w:tbl>
            <w:tblPr>
              <w:tblW w:w="649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822"/>
              <w:gridCol w:w="5670"/>
            </w:tblGrid>
            <w:tr>
              <w:trPr>
                <w:trHeight w:val="346" w:hRule="atLeast"/>
                <w:cantSplit w:val="true"/>
              </w:trPr>
              <w:tc>
                <w:tcPr>
                  <w:tcW w:w="822" w:type="dxa"/>
                  <w:tcBorders>
                    <w:bottom w:val="single" w:sz="8" w:space="0" w:color="000000"/>
                    <w:right w:val="single" w:sz="8" w:space="0" w:color="000000"/>
                  </w:tcBorders>
                </w:tcPr>
                <w:p>
                  <w:pPr>
                    <w:pStyle w:val="Normal"/>
                    <w:widowControl w:val="false"/>
                    <w:numPr>
                      <w:ilvl w:val="0"/>
                      <w:numId w:val="0"/>
                    </w:numPr>
                    <w:spacing w:lineRule="auto" w:line="240" w:beforeAutospacing="0" w:before="0" w:after="0"/>
                    <w:ind w:hanging="0" w:left="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0</w:t>
                  </w:r>
                </w:p>
              </w:tc>
              <w:tc>
                <w:tcPr>
                  <w:tcW w:w="5670" w:type="dxa"/>
                  <w:tcBorders>
                    <w:bottom w:val="single" w:sz="8" w:space="0" w:color="000000"/>
                  </w:tcBorders>
                </w:tcPr>
                <w:p>
                  <w:pPr>
                    <w:pStyle w:val="Normal"/>
                    <w:widowControl w:val="false"/>
                    <w:numPr>
                      <w:ilvl w:val="0"/>
                      <w:numId w:val="0"/>
                    </w:numPr>
                    <w:spacing w:lineRule="auto" w:line="240" w:beforeAutospacing="0" w:before="0" w:after="0"/>
                    <w:ind w:hanging="0" w:left="0"/>
                    <w:jc w:val="left"/>
                    <w:rPr>
                      <w:rFonts w:eastAsia="Calibri" w:eastAsiaTheme="minorHAnsi"/>
                      <w:sz w:val="20"/>
                      <w:szCs w:val="20"/>
                    </w:rPr>
                  </w:pPr>
                  <w:r>
                    <w:rPr>
                      <w:rFonts w:eastAsia="Calibri" w:eastAsiaTheme="minorHAnsi"/>
                      <w:sz w:val="20"/>
                      <w:szCs w:val="20"/>
                      <w:lang w:eastAsia="en-US"/>
                    </w:rPr>
                    <w:t xml:space="preserve">0 (Опыт отсутствует/Опыт не подтверждён); </w:t>
                  </w:r>
                </w:p>
              </w:tc>
            </w:tr>
            <w:tr>
              <w:trPr>
                <w:trHeight w:val="573" w:hRule="atLeast"/>
                <w:cantSplit w:val="true"/>
              </w:trPr>
              <w:tc>
                <w:tcPr>
                  <w:tcW w:w="822" w:type="dxa"/>
                  <w:tcBorders>
                    <w:bottom w:val="single" w:sz="8" w:space="0" w:color="000000"/>
                    <w:right w:val="single" w:sz="8" w:space="0" w:color="000000"/>
                  </w:tcBorders>
                </w:tcPr>
                <w:p>
                  <w:pPr>
                    <w:pStyle w:val="Normal"/>
                    <w:widowControl w:val="false"/>
                    <w:numPr>
                      <w:ilvl w:val="0"/>
                      <w:numId w:val="0"/>
                    </w:numPr>
                    <w:spacing w:lineRule="auto" w:line="240" w:beforeAutospacing="0" w:before="0" w:after="0"/>
                    <w:ind w:hanging="0" w:left="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xml:space="preserve"> = 1</w:t>
                  </w:r>
                </w:p>
              </w:tc>
              <w:tc>
                <w:tcPr>
                  <w:tcW w:w="5670" w:type="dxa"/>
                  <w:tcBorders>
                    <w:bottom w:val="single" w:sz="8" w:space="0" w:color="000000"/>
                  </w:tcBorders>
                </w:tcPr>
                <w:p>
                  <w:pPr>
                    <w:pStyle w:val="Normal"/>
                    <w:widowControl w:val="false"/>
                    <w:numPr>
                      <w:ilvl w:val="0"/>
                      <w:numId w:val="0"/>
                    </w:numPr>
                    <w:spacing w:lineRule="auto" w:line="240" w:beforeAutospacing="0" w:before="0" w:after="0"/>
                    <w:ind w:hanging="0" w:left="0"/>
                    <w:jc w:val="left"/>
                    <w:rPr>
                      <w:rFonts w:eastAsia="Calibri" w:eastAsiaTheme="minorHAnsi"/>
                      <w:sz w:val="20"/>
                      <w:szCs w:val="20"/>
                    </w:rPr>
                  </w:pPr>
                  <w:r>
                    <w:rPr>
                      <w:rFonts w:eastAsia="Calibri" w:eastAsiaTheme="minorHAnsi"/>
                      <w:sz w:val="20"/>
                      <w:szCs w:val="20"/>
                      <w:lang w:eastAsia="en-US"/>
                    </w:rPr>
                    <w:t>более 0% от НМЦ «без учета НДС» , но менее 20% от НМЦ «без учета НДС» (включительно);</w:t>
                  </w:r>
                </w:p>
              </w:tc>
            </w:tr>
            <w:tr>
              <w:trPr>
                <w:trHeight w:val="573" w:hRule="atLeast"/>
                <w:cantSplit w:val="true"/>
              </w:trPr>
              <w:tc>
                <w:tcPr>
                  <w:tcW w:w="822" w:type="dxa"/>
                  <w:tcBorders>
                    <w:bottom w:val="single" w:sz="8" w:space="0" w:color="000000"/>
                    <w:right w:val="single" w:sz="8" w:space="0" w:color="000000"/>
                  </w:tcBorders>
                </w:tcPr>
                <w:p>
                  <w:pPr>
                    <w:pStyle w:val="Normal"/>
                    <w:widowControl w:val="false"/>
                    <w:numPr>
                      <w:ilvl w:val="0"/>
                      <w:numId w:val="0"/>
                    </w:numPr>
                    <w:spacing w:lineRule="auto" w:line="240" w:beforeAutospacing="0" w:before="0" w:after="0"/>
                    <w:ind w:hanging="0" w:left="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xml:space="preserve"> = 2</w:t>
                  </w:r>
                </w:p>
              </w:tc>
              <w:tc>
                <w:tcPr>
                  <w:tcW w:w="5670" w:type="dxa"/>
                  <w:tcBorders>
                    <w:bottom w:val="single" w:sz="8" w:space="0" w:color="000000"/>
                  </w:tcBorders>
                </w:tcPr>
                <w:p>
                  <w:pPr>
                    <w:pStyle w:val="Normal"/>
                    <w:widowControl w:val="false"/>
                    <w:numPr>
                      <w:ilvl w:val="0"/>
                      <w:numId w:val="0"/>
                    </w:numPr>
                    <w:spacing w:lineRule="auto" w:line="240" w:beforeAutospacing="0" w:before="0" w:after="0"/>
                    <w:ind w:hanging="0" w:left="0"/>
                    <w:jc w:val="left"/>
                    <w:rPr>
                      <w:rFonts w:eastAsia="Calibri" w:eastAsiaTheme="minorHAnsi"/>
                      <w:sz w:val="20"/>
                      <w:szCs w:val="20"/>
                    </w:rPr>
                  </w:pPr>
                  <w:r>
                    <w:rPr>
                      <w:rFonts w:eastAsia="Calibri" w:eastAsiaTheme="minorHAnsi"/>
                      <w:sz w:val="20"/>
                      <w:szCs w:val="20"/>
                      <w:lang w:eastAsia="en-US"/>
                    </w:rPr>
                    <w:t>более 20% от НМЦ «без учета НДС», но менее 40% от НМЦ «без учета НДС» (включительно);</w:t>
                  </w:r>
                </w:p>
              </w:tc>
            </w:tr>
            <w:tr>
              <w:trPr>
                <w:trHeight w:val="573" w:hRule="atLeast"/>
                <w:cantSplit w:val="true"/>
              </w:trPr>
              <w:tc>
                <w:tcPr>
                  <w:tcW w:w="822" w:type="dxa"/>
                  <w:tcBorders>
                    <w:right w:val="single" w:sz="8" w:space="0" w:color="000000"/>
                  </w:tcBorders>
                </w:tcPr>
                <w:p>
                  <w:pPr>
                    <w:pStyle w:val="Normal"/>
                    <w:widowControl w:val="false"/>
                    <w:numPr>
                      <w:ilvl w:val="0"/>
                      <w:numId w:val="0"/>
                    </w:numPr>
                    <w:spacing w:lineRule="auto" w:line="240" w:beforeAutospacing="0" w:before="0" w:after="0"/>
                    <w:ind w:hanging="0" w:left="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xml:space="preserve"> =3</w:t>
                  </w:r>
                </w:p>
              </w:tc>
              <w:tc>
                <w:tcPr>
                  <w:tcW w:w="5670" w:type="dxa"/>
                  <w:tcBorders/>
                </w:tcPr>
                <w:p>
                  <w:pPr>
                    <w:pStyle w:val="Normal"/>
                    <w:widowControl w:val="false"/>
                    <w:numPr>
                      <w:ilvl w:val="0"/>
                      <w:numId w:val="0"/>
                    </w:numPr>
                    <w:spacing w:lineRule="auto" w:line="240" w:beforeAutospacing="0" w:before="0" w:after="0"/>
                    <w:ind w:hanging="0" w:left="0"/>
                    <w:jc w:val="left"/>
                    <w:rPr>
                      <w:rFonts w:eastAsia="Calibri" w:eastAsiaTheme="minorHAnsi"/>
                      <w:sz w:val="20"/>
                      <w:szCs w:val="20"/>
                    </w:rPr>
                  </w:pPr>
                  <w:r>
                    <w:rPr>
                      <w:rFonts w:eastAsia="Calibri" w:eastAsiaTheme="minorHAnsi"/>
                      <w:sz w:val="20"/>
                      <w:szCs w:val="20"/>
                      <w:lang w:eastAsia="en-US"/>
                    </w:rPr>
                    <w:t>более 40% от НМЦ «без учета НДС», но менее 60% от НМЦ «без учета НДС» (включительно);</w:t>
                  </w:r>
                </w:p>
              </w:tc>
            </w:tr>
            <w:tr>
              <w:trPr>
                <w:trHeight w:val="573" w:hRule="atLeast"/>
                <w:cantSplit w:val="true"/>
              </w:trPr>
              <w:tc>
                <w:tcPr>
                  <w:tcW w:w="822" w:type="dxa"/>
                  <w:tcBorders>
                    <w:top w:val="single" w:sz="8" w:space="0" w:color="000000"/>
                    <w:bottom w:val="single" w:sz="8" w:space="0" w:color="000000"/>
                    <w:right w:val="single" w:sz="8" w:space="0" w:color="000000"/>
                  </w:tcBorders>
                </w:tcPr>
                <w:p>
                  <w:pPr>
                    <w:pStyle w:val="Normal"/>
                    <w:widowControl w:val="false"/>
                    <w:numPr>
                      <w:ilvl w:val="0"/>
                      <w:numId w:val="0"/>
                    </w:numPr>
                    <w:spacing w:lineRule="auto" w:line="240" w:beforeAutospacing="0" w:before="0" w:after="0"/>
                    <w:ind w:hanging="0" w:left="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4</w:t>
                  </w:r>
                </w:p>
              </w:tc>
              <w:tc>
                <w:tcPr>
                  <w:tcW w:w="5670" w:type="dxa"/>
                  <w:tcBorders>
                    <w:top w:val="single" w:sz="8" w:space="0" w:color="000000"/>
                    <w:bottom w:val="single" w:sz="8" w:space="0" w:color="000000"/>
                  </w:tcBorders>
                </w:tcPr>
                <w:p>
                  <w:pPr>
                    <w:pStyle w:val="Normal"/>
                    <w:widowControl w:val="false"/>
                    <w:numPr>
                      <w:ilvl w:val="0"/>
                      <w:numId w:val="0"/>
                    </w:numPr>
                    <w:spacing w:lineRule="auto" w:line="240" w:beforeAutospacing="0" w:before="0" w:after="0"/>
                    <w:ind w:hanging="0" w:left="0"/>
                    <w:jc w:val="left"/>
                    <w:rPr>
                      <w:rFonts w:eastAsia="Calibri" w:eastAsiaTheme="minorHAnsi"/>
                      <w:sz w:val="20"/>
                      <w:szCs w:val="20"/>
                    </w:rPr>
                  </w:pPr>
                  <w:r>
                    <w:rPr>
                      <w:rFonts w:eastAsia="Calibri" w:eastAsiaTheme="minorHAnsi"/>
                      <w:sz w:val="20"/>
                      <w:szCs w:val="20"/>
                      <w:lang w:eastAsia="en-US"/>
                    </w:rPr>
                    <w:t>более 60% от НМЦ «без учета НДС», но менее 80% от НМЦ «без учета НДС» (включительно);</w:t>
                  </w:r>
                </w:p>
              </w:tc>
            </w:tr>
            <w:tr>
              <w:trPr>
                <w:trHeight w:val="346" w:hRule="atLeast"/>
                <w:cantSplit w:val="true"/>
              </w:trPr>
              <w:tc>
                <w:tcPr>
                  <w:tcW w:w="822" w:type="dxa"/>
                  <w:tcBorders>
                    <w:top w:val="single" w:sz="8" w:space="0" w:color="000000"/>
                    <w:bottom w:val="single" w:sz="8" w:space="0" w:color="000000"/>
                    <w:right w:val="single" w:sz="8" w:space="0" w:color="000000"/>
                  </w:tcBorders>
                </w:tcPr>
                <w:p>
                  <w:pPr>
                    <w:pStyle w:val="Normal"/>
                    <w:widowControl w:val="false"/>
                    <w:numPr>
                      <w:ilvl w:val="0"/>
                      <w:numId w:val="0"/>
                    </w:numPr>
                    <w:spacing w:lineRule="auto" w:line="240" w:beforeAutospacing="0" w:before="0" w:after="0"/>
                    <w:ind w:hanging="0" w:left="0"/>
                    <w:jc w:val="left"/>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rPr>
                    <w:t>2</w:t>
                  </w:r>
                  <w:r>
                    <w:rPr>
                      <w:rFonts w:eastAsia="Calibri" w:eastAsiaTheme="minorHAnsi"/>
                      <w:sz w:val="20"/>
                      <w:szCs w:val="20"/>
                      <w:lang w:eastAsia="en-US"/>
                    </w:rPr>
                    <w:t>= 5</w:t>
                  </w:r>
                </w:p>
              </w:tc>
              <w:tc>
                <w:tcPr>
                  <w:tcW w:w="5670" w:type="dxa"/>
                  <w:tcBorders>
                    <w:top w:val="single" w:sz="8" w:space="0" w:color="000000"/>
                    <w:bottom w:val="single" w:sz="8" w:space="0" w:color="000000"/>
                  </w:tcBorders>
                </w:tcPr>
                <w:p>
                  <w:pPr>
                    <w:pStyle w:val="Normal"/>
                    <w:widowControl w:val="false"/>
                    <w:numPr>
                      <w:ilvl w:val="0"/>
                      <w:numId w:val="0"/>
                    </w:numPr>
                    <w:spacing w:lineRule="auto" w:line="240" w:beforeAutospacing="0" w:before="0" w:after="0"/>
                    <w:ind w:hanging="0" w:left="0"/>
                    <w:jc w:val="left"/>
                    <w:rPr>
                      <w:rFonts w:eastAsia="Calibri" w:eastAsiaTheme="minorHAnsi"/>
                      <w:sz w:val="20"/>
                      <w:szCs w:val="20"/>
                    </w:rPr>
                  </w:pPr>
                  <w:r>
                    <w:rPr>
                      <w:rFonts w:eastAsia="Calibri" w:eastAsiaTheme="minorHAnsi"/>
                      <w:sz w:val="20"/>
                      <w:szCs w:val="20"/>
                      <w:lang w:eastAsia="en-US"/>
                    </w:rPr>
                    <w:t xml:space="preserve">более 80% от НМЦ «без учета НДС». </w:t>
                  </w:r>
                </w:p>
              </w:tc>
            </w:tr>
          </w:tbl>
          <w:p>
            <w:pPr>
              <w:pStyle w:val="Normal"/>
              <w:widowControl w:val="false"/>
              <w:numPr>
                <w:ilvl w:val="0"/>
                <w:numId w:val="0"/>
              </w:numPr>
              <w:spacing w:lineRule="auto" w:line="240" w:beforeAutospacing="0" w:before="0" w:after="0"/>
              <w:ind w:hanging="0" w:left="0"/>
              <w:jc w:val="both"/>
              <w:rPr>
                <w:rFonts w:eastAsia="Calibri" w:eastAsiaTheme="minorHAnsi"/>
                <w:sz w:val="20"/>
                <w:szCs w:val="20"/>
              </w:rPr>
            </w:pPr>
            <w:r>
              <w:rPr>
                <w:rFonts w:eastAsia="Calibri" w:eastAsiaTheme="minorHAnsi"/>
                <w:sz w:val="20"/>
                <w:szCs w:val="20"/>
                <w:lang w:eastAsia="en-US"/>
              </w:rPr>
              <w:t>где:</w:t>
            </w:r>
          </w:p>
          <w:p>
            <w:pPr>
              <w:pStyle w:val="Normal"/>
              <w:widowControl w:val="false"/>
              <w:numPr>
                <w:ilvl w:val="0"/>
                <w:numId w:val="0"/>
              </w:numPr>
              <w:spacing w:lineRule="auto" w:line="240" w:beforeAutospacing="0" w:before="0" w:after="0"/>
              <w:ind w:hanging="0" w:left="0"/>
              <w:jc w:val="both"/>
              <w:rPr>
                <w:rFonts w:eastAsia="Calibri" w:eastAsiaTheme="minorHAnsi"/>
                <w:sz w:val="20"/>
                <w:szCs w:val="20"/>
              </w:rPr>
            </w:pPr>
            <w:r>
              <w:rPr>
                <w:rFonts w:eastAsia="Calibri" w:eastAsiaTheme="minorHAnsi"/>
                <w:sz w:val="20"/>
                <w:szCs w:val="20"/>
                <w:lang w:eastAsia="en-US"/>
              </w:rPr>
              <w:t>НМЦ – начальная (максимальная) цена договора, установленная в документации о закупке;</w:t>
            </w:r>
          </w:p>
          <w:p>
            <w:pPr>
              <w:pStyle w:val="Normal"/>
              <w:widowControl w:val="false"/>
              <w:numPr>
                <w:ilvl w:val="0"/>
                <w:numId w:val="0"/>
              </w:numPr>
              <w:spacing w:lineRule="auto" w:line="240" w:beforeAutospacing="0" w:before="0" w:after="0"/>
              <w:ind w:hanging="0" w:left="0"/>
              <w:jc w:val="both"/>
              <w:rPr>
                <w:rFonts w:eastAsia="Calibri" w:eastAsiaTheme="minorHAnsi"/>
                <w:sz w:val="20"/>
                <w:szCs w:val="20"/>
              </w:rPr>
            </w:pPr>
            <w:r>
              <w:rPr>
                <w:rFonts w:eastAsia="Calibri" w:eastAsiaTheme="minorHAnsi"/>
                <w:sz w:val="20"/>
                <w:szCs w:val="20"/>
                <w:lang w:eastAsia="en-US"/>
              </w:rPr>
              <w:t>Б</w:t>
            </w:r>
            <w:r>
              <w:rPr>
                <w:rFonts w:eastAsia="Calibri"/>
                <w:sz w:val="20"/>
                <w:szCs w:val="20"/>
                <w:vertAlign w:val="subscript"/>
                <w:lang w:eastAsia="en-US"/>
              </w:rPr>
              <w:t>2</w:t>
            </w:r>
            <w:r>
              <w:rPr>
                <w:rFonts w:eastAsia="Calibri" w:eastAsiaTheme="minorHAnsi"/>
                <w:sz w:val="20"/>
                <w:szCs w:val="20"/>
                <w:lang w:eastAsia="en-US"/>
              </w:rPr>
              <w:t xml:space="preserve"> – рассчитанная оценка предпочтительности по данному частному критерию оценки в баллах.. </w:t>
            </w:r>
          </w:p>
          <w:p>
            <w:pPr>
              <w:pStyle w:val="Normal"/>
              <w:widowControl w:val="false"/>
              <w:numPr>
                <w:ilvl w:val="0"/>
                <w:numId w:val="0"/>
              </w:numPr>
              <w:spacing w:lineRule="auto" w:line="240" w:beforeAutospacing="0" w:before="0" w:after="0"/>
              <w:ind w:hanging="0" w:left="0"/>
              <w:jc w:val="both"/>
              <w:rPr>
                <w:rFonts w:eastAsia="Calibri" w:eastAsiaTheme="minorHAnsi"/>
                <w:sz w:val="20"/>
                <w:szCs w:val="20"/>
              </w:rPr>
            </w:pPr>
            <w:r>
              <w:rPr>
                <w:sz w:val="20"/>
                <w:szCs w:val="20"/>
                <w:lang w:eastAsia="ru-RU"/>
              </w:rPr>
              <w:t>Опыт, не соответствующий установленным выше требованиям, не оценивается</w:t>
            </w:r>
          </w:p>
          <w:p>
            <w:pPr>
              <w:pStyle w:val="Normal"/>
              <w:widowControl w:val="false"/>
              <w:numPr>
                <w:ilvl w:val="0"/>
                <w:numId w:val="0"/>
              </w:numPr>
              <w:spacing w:lineRule="auto" w:line="240" w:beforeAutospacing="0" w:before="0" w:after="0"/>
              <w:ind w:hanging="0" w:left="0"/>
              <w:jc w:val="both"/>
              <w:rPr>
                <w:rFonts w:eastAsia="Calibri" w:eastAsiaTheme="minorHAnsi"/>
                <w:b/>
                <w:bCs/>
                <w:sz w:val="20"/>
                <w:szCs w:val="20"/>
              </w:rPr>
            </w:pPr>
            <w:r>
              <w:rPr>
                <w:rFonts w:eastAsia="Calibri" w:eastAsiaTheme="minorHAnsi"/>
                <w:b/>
                <w:bCs/>
                <w:sz w:val="20"/>
                <w:szCs w:val="20"/>
                <w:lang w:eastAsia="en-US"/>
              </w:rPr>
              <w:t>Шкала оценок от 0 до 5 баллов</w:t>
            </w:r>
          </w:p>
        </w:tc>
      </w:tr>
      <w:tr>
        <w:trPr>
          <w:trHeight w:val="201" w:hRule="atLeast"/>
          <w:cantSplit w:val="true"/>
        </w:trPr>
        <w:tc>
          <w:tcPr>
            <w:tcW w:w="85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hanging="0" w:left="0"/>
              <w:contextualSpacing/>
              <w:jc w:val="center"/>
              <w:rPr>
                <w:sz w:val="20"/>
                <w:szCs w:val="20"/>
              </w:rPr>
            </w:pPr>
            <w:r>
              <w:rPr>
                <w:sz w:val="20"/>
                <w:szCs w:val="20"/>
                <w:lang w:val="en-US"/>
              </w:rPr>
              <w:t xml:space="preserve">3. </w:t>
            </w:r>
          </w:p>
        </w:tc>
        <w:tc>
          <w:tcPr>
            <w:tcW w:w="141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spacing w:before="0" w:after="0"/>
              <w:jc w:val="center"/>
              <w:rPr>
                <w:rFonts w:cs="Times New Roman"/>
                <w:sz w:val="20"/>
                <w:szCs w:val="20"/>
              </w:rPr>
            </w:pPr>
            <w:r>
              <w:rPr>
                <w:rFonts w:cs="Times New Roman"/>
                <w:sz w:val="20"/>
                <w:szCs w:val="20"/>
              </w:rPr>
              <w:t>Неценовой</w:t>
            </w:r>
          </w:p>
          <w:p>
            <w:pPr>
              <w:pStyle w:val="Normal"/>
              <w:widowControl w:val="false"/>
              <w:spacing w:before="0" w:after="0"/>
              <w:jc w:val="center"/>
              <w:rPr>
                <w:rFonts w:cs="Times New Roman"/>
                <w:sz w:val="20"/>
                <w:szCs w:val="20"/>
              </w:rPr>
            </w:pPr>
            <w:r>
              <w:rPr>
                <w:rFonts w:cs="Times New Roman"/>
                <w:sz w:val="20"/>
                <w:szCs w:val="20"/>
              </w:rPr>
              <w:t>критерий</w:t>
            </w:r>
          </w:p>
          <w:p>
            <w:pPr>
              <w:pStyle w:val="Normal"/>
              <w:widowControl w:val="false"/>
              <w:spacing w:before="0" w:after="0"/>
              <w:jc w:val="center"/>
              <w:rPr>
                <w:rFonts w:cs="Times New Roman"/>
                <w:sz w:val="20"/>
                <w:szCs w:val="20"/>
              </w:rPr>
            </w:pPr>
            <w:r>
              <w:rPr>
                <w:rFonts w:cs="Times New Roman"/>
                <w:sz w:val="20"/>
                <w:szCs w:val="20"/>
              </w:rPr>
              <w:t>оценки первого</w:t>
            </w:r>
          </w:p>
          <w:p>
            <w:pPr>
              <w:pStyle w:val="31"/>
              <w:widowControl w:val="false"/>
              <w:numPr>
                <w:ilvl w:val="7"/>
                <w:numId w:val="26"/>
              </w:numPr>
              <w:spacing w:lineRule="auto" w:line="240" w:before="0" w:after="40"/>
              <w:ind w:hanging="0" w:left="0" w:right="0"/>
              <w:jc w:val="center"/>
              <w:rPr>
                <w:rFonts w:ascii="Times New Roman" w:hAnsi="Times New Roman"/>
                <w:color w:val="0E0101"/>
                <w:sz w:val="20"/>
                <w:szCs w:val="20"/>
              </w:rPr>
            </w:pPr>
            <w:r>
              <w:rPr>
                <w:sz w:val="20"/>
                <w:szCs w:val="20"/>
              </w:rPr>
              <w:t>уровня / ОРГ</w:t>
            </w:r>
          </w:p>
          <w:p>
            <w:pPr>
              <w:pStyle w:val="Normal"/>
              <w:widowControl w:val="false"/>
              <w:numPr>
                <w:ilvl w:val="0"/>
                <w:numId w:val="0"/>
              </w:numPr>
              <w:spacing w:lineRule="auto" w:line="240" w:before="120" w:after="0"/>
              <w:ind w:hanging="0" w:left="0"/>
              <w:contextualSpacing/>
              <w:jc w:val="center"/>
              <w:rPr>
                <w:sz w:val="20"/>
                <w:szCs w:val="20"/>
              </w:rPr>
            </w:pPr>
            <w:r>
              <w:rPr>
                <w:sz w:val="20"/>
                <w:szCs w:val="20"/>
              </w:rPr>
            </w:r>
          </w:p>
        </w:tc>
        <w:tc>
          <w:tcPr>
            <w:tcW w:w="147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hanging="0" w:left="0"/>
              <w:contextualSpacing/>
              <w:jc w:val="center"/>
              <w:rPr>
                <w:sz w:val="20"/>
                <w:szCs w:val="20"/>
              </w:rPr>
            </w:pPr>
            <w:r>
              <w:rPr>
                <w:sz w:val="20"/>
                <w:szCs w:val="20"/>
              </w:rPr>
              <w:t>Финансовое состояние (устойчивость) Участника</w:t>
            </w:r>
          </w:p>
        </w:tc>
        <w:tc>
          <w:tcPr>
            <w:tcW w:w="1530"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hanging="0" w:left="0"/>
              <w:contextualSpacing/>
              <w:jc w:val="center"/>
              <w:rPr>
                <w:i/>
                <w:i/>
                <w:sz w:val="20"/>
                <w:szCs w:val="20"/>
              </w:rPr>
            </w:pPr>
            <w:r>
              <w:rPr>
                <w:i/>
                <w:sz w:val="20"/>
                <w:szCs w:val="20"/>
              </w:rPr>
              <w:t>отсутствует</w:t>
            </w:r>
          </w:p>
        </w:tc>
        <w:tc>
          <w:tcPr>
            <w:tcW w:w="130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hanging="0" w:left="0"/>
              <w:contextualSpacing/>
              <w:jc w:val="center"/>
              <w:rPr>
                <w:sz w:val="20"/>
                <w:szCs w:val="20"/>
              </w:rPr>
            </w:pPr>
            <w:r>
              <w:rPr>
                <w:sz w:val="20"/>
                <w:szCs w:val="20"/>
                <w:lang w:val="en-US"/>
              </w:rPr>
              <w:t>5%</w:t>
            </w:r>
          </w:p>
          <w:p>
            <w:pPr>
              <w:pStyle w:val="Normal"/>
              <w:widowControl w:val="false"/>
              <w:numPr>
                <w:ilvl w:val="0"/>
                <w:numId w:val="0"/>
              </w:numPr>
              <w:spacing w:lineRule="auto" w:line="240" w:before="120" w:after="0"/>
              <w:ind w:hanging="0" w:left="0"/>
              <w:contextualSpacing/>
              <w:jc w:val="center"/>
              <w:rPr>
                <w:sz w:val="20"/>
                <w:szCs w:val="20"/>
              </w:rPr>
            </w:pPr>
            <w:r>
              <w:rPr>
                <w:sz w:val="20"/>
                <w:szCs w:val="20"/>
                <w:lang w:val="en-US"/>
              </w:rPr>
              <w:t>(В</w:t>
            </w:r>
            <w:r>
              <w:rPr>
                <w:sz w:val="20"/>
                <w:szCs w:val="20"/>
                <w:vertAlign w:val="subscript"/>
                <w:lang w:val="en-US"/>
              </w:rPr>
              <w:t>3</w:t>
            </w:r>
            <w:r>
              <w:rPr>
                <w:sz w:val="20"/>
                <w:szCs w:val="20"/>
                <w:lang w:val="en-US"/>
              </w:rPr>
              <w:t xml:space="preserve"> = 0,05)</w:t>
            </w:r>
          </w:p>
        </w:tc>
        <w:tc>
          <w:tcPr>
            <w:tcW w:w="2099" w:type="dxa"/>
            <w:tcBorders>
              <w:top w:val="single" w:sz="4" w:space="0" w:color="000000"/>
              <w:left w:val="single" w:sz="4" w:space="0" w:color="000000"/>
              <w:bottom w:val="single" w:sz="4" w:space="0" w:color="000000"/>
              <w:right w:val="single" w:sz="4" w:space="0" w:color="000000"/>
            </w:tcBorders>
            <w:shd w:color="FFFFFF" w:fill="FFFFFF" w:val="clear"/>
          </w:tcPr>
          <w:p>
            <w:pPr>
              <w:pStyle w:val="Style21"/>
              <w:widowControl w:val="false"/>
              <w:spacing w:before="40" w:after="40"/>
              <w:jc w:val="center"/>
              <w:rPr>
                <w:sz w:val="18"/>
                <w:szCs w:val="18"/>
                <w:highlight w:val="white"/>
              </w:rPr>
            </w:pPr>
            <w:r>
              <w:rPr>
                <w:sz w:val="20"/>
                <w:szCs w:val="20"/>
                <w:highlight w:val="white"/>
              </w:rPr>
              <w:t>Чем выше оценка финансового состояния (устойчивости) Участника, тем выше предпочтительность</w:t>
            </w:r>
          </w:p>
          <w:p>
            <w:pPr>
              <w:pStyle w:val="Normal"/>
              <w:widowControl w:val="false"/>
              <w:spacing w:lineRule="auto" w:line="240" w:before="120" w:after="0"/>
              <w:ind w:hanging="0"/>
              <w:contextualSpacing/>
              <w:jc w:val="center"/>
              <w:rPr>
                <w:sz w:val="20"/>
                <w:szCs w:val="20"/>
              </w:rPr>
            </w:pPr>
            <w:r>
              <w:rPr>
                <w:sz w:val="20"/>
                <w:szCs w:val="20"/>
              </w:rPr>
            </w:r>
          </w:p>
        </w:tc>
        <w:tc>
          <w:tcPr>
            <w:tcW w:w="6465" w:type="dxa"/>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before="120" w:after="0"/>
              <w:ind w:hanging="0" w:left="0"/>
              <w:jc w:val="both"/>
              <w:rPr>
                <w:rFonts w:ascii="Times New Roman" w:hAnsi="Times New Roman" w:cs="Times New Roman"/>
                <w:sz w:val="20"/>
                <w:szCs w:val="20"/>
              </w:rPr>
            </w:pPr>
            <w:r>
              <w:rPr>
                <w:rFonts w:eastAsia="Times New Roman" w:cs="Times New Roman"/>
                <w:sz w:val="20"/>
                <w:szCs w:val="20"/>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pPr>
              <w:pStyle w:val="Normal"/>
              <w:widowControl w:val="false"/>
              <w:numPr>
                <w:ilvl w:val="0"/>
                <w:numId w:val="0"/>
              </w:numPr>
              <w:spacing w:before="120" w:after="0"/>
              <w:ind w:hanging="0" w:left="0"/>
              <w:jc w:val="both"/>
              <w:rPr>
                <w:rFonts w:ascii="Times New Roman" w:hAnsi="Times New Roman" w:cs="Times New Roman"/>
                <w:sz w:val="20"/>
                <w:szCs w:val="20"/>
              </w:rPr>
            </w:pPr>
            <w:r>
              <w:rPr>
                <w:rFonts w:eastAsia="Times New Roman" w:cs="Times New Roman"/>
                <w:sz w:val="20"/>
                <w:szCs w:val="20"/>
                <w:lang w:eastAsia="ru-RU"/>
              </w:rPr>
              <w:t xml:space="preserve">Порядок осуществления оценки (значение оцениваемого параметра), в зависимости от </w:t>
            </w:r>
            <w:r>
              <w:rPr>
                <w:rFonts w:eastAsia="Times New Roman" w:cs="Times New Roman"/>
                <w:sz w:val="20"/>
                <w:szCs w:val="20"/>
              </w:rPr>
              <w:t>полученного</w:t>
            </w:r>
            <w:r>
              <w:rPr>
                <w:rFonts w:eastAsia="Times New Roman" w:cs="Times New Roman"/>
                <w:sz w:val="20"/>
                <w:szCs w:val="20"/>
                <w:lang w:eastAsia="ru-RU"/>
              </w:rPr>
              <w:t xml:space="preserve"> </w:t>
            </w:r>
            <w:r>
              <w:rPr>
                <w:rFonts w:eastAsia="Times New Roman" w:cs="Times New Roman"/>
                <w:sz w:val="20"/>
                <w:szCs w:val="20"/>
              </w:rPr>
              <w:t xml:space="preserve">Участником (с </w:t>
            </w:r>
            <w:r>
              <w:rPr>
                <w:rFonts w:eastAsia="Times New Roman" w:cs="Times New Roman"/>
                <w:i/>
                <w:sz w:val="20"/>
                <w:szCs w:val="20"/>
                <w:lang w:val="en-US" w:eastAsia="ru-RU"/>
              </w:rPr>
              <w:t>i</w:t>
            </w:r>
            <w:r>
              <w:rPr>
                <w:rFonts w:eastAsia="Times New Roman" w:cs="Times New Roman"/>
                <w:sz w:val="20"/>
                <w:szCs w:val="20"/>
                <w:lang w:eastAsia="ru-RU"/>
              </w:rPr>
              <w:t>-</w:t>
            </w:r>
            <w:r>
              <w:rPr>
                <w:rFonts w:eastAsia="Times New Roman" w:cs="Times New Roman"/>
                <w:sz w:val="20"/>
                <w:szCs w:val="20"/>
              </w:rPr>
              <w:t>ой</w:t>
            </w:r>
            <w:r>
              <w:rPr>
                <w:rFonts w:eastAsia="Times New Roman" w:cs="Times New Roman"/>
                <w:sz w:val="20"/>
                <w:szCs w:val="20"/>
                <w:lang w:eastAsia="ru-RU"/>
              </w:rPr>
              <w:t xml:space="preserve"> заяв</w:t>
            </w:r>
            <w:r>
              <w:rPr>
                <w:rFonts w:eastAsia="Times New Roman" w:cs="Times New Roman"/>
                <w:sz w:val="20"/>
                <w:szCs w:val="20"/>
              </w:rPr>
              <w:t>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удовлетворительное) по результатам проведенной в рамках аккредитации оценки его финансового состояния (устойчивости), при этом:</w:t>
            </w:r>
          </w:p>
          <w:p>
            <w:pPr>
              <w:pStyle w:val="Normal"/>
              <w:widowControl w:val="false"/>
              <w:numPr>
                <w:ilvl w:val="0"/>
                <w:numId w:val="24"/>
              </w:numPr>
              <w:spacing w:before="120" w:after="0"/>
              <w:ind w:hanging="284" w:left="346"/>
              <w:jc w:val="both"/>
              <w:rPr>
                <w:rFonts w:ascii="Times New Roman" w:hAnsi="Times New Roman" w:cs="Times New Roman"/>
                <w:sz w:val="20"/>
                <w:szCs w:val="20"/>
              </w:rPr>
            </w:pPr>
            <w:r>
              <w:rPr>
                <w:rFonts w:eastAsia="Times New Roman" w:cs="Times New Roman"/>
                <w:sz w:val="20"/>
                <w:szCs w:val="20"/>
              </w:rPr>
              <w:t>порядок проведения оценки финансового состояния (устойчивости) Участника</w:t>
            </w:r>
            <w:r>
              <w:rPr>
                <w:rStyle w:val="FootnoteReference"/>
                <w:rFonts w:eastAsia="Times New Roman" w:cs="Times New Roman"/>
                <w:sz w:val="20"/>
                <w:szCs w:val="20"/>
              </w:rPr>
              <w:footnoteReference w:id="13"/>
            </w:r>
            <w:r>
              <w:rPr>
                <w:rFonts w:eastAsia="Times New Roman" w:cs="Times New Roman"/>
                <w:sz w:val="20"/>
                <w:szCs w:val="20"/>
              </w:rPr>
              <w:t xml:space="preserve"> установлен Приложением 4 к Положению об аккредитации;</w:t>
            </w:r>
          </w:p>
          <w:p>
            <w:pPr>
              <w:pStyle w:val="Normal"/>
              <w:widowControl w:val="false"/>
              <w:numPr>
                <w:ilvl w:val="0"/>
                <w:numId w:val="24"/>
              </w:numPr>
              <w:spacing w:before="0" w:after="0"/>
              <w:ind w:hanging="284" w:left="346"/>
              <w:jc w:val="both"/>
              <w:rPr>
                <w:rFonts w:ascii="Times New Roman" w:hAnsi="Times New Roman" w:cs="Times New Roman"/>
                <w:sz w:val="20"/>
                <w:szCs w:val="20"/>
              </w:rPr>
            </w:pPr>
            <w:r>
              <w:rPr>
                <w:rFonts w:eastAsia="Times New Roman" w:cs="Times New Roman"/>
                <w:sz w:val="20"/>
                <w:szCs w:val="20"/>
              </w:rPr>
              <w:t>исходными данными для расчета интегрального показателя финансового состояния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34" w:tgtFrame="https://bo.nalog.ru">
              <w:r>
                <w:rPr>
                  <w:rStyle w:val="Hyperlink"/>
                  <w:rFonts w:eastAsia="Times New Roman" w:cs="Times New Roman"/>
                  <w:sz w:val="20"/>
                  <w:szCs w:val="20"/>
                </w:rPr>
                <w:t>https://bo.nalog.ru</w:t>
              </w:r>
            </w:hyperlink>
            <w:r>
              <w:rPr>
                <w:rFonts w:eastAsia="Times New Roman" w:cs="Times New Roman"/>
                <w:sz w:val="20"/>
                <w:szCs w:val="20"/>
              </w:rPr>
              <w:t xml:space="preserve">) за предыдущий отчетный период (год). </w:t>
            </w:r>
          </w:p>
          <w:p>
            <w:pPr>
              <w:pStyle w:val="Normal"/>
              <w:widowControl w:val="false"/>
              <w:spacing w:beforeAutospacing="0" w:before="119" w:afterAutospacing="0" w:after="0"/>
              <w:ind w:firstLine="720" w:left="0"/>
              <w:jc w:val="both"/>
              <w:rPr>
                <w:rFonts w:eastAsia="Calibri"/>
                <w:sz w:val="18"/>
                <w:szCs w:val="18"/>
              </w:rPr>
            </w:pPr>
            <w:r>
              <w:rPr>
                <w:rFonts w:eastAsia="Calibri"/>
                <w:sz w:val="20"/>
                <w:szCs w:val="20"/>
              </w:rPr>
              <w:t xml:space="preserve">Если Участник в соответствии с законодательством РФ не размещает сведения о своей бухгалтерской (финансовой) отчетности </w:t>
            </w:r>
            <w:r>
              <w:rPr>
                <w:sz w:val="20"/>
                <w:szCs w:val="20"/>
              </w:rPr>
              <w:t xml:space="preserve">(по формам ОКУД 0710001, 0710002) </w:t>
            </w:r>
            <w:r>
              <w:rPr>
                <w:rFonts w:eastAsia="Calibri"/>
                <w:sz w:val="20"/>
                <w:szCs w:val="20"/>
              </w:rPr>
              <w:t xml:space="preserve">в упомянутом государственном информационном ресурсе – оценка его финансового состояния производится на основании </w:t>
            </w:r>
            <w:r>
              <w:rPr>
                <w:sz w:val="20"/>
                <w:szCs w:val="20"/>
              </w:rPr>
              <w:t>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sz w:val="20"/>
                <w:szCs w:val="20"/>
              </w:rPr>
              <w:t>,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pPr>
              <w:pStyle w:val="Normal"/>
              <w:widowControl w:val="false"/>
              <w:spacing w:beforeAutospacing="0" w:before="119" w:afterAutospacing="0" w:after="0"/>
              <w:ind w:firstLine="720" w:left="0"/>
              <w:jc w:val="both"/>
              <w:rPr>
                <w:sz w:val="18"/>
                <w:szCs w:val="18"/>
              </w:rPr>
            </w:pPr>
            <w:r>
              <w:rPr>
                <w:sz w:val="20"/>
                <w:szCs w:val="20"/>
              </w:rPr>
              <w:t>Если Участник в соответствии с законодательством формирует отчетность по </w:t>
            </w:r>
            <w:r>
              <w:rPr>
                <w:rFonts w:eastAsia="Calibri"/>
                <w:sz w:val="20"/>
                <w:szCs w:val="20"/>
              </w:rPr>
              <w:t>формам</w:t>
            </w:r>
            <w:r>
              <w:rPr>
                <w:sz w:val="20"/>
                <w:szCs w:val="20"/>
              </w:rP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p>
          <w:p>
            <w:pPr>
              <w:pStyle w:val="Style21"/>
              <w:keepNext w:val="true"/>
              <w:widowControl w:val="false"/>
              <w:numPr>
                <w:ilvl w:val="0"/>
                <w:numId w:val="25"/>
              </w:numPr>
              <w:spacing w:beforeAutospacing="0" w:before="119" w:afterAutospacing="0" w:after="0"/>
              <w:ind w:hanging="283" w:left="627"/>
              <w:jc w:val="both"/>
              <w:rPr>
                <w:sz w:val="18"/>
                <w:szCs w:val="18"/>
              </w:rPr>
            </w:pPr>
            <w:r>
              <w:rPr>
                <w:sz w:val="20"/>
                <w:szCs w:val="20"/>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21"/>
              <w:keepNext w:val="true"/>
              <w:widowControl w:val="false"/>
              <w:numPr>
                <w:ilvl w:val="0"/>
                <w:numId w:val="25"/>
              </w:numPr>
              <w:spacing w:beforeAutospacing="0" w:before="0" w:afterAutospacing="0" w:after="0"/>
              <w:ind w:hanging="283" w:left="627"/>
              <w:jc w:val="both"/>
              <w:rPr>
                <w:sz w:val="18"/>
                <w:szCs w:val="18"/>
              </w:rPr>
            </w:pPr>
            <w:r>
              <w:rPr>
                <w:sz w:val="20"/>
                <w:szCs w:val="20"/>
              </w:rPr>
              <w:t>дополнительных сведений о размере всех требуемых показателей согласно данным бухгалтерской (финансовой) отчетности по установленной форме (</w:t>
            </w:r>
            <w:r>
              <w:rPr>
                <w:rFonts w:eastAsia="Calibri" w:cs="Times New Roman"/>
                <w:sz w:val="20"/>
                <w:szCs w:val="20"/>
              </w:rPr>
              <w:t>Приложение № 11</w:t>
            </w:r>
            <w:r>
              <w:rPr>
                <w:rFonts w:eastAsia="Times New Roman" w:cs="Times New Roman"/>
                <w:sz w:val="20"/>
                <w:szCs w:val="20"/>
              </w:rPr>
              <w:t xml:space="preserve"> к Документации о закупке</w:t>
            </w:r>
            <w:r>
              <w:rPr>
                <w:sz w:val="20"/>
                <w:szCs w:val="20"/>
              </w:rPr>
              <w:t>).</w:t>
            </w:r>
          </w:p>
          <w:p>
            <w:pPr>
              <w:pStyle w:val="Normal"/>
              <w:widowControl w:val="false"/>
              <w:spacing w:before="120" w:after="120"/>
              <w:jc w:val="both"/>
              <w:rPr>
                <w:sz w:val="20"/>
                <w:szCs w:val="20"/>
              </w:rPr>
            </w:pPr>
            <w:r>
              <w:rPr>
                <w:rFonts w:eastAsia="Calibri"/>
                <w:sz w:val="20"/>
                <w:szCs w:val="20"/>
              </w:rPr>
              <w:t>Оценка предпочтительности по частному критерию</w:t>
            </w:r>
            <w:r>
              <w:rPr>
                <w:sz w:val="20"/>
                <w:szCs w:val="20"/>
                <w:lang w:eastAsia="ru-RU"/>
              </w:rPr>
              <w:t xml:space="preserve"> осуществляется в соответствии со следующей </w:t>
            </w:r>
            <w:r>
              <w:rPr>
                <w:rFonts w:eastAsia="Calibri"/>
                <w:sz w:val="20"/>
                <w:szCs w:val="20"/>
              </w:rPr>
              <w:t>шкалой</w:t>
            </w:r>
            <w:r>
              <w:rPr>
                <w:sz w:val="20"/>
                <w:szCs w:val="20"/>
                <w:lang w:eastAsia="ru-RU"/>
              </w:rPr>
              <w:t>:</w:t>
            </w:r>
          </w:p>
          <w:tbl>
            <w:tblPr>
              <w:tblStyle w:val="1191"/>
              <w:tblW w:w="6500" w:type="dxa"/>
              <w:jc w:val="left"/>
              <w:tblInd w:w="0" w:type="dxa"/>
              <w:tblLayout w:type="fixed"/>
              <w:tblCellMar>
                <w:top w:w="0" w:type="dxa"/>
                <w:left w:w="0" w:type="dxa"/>
                <w:bottom w:w="0" w:type="dxa"/>
                <w:right w:w="5" w:type="dxa"/>
              </w:tblCellMar>
              <w:tblLook w:val="04a0" w:noHBand="0" w:noVBand="1" w:firstColumn="1" w:lastRow="0" w:lastColumn="0" w:firstRow="1"/>
            </w:tblPr>
            <w:tblGrid>
              <w:gridCol w:w="768"/>
              <w:gridCol w:w="5731"/>
            </w:tblGrid>
            <w:tr>
              <w:trPr>
                <w:trHeight w:val="3028" w:hRule="atLeast"/>
              </w:trPr>
              <w:tc>
                <w:tcPr>
                  <w:tcW w:w="768" w:type="dxa"/>
                  <w:tcBorders>
                    <w:top w:val="nil"/>
                    <w:lef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hanging="0" w:left="0" w:right="0"/>
                    <w:contextualSpacing/>
                    <w:jc w:val="left"/>
                    <w:rPr>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Б</w:t>
                  </w:r>
                  <w:r>
                    <w:rPr>
                      <w:rFonts w:eastAsia="Times New Roman" w:cs="Times New Roman"/>
                      <w:b w:val="false"/>
                      <w:bCs w:val="false"/>
                      <w:i w:val="false"/>
                      <w:iCs w:val="false"/>
                      <w:caps w:val="false"/>
                      <w:smallCaps w:val="false"/>
                      <w:strike w:val="false"/>
                      <w:dstrike w:val="false"/>
                      <w:vanish w:val="false"/>
                      <w:color w:val="auto"/>
                      <w:spacing w:val="0"/>
                      <w:kern w:val="0"/>
                      <w:sz w:val="20"/>
                      <w:szCs w:val="20"/>
                      <w:u w:val="none"/>
                      <w:vertAlign w:val="subscript"/>
                      <w:lang w:val="ru-RU" w:eastAsia="ru-RU" w:bidi="ar-SA"/>
                    </w:rPr>
                    <w:t>3</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0</w:t>
                  </w:r>
                </w:p>
              </w:tc>
              <w:tc>
                <w:tcPr>
                  <w:tcW w:w="5731" w:type="dxa"/>
                  <w:tcBorders>
                    <w:top w:val="nil"/>
                    <w:righ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hanging="0" w:left="0" w:right="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Результат оценки финансового состояния (устойчивости): менее</w:t>
                  </w:r>
                </w:p>
                <w:p>
                  <w:pPr>
                    <w:pStyle w:val="Normal"/>
                    <w:keepNext w:val="false"/>
                    <w:keepLines w:val="false"/>
                    <w:widowControl w:val="false"/>
                    <w:numPr>
                      <w:ilvl w:val="0"/>
                      <w:numId w:val="0"/>
                    </w:numPr>
                    <w:suppressAutoHyphens w:val="true"/>
                    <w:spacing w:lineRule="auto" w:line="240" w:beforeAutospacing="0" w:before="0" w:afterAutospacing="0" w:after="0"/>
                    <w:ind w:hanging="0" w:left="0" w:right="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0,45 балла – Кризисное финансовое состояние;</w:t>
                  </w:r>
                </w:p>
                <w:p>
                  <w:pPr>
                    <w:pStyle w:val="Normal"/>
                    <w:keepNext w:val="false"/>
                    <w:keepLines w:val="false"/>
                    <w:widowControl w:val="false"/>
                    <w:numPr>
                      <w:ilvl w:val="0"/>
                      <w:numId w:val="0"/>
                    </w:numPr>
                    <w:suppressAutoHyphens w:val="true"/>
                    <w:spacing w:lineRule="auto" w:line="240" w:beforeAutospacing="0" w:before="0" w:afterAutospacing="0" w:after="0"/>
                    <w:ind w:hanging="0" w:left="0" w:right="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или</w:t>
                  </w:r>
                </w:p>
                <w:p>
                  <w:pPr>
                    <w:pStyle w:val="Normal"/>
                    <w:keepNext w:val="false"/>
                    <w:keepLines w:val="false"/>
                    <w:widowControl w:val="false"/>
                    <w:numPr>
                      <w:ilvl w:val="0"/>
                      <w:numId w:val="0"/>
                    </w:numPr>
                    <w:suppressAutoHyphens w:val="true"/>
                    <w:spacing w:lineRule="auto" w:line="240" w:beforeAutospacing="0" w:before="0" w:afterAutospacing="0" w:after="0"/>
                    <w:ind w:hanging="0" w:left="0" w:right="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в случае отсутствия исходных данных для оценки финансового состояния Участника, в том числе если он является:</w:t>
                  </w:r>
                </w:p>
                <w:p>
                  <w:pPr>
                    <w:pStyle w:val="Normal"/>
                    <w:keepNext w:val="false"/>
                    <w:keepLines w:val="false"/>
                    <w:widowControl w:val="false"/>
                    <w:numPr>
                      <w:ilvl w:val="0"/>
                      <w:numId w:val="0"/>
                    </w:numPr>
                    <w:suppressAutoHyphens w:val="true"/>
                    <w:spacing w:lineRule="auto" w:line="240" w:beforeAutospacing="0" w:before="0" w:afterAutospacing="0" w:after="0"/>
                    <w:ind w:hanging="0" w:left="0" w:right="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xml:space="preserve">– </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pPr>
                    <w:pStyle w:val="Normal"/>
                    <w:keepNext w:val="false"/>
                    <w:keepLines w:val="false"/>
                    <w:widowControl w:val="false"/>
                    <w:numPr>
                      <w:ilvl w:val="0"/>
                      <w:numId w:val="0"/>
                    </w:numPr>
                    <w:suppressAutoHyphens w:val="true"/>
                    <w:spacing w:lineRule="auto" w:line="240" w:beforeAutospacing="0" w:before="0" w:afterAutospacing="0" w:after="0"/>
                    <w:ind w:hanging="0" w:left="0" w:right="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 xml:space="preserve">– </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trPr/>
              <w:tc>
                <w:tcPr>
                  <w:tcW w:w="768" w:type="dxa"/>
                  <w:tcBorders>
                    <w:lef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hanging="0" w:left="0" w:right="0"/>
                    <w:contextualSpacing/>
                    <w:jc w:val="left"/>
                    <w:rPr>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Б</w:t>
                  </w:r>
                  <w:r>
                    <w:rPr>
                      <w:rFonts w:eastAsia="Times New Roman" w:cs="Times New Roman"/>
                      <w:b w:val="false"/>
                      <w:bCs w:val="false"/>
                      <w:i w:val="false"/>
                      <w:iCs w:val="false"/>
                      <w:caps w:val="false"/>
                      <w:smallCaps w:val="false"/>
                      <w:strike w:val="false"/>
                      <w:dstrike w:val="false"/>
                      <w:vanish w:val="false"/>
                      <w:color w:val="auto"/>
                      <w:spacing w:val="0"/>
                      <w:kern w:val="0"/>
                      <w:sz w:val="20"/>
                      <w:szCs w:val="20"/>
                      <w:u w:val="none"/>
                      <w:vertAlign w:val="subscript"/>
                      <w:lang w:val="ru-RU" w:eastAsia="ru-RU" w:bidi="ar-SA"/>
                    </w:rPr>
                    <w:t>3</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3</w:t>
                  </w:r>
                </w:p>
              </w:tc>
              <w:tc>
                <w:tcPr>
                  <w:tcW w:w="5731" w:type="dxa"/>
                  <w:tcBorders>
                    <w:righ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hanging="0" w:left="0" w:right="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trPr/>
              <w:tc>
                <w:tcPr>
                  <w:tcW w:w="768" w:type="dxa"/>
                  <w:tcBorders>
                    <w:left w:val="nil"/>
                    <w:bottom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hanging="0" w:left="0" w:right="0"/>
                    <w:contextualSpacing/>
                    <w:jc w:val="left"/>
                    <w:rPr>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Б</w:t>
                  </w:r>
                  <w:r>
                    <w:rPr>
                      <w:rFonts w:eastAsia="Times New Roman" w:cs="Times New Roman"/>
                      <w:b w:val="false"/>
                      <w:bCs w:val="false"/>
                      <w:i w:val="false"/>
                      <w:iCs w:val="false"/>
                      <w:caps w:val="false"/>
                      <w:smallCaps w:val="false"/>
                      <w:strike w:val="false"/>
                      <w:dstrike w:val="false"/>
                      <w:vanish w:val="false"/>
                      <w:color w:val="auto"/>
                      <w:spacing w:val="0"/>
                      <w:kern w:val="0"/>
                      <w:sz w:val="20"/>
                      <w:szCs w:val="20"/>
                      <w:u w:val="none"/>
                      <w:vertAlign w:val="subscript"/>
                      <w:lang w:val="ru-RU" w:eastAsia="ru-RU" w:bidi="ar-SA"/>
                    </w:rPr>
                    <w:t>3</w:t>
                  </w: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rPr>
                    <w:t>= 5</w:t>
                  </w:r>
                </w:p>
              </w:tc>
              <w:tc>
                <w:tcPr>
                  <w:tcW w:w="5731" w:type="dxa"/>
                  <w:tcBorders>
                    <w:bottom w:val="nil"/>
                    <w:right w:val="nil"/>
                  </w:tcBorders>
                </w:tcPr>
                <w:p>
                  <w:pPr>
                    <w:pStyle w:val="Normal"/>
                    <w:keepNext w:val="false"/>
                    <w:keepLines w:val="false"/>
                    <w:widowControl w:val="false"/>
                    <w:numPr>
                      <w:ilvl w:val="0"/>
                      <w:numId w:val="0"/>
                    </w:numPr>
                    <w:suppressAutoHyphens w:val="true"/>
                    <w:spacing w:lineRule="auto" w:line="240" w:beforeAutospacing="0" w:before="0" w:afterAutospacing="0" w:after="0"/>
                    <w:ind w:hanging="0" w:left="0" w:right="0"/>
                    <w:contextualSpacing/>
                    <w:jc w:val="both"/>
                    <w:rPr>
                      <w:rFonts w:eastAsia="Calibri" w:eastAsiaTheme="minorHAnsi"/>
                      <w:sz w:val="20"/>
                      <w:szCs w:val="20"/>
                    </w:rPr>
                  </w:pPr>
                  <w:r>
                    <w:rPr>
                      <w:rFonts w:eastAsia="Times New Roman" w:cs="Times New Roman"/>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en-US" w:bidi="ar-SA"/>
                    </w:rPr>
                    <w:t>Результат оценки финансового состояния (устойчивости): более 0,90 балла – Удовлетворительное финансовое состояние.</w:t>
                  </w:r>
                </w:p>
              </w:tc>
            </w:tr>
          </w:tbl>
          <w:p>
            <w:pPr>
              <w:pStyle w:val="Normal"/>
              <w:widowControl w:val="false"/>
              <w:numPr>
                <w:ilvl w:val="0"/>
                <w:numId w:val="0"/>
              </w:numPr>
              <w:spacing w:lineRule="exact" w:line="360" w:before="120" w:after="0"/>
              <w:ind w:hanging="0" w:left="0"/>
              <w:outlineLvl w:val="3"/>
              <w:rPr>
                <w:rFonts w:eastAsia="Calibri" w:eastAsiaTheme="minorHAnsi"/>
                <w:sz w:val="20"/>
                <w:szCs w:val="20"/>
              </w:rPr>
            </w:pPr>
            <w:r>
              <w:rPr>
                <w:sz w:val="20"/>
                <w:szCs w:val="20"/>
                <w:lang w:eastAsia="en-US"/>
              </w:rPr>
              <w:t>где:</w:t>
            </w:r>
          </w:p>
          <w:p>
            <w:pPr>
              <w:pStyle w:val="Normal"/>
              <w:widowControl w:val="false"/>
              <w:numPr>
                <w:ilvl w:val="0"/>
                <w:numId w:val="0"/>
              </w:numPr>
              <w:spacing w:lineRule="auto" w:line="240" w:beforeAutospacing="0" w:before="0" w:afterAutospacing="0" w:after="0"/>
              <w:ind w:hanging="0" w:left="0"/>
              <w:contextualSpacing/>
              <w:jc w:val="both"/>
              <w:rPr>
                <w:rFonts w:eastAsia="Calibri" w:eastAsiaTheme="minorHAnsi"/>
                <w:sz w:val="20"/>
                <w:szCs w:val="20"/>
              </w:rPr>
            </w:pPr>
            <w:r>
              <w:rPr>
                <w:i w:val="false"/>
                <w:iCs w:val="false"/>
                <w:sz w:val="20"/>
                <w:szCs w:val="20"/>
                <w:lang w:eastAsia="en-US"/>
              </w:rPr>
              <w:t>Б</w:t>
            </w:r>
            <w:r>
              <w:rPr>
                <w:i w:val="false"/>
                <w:iCs w:val="false"/>
                <w:sz w:val="20"/>
                <w:szCs w:val="20"/>
                <w:vertAlign w:val="subscript"/>
                <w:lang w:eastAsia="en-US"/>
              </w:rPr>
              <w:t>3</w:t>
            </w:r>
            <w:r>
              <w:rPr>
                <w:i w:val="false"/>
                <w:iCs w:val="false"/>
                <w:sz w:val="20"/>
                <w:szCs w:val="20"/>
                <w:lang w:eastAsia="en-US"/>
              </w:rPr>
              <w:t xml:space="preserve"> – рассчитанная оценка предпочтительности по данному частному критерию оценки в баллах.</w:t>
            </w:r>
          </w:p>
          <w:p>
            <w:pPr>
              <w:pStyle w:val="Style21"/>
              <w:widowControl w:val="false"/>
              <w:spacing w:beforeAutospacing="0" w:before="0" w:afterAutospacing="0" w:after="0"/>
              <w:ind w:hanging="0"/>
              <w:jc w:val="both"/>
              <w:rPr>
                <w:i/>
                <w:i/>
                <w:iCs/>
                <w:sz w:val="18"/>
                <w:szCs w:val="18"/>
              </w:rPr>
            </w:pPr>
            <w:r>
              <w:rPr>
                <w:i w:val="false"/>
                <w:iCs w:val="false"/>
                <w:sz w:val="20"/>
                <w:szCs w:val="20"/>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pPr>
              <w:pStyle w:val="31"/>
              <w:widowControl w:val="false"/>
              <w:numPr>
                <w:ilvl w:val="7"/>
                <w:numId w:val="18"/>
              </w:numPr>
              <w:spacing w:lineRule="auto" w:line="240" w:beforeAutospacing="0" w:before="0" w:afterAutospacing="0" w:after="0"/>
              <w:ind w:hanging="0" w:left="0" w:right="0"/>
              <w:jc w:val="left"/>
              <w:rPr>
                <w:rFonts w:ascii="Times New Roman" w:hAnsi="Times New Roman" w:cs="Times New Roman"/>
                <w:sz w:val="20"/>
                <w:szCs w:val="20"/>
              </w:rPr>
            </w:pPr>
            <w:r>
              <w:rPr>
                <w:rFonts w:eastAsia="Times New Roman" w:cs="Times New Roman"/>
                <w:b/>
                <w:bCs/>
                <w:sz w:val="20"/>
                <w:szCs w:val="20"/>
                <w:lang w:eastAsia="ru-RU"/>
              </w:rPr>
              <w:t>Шкала оценок от 0 до 5 баллов.</w:t>
            </w:r>
          </w:p>
        </w:tc>
      </w:tr>
      <w:tr>
        <w:trPr>
          <w:trHeight w:val="2969" w:hRule="atLeast"/>
        </w:trPr>
        <w:tc>
          <w:tcPr>
            <w:tcW w:w="5265" w:type="dxa"/>
            <w:gridSpan w:val="4"/>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auto" w:line="240" w:before="120" w:after="0"/>
              <w:ind w:hanging="0" w:left="0"/>
              <w:jc w:val="left"/>
              <w:rPr>
                <w:rFonts w:eastAsia="Calibri"/>
                <w:sz w:val="20"/>
                <w:szCs w:val="20"/>
              </w:rPr>
            </w:pPr>
            <w:r>
              <w:rPr>
                <w:rFonts w:eastAsia="Calibri"/>
                <w:sz w:val="20"/>
                <w:szCs w:val="20"/>
              </w:rPr>
              <w:t>Итоговая оценка предпочтительности заявки:</w:t>
            </w:r>
          </w:p>
          <w:p>
            <w:pPr>
              <w:pStyle w:val="Normal"/>
              <w:widowControl w:val="false"/>
              <w:numPr>
                <w:ilvl w:val="0"/>
                <w:numId w:val="0"/>
              </w:numPr>
              <w:spacing w:lineRule="auto" w:line="240"/>
              <w:ind w:hanging="0" w:left="0"/>
              <w:jc w:val="right"/>
              <w:rPr>
                <w:rFonts w:eastAsia="Calibri"/>
                <w:sz w:val="20"/>
                <w:szCs w:val="20"/>
              </w:rPr>
            </w:pPr>
            <w:r>
              <w:rPr>
                <w:rFonts w:eastAsia="Calibri"/>
                <w:sz w:val="20"/>
                <w:szCs w:val="20"/>
              </w:rPr>
            </w:r>
          </w:p>
        </w:tc>
        <w:tc>
          <w:tcPr>
            <w:tcW w:w="9869" w:type="dxa"/>
            <w:gridSpan w:val="3"/>
            <w:tcBorders>
              <w:top w:val="single" w:sz="4" w:space="0" w:color="000000"/>
              <w:left w:val="single" w:sz="4" w:space="0" w:color="000000"/>
              <w:bottom w:val="single" w:sz="4" w:space="0" w:color="000000"/>
              <w:right w:val="single" w:sz="4" w:space="0" w:color="000000"/>
            </w:tcBorders>
            <w:shd w:color="FFFFFF" w:fill="FFFFFF" w:val="clear"/>
          </w:tcPr>
          <w:p>
            <w:pPr>
              <w:pStyle w:val="Normal"/>
              <w:widowControl w:val="false"/>
              <w:numPr>
                <w:ilvl w:val="0"/>
                <w:numId w:val="0"/>
              </w:numPr>
              <w:spacing w:lineRule="exact" w:line="360" w:beforeAutospacing="0" w:before="0" w:after="0"/>
              <w:ind w:hanging="0" w:left="0"/>
              <w:jc w:val="left"/>
              <w:rPr>
                <w:rFonts w:eastAsia="Calibri"/>
                <w:sz w:val="20"/>
                <w:szCs w:val="20"/>
              </w:rPr>
            </w:pPr>
            <w:r>
              <w:rPr>
                <w:rFonts w:eastAsia="Calibri"/>
                <w:sz w:val="20"/>
                <w:szCs w:val="20"/>
                <w:lang w:eastAsia="en-US"/>
              </w:rPr>
              <w:t xml:space="preserve">Расчет итоговой оценки предпочтительности </w:t>
            </w:r>
            <w:r>
              <w:rPr>
                <w:rFonts w:eastAsia="Calibri"/>
                <w:i/>
                <w:sz w:val="20"/>
                <w:szCs w:val="20"/>
                <w:lang w:val="en-US" w:eastAsia="en-US"/>
              </w:rPr>
              <w:t>i</w:t>
            </w:r>
            <w:r>
              <w:rPr>
                <w:rFonts w:eastAsia="Calibri"/>
                <w:sz w:val="20"/>
                <w:szCs w:val="20"/>
                <w:lang w:eastAsia="en-US"/>
              </w:rPr>
              <w:t>-ой заявки:</w:t>
            </w:r>
          </w:p>
          <w:p>
            <w:pPr>
              <w:pStyle w:val="Normal"/>
              <w:keepNext w:val="true"/>
              <w:widowControl w:val="false"/>
              <w:numPr>
                <w:ilvl w:val="0"/>
                <w:numId w:val="0"/>
              </w:numPr>
              <w:spacing w:lineRule="exact" w:line="360" w:beforeAutospacing="0" w:before="0" w:after="0"/>
              <w:ind w:hanging="0" w:left="0"/>
              <w:jc w:val="left"/>
              <w:rPr>
                <w:rFonts w:eastAsia="Calibri"/>
                <w:sz w:val="20"/>
                <w:szCs w:val="20"/>
              </w:rPr>
            </w:pPr>
            <w:r>
              <w:rPr/>
            </w:r>
            <m:oMathPara xmlns:m="http://schemas.openxmlformats.org/officeDocument/2006/math">
              <m:oMathParaPr>
                <m:jc m:val="left"/>
              </m:oMathParaPr>
              <m:oMath>
                <m:sSub>
                  <m:e>
                    <m:r>
                      <w:rPr>
                        <w:rFonts w:ascii="Cambria Math" w:hAnsi="Cambria Math"/>
                      </w:rPr>
                      <m:t xml:space="preserve">Б</m:t>
                    </m:r>
                  </m:e>
                  <m:sub>
                    <m:r>
                      <w:rPr>
                        <w:rFonts w:ascii="Cambria Math" w:hAnsi="Cambria Math"/>
                      </w:rPr>
                      <m:t xml:space="preserve">ИТОГ</m:t>
                    </m:r>
                  </m:sub>
                </m:sSub>
                <m:r>
                  <w:rPr>
                    <w:rFonts w:ascii="Cambria Math" w:hAnsi="Cambria Math"/>
                  </w:rPr>
                  <m:t xml:space="preserve">=</m:t>
                </m:r>
                <m:nary>
                  <m:naryPr>
                    <m:chr m:val="∑"/>
                    <m:subHide m:val="1"/>
                    <m:supHide m:val="1"/>
                  </m:naryPr>
                  <m:sub/>
                  <m:sup/>
                  <m:e>
                    <m:d>
                      <m:dPr>
                        <m:begChr m:val="("/>
                        <m:endChr m:val=")"/>
                      </m:dPr>
                      <m:e>
                        <m:sSub>
                          <m:e>
                            <m:r>
                              <w:rPr>
                                <w:rFonts w:ascii="Cambria Math" w:hAnsi="Cambria Math"/>
                              </w:rPr>
                              <m:t xml:space="preserve">Б</m:t>
                            </m:r>
                          </m:e>
                          <m:sub>
                            <m:sSub>
                              <m:e>
                                <m:r>
                                  <w:rPr>
                                    <w:rFonts w:ascii="Cambria Math" w:hAnsi="Cambria Math"/>
                                  </w:rPr>
                                  <m:t xml:space="preserve">1</m:t>
                                </m:r>
                                <m:r>
                                  <w:rPr>
                                    <w:rFonts w:ascii="Cambria Math" w:hAnsi="Cambria Math"/>
                                  </w:rPr>
                                  <m:t xml:space="preserve">уровень</m:t>
                                </m:r>
                              </m:e>
                              <m:sub>
                                <m:r>
                                  <w:rPr>
                                    <w:rFonts w:ascii="Cambria Math" w:hAnsi="Cambria Math"/>
                                  </w:rPr>
                                  <m:t xml:space="preserve">k</m:t>
                                </m:r>
                              </m:sub>
                            </m:sSub>
                          </m:sub>
                        </m:sSub>
                        <m:r>
                          <w:rPr>
                            <w:rFonts w:ascii="Cambria Math" w:hAnsi="Cambria Math"/>
                          </w:rPr>
                          <m:t xml:space="preserve">×</m:t>
                        </m:r>
                        <m:sSub>
                          <m:e>
                            <m:r>
                              <w:rPr>
                                <w:rFonts w:ascii="Cambria Math" w:hAnsi="Cambria Math"/>
                              </w:rPr>
                              <m:t xml:space="preserve">В</m:t>
                            </m:r>
                          </m:e>
                          <m:sub>
                            <m:sSub>
                              <m:e>
                                <m:r>
                                  <w:rPr>
                                    <w:rFonts w:ascii="Cambria Math" w:hAnsi="Cambria Math"/>
                                  </w:rPr>
                                  <m:t xml:space="preserve">1</m:t>
                                </m:r>
                                <m:r>
                                  <w:rPr>
                                    <w:rFonts w:ascii="Cambria Math" w:hAnsi="Cambria Math"/>
                                  </w:rPr>
                                  <m:t xml:space="preserve">уровнь</m:t>
                                </m:r>
                              </m:e>
                              <m:sub>
                                <m:r>
                                  <w:rPr>
                                    <w:rFonts w:ascii="Cambria Math" w:hAnsi="Cambria Math"/>
                                  </w:rPr>
                                  <m:t xml:space="preserve">k</m:t>
                                </m:r>
                              </m:sub>
                            </m:sSub>
                          </m:sub>
                        </m:sSub>
                      </m:e>
                    </m:d>
                  </m:e>
                </m:nary>
              </m:oMath>
            </m:oMathPara>
          </w:p>
          <w:p>
            <w:pPr>
              <w:pStyle w:val="Normal"/>
              <w:keepNext w:val="true"/>
              <w:widowControl w:val="false"/>
              <w:numPr>
                <w:ilvl w:val="0"/>
                <w:numId w:val="0"/>
              </w:numPr>
              <w:spacing w:lineRule="exact" w:line="360" w:beforeAutospacing="0" w:before="0" w:after="0"/>
              <w:ind w:hanging="0" w:left="0"/>
              <w:jc w:val="left"/>
              <w:rPr>
                <w:rFonts w:eastAsia="Calibri"/>
                <w:sz w:val="20"/>
                <w:szCs w:val="20"/>
              </w:rPr>
            </w:pPr>
            <w:r>
              <w:rPr>
                <w:rFonts w:eastAsia="Calibri"/>
                <w:sz w:val="20"/>
                <w:szCs w:val="20"/>
                <w:lang w:eastAsia="en-US"/>
              </w:rPr>
              <w:t>где:</w:t>
            </w:r>
          </w:p>
          <w:p>
            <w:pPr>
              <w:pStyle w:val="Normal"/>
              <w:widowControl w:val="false"/>
              <w:numPr>
                <w:ilvl w:val="0"/>
                <w:numId w:val="0"/>
              </w:numPr>
              <w:tabs>
                <w:tab w:val="clear" w:pos="708"/>
                <w:tab w:val="left" w:pos="742" w:leader="none"/>
                <w:tab w:val="left" w:pos="977" w:leader="none"/>
              </w:tabs>
              <w:spacing w:lineRule="exact" w:line="360" w:beforeAutospacing="0" w:before="0" w:after="0"/>
              <w:ind w:hanging="0" w:left="0"/>
              <w:jc w:val="left"/>
              <w:rPr>
                <w:rFonts w:eastAsia="Calibri"/>
                <w:sz w:val="20"/>
                <w:szCs w:val="20"/>
              </w:rPr>
            </w:pPr>
            <w:r>
              <w:rPr>
                <w:rFonts w:eastAsia="Calibri"/>
                <w:sz w:val="20"/>
                <w:szCs w:val="20"/>
                <w:lang w:eastAsia="en-US"/>
              </w:rPr>
              <w:t>Б</w:t>
            </w:r>
            <w:r>
              <w:rPr>
                <w:rFonts w:eastAsia="Calibri"/>
                <w:sz w:val="20"/>
                <w:szCs w:val="20"/>
                <w:vertAlign w:val="subscript"/>
                <w:lang w:eastAsia="en-US"/>
              </w:rPr>
              <w:t>ИТОГ</w:t>
            </w:r>
            <w:r>
              <w:rPr>
                <w:rFonts w:eastAsia="Calibri"/>
                <w:sz w:val="20"/>
                <w:szCs w:val="20"/>
                <w:lang w:eastAsia="en-US"/>
              </w:rPr>
              <w:tab/>
              <w:t>–</w:t>
              <w:tab/>
              <w:t>рассчитанная итоговая оценка предпочтительности в баллах;</w:t>
            </w:r>
          </w:p>
          <w:p>
            <w:pPr>
              <w:pStyle w:val="Normal"/>
              <w:widowControl w:val="false"/>
              <w:numPr>
                <w:ilvl w:val="0"/>
                <w:numId w:val="0"/>
              </w:numPr>
              <w:tabs>
                <w:tab w:val="clear" w:pos="708"/>
                <w:tab w:val="left" w:pos="742" w:leader="none"/>
                <w:tab w:val="left" w:pos="977" w:leader="none"/>
              </w:tabs>
              <w:spacing w:lineRule="exact" w:line="360" w:beforeAutospacing="0" w:before="0" w:after="0"/>
              <w:ind w:hanging="0" w:left="0"/>
              <w:jc w:val="left"/>
              <w:rPr>
                <w:rFonts w:eastAsia="Calibri"/>
                <w:sz w:val="20"/>
                <w:szCs w:val="20"/>
              </w:rPr>
            </w:pPr>
            <w:r>
              <w:rPr>
                <w:rFonts w:eastAsia="Calibri"/>
                <w:sz w:val="20"/>
                <w:szCs w:val="20"/>
                <w:lang w:eastAsia="en-US"/>
              </w:rPr>
              <w:t>Б</w:t>
            </w:r>
            <w:r>
              <w:rPr>
                <w:rFonts w:eastAsia="Calibri"/>
                <w:sz w:val="20"/>
                <w:szCs w:val="20"/>
                <w:vertAlign w:val="subscript"/>
                <w:lang w:eastAsia="en-US"/>
              </w:rPr>
              <w:t>1 уровень k</w:t>
            </w:r>
            <w:r>
              <w:rPr>
                <w:rFonts w:eastAsia="Calibri"/>
                <w:sz w:val="20"/>
                <w:szCs w:val="20"/>
                <w:lang w:eastAsia="en-US"/>
              </w:rPr>
              <w:tab/>
              <w:t>–</w:t>
              <w:tab/>
              <w:t>оценка предпочтительности по k-тому критерию оценки первого уровня в баллах;</w:t>
            </w:r>
          </w:p>
          <w:p>
            <w:pPr>
              <w:pStyle w:val="Normal"/>
              <w:widowControl w:val="false"/>
              <w:numPr>
                <w:ilvl w:val="0"/>
                <w:numId w:val="0"/>
              </w:numPr>
              <w:tabs>
                <w:tab w:val="clear" w:pos="708"/>
                <w:tab w:val="left" w:pos="742" w:leader="none"/>
                <w:tab w:val="left" w:pos="1167" w:leader="none"/>
              </w:tabs>
              <w:spacing w:lineRule="auto" w:line="240" w:beforeAutospacing="0" w:before="0" w:after="0"/>
              <w:ind w:hanging="0" w:left="0"/>
              <w:jc w:val="left"/>
              <w:rPr>
                <w:rFonts w:eastAsia="Calibri"/>
                <w:spacing w:val="-4"/>
                <w:sz w:val="20"/>
                <w:szCs w:val="20"/>
              </w:rPr>
            </w:pPr>
            <w:r>
              <w:rPr>
                <w:rFonts w:eastAsia="Calibri"/>
                <w:spacing w:val="-4"/>
                <w:sz w:val="20"/>
                <w:szCs w:val="20"/>
                <w:lang w:eastAsia="en-US"/>
              </w:rPr>
              <w:t>В</w:t>
            </w:r>
            <w:r>
              <w:rPr>
                <w:rFonts w:eastAsia="Calibri"/>
                <w:spacing w:val="-4"/>
                <w:sz w:val="20"/>
                <w:szCs w:val="20"/>
                <w:vertAlign w:val="subscript"/>
                <w:lang w:eastAsia="en-US"/>
              </w:rPr>
              <w:t>1 уровень k</w:t>
            </w:r>
            <w:r>
              <w:rPr>
                <w:rFonts w:eastAsia="Calibri"/>
                <w:spacing w:val="-4"/>
                <w:sz w:val="20"/>
                <w:szCs w:val="20"/>
                <w:lang w:eastAsia="en-US"/>
              </w:rPr>
              <w:tab/>
              <w:t>–</w:t>
              <w:tab/>
              <w:t>значимость k-ого критерия оценки первого уровня, выраженная в диапазоне от 1% до 100% (или от 0,01 до 1,00) – вес k-ого критерия оценки первого уровня.</w:t>
            </w:r>
          </w:p>
          <w:p>
            <w:pPr>
              <w:pStyle w:val="Normal"/>
              <w:widowControl w:val="false"/>
              <w:numPr>
                <w:ilvl w:val="0"/>
                <w:numId w:val="0"/>
              </w:numPr>
              <w:tabs>
                <w:tab w:val="clear" w:pos="708"/>
                <w:tab w:val="left" w:pos="742" w:leader="none"/>
                <w:tab w:val="left" w:pos="1167" w:leader="none"/>
              </w:tabs>
              <w:spacing w:lineRule="auto" w:line="240" w:beforeAutospacing="0" w:before="0" w:after="0"/>
              <w:ind w:hanging="0" w:left="0"/>
              <w:jc w:val="both"/>
              <w:rPr>
                <w:rFonts w:eastAsia="Calibri"/>
                <w:sz w:val="20"/>
                <w:szCs w:val="20"/>
              </w:rPr>
            </w:pPr>
            <w:r>
              <w:rPr>
                <w:rFonts w:eastAsia="Calibri" w:eastAsiaTheme="minorHAnsi"/>
                <w:i/>
                <w:iCs/>
                <w:sz w:val="20"/>
                <w:szCs w:val="20"/>
                <w:lang w:eastAsia="en-US"/>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pPr>
        <w:pStyle w:val="Style17"/>
        <w:spacing w:before="120" w:after="0"/>
        <w:rPr/>
      </w:pPr>
      <w:r>
        <w:rP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pPr>
        <w:pStyle w:val="Style17"/>
        <w:spacing w:before="0" w:after="0"/>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_Ref132816300 \r \h </w:instrText>
      </w:r>
      <w:r>
        <w:rPr/>
        <w:fldChar w:fldCharType="separate"/>
      </w:r>
      <w:r>
        <w:rPr/>
        <w:t>4.14</w:t>
      </w:r>
      <w:r>
        <w:rPr/>
        <w:fldChar w:fldCharType="end"/>
      </w:r>
      <w:r>
        <w:rPr/>
        <w:t>.</w:t>
      </w:r>
    </w:p>
    <w:p>
      <w:pPr>
        <w:sectPr>
          <w:headerReference w:type="default" r:id="rId35"/>
          <w:headerReference w:type="first" r:id="rId36"/>
          <w:footerReference w:type="default" r:id="rId37"/>
          <w:footerReference w:type="first" r:id="rId38"/>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17"/>
        <w:spacing w:before="0" w:after="0"/>
        <w:rPr/>
      </w:pPr>
      <w:r>
        <w:rPr/>
        <w:t>Заявки участников (из числа успешно прошедших отборочную стадию рассмотрения вторых частей заявок и ценовых предложений (дополнительных ценовых предложений – если проводилась переторжка)) ранжируются по количеству набранных баллов (от наибольшего к наименьшему), присвоенных заявкам по результатам оценки.</w:t>
      </w:r>
    </w:p>
    <w:p>
      <w:pPr>
        <w:pStyle w:val="Style15"/>
        <w:spacing w:before="0" w:after="0"/>
        <w:rPr/>
      </w:pPr>
      <w:bookmarkStart w:id="373" w:name="_Ref125360420"/>
      <w:bookmarkStart w:id="374" w:name="_Toc63"/>
      <w:bookmarkStart w:id="375" w:name="Прил09_ОбоснованиеНМЦ"/>
      <w:bookmarkEnd w:id="375"/>
      <w:r>
        <w:rPr/>
        <w:t>Приложение № 9 – Обоснование НМЦ</w:t>
      </w:r>
      <w:bookmarkEnd w:id="373"/>
      <w:bookmarkEnd w:id="374"/>
    </w:p>
    <w:p>
      <w:pPr>
        <w:pStyle w:val="Style16"/>
        <w:spacing w:before="360" w:after="0"/>
        <w:rPr/>
      </w:pPr>
      <w:bookmarkStart w:id="376" w:name="_Toc64"/>
      <w:r>
        <w:rPr/>
        <w:t>Пояснения к Обоснованию НМЦ</w:t>
      </w:r>
      <w:bookmarkEnd w:id="376"/>
    </w:p>
    <w:p>
      <w:pPr>
        <w:pStyle w:val="Style17"/>
        <w:spacing w:before="120" w:after="0"/>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15"/>
        <w:spacing w:before="0" w:after="0"/>
        <w:rPr/>
      </w:pPr>
      <w:bookmarkStart w:id="377" w:name="_Toc65"/>
      <w:bookmarkStart w:id="378" w:name="Прил10_ФормаЗаявкиНаАккредитацию"/>
      <w:bookmarkEnd w:id="378"/>
      <w:r>
        <w:rPr/>
        <w:t>Приложение № 10 – Форма Заявки на аккредитацию</w:t>
      </w:r>
      <w:bookmarkEnd w:id="377"/>
    </w:p>
    <w:p>
      <w:pPr>
        <w:pStyle w:val="Style16"/>
        <w:spacing w:before="360" w:after="0"/>
        <w:rPr/>
      </w:pPr>
      <w:bookmarkStart w:id="379" w:name="_Toc66"/>
      <w:r>
        <w:rPr/>
        <w:t>Пояснения к форме Заявки на аккредитацию</w:t>
      </w:r>
      <w:bookmarkEnd w:id="379"/>
    </w:p>
    <w:p>
      <w:pPr>
        <w:pStyle w:val="Style17"/>
        <w:spacing w:before="120" w:after="0"/>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17"/>
        <w:spacing w:before="0" w:after="0"/>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380"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380"/>
      <w:r>
        <w:rPr/>
        <w:t>.</w:t>
      </w:r>
    </w:p>
    <w:p>
      <w:pPr>
        <w:pStyle w:val="Style21"/>
        <w:jc w:val="center"/>
        <w:rPr/>
      </w:pPr>
      <w:r>
        <w:rPr/>
        <w:object>
          <v:shapetype id="_x0000_tole_rId39" coordsize="21600,21600" o:spt="ole_rId3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9" type="_x0000_tole_rId39" style="width:72pt;height:50.8pt;mso-wrap-distance-right:0pt" filled="f" o:ole="">
            <v:imagedata r:id="rId40" o:title=""/>
          </v:shape>
          <o:OLEObject Type="Embed" ProgID="Excel.Sheet.12" ShapeID="ole_rId39" DrawAspect="Icon" ObjectID="_838699464" r:id="rId39"/>
        </w:object>
      </w:r>
    </w:p>
    <w:p>
      <w:pPr>
        <w:pStyle w:val="Normal"/>
        <w:rPr/>
      </w:pPr>
      <w:r>
        <w:rPr/>
      </w:r>
    </w:p>
    <w:p>
      <w:pPr>
        <w:pStyle w:val="Style15"/>
        <w:spacing w:before="0" w:after="0"/>
        <w:rPr/>
      </w:pPr>
      <w:bookmarkStart w:id="381" w:name="_Toc67"/>
      <w:bookmarkStart w:id="382" w:name="Прил11_Данные_бухотчетность"/>
      <w:r>
        <w:rPr/>
        <w:t xml:space="preserve">Приложение № 11 </w:t>
      </w:r>
      <w:bookmarkEnd w:id="382"/>
      <w:r>
        <w:rPr/>
        <w:t>– форма Данных бухгалтерской (финансовой) отчетности</w:t>
      </w:r>
      <w:bookmarkEnd w:id="381"/>
    </w:p>
    <w:p>
      <w:pPr>
        <w:pStyle w:val="Style16"/>
        <w:spacing w:before="360" w:after="0"/>
        <w:rPr/>
      </w:pPr>
      <w:bookmarkStart w:id="383" w:name="_Toc68"/>
      <w:r>
        <w:rPr/>
        <w:t xml:space="preserve">Пояснения к форме Данных бухгалтерской (финансовой) отчетности </w:t>
      </w:r>
      <w:bookmarkEnd w:id="383"/>
    </w:p>
    <w:p>
      <w:pPr>
        <w:pStyle w:val="Style17"/>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p>
    <w:p>
      <w:pPr>
        <w:pStyle w:val="Normal"/>
        <w:jc w:val="center"/>
        <w:rPr/>
      </w:pPr>
      <w:bookmarkStart w:id="384" w:name="_Hlk210644436"/>
      <w:bookmarkStart w:id="385" w:name="_MON_1821256687"/>
      <w:bookmarkEnd w:id="385"/>
      <w:r>
        <w:rPr/>
        <w:object>
          <v:shapetype id="_x0000_tole_rId41" coordsize="21600,21600" o:spt="ole_rId41"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1" type="_x0000_tole_rId41" style="width:78.65pt;height:50.8pt;mso-wrap-distance-right:0pt" filled="f" o:ole="">
            <v:imagedata r:id="rId42" o:title=""/>
          </v:shape>
          <o:OLEObject Type="Embed" ProgID="Word.Document.12" ShapeID="ole_rId41" DrawAspect="Icon" ObjectID="_624066792" r:id="rId41"/>
        </w:object>
      </w:r>
      <w:bookmarkEnd w:id="384"/>
    </w:p>
    <w:p>
      <w:pPr>
        <w:pStyle w:val="Normal"/>
        <w:jc w:val="center"/>
        <w:rPr/>
      </w:pPr>
      <w:r>
        <w:rPr/>
      </w:r>
    </w:p>
    <w:sectPr>
      <w:headerReference w:type="default" r:id="rId43"/>
      <w:headerReference w:type="first" r:id="rId44"/>
      <w:footerReference w:type="default" r:id="rId45"/>
      <w:footerReference w:type="first" r:id="rId46"/>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Arial">
    <w:charset w:val="01"/>
    <w:family w:val="roman"/>
    <w:pitch w:val="variable"/>
  </w:font>
  <w:font w:name="Calibri Light">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61</w:t>
    </w:r>
    <w:r>
      <w:rPr/>
      <w:fldChar w:fldCharType="end"/>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69</w:t>
    </w:r>
    <w:r>
      <w:rPr/>
      <w:fldChar w:fldCharType="end"/>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rPr/>
    </w:pPr>
    <w:r>
      <w:rPr/>
      <w:fldChar w:fldCharType="begin"/>
    </w:r>
    <w:r>
      <w:rPr/>
      <w:instrText xml:space="preserve"> PAGE </w:instrText>
    </w:r>
    <w:r>
      <w:rPr/>
      <w:fldChar w:fldCharType="separate"/>
    </w:r>
    <w:r>
      <w:rPr/>
      <w:t>71</w:t>
    </w:r>
    <w:r>
      <w:rPr/>
      <w:fldChar w:fldCharType="end"/>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77</w:t>
    </w:r>
    <w:r>
      <w:rPr/>
      <w:fldChar w:fldCharType="end"/>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21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22</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49</w:t>
    </w:r>
    <w:r>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120" w:after="0"/>
      <w:jc w:val="right"/>
      <w:rPr/>
    </w:pPr>
    <w:r>
      <w:rPr/>
      <w:fldChar w:fldCharType="begin"/>
    </w:r>
    <w:r>
      <w:rPr/>
      <w:instrText xml:space="preserve"> PAGE </w:instrText>
    </w:r>
    <w:r>
      <w:rPr/>
      <w:fldChar w:fldCharType="separate"/>
    </w:r>
    <w:r>
      <w:rPr/>
      <w:t>55</w:t>
    </w:r>
    <w:r>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3"/>
        <w:spacing w:before="80" w:after="0"/>
        <w:ind w:hanging="567" w:left="567"/>
        <w:jc w:val="both"/>
        <w:rPr/>
      </w:pPr>
      <w:r>
        <w:rPr>
          <w:rStyle w:val="Style5"/>
        </w:rPr>
        <w:footnoteRef/>
      </w:r>
      <w:r>
        <w:rPr/>
        <w:tab/>
        <w:t>Определенные в соответствии с Законом 422-ФЗ.</w:t>
      </w:r>
    </w:p>
  </w:footnote>
  <w:footnote w:id="3">
    <w:p>
      <w:pPr>
        <w:pStyle w:val="Style23"/>
        <w:spacing w:before="80" w:after="0"/>
        <w:ind w:hanging="567" w:left="567"/>
        <w:jc w:val="both"/>
        <w:rPr/>
      </w:pPr>
      <w:r>
        <w:rPr>
          <w:rStyle w:val="Style5"/>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4">
    <w:p>
      <w:pPr>
        <w:pStyle w:val="Style23"/>
        <w:spacing w:before="80" w:after="0"/>
        <w:ind w:hanging="567" w:left="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23"/>
        <w:spacing w:before="80" w:after="0"/>
        <w:ind w:hanging="567" w:left="567"/>
        <w:jc w:val="both"/>
        <w:rPr/>
      </w:pPr>
      <w:r>
        <w:rPr>
          <w:rStyle w:val="Style5"/>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4.13</w:t>
      </w:r>
      <w:r>
        <w:rPr/>
        <w:fldChar w:fldCharType="end"/>
      </w:r>
      <w:r>
        <w:rPr/>
        <w:t>), не допускается.</w:t>
      </w:r>
    </w:p>
  </w:footnote>
  <w:footnote w:id="6">
    <w:p>
      <w:pPr>
        <w:pStyle w:val="Style23"/>
        <w:spacing w:before="80" w:after="0"/>
        <w:ind w:hanging="567" w:left="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7">
    <w:p>
      <w:pPr>
        <w:pStyle w:val="FootnoteText"/>
        <w:ind w:hanging="567" w:left="567"/>
        <w:jc w:val="both"/>
        <w:rPr>
          <w:sz w:val="22"/>
        </w:rPr>
      </w:pPr>
      <w:r>
        <w:rPr>
          <w:rStyle w:val="Style5"/>
        </w:rPr>
        <w:footnoteRef/>
      </w:r>
      <w:r>
        <w:rPr>
          <w:sz w:val="22"/>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8">
    <w:p>
      <w:pPr>
        <w:pStyle w:val="Style23"/>
        <w:spacing w:before="80" w:after="0"/>
        <w:ind w:hanging="567" w:left="567"/>
        <w:jc w:val="both"/>
        <w:rPr/>
      </w:pPr>
      <w:r>
        <w:rPr>
          <w:rStyle w:val="Style5"/>
        </w:rPr>
        <w:footnoteRef/>
      </w:r>
      <w:r>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pPr>
        <w:pStyle w:val="Style23"/>
        <w:spacing w:before="80" w:after="0"/>
        <w:ind w:hanging="567" w:left="567"/>
        <w:jc w:val="both"/>
        <w:rPr/>
      </w:pPr>
      <w:r>
        <w:rPr>
          <w:rStyle w:val="Style5"/>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0">
    <w:p>
      <w:pPr>
        <w:pStyle w:val="Style23"/>
        <w:spacing w:before="80" w:after="0"/>
        <w:ind w:hanging="567" w:left="567"/>
        <w:jc w:val="both"/>
        <w:rPr/>
      </w:pPr>
      <w:r>
        <w:rPr>
          <w:rStyle w:val="Style5"/>
        </w:rPr>
        <w:footnoteRef/>
      </w:r>
      <w:r>
        <w:rPr/>
        <w:tab/>
        <w:t>https://minfin.gov.ru/ru/perfomance/tax_relations/policy/bankwarranty/</w:t>
      </w:r>
    </w:p>
  </w:footnote>
  <w:footnote w:id="11">
    <w:p>
      <w:pPr>
        <w:pStyle w:val="Style23"/>
        <w:spacing w:before="80" w:after="0"/>
        <w:ind w:hanging="567" w:left="567"/>
        <w:jc w:val="both"/>
        <w:rPr/>
      </w:pPr>
      <w:r>
        <w:rPr>
          <w:rStyle w:val="Style5"/>
        </w:rPr>
        <w:footnoteRef/>
      </w:r>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footnote>
  <w:footnote w:id="12">
    <w:p>
      <w:pPr>
        <w:pStyle w:val="Style23"/>
        <w:spacing w:before="80" w:after="0"/>
        <w:ind w:hanging="567" w:left="567"/>
        <w:jc w:val="both"/>
        <w:rPr/>
      </w:pPr>
      <w:r>
        <w:rPr>
          <w:rStyle w:val="Style5"/>
        </w:rPr>
        <w:footnoteRef/>
      </w:r>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_Ref138341423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footnote>
  <w:footnote w:id="13">
    <w:p>
      <w:pPr>
        <w:pStyle w:val="FootnoteText"/>
        <w:rPr/>
      </w:pPr>
      <w:r>
        <w:rPr>
          <w:rStyle w:val="Style5"/>
        </w:rPr>
        <w:footnoteRef/>
      </w:r>
      <w:r>
        <w:rPr/>
        <w:t xml:space="preserve"> </w:t>
      </w:r>
      <w:r>
        <w:rPr/>
        <w:t>В Положении об аккредитации используется термин «Заявитель».</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15"/>
      <w:numFmt w:val="decimal"/>
      <w:lvlText w:val="%1."/>
      <w:lvlJc w:val="left"/>
      <w:pPr>
        <w:tabs>
          <w:tab w:val="num" w:pos="1134"/>
        </w:tabs>
        <w:ind w:left="1134" w:hanging="1134"/>
      </w:pPr>
      <w:rPr/>
    </w:lvl>
    <w:lvl w:ilvl="1">
      <w:start w:val="1"/>
      <w:pStyle w:val="Style16"/>
      <w:numFmt w:val="decimal"/>
      <w:lvlText w:val="%1.%2"/>
      <w:lvlJc w:val="left"/>
      <w:pPr>
        <w:tabs>
          <w:tab w:val="num" w:pos="1134"/>
        </w:tabs>
        <w:ind w:left="1134" w:hanging="1134"/>
      </w:pPr>
      <w:rPr/>
    </w:lvl>
    <w:lvl w:ilvl="2">
      <w:start w:val="1"/>
      <w:pStyle w:val="Style17"/>
      <w:numFmt w:val="decimal"/>
      <w:lvlText w:val="%1.%2.%3"/>
      <w:lvlJc w:val="left"/>
      <w:pPr>
        <w:tabs>
          <w:tab w:val="num" w:pos="1134"/>
        </w:tabs>
        <w:ind w:left="1134" w:hanging="1134"/>
      </w:pPr>
      <w:rPr/>
    </w:lvl>
    <w:lvl w:ilvl="3">
      <w:start w:val="1"/>
      <w:pStyle w:val="Style18"/>
      <w:numFmt w:val="russianLower"/>
      <w:lvlText w:val="%4)"/>
      <w:lvlJc w:val="left"/>
      <w:pPr>
        <w:tabs>
          <w:tab w:val="num" w:pos="1701"/>
        </w:tabs>
        <w:ind w:left="1701" w:hanging="567"/>
      </w:pPr>
      <w:rPr/>
    </w:lvl>
    <w:lvl w:ilvl="4">
      <w:start w:val="1"/>
      <w:pStyle w:val="Style19"/>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1134"/>
        </w:tabs>
        <w:ind w:left="1134" w:hanging="1134"/>
      </w:pPr>
      <w:rPr/>
    </w:lvl>
    <w:lvl w:ilvl="1">
      <w:start w:val="1"/>
      <w:numFmt w:val="decimal"/>
      <w:lvlText w:val="%1.%2"/>
      <w:lvlJc w:val="left"/>
      <w:pPr>
        <w:tabs>
          <w:tab w:val="num" w:pos="2694"/>
        </w:tabs>
        <w:ind w:left="2694" w:hanging="1134"/>
      </w:pPr>
      <w:rPr>
        <w:sz w:val="28"/>
        <w:i w:val="false"/>
        <w:b/>
        <w:szCs w:val="28"/>
      </w:rPr>
    </w:lvl>
    <w:lvl w:ilvl="2">
      <w:start w:val="1"/>
      <w:numFmt w:val="decimal"/>
      <w:lvlText w:val="%1.%2.%3"/>
      <w:lvlJc w:val="left"/>
      <w:pPr>
        <w:tabs>
          <w:tab w:val="num" w:pos="1134"/>
        </w:tabs>
        <w:ind w:left="1134" w:hanging="1134"/>
      </w:pPr>
      <w:rPr>
        <w:sz w:val="26"/>
        <w:i w:val="false"/>
        <w:b w:val="false"/>
        <w:szCs w:val="26"/>
      </w:rPr>
    </w:lvl>
    <w:lvl w:ilvl="3">
      <w:start w:val="1"/>
      <w:numFmt w:val="decimal"/>
      <w:lvlText w:val="%1.%2.%3.%4"/>
      <w:lvlJc w:val="left"/>
      <w:pPr>
        <w:tabs>
          <w:tab w:val="num" w:pos="1134"/>
        </w:tabs>
        <w:ind w:left="1134" w:hanging="1134"/>
      </w:pPr>
      <w:rPr>
        <w:sz w:val="26"/>
        <w:i w:val="false"/>
        <w:b w:val="false"/>
        <w:szCs w:val="26"/>
      </w:rPr>
    </w:lvl>
    <w:lvl w:ilvl="4">
      <w:start w:val="1"/>
      <w:numFmt w:val="russianLower"/>
      <w:lvlText w:val="%5)"/>
      <w:lvlJc w:val="left"/>
      <w:pPr>
        <w:tabs>
          <w:tab w:val="num" w:pos="5104"/>
        </w:tabs>
        <w:ind w:left="5104" w:hanging="567"/>
      </w:pPr>
      <w:rPr>
        <w:i w:val="false"/>
        <w:b w:val="false"/>
      </w:rPr>
    </w:lvl>
    <w:lvl w:ilvl="5">
      <w:start w:val="1"/>
      <w:numFmt w:val="decimal"/>
      <w:lvlText w:val="%1.%2.%3.%4.%5.%6."/>
      <w:lvlJc w:val="left"/>
      <w:pPr>
        <w:tabs>
          <w:tab w:val="num" w:pos="3960"/>
        </w:tabs>
        <w:ind w:left="2736" w:hanging="936"/>
      </w:pPr>
      <w:rPr/>
    </w:lvl>
    <w:lvl w:ilvl="6">
      <w:start w:val="1"/>
      <w:numFmt w:val="decimal"/>
      <w:lvlText w:val="%1.%2.%3.%4.%5.%6.%7."/>
      <w:lvlJc w:val="left"/>
      <w:pPr>
        <w:tabs>
          <w:tab w:val="num" w:pos="4680"/>
        </w:tabs>
        <w:ind w:left="3240" w:hanging="1080"/>
      </w:pPr>
      <w:rPr/>
    </w:lvl>
    <w:lvl w:ilvl="7">
      <w:start w:val="1"/>
      <w:numFmt w:val="decimal"/>
      <w:lvlText w:val="%1.%2.%3.%4.%5.%6.%7.%8."/>
      <w:lvlJc w:val="left"/>
      <w:pPr>
        <w:tabs>
          <w:tab w:val="num" w:pos="5400"/>
        </w:tabs>
        <w:ind w:left="3744" w:hanging="1224"/>
      </w:pPr>
      <w:rPr/>
    </w:lvl>
    <w:lvl w:ilvl="8">
      <w:start w:val="1"/>
      <w:numFmt w:val="decimal"/>
      <w:lvlText w:val="%1.%2.%3.%4.%5.%6.%7.%8.%9."/>
      <w:lvlJc w:val="left"/>
      <w:pPr>
        <w:tabs>
          <w:tab w:val="num" w:pos="6120"/>
        </w:tabs>
        <w:ind w:left="4320" w:hanging="1440"/>
      </w:pPr>
      <w:rPr/>
    </w:lvl>
  </w:abstractNum>
  <w:abstractNum w:abstractNumId="10">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szCs w:val="28"/>
        <w:iCs w:val="false"/>
        <w:bCs/>
        <w:vanish w:val="false"/>
        <w:rFonts w:ascii="Times New Roman" w:hAnsi="Times New Roman" w:cs="Times New Roman"/>
        <w:color w:val="000000"/>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szCs w:val="28"/>
        <w:iCs w:val="false"/>
        <w:bCs/>
        <w:vanish w:val="false"/>
        <w:rFonts w:ascii="Times New Roman" w:hAnsi="Times New Roman" w:cs="Times New Roman"/>
        <w:color w:val="000000"/>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dstrike w:val="false"/>
        <w:strike w:val="false"/>
        <w:vertAlign w:val="baseline"/>
        <w:position w:val="0"/>
        <w:sz w:val="26"/>
        <w:sz w:val="26"/>
        <w:spacing w:val="0"/>
        <w:i w:val="false"/>
        <w:u w:val="none"/>
        <w:b w:val="false"/>
        <w:iCs w:val="false"/>
        <w:bCs w:val="false"/>
        <w:vanish w:val="false"/>
        <w:rFonts w:ascii="Times New Roman" w:hAnsi="Times New Roman" w:cs="Times New Roman"/>
        <w14:ligatures w14:val="none"/>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7">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8">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19">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20">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1">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2">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23">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4">
    <w:lvl w:ilvl="0">
      <w:start w:val="1"/>
      <w:numFmt w:val="bullet"/>
      <w:lvlText w:val="‒"/>
      <w:lvlJc w:val="left"/>
      <w:pPr>
        <w:tabs>
          <w:tab w:val="num" w:pos="0"/>
        </w:tabs>
        <w:ind w:left="1036" w:hanging="360"/>
      </w:pPr>
      <w:rPr>
        <w:rFonts w:ascii="Calibri" w:hAnsi="Calibri" w:cs="Calibri" w:hint="default"/>
      </w:rPr>
    </w:lvl>
    <w:lvl w:ilvl="1">
      <w:start w:val="1"/>
      <w:numFmt w:val="bullet"/>
      <w:lvlText w:val="o"/>
      <w:lvlJc w:val="left"/>
      <w:pPr>
        <w:tabs>
          <w:tab w:val="num" w:pos="0"/>
        </w:tabs>
        <w:ind w:left="1756" w:hanging="360"/>
      </w:pPr>
      <w:rPr>
        <w:rFonts w:ascii="Courier New" w:hAnsi="Courier New" w:cs="Courier New" w:hint="default"/>
      </w:rPr>
    </w:lvl>
    <w:lvl w:ilvl="2">
      <w:start w:val="1"/>
      <w:numFmt w:val="bullet"/>
      <w:lvlText w:val=""/>
      <w:lvlJc w:val="left"/>
      <w:pPr>
        <w:tabs>
          <w:tab w:val="num" w:pos="0"/>
        </w:tabs>
        <w:ind w:left="2476" w:hanging="360"/>
      </w:pPr>
      <w:rPr>
        <w:rFonts w:ascii="Wingdings" w:hAnsi="Wingdings" w:cs="Wingdings" w:hint="default"/>
      </w:rPr>
    </w:lvl>
    <w:lvl w:ilvl="3">
      <w:start w:val="1"/>
      <w:numFmt w:val="bullet"/>
      <w:lvlText w:val=""/>
      <w:lvlJc w:val="left"/>
      <w:pPr>
        <w:tabs>
          <w:tab w:val="num" w:pos="0"/>
        </w:tabs>
        <w:ind w:left="3196" w:hanging="360"/>
      </w:pPr>
      <w:rPr>
        <w:rFonts w:ascii="Symbol" w:hAnsi="Symbol" w:cs="Symbol" w:hint="default"/>
      </w:rPr>
    </w:lvl>
    <w:lvl w:ilvl="4">
      <w:start w:val="1"/>
      <w:numFmt w:val="bullet"/>
      <w:lvlText w:val="o"/>
      <w:lvlJc w:val="left"/>
      <w:pPr>
        <w:tabs>
          <w:tab w:val="num" w:pos="0"/>
        </w:tabs>
        <w:ind w:left="3916" w:hanging="360"/>
      </w:pPr>
      <w:rPr>
        <w:rFonts w:ascii="Courier New" w:hAnsi="Courier New" w:cs="Courier New" w:hint="default"/>
      </w:rPr>
    </w:lvl>
    <w:lvl w:ilvl="5">
      <w:start w:val="1"/>
      <w:numFmt w:val="bullet"/>
      <w:lvlText w:val=""/>
      <w:lvlJc w:val="left"/>
      <w:pPr>
        <w:tabs>
          <w:tab w:val="num" w:pos="0"/>
        </w:tabs>
        <w:ind w:left="4636" w:hanging="360"/>
      </w:pPr>
      <w:rPr>
        <w:rFonts w:ascii="Wingdings" w:hAnsi="Wingdings" w:cs="Wingdings" w:hint="default"/>
      </w:rPr>
    </w:lvl>
    <w:lvl w:ilvl="6">
      <w:start w:val="1"/>
      <w:numFmt w:val="bullet"/>
      <w:lvlText w:val=""/>
      <w:lvlJc w:val="left"/>
      <w:pPr>
        <w:tabs>
          <w:tab w:val="num" w:pos="0"/>
        </w:tabs>
        <w:ind w:left="5356" w:hanging="360"/>
      </w:pPr>
      <w:rPr>
        <w:rFonts w:ascii="Symbol" w:hAnsi="Symbol" w:cs="Symbol" w:hint="default"/>
      </w:rPr>
    </w:lvl>
    <w:lvl w:ilvl="7">
      <w:start w:val="1"/>
      <w:numFmt w:val="bullet"/>
      <w:lvlText w:val="o"/>
      <w:lvlJc w:val="left"/>
      <w:pPr>
        <w:tabs>
          <w:tab w:val="num" w:pos="0"/>
        </w:tabs>
        <w:ind w:left="6076" w:hanging="360"/>
      </w:pPr>
      <w:rPr>
        <w:rFonts w:ascii="Courier New" w:hAnsi="Courier New" w:cs="Courier New" w:hint="default"/>
      </w:rPr>
    </w:lvl>
    <w:lvl w:ilvl="8">
      <w:start w:val="1"/>
      <w:numFmt w:val="bullet"/>
      <w:lvlText w:val=""/>
      <w:lvlJc w:val="left"/>
      <w:pPr>
        <w:tabs>
          <w:tab w:val="num" w:pos="0"/>
        </w:tabs>
        <w:ind w:left="6796"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rFonts w:cs="Times New Roman"/>
      </w:rPr>
    </w:lvl>
    <w:lvl w:ilvl="6">
      <w:start w:val="1"/>
      <w:numFmt w:val="none"/>
      <w:suff w:val="nothing"/>
      <w:lvlText w:val=""/>
      <w:lvlJc w:val="left"/>
      <w:pPr>
        <w:tabs>
          <w:tab w:val="num" w:pos="0"/>
        </w:tabs>
        <w:ind w:left="1701"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1134" w:hanging="0"/>
      </w:pPr>
      <w:rPr>
        <w:rFonts w:cs="Times New Roman"/>
      </w:rPr>
    </w:lvl>
  </w:abstractNum>
  <w:abstractNum w:abstractNumId="27">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decimal"/>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360"/>
      </w:pPr>
      <w:rPr>
        <w:rFonts w:cs="Times New Roman"/>
      </w:rPr>
    </w:lvl>
    <w:lvl w:ilvl="6">
      <w:start w:val="1"/>
      <w:numFmt w:val="none"/>
      <w:suff w:val="nothing"/>
      <w:lvlText w:val=""/>
      <w:lvlJc w:val="left"/>
      <w:pPr>
        <w:tabs>
          <w:tab w:val="num" w:pos="0"/>
        </w:tabs>
        <w:ind w:left="1701" w:hanging="360"/>
      </w:pPr>
      <w:rPr>
        <w:rFonts w:cs="Times New Roman"/>
      </w:rPr>
    </w:lvl>
    <w:lvl w:ilvl="7">
      <w:start w:val="1"/>
      <w:numFmt w:val="none"/>
      <w:suff w:val="nothing"/>
      <w:lvlText w:val=""/>
      <w:lvlJc w:val="left"/>
      <w:pPr>
        <w:tabs>
          <w:tab w:val="num" w:pos="0"/>
        </w:tabs>
        <w:ind w:left="3240" w:hanging="360"/>
      </w:pPr>
      <w:rPr>
        <w:sz w:val="20"/>
        <w:rFonts w:cs="Times New Roman"/>
      </w:rPr>
    </w:lvl>
    <w:lvl w:ilvl="8">
      <w:start w:val="1"/>
      <w:numFmt w:val="none"/>
      <w:suff w:val="nothing"/>
      <w:lvlText w:val=""/>
      <w:lvlJc w:val="left"/>
      <w:pPr>
        <w:tabs>
          <w:tab w:val="num" w:pos="0"/>
        </w:tabs>
        <w:ind w:left="1134" w:hanging="36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Arial" w:cstheme="minorBidi" w:eastAsiaTheme="minorHAnsi"/>
        <w:sz w:val="26"/>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40" w:beforeAutospacing="0" w:before="12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Heading1">
    <w:name w:val="Heading 1"/>
    <w:basedOn w:val="Normal"/>
    <w:next w:val="Normal"/>
    <w:link w:val="1"/>
    <w:qFormat/>
    <w:pPr>
      <w:keepNext w:val="true"/>
      <w:keepLines/>
      <w:pageBreakBefore/>
      <w:tabs>
        <w:tab w:val="clear" w:pos="708"/>
        <w:tab w:val="left" w:pos="1134" w:leader="none"/>
      </w:tabs>
      <w:spacing w:before="480" w:after="240"/>
      <w:ind w:hanging="1134" w:left="1134"/>
      <w:outlineLvl w:val="0"/>
    </w:pPr>
    <w:rPr>
      <w:rFonts w:ascii="Arial" w:hAnsi="Arial" w:eastAsia="Times New Roman" w:cs="Times New Roman"/>
      <w:b/>
      <w:sz w:val="40"/>
      <w:szCs w:val="26"/>
      <w:lang w:eastAsia="ru-RU"/>
    </w:rPr>
  </w:style>
  <w:style w:type="paragraph" w:styleId="Heading2">
    <w:name w:val="Heading 2"/>
    <w:basedOn w:val="Normal"/>
    <w:next w:val="Normal"/>
    <w:link w:val="21"/>
    <w:qFormat/>
    <w:pPr>
      <w:keepNext w:val="true"/>
      <w:tabs>
        <w:tab w:val="clear" w:pos="708"/>
        <w:tab w:val="left" w:pos="2694" w:leader="none"/>
      </w:tabs>
      <w:spacing w:before="360" w:after="120"/>
      <w:ind w:hanging="1134" w:left="2694"/>
      <w:outlineLvl w:val="1"/>
    </w:pPr>
    <w:rPr>
      <w:rFonts w:eastAsia="Times New Roman" w:cs="Times New Roman"/>
      <w:b/>
      <w:sz w:val="32"/>
      <w:szCs w:val="26"/>
      <w:lang w:eastAsia="ru-RU"/>
    </w:rPr>
  </w:style>
  <w:style w:type="paragraph" w:styleId="Heading3">
    <w:name w:val="Heading 3"/>
    <w:basedOn w:val="Normal"/>
    <w:next w:val="Normal"/>
    <w:link w:val="3"/>
    <w:semiHidden/>
    <w:unhideWhenUsed/>
    <w:qFormat/>
    <w:pPr>
      <w:keepNext w:val="true"/>
      <w:keepLines/>
      <w:spacing w:before="40" w:after="0"/>
      <w:outlineLvl w:val="2"/>
    </w:pPr>
    <w:rPr>
      <w:rFonts w:ascii="Calibri Light" w:hAnsi="Calibri Light" w:eastAsia="Arial" w:cs="Arial" w:asciiTheme="majorHAnsi" w:cstheme="majorBidi" w:eastAsiaTheme="majorEastAsia" w:hAnsiTheme="majorHAnsi"/>
      <w:color w:val="1F3763" w:themeColor="accent1" w:themeShade="7f"/>
      <w:sz w:val="24"/>
      <w:szCs w:val="24"/>
    </w:rPr>
  </w:style>
  <w:style w:type="paragraph" w:styleId="Heading4">
    <w:name w:val="Heading 4"/>
    <w:basedOn w:val="Normal"/>
    <w:next w:val="Normal"/>
    <w:link w:val="Heading4Char"/>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Heading5Char"/>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Heading6Char"/>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Heading7Char"/>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Heading8Char"/>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Heading9Char"/>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basedOn w:val="DefaultParagraphFont"/>
    <w:uiPriority w:val="35"/>
    <w:qFormat/>
    <w:rPr>
      <w:b/>
      <w:bCs/>
      <w:color w:val="4F81BD" w:themeColor="accent1"/>
      <w:sz w:val="18"/>
      <w:szCs w:val="18"/>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Style">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Style1" w:customStyle="1">
    <w:name w:val="Верхний колонтитул Знак"/>
    <w:basedOn w:val="DefaultParagraphFont"/>
    <w:uiPriority w:val="99"/>
    <w:qFormat/>
    <w:rPr/>
  </w:style>
  <w:style w:type="character" w:styleId="Style2" w:customStyle="1">
    <w:name w:val="Нижний колонтитул Знак"/>
    <w:basedOn w:val="DefaultParagraphFont"/>
    <w:uiPriority w:val="99"/>
    <w:qFormat/>
    <w:rPr/>
  </w:style>
  <w:style w:type="character" w:styleId="Style3" w:customStyle="1">
    <w:name w:val="[РГ] Инструкция для организатора"/>
    <w:basedOn w:val="DefaultParagraphFont"/>
    <w:uiPriority w:val="1"/>
    <w:qFormat/>
    <w:rPr>
      <w:i/>
      <w:iCs/>
      <w:shd w:fill="FFFF99" w:val="clear"/>
      <w:lang w:val="ru-RU"/>
    </w:rPr>
  </w:style>
  <w:style w:type="character" w:styleId="Style4" w:customStyle="1">
    <w:name w:val="Текст сноски Знак"/>
    <w:basedOn w:val="DefaultParagraphFont"/>
    <w:uiPriority w:val="99"/>
    <w:semiHidden/>
    <w:qFormat/>
    <w:rPr>
      <w:sz w:val="20"/>
      <w:szCs w:val="20"/>
    </w:rPr>
  </w:style>
  <w:style w:type="character" w:styleId="Style5">
    <w:name w:val="Символ сноски"/>
    <w:unhideWhenUsed/>
    <w:qFormat/>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qFormat/>
    <w:rPr>
      <w:color w:val="605E5C"/>
      <w:shd w:fill="E1DFDD" w:val="clear"/>
    </w:rPr>
  </w:style>
  <w:style w:type="character" w:styleId="PlaceholderText">
    <w:name w:val="Placeholder Text"/>
    <w:basedOn w:val="DefaultParagraphFont"/>
    <w:uiPriority w:val="99"/>
    <w:semiHidden/>
    <w:qFormat/>
    <w:rPr>
      <w:color w:val="808080"/>
    </w:rPr>
  </w:style>
  <w:style w:type="character" w:styleId="Style6" w:customStyle="1">
    <w:name w:val="[РГ] Отсылка"/>
    <w:basedOn w:val="DefaultParagraphFont"/>
    <w:uiPriority w:val="1"/>
    <w:qFormat/>
    <w:rPr>
      <w:color w:val="000000"/>
      <w:spacing w:val="0"/>
      <w:u w:val="single"/>
      <w:shd w:fill="auto" w:val="clear"/>
      <w:lang w:val="ru-RU"/>
    </w:rPr>
  </w:style>
  <w:style w:type="character" w:styleId="Annotationreference">
    <w:name w:val="annotation reference"/>
    <w:basedOn w:val="DefaultParagraphFont"/>
    <w:unhideWhenUsed/>
    <w:qFormat/>
    <w:rPr>
      <w:sz w:val="16"/>
      <w:szCs w:val="16"/>
    </w:rPr>
  </w:style>
  <w:style w:type="character" w:styleId="Style7" w:customStyle="1">
    <w:name w:val="Текст примечания Знак"/>
    <w:basedOn w:val="DefaultParagraphFont"/>
    <w:link w:val="Annotationtext"/>
    <w:uiPriority w:val="99"/>
    <w:qFormat/>
    <w:rPr>
      <w:sz w:val="20"/>
      <w:szCs w:val="20"/>
    </w:rPr>
  </w:style>
  <w:style w:type="character" w:styleId="Style8" w:customStyle="1">
    <w:name w:val="Тема примечания Знак"/>
    <w:basedOn w:val="Style7"/>
    <w:link w:val="Annotationsubject"/>
    <w:uiPriority w:val="99"/>
    <w:semiHidden/>
    <w:qFormat/>
    <w:rPr>
      <w:b/>
      <w:bCs/>
      <w:sz w:val="20"/>
      <w:szCs w:val="20"/>
    </w:rPr>
  </w:style>
  <w:style w:type="character" w:styleId="Style9" w:customStyle="1">
    <w:name w:val="[РГ] Инструкция для участника"/>
    <w:basedOn w:val="DefaultParagraphFont"/>
    <w:uiPriority w:val="1"/>
    <w:qFormat/>
    <w:rPr>
      <w:i/>
      <w:shd w:fill="D0CECE" w:val="clear"/>
      <w:lang w:val="ru-RU"/>
    </w:rPr>
  </w:style>
  <w:style w:type="character" w:styleId="FollowedHyperlink">
    <w:name w:val="FollowedHyperlink"/>
    <w:basedOn w:val="DefaultParagraphFont"/>
    <w:uiPriority w:val="99"/>
    <w:semiHidden/>
    <w:unhideWhenUsed/>
    <w:rPr>
      <w:color w:val="954F72" w:themeColor="followedHyperlink"/>
      <w:u w:val="single"/>
    </w:rPr>
  </w:style>
  <w:style w:type="character" w:styleId="2" w:customStyle="1">
    <w:name w:val="Пункт Знак2"/>
    <w:link w:val="Style25"/>
    <w:qFormat/>
    <w:rPr>
      <w:rFonts w:eastAsia="Times New Roman" w:cs="Times New Roman"/>
      <w:szCs w:val="26"/>
      <w:lang w:eastAsia="ru-RU"/>
    </w:rPr>
  </w:style>
  <w:style w:type="character" w:styleId="1" w:customStyle="1">
    <w:name w:val="Заголовок 1 Знак"/>
    <w:basedOn w:val="DefaultParagraphFont"/>
    <w:qFormat/>
    <w:rPr>
      <w:rFonts w:ascii="Arial" w:hAnsi="Arial" w:eastAsia="Times New Roman" w:cs="Times New Roman"/>
      <w:b/>
      <w:sz w:val="40"/>
      <w:szCs w:val="26"/>
      <w:lang w:eastAsia="ru-RU"/>
    </w:rPr>
  </w:style>
  <w:style w:type="character" w:styleId="21" w:customStyle="1">
    <w:name w:val="Заголовок 2 Знак"/>
    <w:basedOn w:val="DefaultParagraphFont"/>
    <w:qFormat/>
    <w:rPr>
      <w:rFonts w:eastAsia="Times New Roman" w:cs="Times New Roman"/>
      <w:b/>
      <w:sz w:val="32"/>
      <w:szCs w:val="26"/>
      <w:lang w:eastAsia="ru-RU"/>
    </w:rPr>
  </w:style>
  <w:style w:type="character" w:styleId="3" w:customStyle="1">
    <w:name w:val="Заголовок 3 Знак"/>
    <w:basedOn w:val="DefaultParagraphFont"/>
    <w:semiHidden/>
    <w:qFormat/>
    <w:rPr>
      <w:rFonts w:ascii="Calibri Light" w:hAnsi="Calibri Light" w:eastAsia="Arial" w:cs="Arial" w:asciiTheme="majorHAnsi" w:cstheme="majorBidi" w:eastAsiaTheme="majorEastAsia" w:hAnsiTheme="majorHAnsi"/>
      <w:color w:val="1F3763" w:themeColor="accent1" w:themeShade="7f"/>
      <w:sz w:val="24"/>
      <w:szCs w:val="24"/>
    </w:rPr>
  </w:style>
  <w:style w:type="character" w:styleId="Style10" w:customStyle="1">
    <w:name w:val="Текст выноски Знак"/>
    <w:basedOn w:val="DefaultParagraphFont"/>
    <w:link w:val="BalloonText"/>
    <w:uiPriority w:val="99"/>
    <w:semiHidden/>
    <w:qFormat/>
    <w:rPr>
      <w:rFonts w:ascii="Segoe UI" w:hAnsi="Segoe UI" w:cs="Segoe UI"/>
      <w:sz w:val="18"/>
      <w:szCs w:val="18"/>
    </w:rPr>
  </w:style>
  <w:style w:type="character" w:styleId="Style11" w:customStyle="1">
    <w:name w:val="РГ_ЕПоЗ_а) Знак"/>
    <w:basedOn w:val="DefaultParagraphFont"/>
    <w:link w:val="Style28"/>
    <w:qFormat/>
    <w:rPr>
      <w:rFonts w:eastAsia="Calibri" w:cs="Times New Roman"/>
      <w:sz w:val="28"/>
      <w:szCs w:val="28"/>
    </w:rPr>
  </w:style>
  <w:style w:type="character" w:styleId="-" w:customStyle="1">
    <w:name w:val="РГ_ЕПоЗ_- Знак"/>
    <w:basedOn w:val="DefaultParagraphFont"/>
    <w:link w:val="-1"/>
    <w:qFormat/>
    <w:rPr>
      <w:rFonts w:eastAsia="Times New Roman" w:cs="Times New Roman"/>
      <w:sz w:val="28"/>
      <w:szCs w:val="20"/>
      <w:lang w:eastAsia="ru-RU"/>
    </w:rPr>
  </w:style>
  <w:style w:type="character" w:styleId="Style12">
    <w:name w:val="Ссылка указателя"/>
    <w:qFormat/>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next w:val="Normal"/>
    <w:link w:val="CaptionChar"/>
    <w:uiPriority w:val="35"/>
    <w:semiHidden/>
    <w:unhideWhenUsed/>
    <w:qFormat/>
    <w:pPr>
      <w:spacing w:lineRule="auto" w:line="276"/>
    </w:pPr>
    <w:rPr>
      <w:b/>
      <w:bCs/>
      <w:color w:val="4F81BD" w:themeColor="accent1"/>
      <w:sz w:val="18"/>
      <w:szCs w:val="18"/>
    </w:rPr>
  </w:style>
  <w:style w:type="paragraph" w:styleId="Style14">
    <w:name w:val="Указатель"/>
    <w:basedOn w:val="Normal"/>
    <w:qFormat/>
    <w:pPr>
      <w:suppressLineNumbers/>
    </w:pPr>
    <w:rPr>
      <w:rFonts w:cs="Arial Unicode MS"/>
    </w:rPr>
  </w:style>
  <w:style w:type="paragraph" w:styleId="NoSpacing">
    <w:name w:val="No Spacing"/>
    <w:uiPriority w:val="1"/>
    <w:qFormat/>
    <w:pPr>
      <w:widowControl/>
      <w:suppressAutoHyphens w:val="true"/>
      <w:bidi w:val="0"/>
      <w:spacing w:lineRule="auto" w:line="240" w:beforeAutospacing="0" w:before="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Title">
    <w:name w:val="Title"/>
    <w:basedOn w:val="Normal"/>
    <w:next w:val="Normal"/>
    <w:link w:val="TitleChar"/>
    <w:uiPriority w:val="10"/>
    <w:qFormat/>
    <w:pPr>
      <w:spacing w:before="300" w:after="200"/>
      <w:contextualSpacing/>
    </w:pPr>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paragraph" w:styleId="Quote">
    <w:name w:val="Quote"/>
    <w:basedOn w:val="Normal"/>
    <w:next w:val="Normal"/>
    <w:link w:val="QuoteChar"/>
    <w:uiPriority w:val="29"/>
    <w:qFormat/>
    <w:pPr>
      <w:ind w:hanging="0" w:left="720" w:right="72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before="120" w:after="0"/>
      <w:ind w:hanging="0" w:left="720" w:right="720"/>
    </w:pPr>
    <w:rPr>
      <w:i/>
    </w:rPr>
  </w:style>
  <w:style w:type="paragraph" w:styleId="EndnoteText">
    <w:name w:val="Endnote Text"/>
    <w:basedOn w:val="Normal"/>
    <w:link w:val="EndnoteTextChar"/>
    <w:uiPriority w:val="99"/>
    <w:semiHidden/>
    <w:unhideWhenUsed/>
    <w:pPr>
      <w:spacing w:lineRule="auto" w:line="240" w:before="120" w:after="0"/>
    </w:pPr>
    <w:rPr>
      <w:sz w:val="20"/>
    </w:rPr>
  </w:style>
  <w:style w:type="paragraph" w:styleId="IndexHeading">
    <w:name w:val="Index Heading"/>
    <w:basedOn w:val="Style13"/>
    <w:pPr/>
    <w:rPr/>
  </w:style>
  <w:style w:type="paragraph" w:styleId="TOCHeading">
    <w:name w:val="TOC Heading"/>
    <w:uiPriority w:val="39"/>
    <w:unhideWhenUsed/>
    <w:qFormat/>
    <w:pPr>
      <w:widowControl/>
      <w:suppressAutoHyphens w:val="true"/>
      <w:bidi w:val="0"/>
      <w:spacing w:lineRule="auto" w:line="240" w:beforeAutospacing="0" w:before="12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Tableoffigures">
    <w:name w:val="table of figures"/>
    <w:basedOn w:val="Normal"/>
    <w:next w:val="Normal"/>
    <w:uiPriority w:val="99"/>
    <w:unhideWhenUsed/>
    <w:qFormat/>
    <w:pPr>
      <w:spacing w:before="120" w:afterAutospacing="0" w:after="0"/>
    </w:pPr>
    <w:rPr/>
  </w:style>
  <w:style w:type="paragraph" w:styleId="Style15" w:customStyle="1">
    <w:name w:val="[РГ] Раздел"/>
    <w:basedOn w:val="Normal"/>
    <w:next w:val="Style16"/>
    <w:qFormat/>
    <w:pPr>
      <w:keepNext w:val="true"/>
      <w:pageBreakBefore/>
      <w:numPr>
        <w:ilvl w:val="0"/>
        <w:numId w:val="1"/>
      </w:numPr>
      <w:spacing w:before="0" w:after="360"/>
      <w:jc w:val="both"/>
      <w:outlineLvl w:val="0"/>
    </w:pPr>
    <w:rPr>
      <w:b/>
      <w:bCs/>
      <w:caps/>
    </w:rPr>
  </w:style>
  <w:style w:type="paragraph" w:styleId="Style16" w:customStyle="1">
    <w:name w:val="[РГ] Подраздел"/>
    <w:basedOn w:val="Normal"/>
    <w:next w:val="Style17"/>
    <w:qFormat/>
    <w:pPr>
      <w:keepNext w:val="true"/>
      <w:numPr>
        <w:ilvl w:val="1"/>
        <w:numId w:val="1"/>
      </w:numPr>
      <w:spacing w:before="360" w:after="0"/>
      <w:jc w:val="both"/>
      <w:outlineLvl w:val="1"/>
    </w:pPr>
    <w:rPr>
      <w:b/>
      <w:bCs/>
    </w:rPr>
  </w:style>
  <w:style w:type="paragraph" w:styleId="Style17" w:customStyle="1">
    <w:name w:val="[РГ] Пункт"/>
    <w:basedOn w:val="Normal"/>
    <w:qFormat/>
    <w:pPr>
      <w:numPr>
        <w:ilvl w:val="2"/>
        <w:numId w:val="1"/>
      </w:numPr>
      <w:jc w:val="both"/>
      <w:outlineLvl w:val="2"/>
    </w:pPr>
    <w:rPr/>
  </w:style>
  <w:style w:type="paragraph" w:styleId="Style18" w:customStyle="1">
    <w:name w:val="[РГ] Подпункт"/>
    <w:basedOn w:val="Normal"/>
    <w:qFormat/>
    <w:pPr>
      <w:numPr>
        <w:ilvl w:val="3"/>
        <w:numId w:val="1"/>
      </w:numPr>
      <w:jc w:val="both"/>
      <w:outlineLvl w:val="3"/>
    </w:pPr>
    <w:rPr/>
  </w:style>
  <w:style w:type="paragraph" w:styleId="Style19" w:customStyle="1">
    <w:name w:val="[РГ] Перечисление"/>
    <w:basedOn w:val="Normal"/>
    <w:qFormat/>
    <w:pPr>
      <w:numPr>
        <w:ilvl w:val="4"/>
        <w:numId w:val="1"/>
      </w:numPr>
      <w:jc w:val="both"/>
      <w:outlineLvl w:val="4"/>
    </w:pPr>
    <w:rPr/>
  </w:style>
  <w:style w:type="paragraph" w:styleId="Style20" w:customStyle="1">
    <w:name w:val="[РГ] Заголовок"/>
    <w:basedOn w:val="Normal"/>
    <w:next w:val="Style21"/>
    <w:qFormat/>
    <w:pPr>
      <w:keepNext w:val="true"/>
      <w:pageBreakBefore/>
      <w:spacing w:before="0" w:after="360"/>
      <w:jc w:val="both"/>
    </w:pPr>
    <w:rPr>
      <w:b/>
      <w:bCs/>
      <w:caps/>
    </w:rPr>
  </w:style>
  <w:style w:type="paragraph" w:styleId="Style21" w:customStyle="1">
    <w:name w:val="[РГ] Текст"/>
    <w:basedOn w:val="Normal"/>
    <w:qFormat/>
    <w:pPr>
      <w:jc w:val="both"/>
    </w:pPr>
    <w:rPr/>
  </w:style>
  <w:style w:type="paragraph" w:styleId="Style22">
    <w:name w:val="Колонтитул"/>
    <w:basedOn w:val="Normal"/>
    <w:qFormat/>
    <w:pPr/>
    <w:rPr/>
  </w:style>
  <w:style w:type="paragraph" w:styleId="Header">
    <w:name w:val="Header"/>
    <w:basedOn w:val="Normal"/>
    <w:link w:val="Style1"/>
    <w:uiPriority w:val="99"/>
    <w:unhideWhenUsed/>
    <w:pPr>
      <w:spacing w:before="0" w:after="120"/>
      <w:jc w:val="center"/>
    </w:pPr>
    <w:rPr/>
  </w:style>
  <w:style w:type="paragraph" w:styleId="Footer">
    <w:name w:val="Footer"/>
    <w:basedOn w:val="Normal"/>
    <w:link w:val="Style2"/>
    <w:unhideWhenUsed/>
    <w:pPr>
      <w:jc w:val="right"/>
    </w:pPr>
    <w:rPr/>
  </w:style>
  <w:style w:type="paragraph" w:styleId="FootnoteText">
    <w:name w:val="Footnote Text"/>
    <w:basedOn w:val="Normal"/>
    <w:link w:val="Style4"/>
    <w:uiPriority w:val="99"/>
    <w:semiHidden/>
    <w:unhideWhenUsed/>
    <w:pPr>
      <w:spacing w:before="0" w:after="0"/>
    </w:pPr>
    <w:rPr>
      <w:sz w:val="20"/>
      <w:szCs w:val="20"/>
    </w:rPr>
  </w:style>
  <w:style w:type="paragraph" w:styleId="Style23" w:customStyle="1">
    <w:name w:val="[РГ] Сноска"/>
    <w:basedOn w:val="FootnoteText"/>
    <w:qFormat/>
    <w:pPr>
      <w:spacing w:before="80" w:after="0"/>
      <w:ind w:hanging="567" w:left="567"/>
      <w:jc w:val="both"/>
    </w:pPr>
    <w:rPr>
      <w:sz w:val="22"/>
    </w:rPr>
  </w:style>
  <w:style w:type="paragraph" w:styleId="TOC2">
    <w:name w:val="TOC 2"/>
    <w:basedOn w:val="Normal"/>
    <w:next w:val="Normal"/>
    <w:uiPriority w:val="39"/>
    <w:unhideWhenUsed/>
    <w:pPr>
      <w:tabs>
        <w:tab w:val="clear" w:pos="708"/>
        <w:tab w:val="left" w:pos="851" w:leader="none"/>
        <w:tab w:val="right" w:pos="9923" w:leader="none"/>
      </w:tabs>
      <w:spacing w:before="120" w:after="120"/>
      <w:ind w:hanging="851" w:left="851"/>
    </w:pPr>
    <w:rPr/>
  </w:style>
  <w:style w:type="paragraph" w:styleId="TOC1">
    <w:name w:val="TOC 1"/>
    <w:basedOn w:val="Normal"/>
    <w:next w:val="Normal"/>
    <w:uiPriority w:val="39"/>
    <w:unhideWhenUsed/>
    <w:pPr>
      <w:keepNext w:val="true"/>
      <w:tabs>
        <w:tab w:val="clear" w:pos="708"/>
        <w:tab w:val="left" w:pos="851" w:leader="none"/>
        <w:tab w:val="right" w:pos="9923" w:leader="none"/>
      </w:tabs>
      <w:spacing w:before="120" w:after="120"/>
      <w:ind w:hanging="851" w:left="851"/>
    </w:pPr>
    <w:rPr>
      <w:b/>
      <w:caps/>
    </w:rPr>
  </w:style>
  <w:style w:type="paragraph" w:styleId="TOC3">
    <w:name w:val="TOC 3"/>
    <w:basedOn w:val="Normal"/>
    <w:next w:val="Normal"/>
    <w:uiPriority w:val="39"/>
    <w:unhideWhenUsed/>
    <w:pPr>
      <w:spacing w:lineRule="auto" w:line="259" w:before="0" w:after="100"/>
      <w:ind w:hanging="0" w:left="440"/>
    </w:pPr>
    <w:rPr>
      <w:rFonts w:ascii="Calibri" w:hAnsi="Calibri" w:eastAsia="Arial" w:asciiTheme="minorHAnsi" w:eastAsiaTheme="minorEastAsia" w:hAnsiTheme="minorHAnsi"/>
      <w:sz w:val="22"/>
      <w:lang w:eastAsia="ru-RU"/>
    </w:rPr>
  </w:style>
  <w:style w:type="paragraph" w:styleId="TOC4">
    <w:name w:val="TOC 4"/>
    <w:basedOn w:val="Normal"/>
    <w:next w:val="Normal"/>
    <w:uiPriority w:val="39"/>
    <w:unhideWhenUsed/>
    <w:pPr>
      <w:spacing w:lineRule="auto" w:line="259" w:before="0" w:after="100"/>
      <w:ind w:hanging="0" w:left="660"/>
    </w:pPr>
    <w:rPr>
      <w:rFonts w:ascii="Calibri" w:hAnsi="Calibri" w:eastAsia="Arial" w:asciiTheme="minorHAnsi" w:eastAsiaTheme="minorEastAsia" w:hAnsiTheme="minorHAnsi"/>
      <w:sz w:val="22"/>
      <w:lang w:eastAsia="ru-RU"/>
    </w:rPr>
  </w:style>
  <w:style w:type="paragraph" w:styleId="TOC5">
    <w:name w:val="TOC 5"/>
    <w:basedOn w:val="Normal"/>
    <w:next w:val="Normal"/>
    <w:uiPriority w:val="39"/>
    <w:unhideWhenUsed/>
    <w:pPr>
      <w:spacing w:lineRule="auto" w:line="259" w:before="0" w:after="100"/>
      <w:ind w:hanging="0" w:left="880"/>
    </w:pPr>
    <w:rPr>
      <w:rFonts w:ascii="Calibri" w:hAnsi="Calibri" w:eastAsia="Arial" w:asciiTheme="minorHAnsi" w:eastAsiaTheme="minorEastAsia" w:hAnsiTheme="minorHAnsi"/>
      <w:sz w:val="22"/>
      <w:lang w:eastAsia="ru-RU"/>
    </w:rPr>
  </w:style>
  <w:style w:type="paragraph" w:styleId="TOC6">
    <w:name w:val="TOC 6"/>
    <w:basedOn w:val="Normal"/>
    <w:next w:val="Normal"/>
    <w:uiPriority w:val="39"/>
    <w:unhideWhenUsed/>
    <w:pPr>
      <w:spacing w:lineRule="auto" w:line="259" w:before="0" w:after="100"/>
      <w:ind w:hanging="0" w:left="1100"/>
    </w:pPr>
    <w:rPr>
      <w:rFonts w:ascii="Calibri" w:hAnsi="Calibri" w:eastAsia="Arial" w:asciiTheme="minorHAnsi" w:eastAsiaTheme="minorEastAsia" w:hAnsiTheme="minorHAnsi"/>
      <w:sz w:val="22"/>
      <w:lang w:eastAsia="ru-RU"/>
    </w:rPr>
  </w:style>
  <w:style w:type="paragraph" w:styleId="TOC7">
    <w:name w:val="TOC 7"/>
    <w:basedOn w:val="Normal"/>
    <w:next w:val="Normal"/>
    <w:uiPriority w:val="39"/>
    <w:unhideWhenUsed/>
    <w:pPr>
      <w:spacing w:lineRule="auto" w:line="259" w:before="0" w:after="100"/>
      <w:ind w:hanging="0" w:left="1320"/>
    </w:pPr>
    <w:rPr>
      <w:rFonts w:ascii="Calibri" w:hAnsi="Calibri" w:eastAsia="Arial" w:asciiTheme="minorHAnsi" w:eastAsiaTheme="minorEastAsia" w:hAnsiTheme="minorHAnsi"/>
      <w:sz w:val="22"/>
      <w:lang w:eastAsia="ru-RU"/>
    </w:rPr>
  </w:style>
  <w:style w:type="paragraph" w:styleId="TOC8">
    <w:name w:val="TOC 8"/>
    <w:basedOn w:val="Normal"/>
    <w:next w:val="Normal"/>
    <w:uiPriority w:val="39"/>
    <w:unhideWhenUsed/>
    <w:pPr>
      <w:spacing w:lineRule="auto" w:line="259" w:before="0" w:after="100"/>
      <w:ind w:hanging="0" w:left="1540"/>
    </w:pPr>
    <w:rPr>
      <w:rFonts w:ascii="Calibri" w:hAnsi="Calibri" w:eastAsia="Arial" w:asciiTheme="minorHAnsi" w:eastAsiaTheme="minorEastAsia" w:hAnsiTheme="minorHAnsi"/>
      <w:sz w:val="22"/>
      <w:lang w:eastAsia="ru-RU"/>
    </w:rPr>
  </w:style>
  <w:style w:type="paragraph" w:styleId="TOC9">
    <w:name w:val="TOC 9"/>
    <w:basedOn w:val="Normal"/>
    <w:next w:val="Normal"/>
    <w:uiPriority w:val="39"/>
    <w:unhideWhenUsed/>
    <w:pPr>
      <w:spacing w:lineRule="auto" w:line="259" w:before="0" w:after="100"/>
      <w:ind w:hanging="0" w:left="1760"/>
    </w:pPr>
    <w:rPr>
      <w:rFonts w:ascii="Calibri" w:hAnsi="Calibri" w:eastAsia="Arial" w:asciiTheme="minorHAnsi" w:eastAsiaTheme="minorEastAsia" w:hAnsiTheme="minorHAnsi"/>
      <w:sz w:val="22"/>
      <w:lang w:eastAsia="ru-RU"/>
    </w:rPr>
  </w:style>
  <w:style w:type="paragraph" w:styleId="Annotationtext">
    <w:name w:val="annotation text"/>
    <w:basedOn w:val="Normal"/>
    <w:link w:val="Style7"/>
    <w:uiPriority w:val="99"/>
    <w:unhideWhenUsed/>
    <w:qFormat/>
    <w:pPr/>
    <w:rPr>
      <w:sz w:val="20"/>
      <w:szCs w:val="20"/>
    </w:rPr>
  </w:style>
  <w:style w:type="paragraph" w:styleId="Annotationsubject">
    <w:name w:val="annotation subject"/>
    <w:basedOn w:val="Annotationtext"/>
    <w:next w:val="Annotationtext"/>
    <w:link w:val="Style8"/>
    <w:uiPriority w:val="99"/>
    <w:semiHidden/>
    <w:unhideWhenUsed/>
    <w:qFormat/>
    <w:pPr/>
    <w:rPr>
      <w:b/>
      <w:bCs/>
    </w:rPr>
  </w:style>
  <w:style w:type="paragraph" w:styleId="Style24" w:customStyle="1">
    <w:name w:val="[РГ] Альтернатива / Дополнение"/>
    <w:basedOn w:val="Style21"/>
    <w:next w:val="Style21"/>
    <w:qFormat/>
    <w:pPr/>
    <w:rPr>
      <w:i/>
      <w:shd w:fill="CCECFF" w:val="clear"/>
    </w:rPr>
  </w:style>
  <w:style w:type="paragraph" w:styleId="Revision">
    <w:name w:val="Revision"/>
    <w:uiPriority w:val="99"/>
    <w:semiHidden/>
    <w:qFormat/>
    <w:pPr>
      <w:widowControl/>
      <w:suppressAutoHyphens w:val="true"/>
      <w:bidi w:val="0"/>
      <w:spacing w:lineRule="auto" w:line="240" w:beforeAutospacing="0" w:before="0" w:afterAutospacing="0" w:after="0"/>
      <w:jc w:val="left"/>
    </w:pPr>
    <w:rPr>
      <w:rFonts w:ascii="Times New Roman" w:hAnsi="Times New Roman" w:eastAsia="Calibri" w:cs="Arial" w:cstheme="minorBidi" w:eastAsiaTheme="minorHAnsi"/>
      <w:color w:val="auto"/>
      <w:kern w:val="0"/>
      <w:sz w:val="26"/>
      <w:szCs w:val="22"/>
      <w:lang w:val="ru-RU" w:eastAsia="en-US" w:bidi="ar-SA"/>
    </w:rPr>
  </w:style>
  <w:style w:type="paragraph" w:styleId="ListParagraph">
    <w:name w:val="List Paragraph"/>
    <w:basedOn w:val="Normal"/>
    <w:uiPriority w:val="34"/>
    <w:qFormat/>
    <w:pPr>
      <w:spacing w:before="120" w:after="0"/>
      <w:ind w:hanging="0" w:left="720"/>
      <w:contextualSpacing/>
    </w:pPr>
    <w:rPr/>
  </w:style>
  <w:style w:type="paragraph" w:styleId="Style25" w:customStyle="1">
    <w:name w:val="Пункт"/>
    <w:basedOn w:val="Normal"/>
    <w:link w:val="2"/>
    <w:qFormat/>
    <w:pPr>
      <w:numPr>
        <w:ilvl w:val="2"/>
        <w:numId w:val="9"/>
      </w:numPr>
      <w:jc w:val="both"/>
    </w:pPr>
    <w:rPr>
      <w:rFonts w:eastAsia="Times New Roman" w:cs="Times New Roman"/>
      <w:szCs w:val="26"/>
      <w:lang w:eastAsia="ru-RU"/>
    </w:rPr>
  </w:style>
  <w:style w:type="paragraph" w:styleId="Style26" w:customStyle="1">
    <w:name w:val="Подпункт"/>
    <w:basedOn w:val="Style25"/>
    <w:qFormat/>
    <w:pPr>
      <w:numPr>
        <w:ilvl w:val="3"/>
      </w:numPr>
      <w:tabs>
        <w:tab w:val="clear" w:pos="708"/>
      </w:tabs>
      <w:ind w:hanging="360" w:left="2880"/>
    </w:pPr>
    <w:rPr/>
  </w:style>
  <w:style w:type="paragraph" w:styleId="Style27" w:customStyle="1">
    <w:name w:val="Подподпункт"/>
    <w:basedOn w:val="Style26"/>
    <w:qFormat/>
    <w:pPr>
      <w:numPr>
        <w:ilvl w:val="4"/>
      </w:numPr>
      <w:ind w:hanging="360" w:left="3600"/>
    </w:pPr>
    <w:rPr/>
  </w:style>
  <w:style w:type="paragraph" w:styleId="BalloonText">
    <w:name w:val="Balloon Text"/>
    <w:basedOn w:val="Normal"/>
    <w:link w:val="Style10"/>
    <w:uiPriority w:val="99"/>
    <w:semiHidden/>
    <w:unhideWhenUsed/>
    <w:qFormat/>
    <w:pPr>
      <w:spacing w:before="0" w:after="0"/>
    </w:pPr>
    <w:rPr>
      <w:rFonts w:ascii="Segoe UI" w:hAnsi="Segoe UI" w:cs="Segoe UI"/>
      <w:sz w:val="18"/>
      <w:szCs w:val="18"/>
    </w:rPr>
  </w:style>
  <w:style w:type="paragraph" w:styleId="11" w:customStyle="1">
    <w:name w:val="РГ_ЕПоЗ_1."/>
    <w:basedOn w:val="Normal"/>
    <w:qFormat/>
    <w:pPr>
      <w:keepNext w:val="true"/>
      <w:numPr>
        <w:ilvl w:val="0"/>
        <w:numId w:val="15"/>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1" w:customStyle="1">
    <w:name w:val="РГ_ЕПоЗ_1.1"/>
    <w:basedOn w:val="Normal"/>
    <w:qFormat/>
    <w:pPr>
      <w:keepNext w:val="true"/>
      <w:numPr>
        <w:ilvl w:val="1"/>
        <w:numId w:val="15"/>
      </w:numPr>
      <w:tabs>
        <w:tab w:val="clear" w:pos="708"/>
        <w:tab w:val="left" w:pos="1418" w:leader="none"/>
      </w:tabs>
      <w:spacing w:before="360" w:after="0"/>
      <w:ind w:hanging="567" w:left="1134"/>
      <w:jc w:val="both"/>
      <w:outlineLvl w:val="1"/>
    </w:pPr>
    <w:rPr>
      <w:rFonts w:eastAsia="Times New Roman" w:cs="Times New Roman"/>
      <w:b/>
      <w:sz w:val="28"/>
      <w:szCs w:val="28"/>
      <w:lang w:eastAsia="ru-RU"/>
    </w:rPr>
  </w:style>
  <w:style w:type="paragraph" w:styleId="Style28" w:customStyle="1">
    <w:name w:val="РГ_ЕПоЗ_а)"/>
    <w:basedOn w:val="ListParagraph"/>
    <w:link w:val="Style11"/>
    <w:qFormat/>
    <w:pPr>
      <w:numPr>
        <w:ilvl w:val="4"/>
        <w:numId w:val="15"/>
      </w:numPr>
      <w:spacing w:before="120" w:after="0"/>
      <w:contextualSpacing w:val="false"/>
      <w:jc w:val="both"/>
    </w:pPr>
    <w:rPr>
      <w:rFonts w:eastAsia="Calibri" w:cs="Times New Roman"/>
      <w:sz w:val="28"/>
      <w:szCs w:val="28"/>
    </w:rPr>
  </w:style>
  <w:style w:type="paragraph" w:styleId="1111" w:customStyle="1">
    <w:name w:val="РГ_ЕПоЗ_1.1.1.1"/>
    <w:basedOn w:val="Normal"/>
    <w:qFormat/>
    <w:pPr>
      <w:numPr>
        <w:ilvl w:val="3"/>
        <w:numId w:val="15"/>
      </w:numPr>
      <w:tabs>
        <w:tab w:val="clear" w:pos="708"/>
        <w:tab w:val="left" w:pos="1843" w:leader="none"/>
      </w:tabs>
      <w:jc w:val="both"/>
    </w:pPr>
    <w:rPr>
      <w:rFonts w:eastAsia="Times New Roman" w:cs="Times New Roman"/>
      <w:sz w:val="28"/>
      <w:szCs w:val="28"/>
      <w:lang w:eastAsia="ru-RU"/>
    </w:rPr>
  </w:style>
  <w:style w:type="paragraph" w:styleId="-1" w:customStyle="1">
    <w:name w:val="РГ_ЕПоЗ_-"/>
    <w:basedOn w:val="Normal"/>
    <w:link w:val="-"/>
    <w:qFormat/>
    <w:pPr>
      <w:numPr>
        <w:ilvl w:val="5"/>
        <w:numId w:val="15"/>
      </w:numPr>
      <w:tabs>
        <w:tab w:val="clear" w:pos="708"/>
        <w:tab w:val="left" w:pos="2552" w:leader="none"/>
      </w:tabs>
      <w:spacing w:before="0" w:after="0"/>
      <w:jc w:val="both"/>
    </w:pPr>
    <w:rPr>
      <w:rFonts w:eastAsia="Times New Roman" w:cs="Times New Roman"/>
      <w:sz w:val="28"/>
      <w:szCs w:val="20"/>
      <w:lang w:eastAsia="ru-RU"/>
    </w:rPr>
  </w:style>
  <w:style w:type="paragraph" w:styleId="1112" w:customStyle="1">
    <w:name w:val="РГ_ЕПоЗ_1.1.1"/>
    <w:basedOn w:val="Normal"/>
    <w:qFormat/>
    <w:pPr>
      <w:numPr>
        <w:ilvl w:val="2"/>
        <w:numId w:val="15"/>
      </w:numPr>
      <w:tabs>
        <w:tab w:val="clear" w:pos="708"/>
        <w:tab w:val="left" w:pos="1134" w:leader="none"/>
      </w:tabs>
      <w:jc w:val="both"/>
    </w:pPr>
    <w:rPr>
      <w:rFonts w:eastAsia="Times New Roman" w:cs="Times New Roman"/>
      <w:sz w:val="28"/>
      <w:szCs w:val="28"/>
      <w:lang w:eastAsia="ru-RU"/>
    </w:rPr>
  </w:style>
  <w:style w:type="paragraph" w:styleId="Tableheader" w:customStyle="1">
    <w:name w:val="Table_header"/>
    <w:qFormat/>
    <w:pPr>
      <w:keepNext w:val="false"/>
      <w:keepLines w:val="false"/>
      <w:pageBreakBefore w:val="false"/>
      <w:widowControl/>
      <w:shd w:val="nil"/>
      <w:suppressAutoHyphens w:val="true"/>
      <w:bidi w:val="0"/>
      <w:spacing w:lineRule="auto" w:line="240" w:beforeAutospacing="0" w:before="120" w:afterAutospacing="0" w:after="0"/>
      <w:ind w:hanging="0" w:left="0" w:right="0"/>
      <w:jc w:val="both"/>
    </w:pPr>
    <w:rPr>
      <w:rFonts w:ascii="Times New Roman" w:hAnsi="Times New Roman" w:eastAsia="Times New Roman" w:cs="Times New Roman"/>
      <w:b/>
      <w:bCs w:val="false"/>
      <w:i w:val="false"/>
      <w:iCs w:val="false"/>
      <w:caps w:val="false"/>
      <w:smallCaps w:val="false"/>
      <w:strike w:val="false"/>
      <w:dstrike w:val="false"/>
      <w:vanish w:val="false"/>
      <w:color w:val="auto"/>
      <w:spacing w:val="0"/>
      <w:kern w:val="0"/>
      <w:position w:val="0"/>
      <w:sz w:val="20"/>
      <w:sz w:val="20"/>
      <w:szCs w:val="24"/>
      <w:u w:val="none"/>
      <w:vertAlign w:val="baseline"/>
      <w:lang w:val="ru-RU" w:eastAsia="ru-RU" w:bidi="ar-SA"/>
      <w14:ligatures w14:val="none"/>
    </w:rPr>
  </w:style>
  <w:style w:type="paragraph" w:styleId="31" w:customStyle="1">
    <w:name w:val="УРОВЕНЬ_Абзац_тип3"/>
    <w:qFormat/>
    <w:pPr>
      <w:keepNext w:val="false"/>
      <w:keepLines w:val="false"/>
      <w:pageBreakBefore w:val="false"/>
      <w:widowControl/>
      <w:numPr>
        <w:ilvl w:val="0"/>
        <w:numId w:val="0"/>
      </w:numPr>
      <w:shd w:val="nil"/>
      <w:suppressAutoHyphens w:val="true"/>
      <w:bidi w:val="0"/>
      <w:spacing w:lineRule="exact" w:line="360" w:beforeAutospacing="0" w:before="0" w:afterAutospacing="0" w:after="0"/>
      <w:ind w:hanging="0" w:left="0" w:right="0"/>
      <w:jc w:val="both"/>
    </w:pPr>
    <w:rPr>
      <w:rFonts w:ascii="Times New Roman" w:hAnsi="Times New Roman" w:eastAsia="Calibri" w:cs="Times New Roman"/>
      <w:b w:val="false"/>
      <w:bCs w:val="false"/>
      <w:i w:val="false"/>
      <w:iCs w:val="false"/>
      <w:caps w:val="false"/>
      <w:smallCaps w:val="false"/>
      <w:strike w:val="false"/>
      <w:dstrike w:val="false"/>
      <w:vanish w:val="false"/>
      <w:color w:val="auto"/>
      <w:spacing w:val="0"/>
      <w:kern w:val="0"/>
      <w:position w:val="0"/>
      <w:sz w:val="26"/>
      <w:sz w:val="26"/>
      <w:szCs w:val="28"/>
      <w:u w:val="none"/>
      <w:vertAlign w:val="baseline"/>
      <w:lang w:val="ru-RU" w:eastAsia="en-US" w:bidi="ar-SA"/>
      <w14:ligatures w14:val="none"/>
    </w:rPr>
  </w:style>
  <w:style w:type="numbering" w:styleId="NoList" w:default="1">
    <w:name w:val="No List"/>
    <w:uiPriority w:val="99"/>
    <w:semiHidden/>
    <w:unhideWhenUsed/>
    <w:qFormat/>
  </w:style>
  <w:style w:type="table" w:styleId="993">
    <w:name w:val="Table Grid Light"/>
    <w:basedOn w:val="1129"/>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994">
    <w:name w:val="Plain Table 1"/>
    <w:basedOn w:val="1129"/>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995">
    <w:name w:val="Plain Table 2"/>
    <w:basedOn w:val="1129"/>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996">
    <w:name w:val="Plain Table 3"/>
    <w:basedOn w:val="1129"/>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style>
  <w:style w:type="table" w:styleId="997">
    <w:name w:val="Plain Table 4"/>
    <w:basedOn w:val="1129"/>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998">
    <w:name w:val="Plain Table 5"/>
    <w:basedOn w:val="1129"/>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d"/>
      </w:tcPr>
    </w:tblStylePr>
    <w:tblStylePr w:type="band1Vert">
      <w:rPr>
        <w:color w:val="404040"/>
        <w:sz w:val="22"/>
      </w:rPr>
      <w:tblPr/>
      <w:tcPr>
        <w:shd w:val="clear" w:color="FFFFFF" w:fill="F2F2F2" w:themeFill="text1" w:themeFillTint="d"/>
      </w:tc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bottom w:val="single" w:color="404040" w:sz="4" w:space="0"/>
          <w:right w:val="none" w:color="00000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top w:val="single" w:color="404040" w:sz="4" w:space="0"/>
          <w:left w:val="none" w:color="000000" w:sz="4" w:space="0"/>
          <w:right w:val="none" w:color="000000" w:sz="4" w:space="0"/>
        </w:tcBorders>
        <w:shd w:val="clear" w:color="FFFFFF"/>
      </w:tcPr>
    </w:tblStylePr>
  </w:style>
  <w:style w:type="table" w:styleId="999">
    <w:name w:val="Grid Table 1 Light"/>
    <w:basedOn w:val="1129"/>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1000">
    <w:name w:val="Grid Table 1 Light - Accent 1"/>
    <w:basedOn w:val="1129"/>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1001">
    <w:name w:val="Grid Table 1 Light - Accent 2"/>
    <w:basedOn w:val="1129"/>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1002">
    <w:name w:val="Grid Table 1 Light - Accent 3"/>
    <w:basedOn w:val="1129"/>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1003">
    <w:name w:val="Grid Table 1 Light - Accent 4"/>
    <w:basedOn w:val="1129"/>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1004">
    <w:name w:val="Grid Table 1 Light - Accent 5"/>
    <w:basedOn w:val="1129"/>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1005">
    <w:name w:val="Grid Table 1 Light - Accent 6"/>
    <w:basedOn w:val="1129"/>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1006">
    <w:name w:val="Grid Table 2"/>
    <w:basedOn w:val="1129"/>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1007">
    <w:name w:val="Grid Table 2 - Accent 1"/>
    <w:basedOn w:val="1129"/>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1008">
    <w:name w:val="Grid Table 2 - Accent 2"/>
    <w:basedOn w:val="1129"/>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1009">
    <w:name w:val="Grid Table 2 - Accent 3"/>
    <w:basedOn w:val="1129"/>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1010">
    <w:name w:val="Grid Table 2 - Accent 4"/>
    <w:basedOn w:val="1129"/>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1011">
    <w:name w:val="Grid Table 2 - Accent 5"/>
    <w:basedOn w:val="1129"/>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1012">
    <w:name w:val="Grid Table 2 - Accent 6"/>
    <w:basedOn w:val="1129"/>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1013">
    <w:name w:val="Grid Table 3"/>
    <w:basedOn w:val="1129"/>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14">
    <w:name w:val="Grid Table 3 - Accent 1"/>
    <w:basedOn w:val="1129"/>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15">
    <w:name w:val="Grid Table 3 - Accent 2"/>
    <w:basedOn w:val="1129"/>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16">
    <w:name w:val="Grid Table 3 - Accent 3"/>
    <w:basedOn w:val="1129"/>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17">
    <w:name w:val="Grid Table 3 - Accent 4"/>
    <w:basedOn w:val="1129"/>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18">
    <w:name w:val="Grid Table 3 - Accent 5"/>
    <w:basedOn w:val="1129"/>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19">
    <w:name w:val="Grid Table 3 - Accent 6"/>
    <w:basedOn w:val="1129"/>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1020">
    <w:name w:val="Grid Table 4"/>
    <w:basedOn w:val="1129"/>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1021">
    <w:name w:val="Grid Table 4 - Accent 1"/>
    <w:basedOn w:val="1129"/>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color w:val="404040"/>
        <w:sz w:val="22"/>
      </w:rPr>
      <w:tblPr/>
      <w:tcPr>
        <w:shd w:val="clear" w:color="FFFFFF" w:fill="DAE3F3" w:themeFill="accent1" w:themeFillTint="32"/>
      </w:tcPr>
    </w:tblStylePr>
    <w:tblStylePr w:type="band1Vert">
      <w:rPr>
        <w:color w:val="404040"/>
        <w:sz w:val="22"/>
      </w:rPr>
      <w:tblPr/>
      <w:tcPr>
        <w:shd w:val="clear" w:color="FFFFFF" w:fill="DAE3F3" w:themeFill="accent1" w:themeFillTint="32"/>
      </w:tcPr>
    </w:tblStylePr>
    <w:tblStylePr w:type="firstCol">
      <w:rPr>
        <w:b/>
        <w:color w:val="404040"/>
      </w:rPr>
      <w:tblPr/>
    </w:tblStylePr>
    <w:tblStylePr w:type="firstRow">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37FC8" w:themeFill="accent1" w:themeFillTint="ea"/>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1022">
    <w:name w:val="Grid Table 4 - Accent 2"/>
    <w:basedOn w:val="1129"/>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1023">
    <w:name w:val="Grid Table 4 - Accent 3"/>
    <w:basedOn w:val="1129"/>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1024">
    <w:name w:val="Grid Table 4 - Accent 4"/>
    <w:basedOn w:val="1129"/>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1025">
    <w:name w:val="Grid Table 4 - Accent 5"/>
    <w:basedOn w:val="1129"/>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5B9BD5" w:themeFill="accent5"/>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1026">
    <w:name w:val="Grid Table 4 - Accent 6"/>
    <w:basedOn w:val="1129"/>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1027">
    <w:name w:val="Grid Table 5 Dark"/>
    <w:basedOn w:val="11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color w:val="FFFFFF"/>
        <w:sz w:val="22"/>
      </w:rPr>
      <w:tblPr/>
      <w:tcPr>
        <w:shd w:val="clear" w:color="FFFFFF" w:fill="000000" w:themeFill="text1"/>
      </w:tcPr>
    </w:tblStylePr>
    <w:tblStylePr w:type="firstRow">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lastRow">
      <w:rPr>
        <w:b/>
        <w:color w:val="FFFFFF"/>
        <w:sz w:val="22"/>
      </w:rPr>
      <w:tblPr/>
      <w:tcPr>
        <w:tcBorders>
          <w:top w:val="single" w:color="000000" w:themeColor="light1" w:sz="4" w:space="0"/>
        </w:tcBorders>
        <w:shd w:val="clear" w:color="FFFFFF" w:fill="000000" w:themeFill="text1"/>
      </w:tcPr>
    </w:tblStylePr>
  </w:style>
  <w:style w:type="table" w:styleId="1028">
    <w:name w:val="Grid Table 5 Dark- Accent 1"/>
    <w:basedOn w:val="11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1" w:themeFillTint="75"/>
      </w:tcPr>
    </w:tblStylePr>
    <w:tblStylePr w:type="band1Vert">
      <w:tblPr/>
      <w:tcPr>
        <w:shd w:val="clear" w:color="FFFFFF" w:fill="AABFE3" w:themeFill="accent1" w:themeFillTint="75"/>
      </w:tcPr>
    </w:tblStylePr>
    <w:tblStylePr w:type="firstCol">
      <w:rPr>
        <w:b/>
        <w:color w:val="FFFFFF"/>
        <w:sz w:val="22"/>
      </w:rPr>
      <w:tblPr/>
      <w:tcPr>
        <w:shd w:val="clear" w:color="FFFFFF" w:fill="4472C4" w:themeFill="accent1"/>
      </w:tcPr>
    </w:tblStylePr>
    <w:tblStylePr w:type="firstRow">
      <w:rPr>
        <w:b/>
        <w:color w:val="FFFFFF"/>
        <w:sz w:val="22"/>
      </w:rPr>
      <w:tblPr/>
      <w:tcPr>
        <w:shd w:val="clear" w:color="FFFFFF" w:fill="4472C4" w:themeFill="accent1"/>
      </w:tcPr>
    </w:tblStylePr>
    <w:tblStylePr w:type="lastCol">
      <w:rPr>
        <w:b/>
        <w:color w:val="FFFFFF"/>
        <w:sz w:val="22"/>
      </w:rPr>
      <w:tblPr/>
      <w:tcPr>
        <w:shd w:val="clear" w:color="FFFFFF" w:fill="4472C4" w:themeFill="accent1"/>
      </w:tcPr>
    </w:tblStylePr>
    <w:tblStylePr w:type="lastRow">
      <w:rPr>
        <w:b/>
        <w:color w:val="FFFFFF"/>
        <w:sz w:val="22"/>
      </w:rPr>
      <w:tblPr/>
      <w:tcPr>
        <w:tcBorders>
          <w:top w:val="single" w:color="000000" w:themeColor="light1" w:sz="4" w:space="0"/>
        </w:tcBorders>
        <w:shd w:val="clear" w:color="FFFFFF" w:fill="4472C4" w:themeFill="accent1"/>
      </w:tcPr>
    </w:tblStylePr>
  </w:style>
  <w:style w:type="table" w:styleId="1029">
    <w:name w:val="Grid Table 5 Dark - Accent 2"/>
    <w:basedOn w:val="11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color w:val="FFFFFF"/>
        <w:sz w:val="22"/>
      </w:rPr>
      <w:tblPr/>
      <w:tcPr>
        <w:shd w:val="clear" w:color="FFFFFF" w:fill="ED7D31" w:themeFill="accent2"/>
      </w:tcPr>
    </w:tblStylePr>
    <w:tblStylePr w:type="firstRow">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lastRow">
      <w:rPr>
        <w:b/>
        <w:color w:val="FFFFFF"/>
        <w:sz w:val="22"/>
      </w:rPr>
      <w:tblPr/>
      <w:tcPr>
        <w:tcBorders>
          <w:top w:val="single" w:color="000000" w:themeColor="light1" w:sz="4" w:space="0"/>
        </w:tcBorders>
        <w:shd w:val="clear" w:color="FFFFFF" w:fill="ED7D31" w:themeFill="accent2"/>
      </w:tcPr>
    </w:tblStylePr>
  </w:style>
  <w:style w:type="table" w:styleId="1030">
    <w:name w:val="Grid Table 5 Dark - Accent 3"/>
    <w:basedOn w:val="11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color w:val="FFFFFF"/>
        <w:sz w:val="22"/>
      </w:rPr>
      <w:tblPr/>
      <w:tcPr>
        <w:shd w:val="clear" w:color="FFFFFF" w:fill="A5A5A5" w:themeFill="accent3"/>
      </w:tcPr>
    </w:tblStylePr>
    <w:tblStylePr w:type="firstRow">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lastRow">
      <w:rPr>
        <w:b/>
        <w:color w:val="FFFFFF"/>
        <w:sz w:val="22"/>
      </w:rPr>
      <w:tblPr/>
      <w:tcPr>
        <w:tcBorders>
          <w:top w:val="single" w:color="000000" w:themeColor="light1" w:sz="4" w:space="0"/>
        </w:tcBorders>
        <w:shd w:val="clear" w:color="FFFFFF" w:fill="A5A5A5" w:themeFill="accent3"/>
      </w:tcPr>
    </w:tblStylePr>
  </w:style>
  <w:style w:type="table" w:styleId="1031">
    <w:name w:val="Grid Table 5 Dark- Accent 4"/>
    <w:basedOn w:val="11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color w:val="FFFFFF"/>
        <w:sz w:val="22"/>
      </w:rPr>
      <w:tblPr/>
      <w:tcPr>
        <w:shd w:val="clear" w:color="FFFFFF" w:fill="FFC000" w:themeFill="accent4"/>
      </w:tcPr>
    </w:tblStylePr>
    <w:tblStylePr w:type="firstRow">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lastRow">
      <w:rPr>
        <w:b/>
        <w:color w:val="FFFFFF"/>
        <w:sz w:val="22"/>
      </w:rPr>
      <w:tblPr/>
      <w:tcPr>
        <w:tcBorders>
          <w:top w:val="single" w:color="000000" w:themeColor="light1" w:sz="4" w:space="0"/>
        </w:tcBorders>
        <w:shd w:val="clear" w:color="FFFFFF" w:fill="FFC000" w:themeFill="accent4"/>
      </w:tcPr>
    </w:tblStylePr>
  </w:style>
  <w:style w:type="table" w:styleId="1032">
    <w:name w:val="Grid Table 5 Dark - Accent 5"/>
    <w:basedOn w:val="11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5" w:themeFillTint="75"/>
      </w:tcPr>
    </w:tblStylePr>
    <w:tblStylePr w:type="band1Vert">
      <w:tblPr/>
      <w:tcPr>
        <w:shd w:val="clear" w:color="FFFFFF" w:fill="B4D2EB" w:themeFill="accent5" w:themeFillTint="75"/>
      </w:tcPr>
    </w:tblStylePr>
    <w:tblStylePr w:type="firstCol">
      <w:rPr>
        <w:b/>
        <w:color w:val="FFFFFF"/>
        <w:sz w:val="22"/>
      </w:rPr>
      <w:tblPr/>
      <w:tcPr>
        <w:shd w:val="clear" w:color="FFFFFF" w:fill="5B9BD5" w:themeFill="accent5"/>
      </w:tcPr>
    </w:tblStylePr>
    <w:tblStylePr w:type="firstRow">
      <w:rPr>
        <w:b/>
        <w:color w:val="FFFFFF"/>
        <w:sz w:val="22"/>
      </w:rPr>
      <w:tblPr/>
      <w:tcPr>
        <w:shd w:val="clear" w:color="FFFFFF" w:fill="5B9BD5" w:themeFill="accent5"/>
      </w:tcPr>
    </w:tblStylePr>
    <w:tblStylePr w:type="lastCol">
      <w:rPr>
        <w:b/>
        <w:color w:val="FFFFFF"/>
        <w:sz w:val="22"/>
      </w:rPr>
      <w:tblPr/>
      <w:tcPr>
        <w:shd w:val="clear" w:color="FFFFFF" w:fill="5B9BD5" w:themeFill="accent5"/>
      </w:tcPr>
    </w:tblStylePr>
    <w:tblStylePr w:type="lastRow">
      <w:rPr>
        <w:b/>
        <w:color w:val="FFFFFF"/>
        <w:sz w:val="22"/>
      </w:rPr>
      <w:tblPr/>
      <w:tcPr>
        <w:tcBorders>
          <w:top w:val="single" w:color="000000" w:themeColor="light1" w:sz="4" w:space="0"/>
        </w:tcBorders>
        <w:shd w:val="clear" w:color="FFFFFF" w:fill="5B9BD5" w:themeFill="accent5"/>
      </w:tcPr>
    </w:tblStylePr>
  </w:style>
  <w:style w:type="table" w:styleId="1033">
    <w:name w:val="Grid Table 5 Dark - Accent 6"/>
    <w:basedOn w:val="1129"/>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color w:val="FFFFFF"/>
        <w:sz w:val="22"/>
      </w:rPr>
      <w:tblPr/>
      <w:tcPr>
        <w:shd w:val="clear" w:color="FFFFFF" w:fill="70AD47" w:themeFill="accent6"/>
      </w:tcPr>
    </w:tblStylePr>
    <w:tblStylePr w:type="firstRow">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lastRow">
      <w:rPr>
        <w:b/>
        <w:color w:val="FFFFFF"/>
        <w:sz w:val="22"/>
      </w:rPr>
      <w:tblPr/>
      <w:tcPr>
        <w:tcBorders>
          <w:top w:val="single" w:color="000000" w:themeColor="light1" w:sz="4" w:space="0"/>
        </w:tcBorders>
        <w:shd w:val="clear" w:color="FFFFFF" w:fill="70AD47" w:themeFill="accent6"/>
      </w:tcPr>
    </w:tblStylePr>
  </w:style>
  <w:style w:type="table" w:styleId="1034">
    <w:name w:val="Grid Table 6 Colorful"/>
    <w:basedOn w:val="1129"/>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1035">
    <w:name w:val="Grid Table 6 Colorful - Accent 1"/>
    <w:basedOn w:val="1129"/>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404040" w:themeColor="accent1" w:themeTint="80" w:themeShade="95"/>
        <w:sz w:val="22"/>
      </w:rPr>
      <w:tblPr/>
    </w:tblStylePr>
    <w:tblStylePr w:type="firstCol">
      <w:rPr>
        <w:b/>
        <w:color w:val="3664A9" w:themeColor="accent1" w:themeTint="80" w:themeShade="95"/>
      </w:rPr>
      <w:tblPr/>
    </w:tblStylePr>
    <w:tblStylePr w:type="firstRow">
      <w:rPr>
        <w:b/>
        <w:color w:val="3664A9" w:themeColor="accent1" w:themeTint="80" w:themeShade="95"/>
      </w:rPr>
      <w:tblPr/>
      <w:tcPr>
        <w:tcBorders>
          <w:bottom w:val="single" w:color="000000" w:themeColor="accent1" w:sz="12" w:space="0"/>
        </w:tcBorders>
      </w:tcPr>
    </w:tblStylePr>
    <w:tblStylePr w:type="lastCol">
      <w:rPr>
        <w:b/>
        <w:color w:val="3664A9" w:themeColor="accent1" w:themeTint="80" w:themeShade="95"/>
      </w:rPr>
      <w:tblPr/>
    </w:tblStylePr>
    <w:tblStylePr w:type="lastRow">
      <w:rPr>
        <w:b/>
        <w:color w:val="3664A9" w:themeColor="accent1" w:themeTint="80" w:themeShade="95"/>
      </w:rPr>
      <w:tblPr/>
    </w:tblStylePr>
    <w:tblStylePr w:type="wholeTable">
      <w:rPr>
        <w:color w:val="404040" w:themeColor="accent1" w:themeTint="80" w:themeShade="95"/>
        <w:sz w:val="22"/>
      </w:rPr>
      <w:tblPr/>
    </w:tblStylePr>
  </w:style>
  <w:style w:type="table" w:styleId="1036">
    <w:name w:val="Grid Table 6 Colorful - Accent 2"/>
    <w:basedOn w:val="1129"/>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12" w:space="0"/>
        </w:tcBorders>
      </w:tcPr>
    </w:tblStylePr>
    <w:tblStylePr w:type="lastCol">
      <w:rPr>
        <w:b/>
        <w:color w:val="C95712" w:themeColor="accent2" w:themeTint="97" w:themeShade="95"/>
      </w:rPr>
      <w:tblPr/>
    </w:tblStylePr>
    <w:tblStylePr w:type="lastRow">
      <w:rPr>
        <w:b/>
        <w:color w:val="C95712" w:themeColor="accent2" w:themeTint="97" w:themeShade="95"/>
      </w:rPr>
      <w:tblPr/>
    </w:tblStylePr>
    <w:tblStylePr w:type="wholeTable">
      <w:rPr>
        <w:color w:val="404040" w:themeColor="accent2" w:themeTint="97" w:themeShade="95"/>
        <w:sz w:val="22"/>
      </w:rPr>
      <w:tblPr/>
    </w:tblStylePr>
  </w:style>
  <w:style w:type="table" w:styleId="1037">
    <w:name w:val="Grid Table 6 Colorful - Accent 3"/>
    <w:basedOn w:val="1129"/>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404040" w:themeColor="accent3" w:themeTint="fe" w:themeShade="95"/>
        <w:sz w:val="22"/>
      </w:rPr>
      <w:tblPr/>
    </w:tblStylePr>
    <w:tblStylePr w:type="firstCol">
      <w:rPr>
        <w:b/>
        <w:color w:val="606060" w:themeColor="accent3" w:themeTint="fe" w:themeShade="95"/>
      </w:rPr>
      <w:tblPr/>
    </w:tblStylePr>
    <w:tblStylePr w:type="firstRow">
      <w:rPr>
        <w:b/>
        <w:color w:val="606060" w:themeColor="accent3" w:themeTint="fe" w:themeShade="95"/>
      </w:rPr>
      <w:tblPr/>
      <w:tcPr>
        <w:tcBorders>
          <w:bottom w:val="single" w:color="000000" w:themeColor="accent3" w:sz="12" w:space="0"/>
        </w:tcBorders>
      </w:tcPr>
    </w:tblStylePr>
    <w:tblStylePr w:type="lastCol">
      <w:rPr>
        <w:b/>
        <w:color w:val="606060" w:themeColor="accent3" w:themeTint="fe" w:themeShade="95"/>
      </w:rPr>
      <w:tblPr/>
    </w:tblStylePr>
    <w:tblStylePr w:type="lastRow">
      <w:rPr>
        <w:b/>
        <w:color w:val="606060" w:themeColor="accent3" w:themeTint="fe" w:themeShade="95"/>
      </w:rPr>
      <w:tblPr/>
    </w:tblStylePr>
    <w:tblStylePr w:type="wholeTable">
      <w:rPr>
        <w:color w:val="404040" w:themeColor="accent3" w:themeTint="fe" w:themeShade="95"/>
        <w:sz w:val="22"/>
      </w:rPr>
      <w:tblPr/>
    </w:tblStylePr>
  </w:style>
  <w:style w:type="table" w:styleId="1038">
    <w:name w:val="Grid Table 6 Colorful - Accent 4"/>
    <w:basedOn w:val="1129"/>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12" w:space="0"/>
        </w:tcBorders>
      </w:tcPr>
    </w:tblStylePr>
    <w:tblStylePr w:type="lastCol">
      <w:rPr>
        <w:b/>
        <w:color w:val="CD9600" w:themeColor="accent4" w:themeTint="9a" w:themeShade="95"/>
      </w:rPr>
      <w:tblPr/>
    </w:tblStylePr>
    <w:tblStylePr w:type="lastRow">
      <w:rPr>
        <w:b/>
        <w:color w:val="CD9600" w:themeColor="accent4" w:themeTint="9a" w:themeShade="95"/>
      </w:rPr>
      <w:tblPr/>
    </w:tblStylePr>
    <w:tblStylePr w:type="wholeTable">
      <w:rPr>
        <w:color w:val="404040" w:themeColor="accent4" w:themeTint="9a" w:themeShade="95"/>
        <w:sz w:val="22"/>
      </w:rPr>
      <w:tblPr/>
    </w:tblStylePr>
  </w:style>
  <w:style w:type="table" w:styleId="1039">
    <w:name w:val="Grid Table 6 Colorful - Accent 5"/>
    <w:basedOn w:val="1129"/>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5"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1040">
    <w:name w:val="Grid Table 6 Colorful - Accent 6"/>
    <w:basedOn w:val="1129"/>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6"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1041">
    <w:name w:val="Grid Table 7 Colorful"/>
    <w:basedOn w:val="1129"/>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1042">
    <w:name w:val="Grid Table 7 Colorful - Accent 1"/>
    <w:basedOn w:val="1129"/>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664A9"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3664A9" w:themeColor="accent1" w:themeTint="80" w:themeShade="95"/>
        <w:sz w:val="22"/>
      </w:rPr>
      <w:tblPr/>
    </w:tblStylePr>
    <w:tblStylePr w:type="firstCol">
      <w:pPr>
        <w:jc w:val="right"/>
      </w:pPr>
      <w:rPr>
        <w:i/>
        <w:color w:val="3664A9"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b/>
        <w:color w:val="3664A9"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3664A9"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b/>
        <w:color w:val="3664A9"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1043">
    <w:name w:val="Grid Table 7 Colorful - Accent 2"/>
    <w:basedOn w:val="1129"/>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b/>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b/>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1044">
    <w:name w:val="Grid Table 7 Colorful - Accent 3"/>
    <w:basedOn w:val="1129"/>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606060" w:themeColor="accent3" w:themeTint="fe" w:themeShade="95"/>
        <w:sz w:val="22"/>
      </w:rPr>
      <w:tblPr/>
    </w:tblStylePr>
    <w:tblStylePr w:type="firstCol">
      <w:pPr>
        <w:jc w:val="right"/>
      </w:pPr>
      <w:rPr>
        <w:i/>
        <w:color w:val="606060"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b/>
        <w:color w:val="606060"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606060"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b/>
        <w:color w:val="606060"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1045">
    <w:name w:val="Grid Table 7 Colorful - Accent 4"/>
    <w:basedOn w:val="1129"/>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b/>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b/>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1046">
    <w:name w:val="Grid Table 7 Colorful - Accent 5"/>
    <w:basedOn w:val="1129"/>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45D8D"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245D8D" w:themeColor="accent5" w:themeShade="95"/>
        <w:sz w:val="22"/>
      </w:rPr>
      <w:tblPr/>
    </w:tblStylePr>
    <w:tblStylePr w:type="firstCol">
      <w:pPr>
        <w:jc w:val="right"/>
      </w:pPr>
      <w:rPr>
        <w:i/>
        <w:color w:val="245D8D" w:themeColor="accent5"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b/>
        <w:color w:val="245D8D"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45D8D" w:themeColor="accent5"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b/>
        <w:color w:val="245D8D"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1047">
    <w:name w:val="Grid Table 7 Colorful - Accent 6"/>
    <w:basedOn w:val="1129"/>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26429"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26429" w:themeColor="accent6" w:themeShade="95"/>
        <w:sz w:val="22"/>
      </w:rPr>
      <w:tblPr/>
    </w:tblStylePr>
    <w:tblStylePr w:type="firstCol">
      <w:pPr>
        <w:jc w:val="right"/>
      </w:pPr>
      <w:rPr>
        <w:i/>
        <w:color w:val="426429" w:themeColor="accent6"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b/>
        <w:color w:val="426429"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426429" w:themeColor="accent6"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b/>
        <w:color w:val="426429"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1048">
    <w:name w:val="List Table 1 Light"/>
    <w:basedOn w:val="1129"/>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style>
  <w:style w:type="table" w:styleId="1049">
    <w:name w:val="List Table 1 Light - Accent 1"/>
    <w:basedOn w:val="1129"/>
    <w:uiPriority w:val="99"/>
    <w:pPr>
      <w:spacing w:after="0" w:line="240" w:lineRule="auto"/>
    </w:pPr>
    <w:tblPr>
      <w:tblStyleRowBandSize w:val="1"/>
      <w:tblStyleColBandSize w:val="1"/>
    </w:tblPr>
    <w:tblStylePr w:type="band1Horz">
      <w:tblPr/>
      <w:tcPr>
        <w:shd w:val="clear" w:color="FFFFFF" w:fill="CFDCF0" w:themeFill="accent1" w:themeFillTint="40"/>
      </w:tcPr>
    </w:tblStylePr>
    <w:tblStylePr w:type="band1Vert">
      <w:tblPr/>
      <w:tcPr>
        <w:shd w:val="clear" w:color="FFFFFF" w:fill="CFDCF0" w:themeFill="accen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tcPr>
    </w:tblStylePr>
  </w:style>
  <w:style w:type="table" w:styleId="1050">
    <w:name w:val="List Table 1 Light - Accent 2"/>
    <w:basedOn w:val="1129"/>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tcPr>
    </w:tblStylePr>
  </w:style>
  <w:style w:type="table" w:styleId="1051">
    <w:name w:val="List Table 1 Light - Accent 3"/>
    <w:basedOn w:val="1129"/>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tcPr>
    </w:tblStylePr>
  </w:style>
  <w:style w:type="table" w:styleId="1052">
    <w:name w:val="List Table 1 Light - Accent 4"/>
    <w:basedOn w:val="1129"/>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tcPr>
    </w:tblStylePr>
  </w:style>
  <w:style w:type="table" w:styleId="1053">
    <w:name w:val="List Table 1 Light - Accent 5"/>
    <w:basedOn w:val="1129"/>
    <w:uiPriority w:val="99"/>
    <w:pPr>
      <w:spacing w:after="0" w:line="240" w:lineRule="auto"/>
    </w:pPr>
    <w:tblPr>
      <w:tblStyleRowBandSize w:val="1"/>
      <w:tblStyleColBandSize w:val="1"/>
    </w:tblPr>
    <w:tblStylePr w:type="band1Horz">
      <w:tblPr/>
      <w:tcPr>
        <w:shd w:val="clear" w:color="FFFFFF" w:fill="D5E6F4" w:themeFill="accent5" w:themeFillTint="40"/>
      </w:tcPr>
    </w:tblStylePr>
    <w:tblStylePr w:type="band1Vert">
      <w:tblPr/>
      <w:tcPr>
        <w:shd w:val="clear" w:color="FFFFFF" w:fill="D5E6F4" w:themeFill="accent5"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tcPr>
    </w:tblStylePr>
  </w:style>
  <w:style w:type="table" w:styleId="1054">
    <w:name w:val="List Table 1 Light - Accent 6"/>
    <w:basedOn w:val="1129"/>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tcPr>
    </w:tblStylePr>
  </w:style>
  <w:style w:type="table" w:styleId="1055">
    <w:name w:val="List Table 2"/>
    <w:basedOn w:val="1129"/>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sz w:val="22"/>
      </w:rPr>
      <w:tblPr/>
    </w:tblStyle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056">
    <w:name w:val="List Table 2 - Accent 1"/>
    <w:basedOn w:val="1129"/>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sz w:val="22"/>
      </w:rPr>
      <w:tblPr/>
    </w:tblStylePr>
    <w:tblStylePr w:type="fir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057">
    <w:name w:val="List Table 2 - Accent 2"/>
    <w:basedOn w:val="1129"/>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sz w:val="22"/>
      </w:rPr>
      <w:tblPr/>
    </w:tblStylePr>
    <w:tblStylePr w:type="fir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058">
    <w:name w:val="List Table 2 - Accent 3"/>
    <w:basedOn w:val="1129"/>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sz w:val="22"/>
      </w:rPr>
      <w:tblPr/>
    </w:tblStylePr>
    <w:tblStylePr w:type="fir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059">
    <w:name w:val="List Table 2 - Accent 4"/>
    <w:basedOn w:val="1129"/>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sz w:val="22"/>
      </w:rPr>
      <w:tblPr/>
    </w:tblStylePr>
    <w:tblStylePr w:type="fir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060">
    <w:name w:val="List Table 2 - Accent 5"/>
    <w:basedOn w:val="1129"/>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sz w:val="22"/>
      </w:rPr>
      <w:tblPr/>
    </w:tblStylePr>
    <w:tblStylePr w:type="fir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061">
    <w:name w:val="List Table 2 - Accent 6"/>
    <w:basedOn w:val="1129"/>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sz w:val="22"/>
      </w:rPr>
      <w:tblPr/>
    </w:tblStylePr>
    <w:tblStylePr w:type="fir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062">
    <w:name w:val="List Table 3"/>
    <w:basedOn w:val="112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063">
    <w:name w:val="List Table 3 - Accent 1"/>
    <w:basedOn w:val="1129"/>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1064">
    <w:name w:val="List Table 3 - Accent 2"/>
    <w:basedOn w:val="1129"/>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FFFFFF" w:fill="F4B185" w:themeFill="accent2" w:themeFillTint="97"/>
      </w:tcPr>
    </w:tblStylePr>
    <w:tblStylePr w:type="lastCol">
      <w:rPr>
        <w:b/>
        <w:color w:val="404040"/>
      </w:rPr>
      <w:tblPr/>
    </w:tblStylePr>
    <w:tblStylePr w:type="lastRow">
      <w:rPr>
        <w:b/>
        <w:color w:val="404040"/>
      </w:rPr>
      <w:tblPr/>
    </w:tblStylePr>
  </w:style>
  <w:style w:type="table" w:styleId="1065">
    <w:name w:val="List Table 3 - Accent 3"/>
    <w:basedOn w:val="1129"/>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FFFFFF" w:fill="C9C9C9" w:themeFill="accent3" w:themeFillTint="98"/>
      </w:tcPr>
    </w:tblStylePr>
    <w:tblStylePr w:type="lastCol">
      <w:rPr>
        <w:b/>
        <w:color w:val="404040"/>
      </w:rPr>
      <w:tblPr/>
    </w:tblStylePr>
    <w:tblStylePr w:type="lastRow">
      <w:rPr>
        <w:b/>
        <w:color w:val="404040"/>
      </w:rPr>
      <w:tblPr/>
    </w:tblStylePr>
  </w:style>
  <w:style w:type="table" w:styleId="1066">
    <w:name w:val="List Table 3 - Accent 4"/>
    <w:basedOn w:val="1129"/>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FFFFFF" w:fill="FFD864" w:themeFill="accent4" w:themeFillTint="9a"/>
      </w:tcPr>
    </w:tblStylePr>
    <w:tblStylePr w:type="lastCol">
      <w:rPr>
        <w:b/>
        <w:color w:val="404040"/>
      </w:rPr>
      <w:tblPr/>
    </w:tblStylePr>
    <w:tblStylePr w:type="lastRow">
      <w:rPr>
        <w:b/>
        <w:color w:val="404040"/>
      </w:rPr>
      <w:tblPr/>
    </w:tblStylePr>
  </w:style>
  <w:style w:type="table" w:styleId="1067">
    <w:name w:val="List Table 3 - Accent 5"/>
    <w:basedOn w:val="1129"/>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FFFFFF" w:fill="9CC4E5" w:themeFill="accent5" w:themeFillTint="9a"/>
      </w:tcPr>
    </w:tblStylePr>
    <w:tblStylePr w:type="lastCol">
      <w:rPr>
        <w:b/>
        <w:color w:val="404040"/>
      </w:rPr>
      <w:tblPr/>
    </w:tblStylePr>
    <w:tblStylePr w:type="lastRow">
      <w:rPr>
        <w:b/>
        <w:color w:val="404040"/>
      </w:rPr>
      <w:tblPr/>
    </w:tblStylePr>
  </w:style>
  <w:style w:type="table" w:styleId="1068">
    <w:name w:val="List Table 3 - Accent 6"/>
    <w:basedOn w:val="1129"/>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FFFFFF" w:fill="AAD08F" w:themeFill="accent6" w:themeFillTint="98"/>
      </w:tcPr>
    </w:tblStylePr>
    <w:tblStylePr w:type="lastCol">
      <w:rPr>
        <w:b/>
        <w:color w:val="404040"/>
      </w:rPr>
      <w:tblPr/>
    </w:tblStylePr>
    <w:tblStylePr w:type="lastRow">
      <w:rPr>
        <w:b/>
        <w:color w:val="404040"/>
      </w:rPr>
      <w:tblPr/>
    </w:tblStylePr>
  </w:style>
  <w:style w:type="table" w:styleId="1069">
    <w:name w:val="List Table 4"/>
    <w:basedOn w:val="1129"/>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1070">
    <w:name w:val="List Table 4 - Accent 1"/>
    <w:basedOn w:val="1129"/>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1071">
    <w:name w:val="List Table 4 - Accent 2"/>
    <w:basedOn w:val="1129"/>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rPr>
      <w:tblPr/>
    </w:tblStylePr>
    <w:tblStylePr w:type="firstRow">
      <w:rPr>
        <w:b/>
        <w:color w:val="FFFFFF"/>
        <w:sz w:val="22"/>
      </w:rPr>
      <w:tblPr/>
      <w:tcPr>
        <w:shd w:val="clear" w:color="FFFFFF" w:fill="ED7D31" w:themeFill="accent2"/>
      </w:tcPr>
    </w:tblStylePr>
    <w:tblStylePr w:type="lastCol">
      <w:rPr>
        <w:b/>
        <w:color w:val="404040"/>
      </w:rPr>
      <w:tblPr/>
    </w:tblStylePr>
    <w:tblStylePr w:type="lastRow">
      <w:rPr>
        <w:b/>
        <w:color w:val="404040"/>
      </w:rPr>
      <w:tblPr/>
    </w:tblStylePr>
  </w:style>
  <w:style w:type="table" w:styleId="1072">
    <w:name w:val="List Table 4 - Accent 3"/>
    <w:basedOn w:val="1129"/>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rPr>
      <w:tblPr/>
    </w:tblStylePr>
    <w:tblStylePr w:type="firstRow">
      <w:rPr>
        <w:b/>
        <w:color w:val="FFFFFF"/>
        <w:sz w:val="22"/>
      </w:rPr>
      <w:tblPr/>
      <w:tcPr>
        <w:shd w:val="clear" w:color="FFFFFF" w:fill="A5A5A5" w:themeFill="accent3"/>
      </w:tcPr>
    </w:tblStylePr>
    <w:tblStylePr w:type="lastCol">
      <w:rPr>
        <w:b/>
        <w:color w:val="404040"/>
      </w:rPr>
      <w:tblPr/>
    </w:tblStylePr>
    <w:tblStylePr w:type="lastRow">
      <w:rPr>
        <w:b/>
        <w:color w:val="404040"/>
      </w:rPr>
      <w:tblPr/>
    </w:tblStylePr>
  </w:style>
  <w:style w:type="table" w:styleId="1073">
    <w:name w:val="List Table 4 - Accent 4"/>
    <w:basedOn w:val="1129"/>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rPr>
      <w:tblPr/>
    </w:tblStylePr>
    <w:tblStylePr w:type="firstRow">
      <w:rPr>
        <w:b/>
        <w:color w:val="FFFFFF"/>
        <w:sz w:val="22"/>
      </w:rPr>
      <w:tblPr/>
      <w:tcPr>
        <w:shd w:val="clear" w:color="FFFFFF" w:fill="FFC000" w:themeFill="accent4"/>
      </w:tcPr>
    </w:tblStylePr>
    <w:tblStylePr w:type="lastCol">
      <w:rPr>
        <w:b/>
        <w:color w:val="404040"/>
      </w:rPr>
      <w:tblPr/>
    </w:tblStylePr>
    <w:tblStylePr w:type="lastRow">
      <w:rPr>
        <w:b/>
        <w:color w:val="404040"/>
      </w:rPr>
      <w:tblPr/>
    </w:tblStylePr>
  </w:style>
  <w:style w:type="table" w:styleId="1074">
    <w:name w:val="List Table 4 - Accent 5"/>
    <w:basedOn w:val="1129"/>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rPr>
      <w:tblPr/>
    </w:tblStylePr>
    <w:tblStylePr w:type="firstRow">
      <w:rPr>
        <w:b/>
        <w:color w:val="FFFFFF"/>
        <w:sz w:val="22"/>
      </w:rPr>
      <w:tblPr/>
      <w:tcPr>
        <w:shd w:val="clear" w:color="FFFFFF" w:fill="5B9BD5" w:themeFill="accent5"/>
      </w:tcPr>
    </w:tblStylePr>
    <w:tblStylePr w:type="lastCol">
      <w:rPr>
        <w:b/>
        <w:color w:val="404040"/>
      </w:rPr>
      <w:tblPr/>
    </w:tblStylePr>
    <w:tblStylePr w:type="lastRow">
      <w:rPr>
        <w:b/>
        <w:color w:val="404040"/>
      </w:rPr>
      <w:tblPr/>
    </w:tblStylePr>
  </w:style>
  <w:style w:type="table" w:styleId="1075">
    <w:name w:val="List Table 4 - Accent 6"/>
    <w:basedOn w:val="1129"/>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rPr>
      <w:tblPr/>
    </w:tblStylePr>
    <w:tblStylePr w:type="firstRow">
      <w:rPr>
        <w:b/>
        <w:color w:val="FFFFFF"/>
        <w:sz w:val="22"/>
      </w:rPr>
      <w:tblPr/>
      <w:tcPr>
        <w:shd w:val="clear" w:color="FFFFFF" w:fill="70AD47" w:themeFill="accent6"/>
      </w:tcPr>
    </w:tblStylePr>
    <w:tblStylePr w:type="lastCol">
      <w:rPr>
        <w:b/>
        <w:color w:val="404040"/>
      </w:rPr>
      <w:tblPr/>
    </w:tblStylePr>
    <w:tblStylePr w:type="lastRow">
      <w:rPr>
        <w:b/>
        <w:color w:val="404040"/>
      </w:rPr>
      <w:tblPr/>
    </w:tblStylePr>
  </w:style>
  <w:style w:type="table" w:styleId="1076">
    <w:name w:val="List Table 5 Dark"/>
    <w:basedOn w:val="1129"/>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77">
    <w:name w:val="List Table 5 Dark - Accent 1"/>
    <w:basedOn w:val="1129"/>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472C4" w:themeFill="accent1"/>
      </w:tcPr>
    </w:tblStylePr>
    <w:tblStylePr w:type="band1Vert">
      <w:tblPr/>
      <w:tcPr>
        <w:tcBorders>
          <w:left w:val="single" w:color="000000" w:themeColor="light1" w:sz="4" w:space="0"/>
          <w:right w:val="single" w:color="000000" w:themeColor="light1" w:sz="4" w:space="0"/>
        </w:tcBorders>
        <w:shd w:val="clear" w:color="FFFFFF" w:fill="4472C4" w:themeFill="accent1"/>
      </w:tcPr>
    </w:tblStylePr>
    <w:tblStylePr w:type="band2Horz">
      <w:tblPr/>
      <w:tcPr>
        <w:tcBorders>
          <w:top w:val="single" w:color="000000" w:themeColor="light1" w:sz="4" w:space="0"/>
          <w:bottom w:val="single" w:color="000000" w:themeColor="light1" w:sz="4" w:space="0"/>
        </w:tcBorders>
        <w:shd w:val="clear" w:color="FFFFFF" w:fill="4472C4"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4472C4"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78">
    <w:name w:val="List Table 5 Dark - Accent 2"/>
    <w:basedOn w:val="1129"/>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79">
    <w:name w:val="List Table 5 Dark - Accent 3"/>
    <w:basedOn w:val="1129"/>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80">
    <w:name w:val="List Table 5 Dark - Accent 4"/>
    <w:basedOn w:val="1129"/>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81">
    <w:name w:val="List Table 5 Dark - Accent 5"/>
    <w:basedOn w:val="1129"/>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CC4E5" w:themeFill="accent5" w:themeFillTint="9a"/>
      </w:tcPr>
    </w:tblStylePr>
    <w:tblStylePr w:type="band1Vert">
      <w:tblPr/>
      <w:tcPr>
        <w:tcBorders>
          <w:left w:val="single" w:color="000000" w:themeColor="light1" w:sz="4" w:space="0"/>
          <w:right w:val="single" w:color="000000" w:themeColor="light1" w:sz="4" w:space="0"/>
        </w:tcBorders>
        <w:shd w:val="clear" w:color="FFFFFF" w:fill="9CC4E5" w:themeFill="accent5" w:themeFillTint="9a"/>
      </w:tcPr>
    </w:tblStylePr>
    <w:tblStylePr w:type="band2Horz">
      <w:tblPr/>
      <w:tcPr>
        <w:tcBorders>
          <w:top w:val="single" w:color="000000" w:themeColor="light1" w:sz="4" w:space="0"/>
          <w:bottom w:val="single" w:color="000000" w:themeColor="light1" w:sz="4" w:space="0"/>
        </w:tcBorders>
        <w:shd w:val="clear" w:color="FFFFFF" w:fill="9CC4E5"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9CC4E5"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82">
    <w:name w:val="List Table 5 Dark - Accent 6"/>
    <w:basedOn w:val="1129"/>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083">
    <w:name w:val="List Table 6 Colorful"/>
    <w:basedOn w:val="1129"/>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1084">
    <w:name w:val="List Table 6 Colorful - Accent 1"/>
    <w:basedOn w:val="1129"/>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404040" w:themeColor="accent1" w:themeShade="95"/>
        <w:sz w:val="22"/>
      </w:rPr>
      <w:tblPr/>
    </w:tblStylePr>
    <w:tblStylePr w:type="firstCol">
      <w:rPr>
        <w:b/>
        <w:color w:val="254374" w:themeColor="accent1" w:themeShade="95"/>
      </w:rPr>
      <w:tblPr/>
    </w:tblStylePr>
    <w:tblStylePr w:type="firstRow">
      <w:rPr>
        <w:b/>
        <w:color w:val="254374" w:themeColor="accent1" w:themeShade="95"/>
      </w:rPr>
      <w:tblPr/>
      <w:tcPr>
        <w:tcBorders>
          <w:bottom w:val="single" w:color="000000" w:themeColor="accent1" w:sz="4" w:space="0"/>
        </w:tcBorders>
      </w:tcPr>
    </w:tblStylePr>
    <w:tblStylePr w:type="lastCol">
      <w:rPr>
        <w:b/>
        <w:color w:val="254374" w:themeColor="accent1" w:themeShade="95"/>
      </w:rPr>
      <w:tblPr/>
    </w:tblStylePr>
    <w:tblStylePr w:type="lastRow">
      <w:rPr>
        <w:b/>
        <w:color w:val="254374" w:themeColor="accent1" w:themeShade="95"/>
      </w:rPr>
      <w:tblPr/>
      <w:tcPr>
        <w:tcBorders>
          <w:top w:val="single" w:color="000000" w:themeColor="accent1" w:sz="4" w:space="0"/>
        </w:tcBorders>
      </w:tcPr>
    </w:tblStylePr>
  </w:style>
  <w:style w:type="table" w:styleId="1085">
    <w:name w:val="List Table 6 Colorful - Accent 2"/>
    <w:basedOn w:val="1129"/>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4" w:space="0"/>
        </w:tcBorders>
      </w:tcPr>
    </w:tblStylePr>
    <w:tblStylePr w:type="lastCol">
      <w:rPr>
        <w:b/>
        <w:color w:val="C95712" w:themeColor="accent2" w:themeTint="97" w:themeShade="95"/>
      </w:rPr>
      <w:tblPr/>
    </w:tblStylePr>
    <w:tblStylePr w:type="lastRow">
      <w:rPr>
        <w:b/>
        <w:color w:val="C95712" w:themeColor="accent2" w:themeTint="97" w:themeShade="95"/>
      </w:rPr>
      <w:tblPr/>
      <w:tcPr>
        <w:tcBorders>
          <w:top w:val="single" w:color="000000" w:themeColor="accent2" w:sz="4" w:space="0"/>
        </w:tcBorders>
      </w:tcPr>
    </w:tblStylePr>
  </w:style>
  <w:style w:type="table" w:styleId="1086">
    <w:name w:val="List Table 6 Colorful - Accent 3"/>
    <w:basedOn w:val="1129"/>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404040" w:themeColor="accent3" w:themeTint="98" w:themeShade="95"/>
        <w:sz w:val="22"/>
      </w:rPr>
      <w:tblPr/>
    </w:tblStylePr>
    <w:tblStylePr w:type="firstCol">
      <w:rPr>
        <w:b/>
        <w:color w:val="757575" w:themeColor="accent3" w:themeTint="98" w:themeShade="95"/>
      </w:rPr>
      <w:tblPr/>
    </w:tblStylePr>
    <w:tblStylePr w:type="firstRow">
      <w:rPr>
        <w:b/>
        <w:color w:val="757575" w:themeColor="accent3" w:themeTint="98" w:themeShade="95"/>
      </w:rPr>
      <w:tblPr/>
      <w:tcPr>
        <w:tcBorders>
          <w:bottom w:val="single" w:color="000000" w:themeColor="accent3" w:sz="4" w:space="0"/>
        </w:tcBorders>
      </w:tcPr>
    </w:tblStylePr>
    <w:tblStylePr w:type="lastCol">
      <w:rPr>
        <w:b/>
        <w:color w:val="757575" w:themeColor="accent3" w:themeTint="98" w:themeShade="95"/>
      </w:rPr>
      <w:tblPr/>
    </w:tblStylePr>
    <w:tblStylePr w:type="lastRow">
      <w:rPr>
        <w:b/>
        <w:color w:val="757575" w:themeColor="accent3" w:themeTint="98" w:themeShade="95"/>
      </w:rPr>
      <w:tblPr/>
      <w:tcPr>
        <w:tcBorders>
          <w:top w:val="single" w:color="000000" w:themeColor="accent3" w:sz="4" w:space="0"/>
        </w:tcBorders>
      </w:tcPr>
    </w:tblStylePr>
  </w:style>
  <w:style w:type="table" w:styleId="1087">
    <w:name w:val="List Table 6 Colorful - Accent 4"/>
    <w:basedOn w:val="1129"/>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4" w:space="0"/>
        </w:tcBorders>
      </w:tcPr>
    </w:tblStylePr>
    <w:tblStylePr w:type="lastCol">
      <w:rPr>
        <w:b/>
        <w:color w:val="CD9600" w:themeColor="accent4" w:themeTint="9a" w:themeShade="95"/>
      </w:rPr>
      <w:tblPr/>
    </w:tblStylePr>
    <w:tblStylePr w:type="lastRow">
      <w:rPr>
        <w:b/>
        <w:color w:val="CD9600" w:themeColor="accent4" w:themeTint="9a" w:themeShade="95"/>
      </w:rPr>
      <w:tblPr/>
      <w:tcPr>
        <w:tcBorders>
          <w:top w:val="single" w:color="000000" w:themeColor="accent4" w:sz="4" w:space="0"/>
        </w:tcBorders>
      </w:tcPr>
    </w:tblStylePr>
  </w:style>
  <w:style w:type="table" w:styleId="1088">
    <w:name w:val="List Table 6 Colorful - Accent 5"/>
    <w:basedOn w:val="1129"/>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404040" w:themeColor="accent5" w:themeTint="9a" w:themeShade="95"/>
        <w:sz w:val="22"/>
      </w:rPr>
      <w:tblPr/>
    </w:tblStylePr>
    <w:tblStylePr w:type="firstCol">
      <w:rPr>
        <w:b/>
        <w:color w:val="2E78B1" w:themeColor="accent5" w:themeTint="9a" w:themeShade="95"/>
      </w:rPr>
      <w:tblPr/>
    </w:tblStylePr>
    <w:tblStylePr w:type="firstRow">
      <w:rPr>
        <w:b/>
        <w:color w:val="2E78B1" w:themeColor="accent5" w:themeTint="9a" w:themeShade="95"/>
      </w:rPr>
      <w:tblPr/>
      <w:tcPr>
        <w:tcBorders>
          <w:bottom w:val="single" w:color="000000" w:themeColor="accent5" w:sz="4" w:space="0"/>
        </w:tcBorders>
      </w:tcPr>
    </w:tblStylePr>
    <w:tblStylePr w:type="lastCol">
      <w:rPr>
        <w:b/>
        <w:color w:val="2E78B1" w:themeColor="accent5" w:themeTint="9a" w:themeShade="95"/>
      </w:rPr>
      <w:tblPr/>
    </w:tblStylePr>
    <w:tblStylePr w:type="lastRow">
      <w:rPr>
        <w:b/>
        <w:color w:val="2E78B1" w:themeColor="accent5" w:themeTint="9a" w:themeShade="95"/>
      </w:rPr>
      <w:tblPr/>
      <w:tcPr>
        <w:tcBorders>
          <w:top w:val="single" w:color="000000" w:themeColor="accent5" w:sz="4" w:space="0"/>
        </w:tcBorders>
      </w:tcPr>
    </w:tblStylePr>
  </w:style>
  <w:style w:type="table" w:styleId="1089">
    <w:name w:val="List Table 6 Colorful - Accent 6"/>
    <w:basedOn w:val="1129"/>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404040" w:themeColor="accent6" w:themeTint="98" w:themeShade="95"/>
        <w:sz w:val="22"/>
      </w:rPr>
      <w:tblPr/>
    </w:tblStylePr>
    <w:tblStylePr w:type="firstCol">
      <w:rPr>
        <w:b/>
        <w:color w:val="5F8F3C" w:themeColor="accent6" w:themeTint="98" w:themeShade="95"/>
      </w:rPr>
      <w:tblPr/>
    </w:tblStylePr>
    <w:tblStylePr w:type="firstRow">
      <w:rPr>
        <w:b/>
        <w:color w:val="5F8F3C" w:themeColor="accent6" w:themeTint="98" w:themeShade="95"/>
      </w:rPr>
      <w:tblPr/>
      <w:tcPr>
        <w:tcBorders>
          <w:bottom w:val="single" w:color="000000" w:themeColor="accent6" w:sz="4" w:space="0"/>
        </w:tcBorders>
      </w:tcPr>
    </w:tblStylePr>
    <w:tblStylePr w:type="lastCol">
      <w:rPr>
        <w:b/>
        <w:color w:val="5F8F3C" w:themeColor="accent6" w:themeTint="98" w:themeShade="95"/>
      </w:rPr>
      <w:tblPr/>
    </w:tblStylePr>
    <w:tblStylePr w:type="lastRow">
      <w:rPr>
        <w:b/>
        <w:color w:val="5F8F3C" w:themeColor="accent6" w:themeTint="98" w:themeShade="95"/>
      </w:rPr>
      <w:tblPr/>
      <w:tcPr>
        <w:tcBorders>
          <w:top w:val="single" w:color="000000" w:themeColor="accent6" w:sz="4" w:space="0"/>
        </w:tcBorders>
      </w:tcPr>
    </w:tblStylePr>
  </w:style>
  <w:style w:type="table" w:styleId="1090">
    <w:name w:val="List Table 7 Colorful"/>
    <w:basedOn w:val="1129"/>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tcPr>
    </w:tblStylePr>
    <w:tblStylePr w:type="firstRow">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tcPr>
    </w:tblStylePr>
    <w:tblStylePr w:type="lastRow">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val="4A4A4A" w:themeColor="text1" w:themeTint="80" w:themeShade="95"/>
        <w:sz w:val="22"/>
      </w:rPr>
      <w:tblPr/>
    </w:tblStylePr>
  </w:style>
  <w:style w:type="table" w:styleId="1091">
    <w:name w:val="List Table 7 Colorful - Accent 1"/>
    <w:basedOn w:val="1129"/>
    <w:uiPriority w:val="99"/>
    <w:pPr>
      <w:spacing w:after="0" w:line="240" w:lineRule="auto"/>
    </w:pPr>
    <w:tblPr>
      <w:tblStyleRowBandSize w:val="1"/>
      <w:tblStyleColBandSize w:val="1"/>
      <w:tblBorders>
        <w:right w:val="single" w:color="000000" w:themeColor="accent1" w:sz="4" w:space="0"/>
      </w:tblBorders>
    </w:tblPr>
    <w:tblStylePr w:type="band1Horz">
      <w:rPr>
        <w:color w:val="254374"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254374" w:themeColor="accent1" w:themeShade="95"/>
        <w:sz w:val="22"/>
      </w:rPr>
      <w:tblPr/>
    </w:tblStylePr>
    <w:tblStylePr w:type="firstCol">
      <w:pPr>
        <w:jc w:val="right"/>
      </w:pPr>
      <w:rPr>
        <w:i/>
        <w:color w:val="254374" w:themeColor="accent1" w:themeShade="95"/>
        <w:sz w:val="22"/>
      </w:rPr>
      <w:tblPr/>
      <w:tcPr>
        <w:tcBorders>
          <w:top w:val="none" w:color="000000" w:sz="4" w:space="0"/>
          <w:left w:val="none" w:color="000000" w:sz="4" w:space="0"/>
          <w:bottom w:val="none" w:color="000000" w:sz="4" w:space="0"/>
          <w:right w:val="single" w:color="000000" w:themeColor="accent1" w:sz="4" w:space="0"/>
        </w:tcBorders>
        <w:shd w:val="clear" w:color="FFFFFF"/>
      </w:tcPr>
    </w:tblStylePr>
    <w:tblStylePr w:type="firstRow">
      <w:rPr>
        <w:i/>
        <w:color w:val="254374"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254374" w:themeColor="accent1" w:themeShade="95"/>
        <w:sz w:val="22"/>
      </w:rPr>
      <w:tblPr/>
      <w:tcPr>
        <w:tcBorders>
          <w:top w:val="none" w:color="000000" w:sz="4" w:space="0"/>
          <w:left w:val="single" w:color="000000" w:themeColor="accent1" w:sz="4" w:space="0"/>
          <w:bottom w:val="none" w:color="000000" w:sz="4" w:space="0"/>
          <w:right w:val="none" w:color="000000" w:sz="4" w:space="0"/>
        </w:tcBorders>
        <w:shd w:val="clear" w:color="FFFFFF"/>
      </w:tcPr>
    </w:tblStylePr>
    <w:tblStylePr w:type="lastRow">
      <w:rPr>
        <w:i/>
        <w:color w:val="254374"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val="254374" w:themeColor="accent1" w:themeShade="95"/>
        <w:sz w:val="22"/>
      </w:rPr>
      <w:tblPr/>
    </w:tblStylePr>
  </w:style>
  <w:style w:type="table" w:styleId="1092">
    <w:name w:val="List Table 7 Colorful - Accent 2"/>
    <w:basedOn w:val="1129"/>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val="clear" w:color="FFFFFF"/>
      </w:tcPr>
    </w:tblStylePr>
    <w:tblStylePr w:type="firstRow">
      <w:rPr>
        <w:i/>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val="clear" w:color="FFFFFF"/>
      </w:tcPr>
    </w:tblStylePr>
    <w:tblStylePr w:type="lastRow">
      <w:rPr>
        <w:i/>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val="C95712" w:themeColor="accent2" w:themeTint="97" w:themeShade="95"/>
        <w:sz w:val="22"/>
      </w:rPr>
      <w:tblPr/>
    </w:tblStylePr>
  </w:style>
  <w:style w:type="table" w:styleId="1093">
    <w:name w:val="List Table 7 Colorful - Accent 3"/>
    <w:basedOn w:val="1129"/>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757575" w:themeColor="accent3" w:themeTint="98" w:themeShade="95"/>
        <w:sz w:val="22"/>
      </w:rPr>
      <w:tblPr/>
    </w:tblStylePr>
    <w:tblStylePr w:type="firstCol">
      <w:pPr>
        <w:jc w:val="right"/>
      </w:pPr>
      <w:rPr>
        <w:i/>
        <w:color w:val="757575"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val="clear" w:color="FFFFFF"/>
      </w:tcPr>
    </w:tblStylePr>
    <w:tblStylePr w:type="firstRow">
      <w:rPr>
        <w:i/>
        <w:color w:val="757575"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757575"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val="clear" w:color="FFFFFF"/>
      </w:tcPr>
    </w:tblStylePr>
    <w:tblStylePr w:type="lastRow">
      <w:rPr>
        <w:i/>
        <w:color w:val="757575"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val="757575" w:themeColor="accent3" w:themeTint="98" w:themeShade="95"/>
        <w:sz w:val="22"/>
      </w:rPr>
      <w:tblPr/>
    </w:tblStylePr>
  </w:style>
  <w:style w:type="table" w:styleId="1094">
    <w:name w:val="List Table 7 Colorful - Accent 4"/>
    <w:basedOn w:val="1129"/>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val="clear" w:color="FFFFFF"/>
      </w:tcPr>
    </w:tblStylePr>
    <w:tblStylePr w:type="firstRow">
      <w:rPr>
        <w:i/>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val="clear" w:color="FFFFFF"/>
      </w:tcPr>
    </w:tblStylePr>
    <w:tblStylePr w:type="lastRow">
      <w:rPr>
        <w:i/>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val="CD9600" w:themeColor="accent4" w:themeTint="9a" w:themeShade="95"/>
        <w:sz w:val="22"/>
      </w:rPr>
      <w:tblPr/>
    </w:tblStylePr>
  </w:style>
  <w:style w:type="table" w:styleId="1095">
    <w:name w:val="List Table 7 Colorful - Accent 5"/>
    <w:basedOn w:val="1129"/>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2E78B1"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2E78B1" w:themeColor="accent5" w:themeTint="9a" w:themeShade="95"/>
        <w:sz w:val="22"/>
      </w:rPr>
      <w:tblPr/>
    </w:tblStylePr>
    <w:tblStylePr w:type="firstCol">
      <w:pPr>
        <w:jc w:val="right"/>
      </w:pPr>
      <w:rPr>
        <w:i/>
        <w:color w:val="2E78B1"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val="clear" w:color="FFFFFF"/>
      </w:tcPr>
    </w:tblStylePr>
    <w:tblStylePr w:type="firstRow">
      <w:rPr>
        <w:i/>
        <w:color w:val="2E78B1"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E78B1"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val="clear" w:color="FFFFFF"/>
      </w:tcPr>
    </w:tblStylePr>
    <w:tblStylePr w:type="lastRow">
      <w:rPr>
        <w:i/>
        <w:color w:val="2E78B1"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val="2E78B1" w:themeColor="accent5" w:themeTint="9a" w:themeShade="95"/>
        <w:sz w:val="22"/>
      </w:rPr>
      <w:tblPr/>
    </w:tblStylePr>
  </w:style>
  <w:style w:type="table" w:styleId="1096">
    <w:name w:val="List Table 7 Colorful - Accent 6"/>
    <w:basedOn w:val="1129"/>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5F8F3C" w:themeColor="accent6" w:themeTint="98" w:themeShade="95"/>
        <w:sz w:val="22"/>
      </w:rPr>
      <w:tblPr/>
    </w:tblStylePr>
    <w:tblStylePr w:type="firstCol">
      <w:pPr>
        <w:jc w:val="right"/>
      </w:pPr>
      <w:rPr>
        <w:i/>
        <w:color w:val="5F8F3C"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val="clear" w:color="FFFFFF"/>
      </w:tcPr>
    </w:tblStylePr>
    <w:tblStylePr w:type="firstRow">
      <w:rPr>
        <w:i/>
        <w:color w:val="5F8F3C"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5F8F3C"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val="clear" w:color="FFFFFF"/>
      </w:tcPr>
    </w:tblStylePr>
    <w:tblStylePr w:type="lastRow">
      <w:rPr>
        <w:i/>
        <w:color w:val="5F8F3C"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val="5F8F3C" w:themeColor="accent6" w:themeTint="98" w:themeShade="95"/>
        <w:sz w:val="22"/>
      </w:rPr>
      <w:tblPr/>
    </w:tblStylePr>
  </w:style>
  <w:style w:type="table" w:styleId="1097">
    <w:name w:val="Lined - Accent"/>
    <w:basedOn w:val="112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098">
    <w:name w:val="Lined - Accent 1"/>
    <w:basedOn w:val="112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1099">
    <w:name w:val="Lined - Accent 2"/>
    <w:basedOn w:val="112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100">
    <w:name w:val="Lined - Accent 3"/>
    <w:basedOn w:val="112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101">
    <w:name w:val="Lined - Accent 4"/>
    <w:basedOn w:val="112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102">
    <w:name w:val="Lined - Accent 5"/>
    <w:basedOn w:val="112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1103">
    <w:name w:val="Lined - Accent 6"/>
    <w:basedOn w:val="1129"/>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104">
    <w:name w:val="Bordered &amp; Lined - Accent"/>
    <w:basedOn w:val="1129"/>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d"/>
      </w:tcPr>
    </w:tblStylePr>
    <w:tblStylePr w:type="band2Vert">
      <w:rPr>
        <w:color w:val="404040"/>
        <w:sz w:val="22"/>
      </w:rPr>
      <w:tblPr/>
      <w:tcPr>
        <w:shd w:val="clear" w:color="FFFFFF" w:fill="F2F2F2" w:themeFill="text1" w:themeFillTint="d"/>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1105">
    <w:name w:val="Bordered &amp; Lined - Accent 1"/>
    <w:basedOn w:val="1129"/>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1106">
    <w:name w:val="Bordered &amp; Lined - Accent 2"/>
    <w:basedOn w:val="1129"/>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1107">
    <w:name w:val="Bordered &amp; Lined - Accent 3"/>
    <w:basedOn w:val="1129"/>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1108">
    <w:name w:val="Bordered &amp; Lined - Accent 4"/>
    <w:basedOn w:val="1129"/>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1109">
    <w:name w:val="Bordered &amp; Lined - Accent 5"/>
    <w:basedOn w:val="1129"/>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1110">
    <w:name w:val="Bordered &amp; Lined - Accent 6"/>
    <w:basedOn w:val="1129"/>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1111">
    <w:name w:val="Bordered"/>
    <w:basedOn w:val="1129"/>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1112">
    <w:name w:val="Bordered - Accent 1"/>
    <w:basedOn w:val="1129"/>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1113">
    <w:name w:val="Bordered - Accent 2"/>
    <w:basedOn w:val="1129"/>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1114">
    <w:name w:val="Bordered - Accent 3"/>
    <w:basedOn w:val="1129"/>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1115">
    <w:name w:val="Bordered - Accent 4"/>
    <w:basedOn w:val="1129"/>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1116">
    <w:name w:val="Bordered - Accent 5"/>
    <w:basedOn w:val="1129"/>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1117">
    <w:name w:val="Bordered - Accent 6"/>
    <w:basedOn w:val="1129"/>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1129">
    <w:name w:val="Normal Table"/>
    <w:uiPriority w:val="99"/>
    <w:semiHidden/>
    <w:unhideWhenUsed/>
    <w:tblPr>
      <w:tblCellMar>
        <w:left w:w="108" w:type="dxa"/>
        <w:top w:w="0" w:type="dxa"/>
        <w:right w:w="108" w:type="dxa"/>
        <w:bottom w:w="0" w:type="dxa"/>
      </w:tblCellMar>
    </w:tblPr>
  </w:style>
  <w:style w:type="table" w:customStyle="1" w:styleId="1158">
    <w:name w:val="[РГ] Таблица"/>
    <w:basedOn w:val="1129"/>
    <w:uiPriority w:val="99"/>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jc w:val="center"/>
      </w:pPr>
      <w:rPr>
        <w:b/>
      </w:rPr>
      <w:tblPr/>
    </w:tblStylePr>
  </w:style>
  <w:style w:type="table" w:styleId="1159">
    <w:name w:val="Table Grid"/>
    <w:basedOn w:val="1129"/>
    <w:uiPriority w:val="39"/>
    <w:pPr>
      <w:spacing w:before="0"/>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91">
    <w:name w:val="Сетка таблицы1"/>
    <w:uiPriority w:val="59"/>
    <w:pPr>
      <w:ind w:right="0"/>
      <w:spacing w:before="0" w:after="0" w:line="240" w:lineRule="auto"/>
      <w:jc w:val="left"/>
    </w:pPr>
    <w:rPr>
      <w:lang w:val="ru-RU" w:eastAsia="ru-RU" w:bidi="ar-SA"/>
      <w:b w:val="0"/>
      <w:bCs w:val="0"/>
      <w:i w:val="0"/>
      <w:caps w:val="0"/>
      <w:smallCaps w:val="0"/>
      <w:color w:val="auto"/>
      <w:spacing w:val="0"/>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vAlign w:val="top"/>
    </w:tc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hyperlink" Target="https://corp.roseltorg.ru./" TargetMode="External"/><Relationship Id="rId4" Type="http://schemas.openxmlformats.org/officeDocument/2006/relationships/hyperlink" Target="mailto:dgk@dgk.ru" TargetMode="External"/><Relationship Id="rId5" Type="http://schemas.openxmlformats.org/officeDocument/2006/relationships/header" Target="head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4.xml"/><Relationship Id="rId11" Type="http://schemas.openxmlformats.org/officeDocument/2006/relationships/footer" Target="footer5.xml"/><Relationship Id="rId12" Type="http://schemas.openxmlformats.org/officeDocument/2006/relationships/package" Target="embeddings/oleObject1.docx"/><Relationship Id="rId13" Type="http://schemas.openxmlformats.org/officeDocument/2006/relationships/image" Target="media/image1.wmf"/><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6.xml"/><Relationship Id="rId17" Type="http://schemas.openxmlformats.org/officeDocument/2006/relationships/footer" Target="footer7.xml"/><Relationship Id="rId18" Type="http://schemas.openxmlformats.org/officeDocument/2006/relationships/header" Target="header6.xml"/><Relationship Id="rId19" Type="http://schemas.openxmlformats.org/officeDocument/2006/relationships/header" Target="header7.xml"/><Relationship Id="rId20" Type="http://schemas.openxmlformats.org/officeDocument/2006/relationships/footer" Target="footer8.xml"/><Relationship Id="rId21" Type="http://schemas.openxmlformats.org/officeDocument/2006/relationships/footer" Target="footer9.xml"/><Relationship Id="rId22" Type="http://schemas.openxmlformats.org/officeDocument/2006/relationships/package" Target="embeddings/oleObject2.docx"/><Relationship Id="rId23" Type="http://schemas.openxmlformats.org/officeDocument/2006/relationships/image" Target="media/image2.wmf"/><Relationship Id="rId24" Type="http://schemas.openxmlformats.org/officeDocument/2006/relationships/package" Target="embeddings/oleObject3.docx"/><Relationship Id="rId25" Type="http://schemas.openxmlformats.org/officeDocument/2006/relationships/image" Target="media/image3.wmf"/><Relationship Id="rId26" Type="http://schemas.openxmlformats.org/officeDocument/2006/relationships/header" Target="header8.xml"/><Relationship Id="rId27" Type="http://schemas.openxmlformats.org/officeDocument/2006/relationships/header" Target="header9.xml"/><Relationship Id="rId28" Type="http://schemas.openxmlformats.org/officeDocument/2006/relationships/footer" Target="footer10.xml"/><Relationship Id="rId29" Type="http://schemas.openxmlformats.org/officeDocument/2006/relationships/footer" Target="footer11.xml"/><Relationship Id="rId30" Type="http://schemas.openxmlformats.org/officeDocument/2006/relationships/header" Target="header10.xml"/><Relationship Id="rId31" Type="http://schemas.openxmlformats.org/officeDocument/2006/relationships/header" Target="header11.xml"/><Relationship Id="rId32" Type="http://schemas.openxmlformats.org/officeDocument/2006/relationships/footer" Target="footer12.xml"/><Relationship Id="rId33" Type="http://schemas.openxmlformats.org/officeDocument/2006/relationships/footer" Target="footer13.xml"/><Relationship Id="rId34" Type="http://schemas.openxmlformats.org/officeDocument/2006/relationships/hyperlink" Target="https://bo.nalog.ru/" TargetMode="External"/><Relationship Id="rId35" Type="http://schemas.openxmlformats.org/officeDocument/2006/relationships/header" Target="header12.xml"/><Relationship Id="rId36" Type="http://schemas.openxmlformats.org/officeDocument/2006/relationships/header" Target="header13.xml"/><Relationship Id="rId37" Type="http://schemas.openxmlformats.org/officeDocument/2006/relationships/footer" Target="footer14.xml"/><Relationship Id="rId38" Type="http://schemas.openxmlformats.org/officeDocument/2006/relationships/footer" Target="footer15.xml"/><Relationship Id="rId39" Type="http://schemas.openxmlformats.org/officeDocument/2006/relationships/package" Target="embeddings/oleObject4.xlsx"/><Relationship Id="rId40" Type="http://schemas.openxmlformats.org/officeDocument/2006/relationships/image" Target="media/image4.wmf"/><Relationship Id="rId41" Type="http://schemas.openxmlformats.org/officeDocument/2006/relationships/package" Target="embeddings/oleObject5.docx"/><Relationship Id="rId42" Type="http://schemas.openxmlformats.org/officeDocument/2006/relationships/image" Target="media/image5.wmf"/><Relationship Id="rId43" Type="http://schemas.openxmlformats.org/officeDocument/2006/relationships/header" Target="header14.xml"/><Relationship Id="rId44" Type="http://schemas.openxmlformats.org/officeDocument/2006/relationships/header" Target="header15.xml"/><Relationship Id="rId45" Type="http://schemas.openxmlformats.org/officeDocument/2006/relationships/footer" Target="footer16.xml"/><Relationship Id="rId46" Type="http://schemas.openxmlformats.org/officeDocument/2006/relationships/footer" Target="footer17.xml"/><Relationship Id="rId47" Type="http://schemas.openxmlformats.org/officeDocument/2006/relationships/footnotes" Target="footnotes.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Relationship Id="rId5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EC1AF-64FD-491F-9134-B438E4BEA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Application>AlterOffice/2026.2.0.0$Linux_X86_64 LibreOffice_project/bc4ef1adf80b36c7a6365f8ed6cbf29021361edd</Application>
  <AppVersion>15.0000</AppVersion>
  <Pages>77</Pages>
  <Words>19626</Words>
  <Characters>135825</Characters>
  <CharactersWithSpaces>153510</CharactersWithSpaces>
  <Paragraphs>1120</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2023-08-16T07:54:00Z</dcterms:created>
  <dc:creator>Владимир Щербаков</dc:creator>
  <dc:description/>
  <cp:keywords>Типовая форма</cp:keywords>
  <dc:language>ru-RU</dc:language>
  <cp:lastModifiedBy>lutfullina_ee@DGK.RU</cp:lastModifiedBy>
  <dcterms:modified xsi:type="dcterms:W3CDTF">2026-09-07T11:20:38Z</dcterms:modified>
  <cp:revision>189</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