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Приложение № 3</w:t>
      </w:r>
      <w:bookmarkStart w:id="0" w:name="_GoBack"/>
      <w:r/>
      <w:bookmarkEnd w:id="0"/>
      <w:r/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к договору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поставки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№ ________/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-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от __________20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г.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Условия банковской гарантии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tabs>
          <w:tab w:val="num" w:pos="540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Под банковской гарантией понимается гарантия согласованного Обществом Банка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которая будет регулироваться унифицированными правилами </w:t>
      </w:r>
      <w:r>
        <w:rPr>
          <w:rFonts w:ascii="Times New Roman" w:hAnsi="Times New Roman" w:cs="Times New Roman"/>
          <w:bCs/>
          <w:sz w:val="24"/>
          <w:szCs w:val="24"/>
        </w:rPr>
        <w:t xml:space="preserve">Международной торговой палаты – публикация МТП № 758 (ICC Uniform Rules Demand Guarantees – ICC Publication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before="20" w:after="20" w:line="240" w:lineRule="auto"/>
        <w:tabs>
          <w:tab w:val="left" w:pos="1134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банковская гарантия должна быть безотзывной и безусловной (гарантия по первому требованию);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before="20" w:after="20" w:line="240" w:lineRule="auto"/>
        <w:tabs>
          <w:tab w:val="left" w:pos="1134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бенефициар по банковской гарантии - Покупатель, принципал – Поставщик;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before="20" w:after="20" w:line="240" w:lineRule="auto"/>
        <w:tabs>
          <w:tab w:val="left" w:pos="1134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сумма банковской гарантии выражена в валюте расчетов по Договору;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before="20" w:after="20" w:line="240" w:lineRule="auto"/>
        <w:tabs>
          <w:tab w:val="left" w:pos="1134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сумма банковской гарантии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191 280,00 (Сто девяносто одна тысяча двести восемьдесят рублей 00 копеек)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(НДС не облагается)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before="20" w:after="20" w:line="240" w:lineRule="auto"/>
        <w:tabs>
          <w:tab w:val="left" w:pos="1134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срок окончания банковской гарантии - не ранее 70 (семидесяти) календарных дней после наступления даты, в которую заканчивается срок исполнения обязательств Договору в целом.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Банковская гарантия должна предусматривать,</w:t>
      </w:r>
      <w:r>
        <w:rPr>
          <w:rFonts w:ascii="Times New Roman" w:hAnsi="Times New Roman" w:cs="Times New Roman"/>
          <w:bCs/>
          <w:sz w:val="24"/>
          <w:szCs w:val="24"/>
        </w:rPr>
        <w:t xml:space="preserve"> что для истребования суммы обеспечения Общество направляет Банку-гаранту только письменное требование о предъявлении суммы обеспечения к оплате, как полностью, так и частично, с указанием на существо допущенных Поставщиком нарушений, в том числе в случаях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before="20" w:after="20" w:line="240" w:lineRule="auto"/>
        <w:tabs>
          <w:tab w:val="left" w:pos="1134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отказа Поставщика от исполнения обязательств по Договору, в том числе одностороннего отказа от Договора;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before="20" w:after="20" w:line="240" w:lineRule="auto"/>
        <w:tabs>
          <w:tab w:val="left" w:pos="1134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нарушения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сроков поставки (выполнения работ, оказания услуг), установленных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п. 3.2 Договора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более чем 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0 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тридцать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календарных дней;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before="20" w:after="20" w:line="240" w:lineRule="auto"/>
        <w:tabs>
          <w:tab w:val="left" w:pos="1134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утраты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специальных разрешений (в том числе отзыв, прекращение (приостановление) действие допусков, разрешений) и / или лицензий, предоставляющих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возможность надлежащего исполнения обязательств по Договору;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before="20" w:after="20" w:line="240" w:lineRule="auto"/>
        <w:tabs>
          <w:tab w:val="left" w:pos="1134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введения арбитражным судом процедуры несостоятельности (банкротства) в отношении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before="20" w:after="20" w:line="240" w:lineRule="auto"/>
        <w:tabs>
          <w:tab w:val="left" w:pos="1134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установления в ходе исполнения Договора фактов несоответствия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установленным документацией о закупке требованиям к участникам закупки и / или предоставления недостоверной информации о своем соответствии таким требованиям, а также недостоверности, неточности или неполноты заверений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 обстоятельствах, указанных в Договоре, и имеющих существенное значение для его заключения и исполнения;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before="20" w:after="2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признания Договора недействительным по причинам отсутствия необходимых</w:t>
      </w:r>
      <w:r>
        <w:rPr>
          <w:rFonts w:ascii="Times New Roman" w:hAnsi="Times New Roman" w:cs="Times New Roman"/>
          <w:sz w:val="24"/>
          <w:szCs w:val="24"/>
        </w:rPr>
        <w:t xml:space="preserve"> корпоративных одобрений у </w:t>
      </w:r>
      <w:r>
        <w:rPr>
          <w:rFonts w:ascii="Times New Roman" w:hAnsi="Times New Roman" w:cs="Times New Roman"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before="20" w:after="2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предоставления </w:t>
      </w:r>
      <w:r>
        <w:rPr>
          <w:rFonts w:ascii="Times New Roman" w:hAnsi="Times New Roman" w:cs="Times New Roman"/>
          <w:sz w:val="24"/>
          <w:szCs w:val="24"/>
        </w:rPr>
        <w:t xml:space="preserve">Поставщиком</w:t>
      </w:r>
      <w:r>
        <w:rPr>
          <w:rFonts w:ascii="Times New Roman" w:hAnsi="Times New Roman" w:cs="Times New Roman"/>
          <w:sz w:val="24"/>
          <w:szCs w:val="24"/>
        </w:rPr>
        <w:t xml:space="preserve"> в срок не позднее чем за 30 (тридцать) календарных дней до даты истечения срока действия банковской гарантии новой банковской гарантии или изменения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действующей гарантии в части увеличения срока ее действия на новый период, в случаях если срок исполнения обязательств </w:t>
      </w:r>
      <w:r>
        <w:rPr>
          <w:rFonts w:ascii="Times New Roman" w:hAnsi="Times New Roman" w:cs="Times New Roman"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sz w:val="24"/>
          <w:szCs w:val="24"/>
        </w:rPr>
        <w:t xml:space="preserve"> по Договору превышает срок действия банковской гарантии либо срок исполнения обязательств продлен.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Вместе с требованием о предъявлении суммы обеспечения к оплате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Покупатель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направляет Банку-гаранту копию банковской гарантии.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Платеж по банковской гарантии осуществляется Банком-гарантом в течение 10 (десяти) рабочих дней после обращения бенефициара (Общества).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банковской гарантии по согласованию с Обществом может быть уменьшена пропорционально сумме выполненных </w:t>
      </w:r>
      <w:r>
        <w:rPr>
          <w:rFonts w:ascii="Times New Roman" w:hAnsi="Times New Roman" w:cs="Times New Roman"/>
          <w:sz w:val="24"/>
          <w:szCs w:val="24"/>
        </w:rPr>
        <w:t xml:space="preserve">Поставщиком</w:t>
      </w:r>
      <w:r>
        <w:rPr>
          <w:rFonts w:ascii="Times New Roman" w:hAnsi="Times New Roman" w:cs="Times New Roman"/>
          <w:sz w:val="24"/>
          <w:szCs w:val="24"/>
        </w:rPr>
        <w:t xml:space="preserve"> обязательств по Договору.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Внесение изменений и дополнений в Договор в период срока действия банковской гарантии не освобождает Банк-гарант от обязательств перед бенефициаром по банковской гарантии.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Банковская гарантия должна быть подчинена материальному праву Российской Федерации и предусматривать Арбитражный суд Хабаровского края в качестве органа, компетентного разрешать споры из банковской гарантии.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Банковская гарантия не должна содержать условий или требований, противоречащих изложенному или делающих изложенное неисполнимым.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590"/>
      </w:tblGrid>
      <w:tr>
        <w:tblPrEx/>
        <w:trPr/>
        <w:tc>
          <w:tcPr>
            <w:tcW w:w="521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ПОКУПАТЕЛЬ: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9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ПОСТАВЩИК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5211" w:type="dxa"/>
            <w:textDirection w:val="lrTb"/>
            <w:noWrap w:val="false"/>
          </w:tcPr>
          <w:p>
            <w:pPr>
              <w:pStyle w:val="673"/>
              <w:tabs>
                <w:tab w:val="left" w:pos="3060" w:leader="underscor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59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567" w:bottom="1134" w:left="1418" w:header="709" w:footer="283" w:gutter="0"/>
      <w:pgNumType w:start="14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Times New Roman">
    <w:panose1 w:val="02020603050405020304"/>
  </w:font>
  <w:font w:name="Cambria">
    <w:panose1 w:val="020408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5"/>
    <w:link w:val="664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3"/>
    <w:next w:val="66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65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3"/>
    <w:next w:val="66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65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3"/>
    <w:next w:val="66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6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3"/>
    <w:next w:val="66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6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3"/>
    <w:next w:val="66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6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3"/>
    <w:next w:val="66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6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3"/>
    <w:next w:val="66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6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3"/>
    <w:next w:val="66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6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3"/>
    <w:next w:val="66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65"/>
    <w:link w:val="34"/>
    <w:uiPriority w:val="10"/>
    <w:rPr>
      <w:sz w:val="48"/>
      <w:szCs w:val="48"/>
    </w:rPr>
  </w:style>
  <w:style w:type="paragraph" w:styleId="36">
    <w:name w:val="Subtitle"/>
    <w:basedOn w:val="663"/>
    <w:next w:val="66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65"/>
    <w:link w:val="36"/>
    <w:uiPriority w:val="11"/>
    <w:rPr>
      <w:sz w:val="24"/>
      <w:szCs w:val="24"/>
    </w:rPr>
  </w:style>
  <w:style w:type="paragraph" w:styleId="38">
    <w:name w:val="Quote"/>
    <w:basedOn w:val="663"/>
    <w:next w:val="66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3"/>
    <w:next w:val="66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65"/>
    <w:link w:val="673"/>
    <w:uiPriority w:val="99"/>
  </w:style>
  <w:style w:type="character" w:styleId="45">
    <w:name w:val="Footer Char"/>
    <w:basedOn w:val="665"/>
    <w:link w:val="675"/>
    <w:uiPriority w:val="99"/>
  </w:style>
  <w:style w:type="paragraph" w:styleId="46">
    <w:name w:val="Caption"/>
    <w:basedOn w:val="663"/>
    <w:next w:val="6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75"/>
    <w:uiPriority w:val="99"/>
  </w:style>
  <w:style w:type="table" w:styleId="49">
    <w:name w:val="Table Grid Light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71"/>
    <w:uiPriority w:val="99"/>
    <w:rPr>
      <w:sz w:val="18"/>
    </w:rPr>
  </w:style>
  <w:style w:type="paragraph" w:styleId="178">
    <w:name w:val="endnote text"/>
    <w:basedOn w:val="66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65"/>
    <w:uiPriority w:val="99"/>
    <w:semiHidden/>
    <w:unhideWhenUsed/>
    <w:rPr>
      <w:vertAlign w:val="superscript"/>
    </w:rPr>
  </w:style>
  <w:style w:type="paragraph" w:styleId="181">
    <w:name w:val="toc 1"/>
    <w:basedOn w:val="663"/>
    <w:next w:val="66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3"/>
    <w:next w:val="66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3"/>
    <w:next w:val="66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3"/>
    <w:next w:val="66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3"/>
    <w:next w:val="66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3"/>
    <w:next w:val="66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3"/>
    <w:next w:val="66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3"/>
    <w:next w:val="66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3"/>
    <w:next w:val="66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3"/>
    <w:next w:val="663"/>
    <w:uiPriority w:val="99"/>
    <w:unhideWhenUsed/>
    <w:pPr>
      <w:spacing w:after="0" w:afterAutospacing="0"/>
    </w:p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69"/>
    <w:qFormat/>
    <w:pPr>
      <w:keepNext/>
      <w:spacing w:before="240" w:after="60" w:line="240" w:lineRule="auto"/>
      <w:outlineLvl w:val="0"/>
    </w:pPr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table" w:styleId="668">
    <w:name w:val="Table Grid"/>
    <w:basedOn w:val="66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69" w:customStyle="1">
    <w:name w:val="Заголовок 1 Знак"/>
    <w:basedOn w:val="665"/>
    <w:link w:val="664"/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670">
    <w:name w:val="footnote reference"/>
    <w:rPr>
      <w:vertAlign w:val="superscript"/>
    </w:rPr>
  </w:style>
  <w:style w:type="paragraph" w:styleId="671">
    <w:name w:val="footnote text"/>
    <w:basedOn w:val="663"/>
    <w:link w:val="672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72" w:customStyle="1">
    <w:name w:val="Текст сноски Знак"/>
    <w:basedOn w:val="665"/>
    <w:link w:val="671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73">
    <w:name w:val="Header"/>
    <w:basedOn w:val="663"/>
    <w:link w:val="674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4" w:customStyle="1">
    <w:name w:val="Верхний колонтитул Знак"/>
    <w:basedOn w:val="665"/>
    <w:link w:val="673"/>
  </w:style>
  <w:style w:type="paragraph" w:styleId="675">
    <w:name w:val="Footer"/>
    <w:basedOn w:val="663"/>
    <w:link w:val="6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6" w:customStyle="1">
    <w:name w:val="Нижний колонтитул Знак"/>
    <w:basedOn w:val="665"/>
    <w:link w:val="675"/>
    <w:uiPriority w:val="99"/>
  </w:style>
  <w:style w:type="paragraph" w:styleId="677">
    <w:name w:val="Balloon Text"/>
    <w:basedOn w:val="663"/>
    <w:link w:val="67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78" w:customStyle="1">
    <w:name w:val="Текст выноски Знак"/>
    <w:basedOn w:val="665"/>
    <w:link w:val="67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Глухих Павел Александрович</dc:creator>
  <cp:lastModifiedBy>Павел</cp:lastModifiedBy>
  <cp:revision>44</cp:revision>
  <dcterms:created xsi:type="dcterms:W3CDTF">2020-05-14T05:35:00Z</dcterms:created>
  <dcterms:modified xsi:type="dcterms:W3CDTF">2024-12-05T01:15:01Z</dcterms:modified>
</cp:coreProperties>
</file>