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20"/>
        <w:jc w:val="right"/>
        <w:spacing w:after="0" w:line="240" w:lineRule="auto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Приложение № 4</w:t>
      </w:r>
      <w:bookmarkStart w:id="0" w:name="_GoBack"/>
      <w:r/>
      <w:bookmarkEnd w:id="0"/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ind w:firstLine="720"/>
        <w:jc w:val="right"/>
        <w:spacing w:after="0" w:line="240" w:lineRule="auto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к договору № ______/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______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от ________202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г.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>
        <w:rPr>
          <w:rFonts w:ascii="Times New Roman" w:hAnsi="Times New Roman" w:cs="Times New Roman"/>
          <w:b/>
          <w:sz w:val="24"/>
          <w:szCs w:val="24"/>
        </w:rPr>
        <w:t xml:space="preserve">Банку-Гаранту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Банк-Гарант (кредитная организация), выдающий банковскую гарантию, должен входить в перечень Банков-Гарантов Группы </w:t>
      </w:r>
      <w:r>
        <w:rPr>
          <w:rFonts w:ascii="Times New Roman" w:hAnsi="Times New Roman" w:cs="Times New Roman"/>
          <w:sz w:val="24"/>
          <w:szCs w:val="24"/>
        </w:rPr>
        <w:t xml:space="preserve">РусГидро</w:t>
      </w:r>
      <w:r>
        <w:rPr>
          <w:rFonts w:ascii="Times New Roman" w:hAnsi="Times New Roman" w:cs="Times New Roman"/>
          <w:sz w:val="24"/>
          <w:szCs w:val="24"/>
        </w:rPr>
        <w:t xml:space="preserve">, а также соответствовать следующим критериям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4"/>
        <w:ind w:left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4"/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</w:t>
      </w:r>
      <w:r>
        <w:rPr>
          <w:rFonts w:ascii="Times New Roman" w:hAnsi="Times New Roman" w:cs="Times New Roman"/>
          <w:sz w:val="24"/>
          <w:szCs w:val="24"/>
        </w:rPr>
        <w:t xml:space="preserve">ходить в действующий на дату предоставления банковской гарантии Перечень Банков-Гарантов Группы </w:t>
      </w:r>
      <w:r>
        <w:rPr>
          <w:rFonts w:ascii="Times New Roman" w:hAnsi="Times New Roman" w:cs="Times New Roman"/>
          <w:sz w:val="24"/>
          <w:szCs w:val="24"/>
        </w:rPr>
        <w:t xml:space="preserve">РусГидро</w:t>
      </w:r>
      <w:r>
        <w:rPr>
          <w:rFonts w:ascii="Times New Roman" w:hAnsi="Times New Roman" w:cs="Times New Roman"/>
          <w:sz w:val="24"/>
          <w:szCs w:val="24"/>
        </w:rPr>
        <w:t xml:space="preserve">, размещенный по адресу: </w:t>
      </w:r>
      <w:hyperlink r:id="rId12" w:tooltip="https://zakupki.rushydro.ru/PublicContent/Section/6" w:history="1">
        <w:r>
          <w:rPr>
            <w:rStyle w:val="725"/>
            <w:rFonts w:ascii="Times New Roman" w:hAnsi="Times New Roman" w:cs="Times New Roman"/>
            <w:sz w:val="24"/>
            <w:szCs w:val="24"/>
          </w:rPr>
          <w:t xml:space="preserve">https://zakupki.rushydro.ru/PublicContent/Section/6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4"/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Иметь действующую лицензию ЦБ РФ, разрешающую выдачу банковских гарантий. При этом лицензия не должна быть приостановлена полностью или частично.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4"/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Быть включенным в П</w:t>
      </w:r>
      <w:r>
        <w:rPr>
          <w:rFonts w:ascii="Times New Roman" w:hAnsi="Times New Roman" w:cs="Times New Roman"/>
          <w:sz w:val="24"/>
          <w:szCs w:val="24"/>
        </w:rPr>
        <w:t xml:space="preserve">еречень кредитных организаций, соответствующих требованиям, установленным частью 1 статьи 2 Федерального закона от 21.07.2014 № 213-ФЗ «Об открытии банковских счетов и аккредитивов, о заключении договоров банковского вклада хозяйственными обществами, имеющ</w:t>
      </w:r>
      <w:r>
        <w:rPr>
          <w:rFonts w:ascii="Times New Roman" w:hAnsi="Times New Roman" w:cs="Times New Roman"/>
          <w:sz w:val="24"/>
          <w:szCs w:val="24"/>
        </w:rPr>
        <w:t xml:space="preserve">ими стратегическое значение для оборонно-промышленного комплекса и безопасности Российской Федерации, и внесении изменений в отдельные законодательные акты Российской Федерации» (далее - 213-ФЗ) или иным документом, его заменяющим (в случае отмены 213-ФЗ).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4"/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Иметь собственные средства (капитал) в размере не менее 30 млрд, (тридцати миллиардов) рублей на 01 января текущего календарного года, размер которого опубликован на официальном сайте ЦБ РФ в </w:t>
      </w:r>
      <w:r>
        <w:rPr>
          <w:rFonts w:ascii="Times New Roman" w:hAnsi="Times New Roman" w:cs="Times New Roman"/>
          <w:sz w:val="24"/>
          <w:szCs w:val="24"/>
        </w:rPr>
        <w:t xml:space="preserve">информационнотелекоммуникационной</w:t>
      </w:r>
      <w:r>
        <w:rPr>
          <w:rFonts w:ascii="Times New Roman" w:hAnsi="Times New Roman" w:cs="Times New Roman"/>
          <w:sz w:val="24"/>
          <w:szCs w:val="24"/>
        </w:rPr>
        <w:t xml:space="preserve"> сети «Интернет» (www.cbr.ru) по строке 000 «Расчет собственных средств (капитала) («Базель III»)», код формы 0409123 </w:t>
      </w:r>
      <w:r>
        <w:rPr>
          <w:rFonts w:ascii="Times New Roman" w:hAnsi="Times New Roman" w:cs="Times New Roman"/>
          <w:sz w:val="24"/>
          <w:szCs w:val="24"/>
        </w:rPr>
        <w:t xml:space="preserve">и рассчитанного в соответствии с Положением Банка России от 04.07.2018 № 646-П «О методике определения собственных средств (капитала) кредитных организаций («Базель III»)» (далее - Положение) или иным документом, его заменяющим (в случае отмены Положения).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4"/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Иметь кредитный рейтинг по национальной шкале не ниже уровня «А» рейтингового агентства АКРА или не ниже уровня «</w:t>
      </w:r>
      <w:r>
        <w:rPr>
          <w:rFonts w:ascii="Times New Roman" w:hAnsi="Times New Roman" w:cs="Times New Roman"/>
          <w:sz w:val="24"/>
          <w:szCs w:val="24"/>
        </w:rPr>
        <w:t xml:space="preserve">гиА</w:t>
      </w:r>
      <w:r>
        <w:rPr>
          <w:rFonts w:ascii="Times New Roman" w:hAnsi="Times New Roman" w:cs="Times New Roman"/>
          <w:sz w:val="24"/>
          <w:szCs w:val="24"/>
        </w:rPr>
        <w:t xml:space="preserve">» рейтингового агентства Эксперт РА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4"/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отсутствия у кредитной организации рейтинга АКРА или Эксперт РА, кредитная организация должна иметь рейтинг долгосрочной кредитоспособности не ниже уровня «ВВ» по классификации рейтинговых агентств «</w:t>
      </w:r>
      <w:r>
        <w:rPr>
          <w:rFonts w:ascii="Times New Roman" w:hAnsi="Times New Roman" w:cs="Times New Roman"/>
          <w:sz w:val="24"/>
          <w:szCs w:val="24"/>
        </w:rPr>
        <w:t xml:space="preserve">Fitch-Ratings</w:t>
      </w:r>
      <w:r>
        <w:rPr>
          <w:rFonts w:ascii="Times New Roman" w:hAnsi="Times New Roman" w:cs="Times New Roman"/>
          <w:sz w:val="24"/>
          <w:szCs w:val="24"/>
        </w:rPr>
        <w:t xml:space="preserve">» или «</w:t>
      </w:r>
      <w:r>
        <w:rPr>
          <w:rFonts w:ascii="Times New Roman" w:hAnsi="Times New Roman" w:cs="Times New Roman"/>
          <w:sz w:val="24"/>
          <w:szCs w:val="24"/>
        </w:rPr>
        <w:t xml:space="preserve">Standard</w:t>
      </w:r>
      <w:r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 xml:space="preserve">Poor's</w:t>
      </w:r>
      <w:r>
        <w:rPr>
          <w:rFonts w:ascii="Times New Roman" w:hAnsi="Times New Roman" w:cs="Times New Roman"/>
          <w:sz w:val="24"/>
          <w:szCs w:val="24"/>
        </w:rPr>
        <w:t xml:space="preserve">» либо уровня «Ва2» по классификации рейтингового агентс</w:t>
      </w:r>
      <w:r>
        <w:rPr>
          <w:rFonts w:ascii="Times New Roman" w:hAnsi="Times New Roman" w:cs="Times New Roman"/>
          <w:sz w:val="24"/>
          <w:szCs w:val="24"/>
        </w:rPr>
        <w:t xml:space="preserve">тва «</w:t>
      </w:r>
      <w:r>
        <w:rPr>
          <w:rFonts w:ascii="Times New Roman" w:hAnsi="Times New Roman" w:cs="Times New Roman"/>
          <w:sz w:val="24"/>
          <w:szCs w:val="24"/>
        </w:rPr>
        <w:t xml:space="preserve">Moody's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Investors</w:t>
      </w:r>
      <w:r>
        <w:rPr>
          <w:rFonts w:ascii="Times New Roman" w:hAnsi="Times New Roman" w:cs="Times New Roman"/>
          <w:sz w:val="24"/>
          <w:szCs w:val="24"/>
        </w:rPr>
        <w:t xml:space="preserve"> Service»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4"/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Участвовать в системе обязательного страхования вкладов физических лиц в банках Российской Федерации в соответствии с Федеральным законом от 23.12.2003 № 177-ФЗ «О страховании вкладов в банках Российской Федерации».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4"/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находиться в процессе финансового оздоровления (санации), а также в Реестре банков, находящихся в процессе финансового оздоровления (опубликован в разделе «Оздоровление банков» сайта Государственной корпорации «Агентство по страхованию вкладов» (</w:t>
      </w:r>
      <w:hyperlink r:id="rId13" w:tooltip="http://www.asv.org.ru)" w:history="1">
        <w:r>
          <w:rPr>
            <w:rStyle w:val="725"/>
            <w:rFonts w:ascii="Times New Roman" w:hAnsi="Times New Roman" w:cs="Times New Roman"/>
            <w:sz w:val="24"/>
            <w:szCs w:val="24"/>
          </w:rPr>
          <w:t xml:space="preserve">http://www.asv.org.ru)</w:t>
        </w:r>
      </w:hyperlink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4"/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должен иметь просроченную задолженность перед Обществом и компаниями Группы </w:t>
      </w:r>
      <w:r>
        <w:rPr>
          <w:rFonts w:ascii="Times New Roman" w:hAnsi="Times New Roman" w:cs="Times New Roman"/>
          <w:sz w:val="24"/>
          <w:szCs w:val="24"/>
        </w:rPr>
        <w:t xml:space="preserve">РусГидро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4"/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Присутствовать (офис, отделение, филиал) по месту нахождения Покупателя, его Филиала, для нужд которого заключается Договор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4"/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</w:t>
      </w:r>
      <w:r>
        <w:rPr>
          <w:rFonts w:ascii="Times New Roman" w:hAnsi="Times New Roman" w:cs="Times New Roman"/>
          <w:sz w:val="24"/>
          <w:szCs w:val="24"/>
        </w:rPr>
        <w:t xml:space="preserve">ритерии, установленные п. 3, 4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5 </w:t>
      </w:r>
      <w:r>
        <w:rPr>
          <w:rFonts w:ascii="Times New Roman" w:hAnsi="Times New Roman" w:cs="Times New Roman"/>
          <w:sz w:val="24"/>
          <w:szCs w:val="24"/>
        </w:rPr>
        <w:t xml:space="preserve">не распространяются на кредитные организации: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4"/>
        <w:numPr>
          <w:ilvl w:val="1"/>
          <w:numId w:val="2"/>
        </w:numPr>
        <w:ind w:left="0" w:firstLine="709"/>
        <w:jc w:val="both"/>
        <w:spacing w:after="0" w:line="240" w:lineRule="auto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отношении которых или в отношении лиц, под контролем либо значительным вл</w:t>
      </w:r>
      <w:r>
        <w:rPr>
          <w:rFonts w:ascii="Times New Roman" w:hAnsi="Times New Roman" w:cs="Times New Roman"/>
          <w:sz w:val="24"/>
          <w:szCs w:val="24"/>
        </w:rPr>
        <w:t xml:space="preserve">иянием которых находятся кредитные организации, по состоянию на 1 января 2015 г. действуют международные санкции и кредитные организации определены отдельным решением Правительства Российской Федерации в качестве уполномоченной кредитной организации, в кот</w:t>
      </w:r>
      <w:r>
        <w:rPr>
          <w:rFonts w:ascii="Times New Roman" w:hAnsi="Times New Roman" w:cs="Times New Roman"/>
          <w:sz w:val="24"/>
          <w:szCs w:val="24"/>
        </w:rPr>
        <w:t xml:space="preserve">орой могут размещаться средства федерального бюджета на банковских депозитах в соответствии с Постановлением Правительства РФ от 24.12.2011 № 1121 «О порядке размещения средств федерального бюджета, средств единого казначейского счета и резерва средств на </w:t>
      </w:r>
      <w:r>
        <w:rPr>
          <w:rFonts w:ascii="Times New Roman" w:hAnsi="Times New Roman" w:cs="Times New Roman"/>
          <w:sz w:val="24"/>
          <w:szCs w:val="24"/>
        </w:rPr>
        <w:t xml:space="preserve">осуществление обязательного социального страхования от несчастных случаев на производстве и профессиональных заболеваний на банковских депозитах»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4"/>
        <w:numPr>
          <w:ilvl w:val="1"/>
          <w:numId w:val="2"/>
        </w:numPr>
        <w:ind w:left="0" w:firstLine="709"/>
        <w:jc w:val="both"/>
        <w:spacing w:after="0" w:line="240" w:lineRule="auto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Основной целью деятельности которых является реализация программ поддержки малого и среднего предпринимательства в соответс</w:t>
      </w:r>
      <w:r>
        <w:rPr>
          <w:rFonts w:ascii="Times New Roman" w:hAnsi="Times New Roman" w:cs="Times New Roman"/>
          <w:sz w:val="24"/>
          <w:szCs w:val="24"/>
        </w:rPr>
        <w:t xml:space="preserve">твии с Федеральным законом от 24.07.2007 № 209-ФЗ «О развитии малого и среднего предпринимательства в Российской Федерации» и Указом Президента Российской Федерации от 05.06.2015 № 287 «О мерах по дальнейшему развитию малого и среднего предпринимательства»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4"/>
        <w:numPr>
          <w:ilvl w:val="1"/>
          <w:numId w:val="2"/>
        </w:numPr>
        <w:ind w:left="0" w:firstLine="709"/>
        <w:jc w:val="both"/>
        <w:spacing w:after="0" w:line="240" w:lineRule="auto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Утвержденную Наблюдательным советом Некоммерческого партнерства «Совет рынка» в качестве уполномоченной кредитной организации, ответственной за проведение расчетов между субъектами ОРЭМ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4"/>
        <w:numPr>
          <w:ilvl w:val="1"/>
          <w:numId w:val="2"/>
        </w:numPr>
        <w:ind w:left="0" w:firstLine="709"/>
        <w:jc w:val="both"/>
        <w:spacing w:after="0" w:line="240" w:lineRule="auto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ВЭБ РФ.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4"/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сумма всех одновременно действующих банковских гарантий, выданных одной кредитной организацией, обеспечивающих обязательства контрагента перед Обществом и компаниями Группы </w:t>
      </w:r>
      <w:r>
        <w:rPr>
          <w:rFonts w:ascii="Times New Roman" w:hAnsi="Times New Roman" w:cs="Times New Roman"/>
          <w:sz w:val="24"/>
          <w:szCs w:val="24"/>
        </w:rPr>
        <w:t xml:space="preserve">РусГидро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не должна превышать размер лимита риска, определяемого по формуле: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4"/>
        <w:jc w:val="center"/>
        <w:spacing w:after="160" w:line="264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i/>
          <w:sz w:val="26"/>
          <w:szCs w:val="26"/>
        </w:rPr>
        <w:t xml:space="preserve">LimAi</w:t>
      </w: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  =</w:t>
      </w: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b/>
          <w:i/>
          <w:sz w:val="26"/>
          <w:szCs w:val="26"/>
        </w:rPr>
        <w:t xml:space="preserve">ri</w:t>
      </w:r>
      <w:r>
        <w:rPr>
          <w:rFonts w:ascii="Times New Roman" w:hAnsi="Times New Roman" w:eastAsia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×  </w:t>
      </w:r>
      <w:r>
        <w:rPr>
          <w:rFonts w:ascii="Times New Roman" w:hAnsi="Times New Roman" w:eastAsia="Times New Roman" w:cs="Times New Roman"/>
          <w:b/>
          <w:i/>
          <w:sz w:val="26"/>
          <w:szCs w:val="26"/>
        </w:rPr>
        <w:t xml:space="preserve">СKi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, где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817"/>
        <w:gridCol w:w="284"/>
        <w:gridCol w:w="8505"/>
      </w:tblGrid>
      <w:tr>
        <w:tblPrEx/>
        <w:trPr>
          <w:trHeight w:val="426"/>
        </w:trPr>
        <w:tc>
          <w:tcPr>
            <w:tcW w:w="817" w:type="dxa"/>
            <w:textDirection w:val="lrTb"/>
            <w:noWrap w:val="false"/>
          </w:tcPr>
          <w:p>
            <w:pPr>
              <w:ind w:right="-108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 xml:space="preserve">Lim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6"/>
                <w:szCs w:val="26"/>
                <w:vertAlign w:val="subscript"/>
                <w:lang w:val="en-US" w:eastAsia="ru-RU"/>
              </w:rPr>
              <w:t xml:space="preserve">Ai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284" w:type="dxa"/>
            <w:textDirection w:val="lrTb"/>
            <w:noWrap w:val="false"/>
          </w:tcPr>
          <w:p>
            <w:pPr>
              <w:ind w:left="317" w:right="-108" w:hanging="317"/>
              <w:jc w:val="both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- 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ind w:left="-75" w:right="-10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Лимит риска для i-ой кредитной организации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vertAlign w:val="superscript"/>
                <w:lang w:eastAsia="ru-RU"/>
              </w:rPr>
              <w:footnoteReference w:id="2"/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r>
          </w:p>
        </w:tc>
      </w:tr>
      <w:tr>
        <w:tblPrEx/>
        <w:trPr>
          <w:trHeight w:val="280"/>
        </w:trPr>
        <w:tc>
          <w:tcPr>
            <w:tcW w:w="817" w:type="dxa"/>
            <w:textDirection w:val="lrTb"/>
            <w:noWrap w:val="false"/>
          </w:tcPr>
          <w:p>
            <w:pPr>
              <w:ind w:right="-108"/>
              <w:jc w:val="both"/>
              <w:spacing w:after="0"/>
              <w:rPr>
                <w:rFonts w:ascii="Times New Roman" w:hAnsi="Times New Roman" w:eastAsia="Times New Roman" w:cs="Times New Roman"/>
                <w:b/>
                <w:i/>
                <w:color w:val="000000"/>
                <w:sz w:val="26"/>
                <w:szCs w:val="26"/>
                <w:vertAlign w:val="sub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6"/>
                <w:szCs w:val="26"/>
                <w:lang w:val="en-US" w:eastAsia="ru-RU"/>
              </w:rPr>
              <w:t xml:space="preserve">K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6"/>
                <w:szCs w:val="26"/>
                <w:vertAlign w:val="subscript"/>
                <w:lang w:val="en-US" w:eastAsia="ru-RU"/>
              </w:rPr>
              <w:t xml:space="preserve">i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6"/>
                <w:szCs w:val="26"/>
                <w:vertAlign w:val="subscript"/>
                <w:lang w:eastAsia="ru-RU"/>
              </w:rPr>
            </w:r>
          </w:p>
          <w:p>
            <w:pPr>
              <w:ind w:right="-108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284" w:type="dxa"/>
            <w:textDirection w:val="lrTb"/>
            <w:noWrap w:val="false"/>
          </w:tcPr>
          <w:p>
            <w:pPr>
              <w:ind w:right="-108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ind w:left="-75" w:right="-10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размер собственных средств (капитала) i-ой кредитной организации на 01 января текущего календарного года, опубликованный на официальном сайте ЦБ РФ в информационно-телекоммуникационной сети «Интернет» (</w:t>
            </w:r>
            <w:hyperlink r:id="rId14" w:tooltip="http://www.cbr.ru" w:history="1">
              <w:r>
                <w:rPr>
                  <w:rFonts w:ascii="Times New Roman" w:hAnsi="Times New Roman" w:eastAsia="Times New Roman" w:cs="Times New Roman"/>
                  <w:sz w:val="26"/>
                  <w:szCs w:val="26"/>
                  <w:lang w:eastAsia="ru-RU"/>
                </w:rPr>
                <w:t xml:space="preserve">www.cbr.ru</w:t>
              </w:r>
            </w:hyperlink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) по строке 000 «Расчет собственных средств (капитала) («Базель III»)», код формы 0409123;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r>
          </w:p>
        </w:tc>
      </w:tr>
      <w:tr>
        <w:tblPrEx/>
        <w:trPr>
          <w:trHeight w:val="993"/>
        </w:trPr>
        <w:tc>
          <w:tcPr>
            <w:tcW w:w="817" w:type="dxa"/>
            <w:textDirection w:val="lrTb"/>
            <w:noWrap w:val="false"/>
          </w:tcPr>
          <w:p>
            <w:pPr>
              <w:ind w:right="-108"/>
              <w:jc w:val="both"/>
              <w:spacing w:after="0"/>
              <w:rPr>
                <w:rFonts w:ascii="Times New Roman" w:hAnsi="Times New Roman" w:eastAsia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 xml:space="preserve">r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6"/>
                <w:szCs w:val="26"/>
                <w:vertAlign w:val="subscript"/>
                <w:lang w:eastAsia="ru-RU"/>
              </w:rPr>
              <w:t xml:space="preserve">i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284" w:type="dxa"/>
            <w:textDirection w:val="lrTb"/>
            <w:noWrap w:val="false"/>
          </w:tcPr>
          <w:p>
            <w:pPr>
              <w:ind w:right="-108"/>
              <w:jc w:val="both"/>
              <w:spacing w:after="0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widowControl w:val="off"/>
              <w:tabs>
                <w:tab w:val="left" w:pos="7130" w:leader="none"/>
              </w:tabs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рейтинговый коэффициент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vertAlign w:val="superscript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для i-ой кредитной организации, равный: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 xml:space="preserve">0,05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- если i-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ая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кредитная организация имеет национальный рейтинг кредитоспособности не ниже уровня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 xml:space="preserve">«АА-»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по классификации рейтингового агентства АКРА или не ниже уровня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val="en-US" w:eastAsia="ru-RU"/>
              </w:rPr>
              <w:t xml:space="preserve">ru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val="en-US" w:eastAsia="ru-RU"/>
              </w:rPr>
              <w:t xml:space="preserve">A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 xml:space="preserve">-»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по классификации рейтингового агентства Эксперт РА;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 xml:space="preserve">0,02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- если i-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ая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кредитная организация имеет национальный рейтинг кредитоспособности не ниже уровня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 xml:space="preserve">«А-»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по классификации рейтингового агентства АКРА или не ниже уровня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 xml:space="preserve">ruA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 xml:space="preserve">-»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по классификации рейтингового агентства Эксперт РА;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 xml:space="preserve">0,01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- если i-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ая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кредитная организация имеет национальный рейтинг кредитоспособности не ниже уровня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val="en-US" w:eastAsia="ru-RU"/>
              </w:rPr>
              <w:t xml:space="preserve">BB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 xml:space="preserve">+»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по классификации рейтингового агентства АКРА или не ниже уровня «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en-US" w:eastAsia="ru-RU"/>
              </w:rPr>
              <w:t xml:space="preserve">ruBB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+» по классификации рейтингового агентства Эксперт РА, а также находится в процессе финансового оздоровления (санации).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4785"/>
      </w:tblGrid>
      <w:tr>
        <w:tblPrEx/>
        <w:trPr/>
        <w:tc>
          <w:tcPr>
            <w:shd w:val="clear" w:color="auto" w:fill="auto"/>
            <w:tcW w:w="4962" w:type="dxa"/>
            <w:textDirection w:val="lrTb"/>
            <w:noWrap w:val="false"/>
          </w:tcPr>
          <w:p>
            <w:pPr>
              <w:pStyle w:val="721"/>
              <w:spacing w:after="0"/>
              <w:rPr>
                <w:b/>
              </w:rPr>
            </w:pPr>
            <w:r>
              <w:rPr>
                <w:b/>
              </w:rPr>
              <w:t xml:space="preserve">Покупатель:</w:t>
            </w:r>
            <w:r>
              <w:rPr>
                <w:b/>
              </w:rPr>
            </w:r>
          </w:p>
          <w:p>
            <w:pPr>
              <w:pStyle w:val="721"/>
              <w:spacing w:after="0"/>
              <w:rPr>
                <w:b/>
              </w:rPr>
            </w:pPr>
            <w:r>
              <w:rPr>
                <w:b/>
              </w:rPr>
              <w:t xml:space="preserve">АО «ДГК»</w:t>
            </w:r>
            <w:r>
              <w:rPr>
                <w:b/>
              </w:rPr>
            </w:r>
          </w:p>
          <w:p>
            <w:pPr>
              <w:pStyle w:val="721"/>
              <w:spacing w:after="0"/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pStyle w:val="721"/>
              <w:spacing w:after="0"/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pStyle w:val="721"/>
              <w:spacing w:after="0"/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pStyle w:val="721"/>
              <w:spacing w:after="0"/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pStyle w:val="721"/>
              <w:spacing w:after="0"/>
            </w:pPr>
            <w:r>
              <w:t xml:space="preserve">________________ / </w:t>
            </w:r>
            <w:r/>
          </w:p>
        </w:tc>
        <w:tc>
          <w:tcPr>
            <w:shd w:val="clear" w:color="auto" w:fill="auto"/>
            <w:tcW w:w="4785" w:type="dxa"/>
            <w:textDirection w:val="lrTb"/>
            <w:noWrap w:val="false"/>
          </w:tcPr>
          <w:p>
            <w:pPr>
              <w:pStyle w:val="721"/>
              <w:spacing w:after="0"/>
              <w:rPr>
                <w:b/>
              </w:rPr>
            </w:pPr>
            <w:r>
              <w:rPr>
                <w:b/>
              </w:rPr>
              <w:t xml:space="preserve">Поставщик:</w:t>
            </w:r>
            <w:r>
              <w:rPr>
                <w:b/>
              </w:rPr>
            </w:r>
          </w:p>
          <w:p>
            <w:pPr>
              <w:pStyle w:val="721"/>
              <w:spacing w:after="0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721"/>
              <w:spacing w:after="0"/>
            </w:pPr>
            <w:r/>
            <w:r/>
          </w:p>
          <w:p>
            <w:pPr>
              <w:pStyle w:val="721"/>
              <w:spacing w:after="0"/>
            </w:pPr>
            <w:r/>
            <w:r/>
          </w:p>
          <w:p>
            <w:pPr>
              <w:pStyle w:val="721"/>
              <w:spacing w:after="0"/>
            </w:pPr>
            <w:r/>
            <w:r/>
          </w:p>
          <w:p>
            <w:pPr>
              <w:pStyle w:val="721"/>
              <w:spacing w:after="0"/>
            </w:pPr>
            <w:r/>
            <w:r/>
          </w:p>
          <w:p>
            <w:pPr>
              <w:pStyle w:val="721"/>
              <w:spacing w:after="0"/>
            </w:pPr>
            <w:r>
              <w:t xml:space="preserve">________________ / </w:t>
            </w:r>
            <w:r/>
          </w:p>
        </w:tc>
      </w:tr>
    </w:tbl>
    <w:p>
      <w:pPr>
        <w:spacing w:after="0" w:line="360" w:lineRule="auto"/>
        <w:rPr>
          <w:rFonts w:ascii="Times New Roman" w:hAnsi="Times New Roman" w:cs="Times New Roman"/>
          <w:sz w:val="8"/>
          <w:szCs w:val="28"/>
        </w:rPr>
      </w:pPr>
      <w:r>
        <w:rPr>
          <w:rFonts w:ascii="Times New Roman" w:hAnsi="Times New Roman" w:cs="Times New Roman"/>
          <w:sz w:val="8"/>
          <w:szCs w:val="28"/>
        </w:rPr>
      </w:r>
      <w:r>
        <w:rPr>
          <w:rFonts w:ascii="Times New Roman" w:hAnsi="Times New Roman" w:cs="Times New Roman"/>
          <w:sz w:val="8"/>
          <w:szCs w:val="28"/>
        </w:rPr>
      </w:r>
    </w:p>
    <w:sectPr>
      <w:headerReference w:type="default" r:id="rId9"/>
      <w:footerReference w:type="default" r:id="rId10"/>
      <w:footerReference w:type="even" r:id="rId11"/>
      <w:footnotePr/>
      <w:endnotePr/>
      <w:type w:val="nextPage"/>
      <w:pgSz w:w="11906" w:h="16838" w:orient="portrait"/>
      <w:pgMar w:top="567" w:right="567" w:bottom="1134" w:left="1418" w:header="709" w:footer="397" w:gutter="0"/>
      <w:pgNumType w:start="16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3030804020204"/>
  </w:font>
  <w:font w:name="Courier New">
    <w:panose1 w:val="02070309020205020404"/>
  </w:font>
  <w:font w:name="Times New Roman">
    <w:panose1 w:val="02020603050405020304"/>
  </w:font>
  <w:font w:name="Segoe UI">
    <w:panose1 w:val="020B050302020402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89548024"/>
      <w:docPartObj>
        <w:docPartGallery w:val="Page Numbers (Bottom of Page)"/>
        <w:docPartUnique w:val="true"/>
      </w:docPartObj>
      <w:rPr/>
    </w:sdtPr>
    <w:sdtContent>
      <w:p>
        <w:pPr>
          <w:pStyle w:val="717"/>
          <w:jc w:val="center"/>
          <w:tabs>
            <w:tab w:val="clear" w:pos="4677" w:leader="none"/>
            <w:tab w:val="clear" w:pos="9355" w:leader="none"/>
          </w:tabs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 xml:space="preserve">17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7"/>
      <w:tabs>
        <w:tab w:val="clear" w:pos="4677" w:leader="none"/>
        <w:tab w:val="clear" w:pos="9355" w:leader="none"/>
      </w:tabs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723"/>
        <w:jc w:val="both"/>
      </w:pPr>
      <w:r>
        <w:rPr>
          <w:rStyle w:val="722"/>
        </w:rPr>
        <w:footnoteRef/>
      </w:r>
      <w:r>
        <w:t xml:space="preserve"> </w:t>
      </w:r>
      <w:r>
        <w:rPr>
          <w:lang w:eastAsia="en-US"/>
        </w:rPr>
        <w:t xml:space="preserve">Значение показателя округляется в большую или меньшую сторону до суммы, кратн</w:t>
      </w:r>
      <w:r>
        <w:rPr>
          <w:lang w:eastAsia="en-US"/>
        </w:rPr>
        <w:t xml:space="preserve">ой 100 млн. руб. по правилам математического округления. В случае, если первая из отделяемых цифр меньше 5 - то значение показателя округляется в меньшую сторону; если первая из отделяемых цифр больше 5, то значение показателя округляется в большую сторону</w:t>
      </w:r>
      <w:r>
        <w:rPr>
          <w:lang w:eastAsia="en-US"/>
        </w:rPr>
        <w:t xml:space="preserve">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5"/>
      <w:tabs>
        <w:tab w:val="clear" w:pos="4677" w:leader="none"/>
        <w:tab w:val="clear" w:pos="9355" w:leader="none"/>
      </w:tabs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09"/>
    <w:next w:val="70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1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09"/>
    <w:next w:val="70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1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09"/>
    <w:next w:val="70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1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09"/>
    <w:next w:val="70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1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09"/>
    <w:next w:val="70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1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09"/>
    <w:next w:val="70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1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09"/>
    <w:next w:val="70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1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09"/>
    <w:next w:val="70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1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09"/>
    <w:next w:val="70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1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09"/>
    <w:next w:val="70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10"/>
    <w:link w:val="34"/>
    <w:uiPriority w:val="10"/>
    <w:rPr>
      <w:sz w:val="48"/>
      <w:szCs w:val="48"/>
    </w:rPr>
  </w:style>
  <w:style w:type="paragraph" w:styleId="36">
    <w:name w:val="Subtitle"/>
    <w:basedOn w:val="709"/>
    <w:next w:val="70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10"/>
    <w:link w:val="36"/>
    <w:uiPriority w:val="11"/>
    <w:rPr>
      <w:sz w:val="24"/>
      <w:szCs w:val="24"/>
    </w:rPr>
  </w:style>
  <w:style w:type="paragraph" w:styleId="38">
    <w:name w:val="Quote"/>
    <w:basedOn w:val="709"/>
    <w:next w:val="70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09"/>
    <w:next w:val="70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10"/>
    <w:link w:val="715"/>
    <w:uiPriority w:val="99"/>
  </w:style>
  <w:style w:type="character" w:styleId="45">
    <w:name w:val="Footer Char"/>
    <w:basedOn w:val="710"/>
    <w:link w:val="717"/>
    <w:uiPriority w:val="99"/>
  </w:style>
  <w:style w:type="paragraph" w:styleId="46">
    <w:name w:val="Caption"/>
    <w:basedOn w:val="709"/>
    <w:next w:val="7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17"/>
    <w:uiPriority w:val="99"/>
  </w:style>
  <w:style w:type="table" w:styleId="49">
    <w:name w:val="Table Grid Light"/>
    <w:basedOn w:val="7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723"/>
    <w:uiPriority w:val="99"/>
    <w:rPr>
      <w:sz w:val="18"/>
    </w:rPr>
  </w:style>
  <w:style w:type="paragraph" w:styleId="178">
    <w:name w:val="endnote text"/>
    <w:basedOn w:val="70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10"/>
    <w:uiPriority w:val="99"/>
    <w:semiHidden/>
    <w:unhideWhenUsed/>
    <w:rPr>
      <w:vertAlign w:val="superscript"/>
    </w:rPr>
  </w:style>
  <w:style w:type="paragraph" w:styleId="181">
    <w:name w:val="toc 1"/>
    <w:basedOn w:val="709"/>
    <w:next w:val="70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09"/>
    <w:next w:val="70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09"/>
    <w:next w:val="70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09"/>
    <w:next w:val="70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09"/>
    <w:next w:val="70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09"/>
    <w:next w:val="70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09"/>
    <w:next w:val="70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09"/>
    <w:next w:val="70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09"/>
    <w:next w:val="70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09"/>
    <w:next w:val="709"/>
    <w:uiPriority w:val="99"/>
    <w:unhideWhenUsed/>
    <w:pPr>
      <w:spacing w:after="0" w:afterAutospacing="0"/>
    </w:pPr>
  </w:style>
  <w:style w:type="paragraph" w:styleId="709" w:default="1">
    <w:name w:val="Normal"/>
    <w:qFormat/>
  </w:style>
  <w:style w:type="character" w:styleId="710" w:default="1">
    <w:name w:val="Default Paragraph Font"/>
    <w:uiPriority w:val="1"/>
    <w:semiHidden/>
    <w:unhideWhenUsed/>
  </w:style>
  <w:style w:type="table" w:styleId="7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2" w:default="1">
    <w:name w:val="No List"/>
    <w:uiPriority w:val="99"/>
    <w:semiHidden/>
    <w:unhideWhenUsed/>
  </w:style>
  <w:style w:type="table" w:styleId="713">
    <w:name w:val="Table Grid"/>
    <w:basedOn w:val="71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14">
    <w:name w:val="List Paragraph"/>
    <w:basedOn w:val="709"/>
    <w:uiPriority w:val="34"/>
    <w:qFormat/>
    <w:pPr>
      <w:contextualSpacing/>
      <w:ind w:left="720"/>
    </w:pPr>
  </w:style>
  <w:style w:type="paragraph" w:styleId="715">
    <w:name w:val="Header"/>
    <w:basedOn w:val="709"/>
    <w:link w:val="716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16" w:customStyle="1">
    <w:name w:val="Верхний колонтитул Знак"/>
    <w:basedOn w:val="710"/>
    <w:link w:val="715"/>
  </w:style>
  <w:style w:type="paragraph" w:styleId="717">
    <w:name w:val="Footer"/>
    <w:basedOn w:val="709"/>
    <w:link w:val="71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18" w:customStyle="1">
    <w:name w:val="Нижний колонтитул Знак"/>
    <w:basedOn w:val="710"/>
    <w:link w:val="717"/>
    <w:uiPriority w:val="99"/>
  </w:style>
  <w:style w:type="paragraph" w:styleId="719">
    <w:name w:val="Balloon Text"/>
    <w:basedOn w:val="709"/>
    <w:link w:val="72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20" w:customStyle="1">
    <w:name w:val="Текст выноски Знак"/>
    <w:basedOn w:val="710"/>
    <w:link w:val="719"/>
    <w:uiPriority w:val="99"/>
    <w:semiHidden/>
    <w:rPr>
      <w:rFonts w:ascii="Segoe UI" w:hAnsi="Segoe UI" w:cs="Segoe UI"/>
      <w:sz w:val="18"/>
      <w:szCs w:val="18"/>
    </w:rPr>
  </w:style>
  <w:style w:type="paragraph" w:styleId="721" w:customStyle="1">
    <w:name w:val="text"/>
    <w:basedOn w:val="709"/>
    <w:pPr>
      <w:spacing w:after="24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22">
    <w:name w:val="footnote reference"/>
    <w:uiPriority w:val="99"/>
    <w:rPr>
      <w:vertAlign w:val="superscript"/>
    </w:rPr>
  </w:style>
  <w:style w:type="paragraph" w:styleId="723">
    <w:name w:val="footnote text"/>
    <w:basedOn w:val="709"/>
    <w:link w:val="724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24" w:customStyle="1">
    <w:name w:val="Текст сноски Знак"/>
    <w:basedOn w:val="710"/>
    <w:link w:val="723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25">
    <w:name w:val="Hyperlink"/>
    <w:uiPriority w:val="99"/>
    <w:unhideWhenUsed/>
    <w:rPr>
      <w:color w:val="0000ff"/>
      <w:u w:val="single"/>
    </w:rPr>
  </w:style>
  <w:style w:type="paragraph" w:styleId="726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yperlink" Target="https://zakupki.rushydro.ru/PublicContent/Section/6" TargetMode="External"/><Relationship Id="rId13" Type="http://schemas.openxmlformats.org/officeDocument/2006/relationships/hyperlink" Target="http://www.asv.org.ru)" TargetMode="External"/><Relationship Id="rId14" Type="http://schemas.openxmlformats.org/officeDocument/2006/relationships/hyperlink" Target="http://www.cbr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OAO 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Зюзин Сергей Сергеевич</dc:creator>
  <cp:lastModifiedBy>Павел</cp:lastModifiedBy>
  <cp:revision>12</cp:revision>
  <dcterms:created xsi:type="dcterms:W3CDTF">2022-12-28T04:56:00Z</dcterms:created>
  <dcterms:modified xsi:type="dcterms:W3CDTF">2024-12-05T01:15:00Z</dcterms:modified>
</cp:coreProperties>
</file>