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84"/>
        <w:jc w:val="center"/>
      </w:pPr>
      <w:r>
        <w:t xml:space="preserve">Перечень критериев оценки заявок участников</w:t>
      </w:r>
      <w:r/>
    </w:p>
    <w:tbl>
      <w:tblPr>
        <w:tblW w:w="1572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515"/>
        <w:gridCol w:w="1515"/>
        <w:gridCol w:w="1212"/>
        <w:gridCol w:w="1061"/>
        <w:gridCol w:w="2388"/>
        <w:gridCol w:w="6970"/>
      </w:tblGrid>
      <w:tr>
        <w:tblPrEx/>
        <w:trPr/>
        <w:tc>
          <w:tcPr>
            <w:shd w:val="clear" w:color="auto" w:fill="d5dce4"/>
            <w:tcW w:w="993" w:type="dxa"/>
            <w:vMerge w:val="restart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Номер критерия оценки в структуре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1417" w:type="dxa"/>
            <w:vMerge w:val="restart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Вид критерия оценки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2"/>
            <w:shd w:val="clear" w:color="auto" w:fill="d5dce4"/>
            <w:tcBorders>
              <w:bottom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Наименование критерия оценки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bottom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Значимость критерия оценки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bottom w:val="single" w:color="auto" w:sz="4" w:space="0"/>
            </w:tcBorders>
            <w:tcW w:w="2234" w:type="dxa"/>
            <w:vMerge w:val="restart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Содержание частного критерия оценки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bottom w:val="single" w:color="auto" w:sz="4" w:space="0"/>
            </w:tcBorders>
            <w:tcW w:w="6521" w:type="dxa"/>
            <w:vMerge w:val="restart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заявки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d5dce4"/>
            <w:tcW w:w="993" w:type="dxa"/>
            <w:vMerge w:val="continue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1417" w:type="dxa"/>
            <w:vMerge w:val="continue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1417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критерий оценки первого уровня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критерий оценки второго уровня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993" w:type="dxa"/>
            <w:vMerge w:val="continue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2234" w:type="dxa"/>
            <w:vMerge w:val="continue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W w:w="6521" w:type="dxa"/>
            <w:vMerge w:val="continue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Ценовой (стоимостной) частный критерий оценки первого уровня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i/>
                <w:sz w:val="18"/>
                <w:szCs w:val="18"/>
                <w:shd w:val="clear" w:color="auto" w:fill="ffff9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Цена договора</w:t>
            </w:r>
            <w:r>
              <w:rPr>
                <w:i/>
                <w:sz w:val="18"/>
                <w:szCs w:val="18"/>
                <w:shd w:val="clear" w:color="auto" w:fill="ffff99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2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Отсутствует</w:t>
            </w:r>
            <w:r>
              <w:rPr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0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80% </w:t>
            </w:r>
            <w:r>
              <w:rPr>
                <w:sz w:val="18"/>
                <w:szCs w:val="18"/>
                <w:lang w:eastAsia="en-US"/>
              </w:rPr>
            </w:r>
          </w:p>
          <w:p>
            <w:pPr>
              <w:numPr>
                <w:ilvl w:val="7"/>
                <w:numId w:val="0"/>
              </w:numPr>
              <w:ind w:left="-11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(B</w:t>
            </w:r>
            <w:r>
              <w:rPr>
                <w:sz w:val="18"/>
                <w:szCs w:val="18"/>
                <w:vertAlign w:val="subscript"/>
                <w:lang w:eastAsia="en-US"/>
              </w:rPr>
              <w:t xml:space="preserve">1</w:t>
            </w:r>
            <w:r>
              <w:rPr>
                <w:sz w:val="18"/>
                <w:szCs w:val="18"/>
                <w:lang w:eastAsia="en-US"/>
              </w:rPr>
              <w:t xml:space="preserve"> = 0,70)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234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2"/>
              <w:jc w:val="center"/>
              <w:spacing w:before="40" w:after="4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Чем меньше цена договора, тем выше предпочтительность</w:t>
            </w: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по частному критерию по методу «Математическая формула, задающая «функцию ценности»»: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48"/>
              <w:ind w:left="0"/>
              <w:jc w:val="center"/>
              <w:spacing w:after="120" w:line="240" w:lineRule="auto"/>
              <w:rPr>
                <w:sz w:val="18"/>
                <w:szCs w:val="18"/>
                <w:lang w:eastAsia="ru-RU"/>
              </w:rPr>
            </w:pPr>
            <w:r/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rPr/>
                    <m:t>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rPr/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rPr/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ru-RU"/>
                        </w:rPr>
                        <m:rPr>
                          <m:sty m:val="p"/>
                        </m:rPr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 w:eastAsia="ru-RU"/>
                        </w:rPr>
                        <m:rPr>
                          <m:sty m:val="p"/>
                        </m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ru-RU"/>
                        </w:rPr>
                        <m:rPr/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 w:eastAsia="ru-RU"/>
                        </w:rPr>
                        <m:rPr/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rPr>
                  <m:sty m:val="p"/>
                </m:rPr>
                <m:t>×Ш,</m:t>
              </m:r>
            </m:oMath>
            <w:r>
              <w:rPr>
                <w:sz w:val="18"/>
                <w:szCs w:val="18"/>
                <w:lang w:eastAsia="ru-RU"/>
              </w:rPr>
              <w:fldChar w:fldCharType="begin"/>
            </w:r>
            <w:r>
              <w:rPr>
                <w:sz w:val="18"/>
                <w:szCs w:val="18"/>
                <w:lang w:eastAsia="ru-RU"/>
              </w:rPr>
              <w:instrText xml:space="preserve"> QUOTE </w:instrText>
            </w:r>
            <w:r>
              <w:rPr>
                <w:position w:val="-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09650" cy="295275"/>
                      <wp:effectExtent l="0" t="0" r="0" b="0"/>
                      <wp:docPr id="1" name="Рисунок 20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208"/>
                              <pic:cNvPicPr>
                                <a:picLocks noChangeArrowheads="1"/>
                              </pic:cNvPicPr>
                              <pic:nvPr/>
                            </pic:nvPicPr>
                            <pic:blipFill>
                              <a:blip r:embed="rId9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1009650" cy="295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79.50pt;height:23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z w:val="18"/>
                <w:szCs w:val="18"/>
                <w:lang w:eastAsia="ru-RU"/>
              </w:rPr>
              <w:fldChar w:fldCharType="end"/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848"/>
              <w:ind w:left="0"/>
              <w:keepNext/>
              <w:spacing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где: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848"/>
              <w:ind w:left="0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Б</w:t>
            </w:r>
            <w:r>
              <w:rPr>
                <w:sz w:val="18"/>
                <w:szCs w:val="18"/>
                <w:vertAlign w:val="subscript"/>
                <w:lang w:eastAsia="ru-RU"/>
              </w:rPr>
              <w:t xml:space="preserve">1</w:t>
            </w:r>
            <w:r>
              <w:rPr>
                <w:sz w:val="18"/>
                <w:szCs w:val="18"/>
                <w:lang w:eastAsia="ru-RU"/>
              </w:rPr>
              <w:t xml:space="preserve">–рассчитанная оценка предпочтительности по данному частному критерию оценки в баллах;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848"/>
              <w:ind w:left="0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ЦЕНА</w:t>
            </w:r>
            <w:r>
              <w:rPr>
                <w:i/>
                <w:iCs/>
                <w:sz w:val="18"/>
                <w:szCs w:val="18"/>
                <w:vertAlign w:val="subscript"/>
                <w:lang w:val="en-US"/>
              </w:rPr>
              <w:t xml:space="preserve">i</w:t>
            </w:r>
            <w:r>
              <w:rPr>
                <w:sz w:val="18"/>
                <w:szCs w:val="18"/>
              </w:rPr>
              <w:t xml:space="preserve">  –</w:t>
            </w:r>
            <w:r>
              <w:rPr>
                <w:rFonts w:eastAsia="Calibri"/>
                <w:sz w:val="18"/>
                <w:szCs w:val="16"/>
              </w:rPr>
              <w:t xml:space="preserve">цена договора (заявки), указанная в </w:t>
            </w:r>
            <w:r>
              <w:rPr>
                <w:rFonts w:eastAsia="Calibri"/>
                <w:sz w:val="18"/>
                <w:szCs w:val="16"/>
                <w:lang w:val="en-US"/>
              </w:rPr>
              <w:t xml:space="preserve">i</w:t>
            </w:r>
            <w:r>
              <w:rPr>
                <w:rFonts w:eastAsia="Calibri"/>
                <w:sz w:val="18"/>
                <w:szCs w:val="16"/>
              </w:rPr>
              <w:t xml:space="preserve">-той заявке (в Коммерческом предложении по установленной в документации о закупке форме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</w:t>
            </w:r>
            <w:r>
              <w:rPr>
                <w:vertAlign w:val="subscript"/>
                <w:lang w:val="en-US"/>
              </w:rPr>
              <w:t xml:space="preserve">min</w:t>
            </w:r>
            <w:r>
              <w:rPr>
                <w:sz w:val="18"/>
                <w:szCs w:val="18"/>
              </w:rPr>
              <w:t xml:space="preserve">– минимальная цена договора (заявки) среди всех допущенных заявок участников, руб. без учета НДС;</w:t>
            </w:r>
            <w:r>
              <w:rPr>
                <w:sz w:val="18"/>
                <w:szCs w:val="18"/>
              </w:rPr>
            </w:r>
          </w:p>
          <w:p>
            <w:pPr>
              <w:pStyle w:val="848"/>
              <w:ind w:left="0"/>
              <w:jc w:val="left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Ш</w:t>
            </w:r>
            <w:r>
              <w:rPr>
                <w:sz w:val="18"/>
                <w:szCs w:val="18"/>
                <w:lang w:eastAsia="ru-RU"/>
              </w:rPr>
              <w:tab/>
              <w:t xml:space="preserve">–</w:t>
            </w:r>
            <w:r>
              <w:rPr>
                <w:sz w:val="18"/>
                <w:szCs w:val="18"/>
                <w:lang w:eastAsia="ru-RU"/>
              </w:rPr>
              <w:tab/>
              <w:t xml:space="preserve">максимально возможный </w:t>
            </w:r>
            <w:r>
              <w:rPr>
                <w:sz w:val="18"/>
                <w:szCs w:val="18"/>
                <w:lang w:eastAsia="ru-RU"/>
              </w:rPr>
              <w:t xml:space="preserve">балл (максимальная возможная оценка предпочтительности) по шкале оценок (Ш = 5).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849"/>
              <w:jc w:val="left"/>
              <w:spacing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 без учета НДС</w:t>
            </w:r>
            <w:r>
              <w:rPr>
                <w:color w:val="000000"/>
                <w:sz w:val="18"/>
              </w:rPr>
              <w:t xml:space="preserve">.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numPr>
                <w:ilvl w:val="7"/>
                <w:numId w:val="0"/>
              </w:num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Шкала о</w:t>
            </w:r>
            <w:r>
              <w:rPr>
                <w:sz w:val="18"/>
                <w:szCs w:val="18"/>
              </w:rPr>
              <w:t xml:space="preserve">ценок от 0 до 5 баллов.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362"/>
        </w:trPr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</w:rPr>
            </w:pPr>
            <w:r>
              <w:rPr>
                <w:rFonts w:eastAsia="Calibri"/>
                <w:sz w:val="18"/>
                <w:szCs w:val="18"/>
              </w:rPr>
              <w:t xml:space="preserve">2</w:t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W w:w="1417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</w:rPr>
            </w:pPr>
            <w:r>
              <w:rPr>
                <w:sz w:val="18"/>
                <w:szCs w:val="18"/>
              </w:rPr>
              <w:t xml:space="preserve">Неценовой критерий оценки первого уровня</w:t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jc w:val="center"/>
              <w:spacing w:before="40" w:after="40" w:line="240" w:lineRule="auto"/>
              <w:rPr>
                <w:rFonts w:eastAsia="Calibri"/>
              </w:rPr>
            </w:pPr>
            <w:r>
              <w:rPr>
                <w:rFonts w:ascii="Times New Roman CYR" w:hAnsi="Times New Roman CYR" w:cs="Times New Roman CYR" w:eastAsiaTheme="minorHAnsi"/>
                <w:color w:val="000000"/>
                <w:sz w:val="18"/>
                <w:szCs w:val="18"/>
                <w:lang w:eastAsia="en-US"/>
              </w:rPr>
              <w:t xml:space="preserve">Квалификация (отношение Участника закупки к изготовителю предлагаемой продукции)</w:t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2"/>
              <w:jc w:val="center"/>
              <w:spacing w:before="40" w:after="40" w:line="240" w:lineRule="auto"/>
              <w:rPr>
                <w:rFonts w:eastAsia="Calibri"/>
              </w:rPr>
            </w:pPr>
            <w:r>
              <w:rPr>
                <w:rFonts w:eastAsia="Calibri"/>
                <w:sz w:val="18"/>
                <w:szCs w:val="18"/>
              </w:rPr>
              <w:t xml:space="preserve">Отсутствует</w:t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0"/>
              <w:jc w:val="center"/>
              <w:spacing w:before="40" w:after="40" w:line="240" w:lineRule="auto"/>
              <w:rPr>
                <w:rFonts w:eastAsia="Calibri"/>
              </w:rPr>
            </w:pPr>
            <w:r>
              <w:rPr>
                <w:rFonts w:eastAsia="Calibri"/>
                <w:sz w:val="18"/>
                <w:szCs w:val="18"/>
              </w:rPr>
              <w:t xml:space="preserve">20%</w:t>
            </w:r>
            <w:r>
              <w:rPr>
                <w:rFonts w:eastAsia="Calibri"/>
                <w:sz w:val="18"/>
                <w:szCs w:val="18"/>
              </w:rPr>
              <w:br/>
              <w:t xml:space="preserve">(В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2</w:t>
            </w:r>
            <w:r>
              <w:rPr>
                <w:rFonts w:eastAsia="Calibri"/>
                <w:sz w:val="18"/>
                <w:szCs w:val="18"/>
              </w:rPr>
              <w:t xml:space="preserve"> = 0,20)</w:t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2234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left="-112"/>
              <w:jc w:val="center"/>
              <w:spacing w:before="40" w:after="40" w:line="240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Отношение Участника закупки к изготовителю предлагаемой продукции</w:t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6521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ind w:firstLine="0"/>
              <w:spacing w:before="0" w:beforeAutospacing="0" w:after="0" w:afterAutospacing="0" w:line="240" w:lineRule="auto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по частному критерию по методу «Оценка предпочтительности посредством однозначной числовой шкалы измерений».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7"/>
                <w:numId w:val="0"/>
              </w:numPr>
              <w:ind w:firstLine="0"/>
              <w:spacing w:before="0" w:beforeAutospacing="0" w:after="0" w:afterAutospacing="0" w:line="240" w:lineRule="auto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z w:val="18"/>
                <w:szCs w:val="18"/>
              </w:rPr>
              <w:t xml:space="preserve">Порядок осуществления оценки (значение оцениваемого параметра) - в зависимости от предоставленных в i-ой заявке копий документов, подтверждающих статус Участника: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7"/>
                <w:numId w:val="0"/>
              </w:numPr>
              <w:ind w:firstLine="0"/>
              <w:spacing w:before="0" w:beforeAutospacing="0" w:after="0" w:afterAutospacing="0" w:line="240" w:lineRule="auto"/>
              <w:suppressLineNumbers w:val="0"/>
            </w:pPr>
            <w:r>
              <w:rPr>
                <w:rFonts w:eastAsia="Calibri"/>
                <w:sz w:val="18"/>
                <w:szCs w:val="18"/>
              </w:rPr>
              <w:t xml:space="preserve">П</w:t>
            </w:r>
            <w:r>
              <w:rPr>
                <w:rFonts w:eastAsia="Calibri"/>
                <w:sz w:val="18"/>
                <w:szCs w:val="18"/>
              </w:rPr>
              <w:t xml:space="preserve">ри оценке участника критерий оценки «Отношение Участника закупки к изготовителю (производителю) предлагаемой продукции (в том числе её части)» применяется с учетом объема (по стоимости) предлагаемой Участником в данном статусе продукции (товара), при этом:</w:t>
            </w:r>
            <w:r>
              <w:rPr>
                <w:rFonts w:eastAsia="Calibri"/>
                <w:sz w:val="18"/>
                <w:szCs w:val="18"/>
              </w:rPr>
              <w:t xml:space="preserve">:</w:t>
            </w:r>
            <w:r/>
          </w:p>
          <w:p>
            <w:pPr>
              <w:numPr>
                <w:ilvl w:val="7"/>
                <w:numId w:val="0"/>
              </w:numPr>
              <w:ind w:firstLine="0"/>
              <w:spacing w:before="0" w:beforeAutospacing="0" w:after="0" w:afterAutospacing="0" w:line="240" w:lineRule="auto"/>
              <w:suppressLineNumbers w:val="0"/>
            </w:pPr>
            <w:r/>
            <m:oMathPara>
              <m:oMathParaPr/>
              <m:oMath>
                <m:sSub>
                  <m:sSubPr>
                    <m:ctrlPr>
                      <w:rPr>
                        <w:rFonts w:hint="default" w:ascii="Cambria Math" w:hAnsi="Cambria Math" w:eastAsia="Cambria Math" w:cs="Cambria Math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Б</m:t>
                    </m:r>
                  </m:e>
                  <m:sub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r</m:t>
                    </m:r>
                  </m:sub>
                </m:s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=</m:t>
                </m:r>
                <m:nary>
                  <m:naryPr>
                    <m:chr m:val="∑"/>
                    <m:grow m:val="off"/>
                    <m:ctrlPr>
                      <w:rPr>
                        <w:rFonts w:hint="default" w:ascii="Cambria Math" w:hAnsi="Cambria Math" w:eastAsia="Cambria Math" w:cs="Cambria Math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k</m:t>
                    </m:r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=1</m:t>
                    </m:r>
                  </m:sub>
                  <m:sup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hint="default" w:ascii="Cambria Math" w:hAnsi="Cambria Math" w:eastAsia="Cambria Math" w:cs="Cambria Math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i</m:t>
                        </m:r>
                      </m:sub>
                    </m:sSub>
                    <m:r>
                      <w:rPr>
                        <w:rFonts w:ascii="Cambria Math" w:hAnsi="Cambria Math" w:eastAsia="Cambria Math" w:cs="Cambria Math"/>
                        <w:sz w:val="24"/>
                        <w:szCs w:val="24"/>
                      </w:rPr>
                      <m:rPr/>
                      <m:t>*</m:t>
                    </m:r>
                    <m:sSub>
                      <m:sSubPr>
                        <m:ctrlPr>
                          <w:rPr>
                            <w:rFonts w:hint="default" w:ascii="Cambria Math" w:hAnsi="Cambria Math" w:eastAsia="Cambria Math" w:cs="Cambria Math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Б</m:t>
                        </m:r>
                      </m:e>
                      <m:sub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i</m:t>
                        </m:r>
                      </m:sub>
                    </m:sSub>
                  </m:e>
                </m:nary>
              </m:oMath>
            </m:oMathPara>
            <w:r/>
            <w:r/>
          </w:p>
          <w:tbl>
            <w:tblPr>
              <w:tblW w:w="6848" w:type="dxa"/>
              <w:tblLayout w:type="fixed"/>
              <w:tblLook w:val="04A0" w:firstRow="1" w:lastRow="0" w:firstColumn="1" w:lastColumn="0" w:noHBand="0" w:noVBand="1"/>
            </w:tblPr>
            <w:tblGrid>
              <w:gridCol w:w="873"/>
              <w:gridCol w:w="5975"/>
            </w:tblGrid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0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outlineLvl w:val="4"/>
                    <w:suppressLineNumbers w:val="0"/>
                  </w:pPr>
                  <w:r>
                    <w:rPr>
                      <w:rFonts w:eastAsia="Calibri"/>
                      <w:b/>
                      <w:sz w:val="18"/>
                      <w:szCs w:val="18"/>
                    </w:rPr>
                    <w:t xml:space="preserve">1. Участник не является изготовителем (производителем) и/или аффилированным изготовителю (производителю) по одному из пунктов, указанных в Таблице - Признаки аффилированности и документы, подтверждающие данные признаки (форма №__ Документации о закупке), и/</w:t>
                  </w:r>
                  <w:r>
                    <w:rPr>
                      <w:rFonts w:eastAsia="Calibri"/>
                      <w:b/>
                      <w:sz w:val="18"/>
                      <w:szCs w:val="18"/>
                    </w:rPr>
                    <w:t xml:space="preserve">или представителем изготовителя (производителя).</w:t>
                  </w:r>
                  <w:r/>
                </w:p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outlineLvl w:val="4"/>
                    <w:suppressLineNumbers w:val="0"/>
                  </w:pPr>
                  <w:r>
                    <w:rPr>
                      <w:rFonts w:eastAsia="Calibri"/>
                      <w:b/>
                      <w:sz w:val="18"/>
                      <w:szCs w:val="18"/>
                    </w:rPr>
                  </w:r>
                  <w:r/>
                </w:p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b/>
                      <w:sz w:val="18"/>
                      <w:szCs w:val="18"/>
                    </w:rPr>
                    <w:outlineLvl w:val="4"/>
                    <w:suppressLineNumbers w:val="0"/>
                  </w:pPr>
                  <w:r>
                    <w:rPr>
                      <w:rFonts w:eastAsia="Calibri"/>
                      <w:b/>
                      <w:sz w:val="18"/>
                      <w:szCs w:val="18"/>
                    </w:rPr>
                    <w:t xml:space="preserve">2. В случае непредставления документов, подтверждающих статус Участника.</w:t>
                  </w:r>
                  <w:r/>
                  <w:r>
                    <w:rPr>
                      <w:rFonts w:eastAsia="Calibri"/>
                      <w:b/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1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rPr>
                      <w:b/>
                      <w:bCs/>
                    </w:rPr>
                    <w:outlineLvl w:val="4"/>
                    <w:suppressLineNumbers w:val="0"/>
                  </w:pPr>
                  <w:r>
                    <w:rPr>
                      <w:rFonts w:eastAsia="Calibri"/>
                      <w:b/>
                      <w:bCs/>
                      <w:sz w:val="18"/>
                      <w:szCs w:val="18"/>
                    </w:rPr>
                    <w:t xml:space="preserve">Участник является представителем изготовителя (производителя)</w:t>
                  </w:r>
                  <w:r>
                    <w:rPr>
                      <w:b/>
                      <w:bCs/>
                    </w:rPr>
                  </w:r>
                </w:p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outlineLvl w:val="4"/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(статус подтверждается действующими на момент подачи заявки документами изготовителя (производителя), в которых указан статус Участника в качестве представителя/дилера, сроком действия не менее одного года)</w:t>
                  </w:r>
                  <w:r/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2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rPr>
                      <w:b/>
                      <w:bCs/>
                    </w:rPr>
                    <w:outlineLvl w:val="4"/>
                    <w:suppressLineNumbers w:val="0"/>
                  </w:pPr>
                  <w:r>
                    <w:rPr>
                      <w:rFonts w:eastAsia="Calibri"/>
                      <w:b/>
                      <w:bCs/>
                      <w:sz w:val="18"/>
                      <w:szCs w:val="18"/>
                    </w:rPr>
                    <w:t xml:space="preserve">Участник является официальным представителем изготовителя (производителя)</w:t>
                  </w:r>
                  <w:r>
                    <w:rPr>
                      <w:b/>
                      <w:bCs/>
                    </w:rPr>
                  </w:r>
                </w:p>
                <w:p>
                  <w:pPr>
                    <w:ind w:firstLine="0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outlineLvl w:val="4"/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(статус подтверждается копией подписанного с обеих сторон действующего на момент подачи заявки договора (либо соглашения) с изготовителем (производителем), сроком действия не менее одного года, предметом которого является представление Участником интересов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изготовителя (производителя) в части предлагаемой реализации продукции (товара))</w:t>
                  </w:r>
                  <w:r/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3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spacing w:before="0" w:beforeAutospacing="0" w:after="0" w:afterAutospacing="0" w:line="240" w:lineRule="auto"/>
                    <w:suppressLineNumbers w:val="0"/>
                  </w:pPr>
                  <w:r/>
                  <w:r>
                    <w:rPr>
                      <w:rFonts w:ascii="Times New Roman" w:hAnsi="Times New Roman" w:eastAsia="Calibri"/>
                      <w:b/>
                      <w:sz w:val="20"/>
                    </w:rPr>
                    <w:t xml:space="preserve">Участник является аффилированным изготовителю (производителю) по одному из следующих пунктов 7, 9, указанных в Таблице - Признаки аффилированности и документы, подтверждающие данные признаки (форма №__ Документации о закупке). </w:t>
                  </w:r>
                  <w:r>
                    <w:rPr>
                      <w:rFonts w:ascii="Times New Roman" w:hAnsi="Times New Roman" w:eastAsia="Calibri"/>
                      <w:sz w:val="20"/>
                    </w:rPr>
                    <w:t xml:space="preserve">(статус аффилированности подтверждается Справкой об аффилированности участника закупки с изготовителем (производителем) предлагаемой продукции (товара), с приложением подтверждающих документов по форме, приведенной в Документации о закупке)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/>
                </w:p>
              </w:tc>
            </w:tr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4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b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b/>
                      <w:sz w:val="20"/>
                    </w:rPr>
                    <w:t xml:space="preserve">Участник является аффилированным изготовителю (производителю) по одному из следующих пунктов 4, 5, 8, 10, указанных в Таблице - Признаки аффилированности и документы, подтверждающие данные признаки (форма №__ Документации о закупке).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</w:p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b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sz w:val="20"/>
                    </w:rPr>
                    <w:t xml:space="preserve">(статус аффилированности</w:t>
                  </w:r>
                  <w:bookmarkStart w:id="0" w:name="undefined"/>
                  <w:r/>
                  <w:bookmarkEnd w:id="0"/>
                  <w:r>
                    <w:rPr>
                      <w:rFonts w:ascii="Times New Roman" w:hAnsi="Times New Roman" w:eastAsia="Calibri"/>
                      <w:sz w:val="20"/>
                    </w:rPr>
                    <w:t xml:space="preserve"> подтверждается Справкой об аффилированности Участника закупки с изготовителем (производителем) предлагаемой продукции (товара), с приложением подтверждающих документов по форме, приведенной в Документации о закупке)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309"/>
              </w:trPr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right w:val="single" w:color="000000" w:sz="4" w:space="0"/>
                  </w:tcBorders>
                  <w:tcW w:w="87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before="0" w:beforeAutospacing="0" w:after="0" w:afterAutospacing="0" w:line="240" w:lineRule="auto"/>
                    <w:widowControl w:val="off"/>
                    <w:rPr>
                      <w:rFonts w:eastAsia="Calibri"/>
                      <w:sz w:val="18"/>
                      <w:szCs w:val="18"/>
                    </w:rPr>
                    <w:suppressLineNumbers w:val="0"/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</w:t>
                  </w:r>
                  <w:r>
                    <w:rPr>
                      <w:rFonts w:eastAsia="Calibri"/>
                      <w:i/>
                      <w:sz w:val="18"/>
                      <w:szCs w:val="18"/>
                      <w:vertAlign w:val="subscript"/>
                    </w:rPr>
                    <w:t xml:space="preserve">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5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auto" w:fill="ffffff" w:themeFill="background1"/>
                  <w:tcBorders>
                    <w:top w:val="single" w:color="000000" w:sz="4" w:space="0"/>
                    <w:left w:val="single" w:color="000000" w:sz="4" w:space="0"/>
                  </w:tcBorders>
                  <w:tcW w:w="5975" w:type="dxa"/>
                  <w:textDirection w:val="lrTb"/>
                  <w:noWrap w:val="false"/>
                </w:tcPr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b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b/>
                      <w:sz w:val="20"/>
                    </w:rPr>
                    <w:t xml:space="preserve">1. Участник является изготовителем (производителем)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</w:p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sz w:val="20"/>
                    </w:rPr>
                    <w:t xml:space="preserve">(подтверждается документами на предлагаемую продукцию (товар), в которых указан изготовитель (производитель))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  <w:t xml:space="preserve"> **</w:t>
                  </w:r>
                  <w:r>
                    <w:rPr>
                      <w:rFonts w:ascii="Times New Roman" w:hAnsi="Times New Roman" w:eastAsia="Calibri"/>
                      <w:sz w:val="20"/>
                    </w:rPr>
                    <w:t xml:space="preserve">.</w:t>
                  </w:r>
                  <w:r>
                    <w:t xml:space="preserve"> </w:t>
                  </w:r>
                  <w:r>
                    <w:rPr>
                      <w:rFonts w:ascii="Times New Roman" w:hAnsi="Times New Roman" w:eastAsia="Calibri"/>
                      <w:sz w:val="20"/>
                    </w:rPr>
                    <w:t xml:space="preserve">При этом в документах на предлагаемую продукцию (товар) и в Техническом / Коммерческом предложении должен быть указан один и тот же изготовитель (производитель).</w:t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</w:p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</w:p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b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b/>
                      <w:sz w:val="20"/>
                    </w:rPr>
                    <w:t xml:space="preserve">2. Участник является аффилированным изготовителю (производителю) по одному из следующих пунктов 1, 2, 3, 6, 11, указанных в Таблице - Признаки аффилированности и документы, подтверждающие данные признаки (форма №__ Документации о закупке).</w:t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b/>
                      <w:sz w:val="20"/>
                    </w:rPr>
                  </w:r>
                </w:p>
                <w:p>
                  <w:pPr>
                    <w:ind w:firstLine="0"/>
                    <w:jc w:val="both"/>
                    <w:spacing w:before="0" w:beforeAutospacing="0" w:after="0" w:afterAutospacing="0" w:line="240" w:lineRule="auto"/>
                    <w:widowControl w:val="off"/>
                    <w:rPr>
                      <w:rFonts w:ascii="Times New Roman" w:hAnsi="Times New Roman" w:eastAsia="Calibri"/>
                      <w:sz w:val="20"/>
                    </w:rPr>
                    <w:outlineLvl w:val="4"/>
                    <w:suppressLineNumbers w:val="0"/>
                  </w:pPr>
                  <w:r>
                    <w:rPr>
                      <w:rFonts w:ascii="Times New Roman" w:hAnsi="Times New Roman" w:eastAsia="Calibri"/>
                      <w:sz w:val="20"/>
                    </w:rPr>
                    <w:t xml:space="preserve">(статус аффилированности подтверждается Справкой об аффилированности Участника закупки с изготовителем (производителем) предлагаемой продукции (товара), с приложением подтверждающих документов по форме, приведенной в Документации о закупке)</w:t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  <w:r>
                    <w:rPr>
                      <w:rFonts w:ascii="Times New Roman" w:hAnsi="Times New Roman" w:eastAsia="Calibri"/>
                      <w:sz w:val="20"/>
                    </w:rPr>
                  </w:r>
                </w:p>
              </w:tc>
            </w:tr>
          </w:tbl>
          <w:p>
            <w:pPr>
              <w:ind w:firstLine="0"/>
              <w:keepNext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</w:rPr>
              <w:t xml:space="preserve"> где:</w:t>
            </w:r>
            <w:r/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tabs>
                <w:tab w:val="left" w:pos="742" w:leader="none"/>
                <w:tab w:val="left" w:pos="1167" w:leader="none"/>
              </w:tabs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</w:rPr>
              <w:t xml:space="preserve">Б</w:t>
            </w:r>
            <w:r>
              <w:rPr>
                <w:rFonts w:ascii="Times New Roman" w:hAnsi="Times New Roman" w:eastAsia="Calibri"/>
                <w:i/>
                <w:sz w:val="20"/>
                <w:vertAlign w:val="subscript"/>
                <w:lang w:val="en-US"/>
              </w:rPr>
              <w:t xml:space="preserve">r</w:t>
            </w:r>
            <w:r>
              <w:rPr>
                <w:rFonts w:ascii="Times New Roman" w:hAnsi="Times New Roman" w:eastAsia="Calibri"/>
                <w:sz w:val="20"/>
              </w:rPr>
              <w:t xml:space="preserve"> </w:t>
            </w:r>
            <w:r>
              <w:rPr>
                <w:rFonts w:ascii="Times New Roman" w:hAnsi="Times New Roman" w:eastAsia="Calibri"/>
                <w:sz w:val="20"/>
              </w:rPr>
              <w:t xml:space="preserve">– рассчитанная оценка по данному частному критерию оценки в баллах.</w:t>
            </w: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left" w:pos="742" w:leader="none"/>
                <w:tab w:val="left" w:pos="1167" w:leader="none"/>
              </w:tabs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</w:rPr>
              <w:t xml:space="preserve">Б</w:t>
            </w:r>
            <w:r>
              <w:rPr>
                <w:rFonts w:ascii="Times New Roman" w:hAnsi="Times New Roman" w:eastAsia="Calibri"/>
                <w:i/>
                <w:sz w:val="20"/>
                <w:vertAlign w:val="subscript"/>
              </w:rPr>
              <w:t xml:space="preserve">i</w:t>
            </w:r>
            <w:r>
              <w:rPr>
                <w:rFonts w:ascii="Times New Roman" w:hAnsi="Times New Roman" w:eastAsia="Calibri"/>
                <w:sz w:val="20"/>
              </w:rPr>
              <w:t xml:space="preserve"> </w:t>
            </w:r>
            <w:r>
              <w:rPr>
                <w:rFonts w:ascii="Times New Roman" w:hAnsi="Times New Roman" w:eastAsia="Calibri"/>
                <w:sz w:val="20"/>
              </w:rPr>
              <w:t xml:space="preserve">– балл, соответствующий отношению Участника к изготовителю (производителю) предлагаемой продукции (товара).</w:t>
            </w: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  <w:lang w:val="en-US"/>
              </w:rPr>
              <w:t xml:space="preserve">k</w:t>
            </w:r>
            <w:r>
              <w:rPr>
                <w:rFonts w:ascii="Times New Roman" w:hAnsi="Times New Roman" w:eastAsia="Calibri"/>
                <w:i/>
                <w:sz w:val="20"/>
                <w:vertAlign w:val="subscript"/>
                <w:lang w:val="en-US"/>
              </w:rPr>
              <w:t xml:space="preserve">i</w:t>
            </w:r>
            <w:r>
              <w:rPr>
                <w:rFonts w:ascii="Times New Roman" w:hAnsi="Times New Roman" w:eastAsia="Calibri"/>
                <w:sz w:val="20"/>
              </w:rPr>
              <w:t xml:space="preserve"> </w:t>
            </w:r>
            <w:r>
              <w:rPr>
                <w:rFonts w:ascii="Times New Roman" w:hAnsi="Times New Roman" w:eastAsia="Calibri"/>
                <w:sz w:val="20"/>
              </w:rPr>
              <w:t xml:space="preserve">– коэффициент, пропорциональный </w:t>
            </w:r>
            <w:r>
              <w:rPr>
                <w:rFonts w:ascii="Times New Roman" w:hAnsi="Times New Roman"/>
                <w:sz w:val="20"/>
              </w:rPr>
              <w:t xml:space="preserve">объему (по стоимости) предлагаемой Участником в данном статусе продукции (товара).</w:t>
            </w: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b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b/>
                <w:sz w:val="20"/>
              </w:rPr>
              <w:t xml:space="preserve">* В случае если Участник является Коллективным Участником, то осуществляется оценка каждого члена Коллективного Участника (включая лидера Коллективного Участника) с учетом объема (по стоимости) поставки в соответствии 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с 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К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оммерческим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 / Техническим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 предложением 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/или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 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с Планом распределения объемов поставки продукции внутри Коллективного Участника, представленными в составе заявки Участника. Оценки каждого члена Коллективного Участника (включая лидера Коллективного Участника) суммируются. При этом итоговая (общая) оценк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а</w:t>
            </w:r>
            <w:r>
              <w:rPr>
                <w:rFonts w:ascii="Times New Roman" w:hAnsi="Times New Roman" w:eastAsia="Calibri"/>
                <w:b/>
                <w:sz w:val="20"/>
              </w:rPr>
              <w:t xml:space="preserve"> (итоговый балл) Коллективного Участника по данному критерию присваивается с учетом статуса Лидера Коллективного Участника:</w:t>
            </w:r>
            <w:r>
              <w:rPr>
                <w:rFonts w:ascii="Times New Roman" w:hAnsi="Times New Roman" w:eastAsia="Calibri"/>
                <w:b/>
                <w:sz w:val="20"/>
              </w:rPr>
            </w:r>
            <w:r>
              <w:rPr>
                <w:rFonts w:ascii="Times New Roman" w:hAnsi="Times New Roman" w:eastAsia="Calibri"/>
                <w:b/>
                <w:sz w:val="20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b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b/>
                <w:sz w:val="20"/>
              </w:rPr>
              <w:t xml:space="preserve">- Лидер Коллективного Участника не является изготовителем (производителем) предлагаемой продукции — итоговый балл не может превышать 2 балла;</w:t>
            </w:r>
            <w:r>
              <w:rPr>
                <w:rFonts w:ascii="Times New Roman" w:hAnsi="Times New Roman" w:eastAsia="Calibri"/>
                <w:b/>
                <w:sz w:val="20"/>
              </w:rPr>
            </w:r>
            <w:r>
              <w:rPr>
                <w:rFonts w:ascii="Times New Roman" w:hAnsi="Times New Roman" w:eastAsia="Calibri"/>
                <w:b/>
                <w:sz w:val="20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b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b/>
                <w:sz w:val="20"/>
              </w:rPr>
              <w:t xml:space="preserve">- Лидер Коллективного Участника является изготовителем (производителем) предлагаемой продукции — ограничений по итоговому баллу нет.</w:t>
            </w:r>
            <w:r>
              <w:rPr>
                <w:rFonts w:ascii="Times New Roman" w:hAnsi="Times New Roman" w:eastAsia="Calibri"/>
                <w:b/>
                <w:sz w:val="20"/>
              </w:rPr>
            </w:r>
            <w:r>
              <w:rPr>
                <w:rFonts w:ascii="Times New Roman" w:hAnsi="Times New Roman" w:eastAsia="Calibri"/>
                <w:b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</w:rPr>
              <w:t xml:space="preserve">Шкала оценок от 0 до 5 баллов.</w:t>
            </w: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Calibri"/>
                <w:sz w:val="20"/>
              </w:rPr>
              <w:suppressLineNumbers w:val="0"/>
            </w:pP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  <w:r>
              <w:rPr>
                <w:rFonts w:ascii="Times New Roman" w:hAnsi="Times New Roman" w:eastAsia="Calibri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**</w:t>
            </w:r>
            <w:r>
              <w:rPr>
                <w:rFonts w:ascii="Times New Roman" w:hAnsi="Times New Roman"/>
                <w:sz w:val="20"/>
              </w:rPr>
              <w:t xml:space="preserve"> Такими документами на предлагаемую продукцию могут являться: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а) </w:t>
            </w:r>
            <w:r>
              <w:rPr>
                <w:rFonts w:ascii="Times New Roman" w:hAnsi="Times New Roman"/>
                <w:sz w:val="20"/>
              </w:rPr>
              <w:t xml:space="preserve">Сертификат/декларация соответствия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Протокол испытаний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Сертификат качества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Паспорт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Технические условия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Руководство по эксплуатации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Техническое описание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hint="cs" w:ascii="Times New Roman" w:hAnsi="Times New Roman"/>
                <w:sz w:val="20"/>
              </w:rPr>
              <w:t xml:space="preserve">Инспекционный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аналитический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  <w:r>
              <w:rPr>
                <w:rFonts w:hint="cs" w:ascii="Times New Roman" w:hAnsi="Times New Roman"/>
                <w:sz w:val="20"/>
              </w:rPr>
              <w:t xml:space="preserve">отчёт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сертификат</w:t>
            </w:r>
            <w:r>
              <w:rPr>
                <w:rFonts w:ascii="Times New Roman" w:hAnsi="Times New Roman"/>
                <w:sz w:val="20"/>
              </w:rPr>
              <w:t xml:space="preserve">)</w:t>
            </w:r>
            <w:r>
              <w:rPr>
                <w:rFonts w:ascii="Times New Roman" w:hAnsi="Times New Roman"/>
                <w:sz w:val="20"/>
              </w:rPr>
              <w:t xml:space="preserve"> и/или</w:t>
            </w:r>
            <w:r>
              <w:rPr>
                <w:rFonts w:ascii="Times New Roman" w:hAnsi="Times New Roman"/>
                <w:sz w:val="20"/>
              </w:rPr>
              <w:t xml:space="preserve">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hint="cs" w:ascii="Times New Roman" w:hAnsi="Times New Roman"/>
                <w:sz w:val="20"/>
              </w:rPr>
              <w:t xml:space="preserve">Сертификат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отбора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проб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анализа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испытаний</w:t>
            </w:r>
            <w:r>
              <w:rPr>
                <w:rFonts w:ascii="Times New Roman" w:hAnsi="Times New Roman"/>
                <w:sz w:val="20"/>
              </w:rPr>
              <w:t xml:space="preserve">)</w:t>
            </w:r>
            <w:r>
              <w:rPr>
                <w:rFonts w:ascii="Times New Roman" w:hAnsi="Times New Roman"/>
                <w:sz w:val="20"/>
              </w:rPr>
              <w:t xml:space="preserve"> и/или</w:t>
            </w:r>
            <w:r>
              <w:rPr>
                <w:rFonts w:ascii="Times New Roman" w:hAnsi="Times New Roman"/>
                <w:sz w:val="20"/>
              </w:rPr>
              <w:t xml:space="preserve">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Номер реестровой записи из </w:t>
            </w:r>
            <w:r>
              <w:rPr>
                <w:rFonts w:hint="cs" w:ascii="Times New Roman" w:hAnsi="Times New Roman"/>
                <w:sz w:val="20"/>
              </w:rPr>
              <w:t xml:space="preserve">Един</w:t>
            </w:r>
            <w:r>
              <w:rPr>
                <w:rFonts w:ascii="Times New Roman" w:hAnsi="Times New Roman"/>
                <w:sz w:val="20"/>
              </w:rPr>
              <w:t xml:space="preserve">ого </w:t>
            </w:r>
            <w:r>
              <w:rPr>
                <w:rFonts w:hint="cs" w:ascii="Times New Roman" w:hAnsi="Times New Roman"/>
                <w:sz w:val="20"/>
              </w:rPr>
              <w:t xml:space="preserve">реестр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>
              <w:rPr>
                <w:rFonts w:hint="cs" w:ascii="Times New Roman" w:hAnsi="Times New Roman"/>
                <w:sz w:val="20"/>
              </w:rPr>
              <w:t xml:space="preserve">российской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радиоэлектронной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продукции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ПП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РФ</w:t>
            </w:r>
            <w:r>
              <w:rPr>
                <w:rFonts w:ascii="Times New Roman" w:hAnsi="Times New Roman"/>
                <w:sz w:val="20"/>
              </w:rPr>
              <w:t xml:space="preserve"> 878) и/или;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- Номер реестровой записи из </w:t>
            </w:r>
            <w:r>
              <w:rPr>
                <w:rFonts w:hint="cs" w:ascii="Times New Roman" w:hAnsi="Times New Roman"/>
                <w:sz w:val="20"/>
              </w:rPr>
              <w:t xml:space="preserve">Реестр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>
              <w:rPr>
                <w:rFonts w:hint="cs" w:ascii="Times New Roman" w:hAnsi="Times New Roman"/>
                <w:sz w:val="20"/>
              </w:rPr>
              <w:t xml:space="preserve">российской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промышленной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продукции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ПП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РФ</w:t>
            </w:r>
            <w:r>
              <w:rPr>
                <w:rFonts w:ascii="Times New Roman" w:hAnsi="Times New Roman"/>
                <w:sz w:val="20"/>
              </w:rPr>
              <w:t xml:space="preserve"> 719 </w:t>
            </w:r>
            <w:r>
              <w:rPr>
                <w:rFonts w:hint="cs" w:ascii="Times New Roman" w:hAnsi="Times New Roman"/>
                <w:sz w:val="20"/>
              </w:rPr>
              <w:t xml:space="preserve">от</w:t>
            </w:r>
            <w:r>
              <w:rPr>
                <w:rFonts w:ascii="Times New Roman" w:hAnsi="Times New Roman"/>
                <w:sz w:val="20"/>
              </w:rPr>
              <w:t xml:space="preserve"> 17.07.2015)</w:t>
            </w:r>
            <w:r>
              <w:rPr>
                <w:rFonts w:ascii="Times New Roman" w:hAnsi="Times New Roman"/>
                <w:sz w:val="20"/>
              </w:rPr>
              <w:t xml:space="preserve">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hint="cs" w:ascii="Times New Roman" w:hAnsi="Times New Roman"/>
                <w:sz w:val="20"/>
              </w:rPr>
              <w:t xml:space="preserve">Либо</w:t>
            </w:r>
            <w:r>
              <w:rPr>
                <w:rFonts w:ascii="Times New Roman" w:hAnsi="Times New Roman"/>
                <w:sz w:val="20"/>
              </w:rPr>
              <w:t xml:space="preserve">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firstLine="0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  <w:suppressLineNumbers w:val="0"/>
            </w:pPr>
            <w:r>
              <w:rPr>
                <w:rFonts w:ascii="Times New Roman" w:hAnsi="Times New Roman"/>
                <w:sz w:val="20"/>
              </w:rPr>
              <w:t xml:space="preserve">   б) </w:t>
            </w:r>
            <w:r>
              <w:rPr>
                <w:rFonts w:hint="cs" w:ascii="Times New Roman" w:hAnsi="Times New Roman"/>
                <w:sz w:val="20"/>
              </w:rPr>
              <w:t xml:space="preserve">И</w:t>
            </w:r>
            <w:r>
              <w:rPr>
                <w:rFonts w:hint="cs" w:ascii="Times New Roman" w:hAnsi="Times New Roman"/>
                <w:sz w:val="20"/>
              </w:rPr>
              <w:t xml:space="preserve">ной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документ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предлагаемую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продукцию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hint="cs" w:ascii="Times New Roman" w:hAnsi="Times New Roman"/>
                <w:sz w:val="20"/>
              </w:rPr>
              <w:t xml:space="preserve">предусмотренный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условиями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Технических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требований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Документации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закупке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hint="cs" w:ascii="Times New Roman" w:hAnsi="Times New Roman"/>
                <w:sz w:val="20"/>
              </w:rPr>
              <w:t xml:space="preserve">применяется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исключительных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случаях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невозможности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hint="cs" w:ascii="Times New Roman" w:hAnsi="Times New Roman"/>
                <w:sz w:val="20"/>
              </w:rPr>
              <w:t xml:space="preserve">применить</w:t>
            </w:r>
            <w:r>
              <w:rPr>
                <w:rFonts w:ascii="Times New Roman" w:hAnsi="Times New Roman"/>
                <w:sz w:val="20"/>
              </w:rPr>
              <w:t xml:space="preserve"> пункт а</w:t>
            </w:r>
            <w:r>
              <w:rPr>
                <w:rFonts w:ascii="Times New Roman" w:hAnsi="Times New Roman"/>
                <w:sz w:val="20"/>
              </w:rPr>
              <w:t xml:space="preserve">))</w:t>
            </w:r>
            <w:r>
              <w:rPr>
                <w:rFonts w:ascii="Times New Roman" w:hAnsi="Times New Roman"/>
                <w:sz w:val="20"/>
              </w:rPr>
            </w:r>
            <w:r/>
            <w:r/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849"/>
        <w:numPr>
          <w:ilvl w:val="0"/>
          <w:numId w:val="0"/>
        </w:numPr>
        <w:jc w:val="left"/>
        <w:spacing w:before="40" w:after="40" w:line="240" w:lineRule="auto"/>
        <w:rPr>
          <w:sz w:val="24"/>
          <w:szCs w:val="18"/>
          <w:lang w:eastAsia="ru-RU"/>
        </w:rPr>
      </w:pPr>
      <w:r>
        <w:rPr>
          <w:sz w:val="24"/>
          <w:szCs w:val="18"/>
          <w:lang w:eastAsia="ru-RU"/>
        </w:rPr>
      </w:r>
      <w:r>
        <w:rPr>
          <w:sz w:val="24"/>
          <w:szCs w:val="18"/>
          <w:lang w:eastAsia="ru-RU"/>
        </w:rPr>
      </w:r>
    </w:p>
    <w:sectPr>
      <w:footnotePr/>
      <w:endnotePr/>
      <w:type w:val="nextPage"/>
      <w:pgSz w:w="16838" w:h="11906" w:orient="landscape"/>
      <w:pgMar w:top="284" w:right="1134" w:bottom="28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mbria Math">
    <w:panose1 w:val="02040803050406030204"/>
  </w:font>
  <w:font w:name="Calibri">
    <w:panose1 w:val="020F05020202040302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845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846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85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848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849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pStyle w:val="856"/>
      <w:isLgl w:val="false"/>
      <w:suff w:val="tab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857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858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85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4"/>
    <w:link w:val="66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4"/>
    <w:link w:val="66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4"/>
    <w:link w:val="66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4"/>
    <w:link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4"/>
    <w:link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4"/>
    <w:link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4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4"/>
    <w:link w:val="687"/>
    <w:uiPriority w:val="10"/>
    <w:rPr>
      <w:sz w:val="48"/>
      <w:szCs w:val="48"/>
    </w:rPr>
  </w:style>
  <w:style w:type="character" w:styleId="37">
    <w:name w:val="Subtitle Char"/>
    <w:basedOn w:val="674"/>
    <w:link w:val="689"/>
    <w:uiPriority w:val="11"/>
    <w:rPr>
      <w:sz w:val="24"/>
      <w:szCs w:val="24"/>
    </w:rPr>
  </w:style>
  <w:style w:type="character" w:styleId="39">
    <w:name w:val="Quote Char"/>
    <w:link w:val="691"/>
    <w:uiPriority w:val="29"/>
    <w:rPr>
      <w:i/>
    </w:rPr>
  </w:style>
  <w:style w:type="character" w:styleId="41">
    <w:name w:val="Intense Quote Char"/>
    <w:link w:val="693"/>
    <w:uiPriority w:val="30"/>
    <w:rPr>
      <w:i/>
    </w:rPr>
  </w:style>
  <w:style w:type="character" w:styleId="43">
    <w:name w:val="Header Char"/>
    <w:basedOn w:val="674"/>
    <w:link w:val="695"/>
    <w:uiPriority w:val="99"/>
  </w:style>
  <w:style w:type="character" w:styleId="47">
    <w:name w:val="Caption Char"/>
    <w:basedOn w:val="699"/>
    <w:link w:val="697"/>
    <w:uiPriority w:val="99"/>
  </w:style>
  <w:style w:type="character" w:styleId="176">
    <w:name w:val="Footnote Text Char"/>
    <w:link w:val="827"/>
    <w:uiPriority w:val="99"/>
    <w:rPr>
      <w:sz w:val="18"/>
    </w:rPr>
  </w:style>
  <w:style w:type="character" w:styleId="179">
    <w:name w:val="Endnote Text Char"/>
    <w:link w:val="830"/>
    <w:uiPriority w:val="99"/>
    <w:rPr>
      <w:sz w:val="20"/>
    </w:rPr>
  </w:style>
  <w:style w:type="paragraph" w:styleId="66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65">
    <w:name w:val="Heading 1"/>
    <w:basedOn w:val="664"/>
    <w:next w:val="66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6">
    <w:name w:val="Heading 2"/>
    <w:basedOn w:val="664"/>
    <w:next w:val="664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7">
    <w:name w:val="Heading 3"/>
    <w:basedOn w:val="664"/>
    <w:next w:val="664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8">
    <w:name w:val="Heading 4"/>
    <w:basedOn w:val="664"/>
    <w:next w:val="664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664"/>
    <w:next w:val="664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664"/>
    <w:next w:val="664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664"/>
    <w:next w:val="664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664"/>
    <w:next w:val="664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664"/>
    <w:next w:val="664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Заголовок 1 Знак"/>
    <w:basedOn w:val="674"/>
    <w:link w:val="665"/>
    <w:uiPriority w:val="9"/>
    <w:rPr>
      <w:rFonts w:ascii="Arial" w:hAnsi="Arial" w:eastAsia="Arial" w:cs="Arial"/>
      <w:sz w:val="40"/>
      <w:szCs w:val="40"/>
    </w:rPr>
  </w:style>
  <w:style w:type="character" w:styleId="678" w:customStyle="1">
    <w:name w:val="Заголовок 2 Знак"/>
    <w:basedOn w:val="674"/>
    <w:link w:val="666"/>
    <w:uiPriority w:val="9"/>
    <w:rPr>
      <w:rFonts w:ascii="Arial" w:hAnsi="Arial" w:eastAsia="Arial" w:cs="Arial"/>
      <w:sz w:val="34"/>
    </w:rPr>
  </w:style>
  <w:style w:type="character" w:styleId="679" w:customStyle="1">
    <w:name w:val="Заголовок 3 Знак"/>
    <w:basedOn w:val="674"/>
    <w:link w:val="667"/>
    <w:uiPriority w:val="9"/>
    <w:rPr>
      <w:rFonts w:ascii="Arial" w:hAnsi="Arial" w:eastAsia="Arial" w:cs="Arial"/>
      <w:sz w:val="30"/>
      <w:szCs w:val="30"/>
    </w:rPr>
  </w:style>
  <w:style w:type="character" w:styleId="680" w:customStyle="1">
    <w:name w:val="Заголовок 4 Знак"/>
    <w:basedOn w:val="674"/>
    <w:link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81" w:customStyle="1">
    <w:name w:val="Заголовок 5 Знак"/>
    <w:basedOn w:val="674"/>
    <w:link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682" w:customStyle="1">
    <w:name w:val="Заголовок 6 Знак"/>
    <w:basedOn w:val="674"/>
    <w:link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83" w:customStyle="1">
    <w:name w:val="Заголовок 7 Знак"/>
    <w:basedOn w:val="674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4" w:customStyle="1">
    <w:name w:val="Заголовок 8 Знак"/>
    <w:basedOn w:val="67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685" w:customStyle="1">
    <w:name w:val="Заголовок 9 Знак"/>
    <w:basedOn w:val="67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after="0" w:line="240" w:lineRule="auto"/>
    </w:pPr>
  </w:style>
  <w:style w:type="paragraph" w:styleId="687">
    <w:name w:val="Title"/>
    <w:basedOn w:val="664"/>
    <w:next w:val="664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 w:customStyle="1">
    <w:name w:val="Заголовок Знак"/>
    <w:basedOn w:val="674"/>
    <w:link w:val="687"/>
    <w:uiPriority w:val="10"/>
    <w:rPr>
      <w:sz w:val="48"/>
      <w:szCs w:val="48"/>
    </w:rPr>
  </w:style>
  <w:style w:type="paragraph" w:styleId="689">
    <w:name w:val="Subtitle"/>
    <w:basedOn w:val="664"/>
    <w:next w:val="664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 w:customStyle="1">
    <w:name w:val="Подзаголовок Знак"/>
    <w:basedOn w:val="674"/>
    <w:link w:val="689"/>
    <w:uiPriority w:val="11"/>
    <w:rPr>
      <w:sz w:val="24"/>
      <w:szCs w:val="24"/>
    </w:rPr>
  </w:style>
  <w:style w:type="paragraph" w:styleId="691">
    <w:name w:val="Quote"/>
    <w:basedOn w:val="664"/>
    <w:next w:val="664"/>
    <w:link w:val="692"/>
    <w:uiPriority w:val="29"/>
    <w:qFormat/>
    <w:pPr>
      <w:ind w:left="720" w:right="720"/>
    </w:pPr>
    <w:rPr>
      <w:i/>
    </w:r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4"/>
    <w:next w:val="664"/>
    <w:link w:val="6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 w:customStyle="1">
    <w:name w:val="Выделенная цитата Знак"/>
    <w:link w:val="693"/>
    <w:uiPriority w:val="30"/>
    <w:rPr>
      <w:i/>
    </w:rPr>
  </w:style>
  <w:style w:type="paragraph" w:styleId="695">
    <w:name w:val="Header"/>
    <w:basedOn w:val="664"/>
    <w:link w:val="696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696" w:customStyle="1">
    <w:name w:val="Верхний колонтитул Знак"/>
    <w:basedOn w:val="674"/>
    <w:link w:val="695"/>
    <w:uiPriority w:val="99"/>
  </w:style>
  <w:style w:type="paragraph" w:styleId="697">
    <w:name w:val="Footer"/>
    <w:basedOn w:val="664"/>
    <w:link w:val="700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698" w:customStyle="1">
    <w:name w:val="Footer Char"/>
    <w:basedOn w:val="674"/>
    <w:uiPriority w:val="99"/>
  </w:style>
  <w:style w:type="paragraph" w:styleId="699">
    <w:name w:val="Caption"/>
    <w:basedOn w:val="664"/>
    <w:next w:val="66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0" w:customStyle="1">
    <w:name w:val="Нижний колонтитул Знак"/>
    <w:link w:val="697"/>
    <w:uiPriority w:val="99"/>
  </w:style>
  <w:style w:type="table" w:styleId="701" w:customStyle="1">
    <w:name w:val="Table Grid Light"/>
    <w:basedOn w:val="67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2">
    <w:name w:val="Plain Table 1"/>
    <w:basedOn w:val="67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67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 w:customStyle="1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0" w:customStyle="1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1" w:customStyle="1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2" w:customStyle="1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3" w:customStyle="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4" w:customStyle="1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5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2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3" w:customStyle="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4" w:customStyle="1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5" w:customStyle="1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6" w:customStyle="1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7" w:customStyle="1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8" w:customStyle="1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9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2" w:customStyle="1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3" w:customStyle="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4" w:customStyle="1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5" w:customStyle="1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6" w:customStyle="1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7" w:customStyle="1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8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ned - Accent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 &amp; Lined - Accent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Bordered &amp; 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Bordered &amp; 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Bordered &amp; 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Bordered &amp; 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Bordered &amp; 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Bordered &amp; 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0" w:customStyle="1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1" w:customStyle="1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2" w:customStyle="1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3" w:customStyle="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4" w:customStyle="1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5" w:customStyle="1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563c1" w:themeColor="hyperlink"/>
      <w:u w:val="single"/>
    </w:rPr>
  </w:style>
  <w:style w:type="paragraph" w:styleId="827">
    <w:name w:val="footnote text"/>
    <w:basedOn w:val="66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 w:customStyle="1">
    <w:name w:val="Текст сноски Знак"/>
    <w:link w:val="827"/>
    <w:uiPriority w:val="99"/>
    <w:rPr>
      <w:sz w:val="18"/>
    </w:rPr>
  </w:style>
  <w:style w:type="character" w:styleId="829">
    <w:name w:val="footnote reference"/>
    <w:basedOn w:val="674"/>
    <w:uiPriority w:val="99"/>
    <w:unhideWhenUsed/>
    <w:rPr>
      <w:vertAlign w:val="superscript"/>
    </w:rPr>
  </w:style>
  <w:style w:type="paragraph" w:styleId="830">
    <w:name w:val="endnote text"/>
    <w:basedOn w:val="664"/>
    <w:link w:val="831"/>
    <w:uiPriority w:val="99"/>
    <w:semiHidden/>
    <w:unhideWhenUsed/>
    <w:pPr>
      <w:spacing w:line="240" w:lineRule="auto"/>
    </w:pPr>
    <w:rPr>
      <w:sz w:val="20"/>
    </w:rPr>
  </w:style>
  <w:style w:type="character" w:styleId="831" w:customStyle="1">
    <w:name w:val="Текст концевой сноски Знак"/>
    <w:link w:val="830"/>
    <w:uiPriority w:val="99"/>
    <w:rPr>
      <w:sz w:val="20"/>
    </w:rPr>
  </w:style>
  <w:style w:type="character" w:styleId="832">
    <w:name w:val="endnote reference"/>
    <w:basedOn w:val="674"/>
    <w:uiPriority w:val="99"/>
    <w:semiHidden/>
    <w:unhideWhenUsed/>
    <w:rPr>
      <w:vertAlign w:val="superscript"/>
    </w:rPr>
  </w:style>
  <w:style w:type="paragraph" w:styleId="833">
    <w:name w:val="toc 1"/>
    <w:basedOn w:val="664"/>
    <w:next w:val="664"/>
    <w:uiPriority w:val="39"/>
    <w:unhideWhenUsed/>
    <w:pPr>
      <w:ind w:firstLine="0"/>
      <w:spacing w:after="57"/>
    </w:pPr>
  </w:style>
  <w:style w:type="paragraph" w:styleId="834">
    <w:name w:val="toc 2"/>
    <w:basedOn w:val="664"/>
    <w:next w:val="664"/>
    <w:uiPriority w:val="39"/>
    <w:unhideWhenUsed/>
    <w:pPr>
      <w:ind w:left="283" w:firstLine="0"/>
      <w:spacing w:after="57"/>
    </w:pPr>
  </w:style>
  <w:style w:type="paragraph" w:styleId="835">
    <w:name w:val="toc 3"/>
    <w:basedOn w:val="664"/>
    <w:next w:val="664"/>
    <w:uiPriority w:val="39"/>
    <w:unhideWhenUsed/>
    <w:pPr>
      <w:ind w:left="567" w:firstLine="0"/>
      <w:spacing w:after="57"/>
    </w:pPr>
  </w:style>
  <w:style w:type="paragraph" w:styleId="836">
    <w:name w:val="toc 4"/>
    <w:basedOn w:val="664"/>
    <w:next w:val="664"/>
    <w:uiPriority w:val="39"/>
    <w:unhideWhenUsed/>
    <w:pPr>
      <w:ind w:left="850" w:firstLine="0"/>
      <w:spacing w:after="57"/>
    </w:pPr>
  </w:style>
  <w:style w:type="paragraph" w:styleId="837">
    <w:name w:val="toc 5"/>
    <w:basedOn w:val="664"/>
    <w:next w:val="664"/>
    <w:uiPriority w:val="39"/>
    <w:unhideWhenUsed/>
    <w:pPr>
      <w:ind w:left="1134" w:firstLine="0"/>
      <w:spacing w:after="57"/>
    </w:pPr>
  </w:style>
  <w:style w:type="paragraph" w:styleId="838">
    <w:name w:val="toc 6"/>
    <w:basedOn w:val="664"/>
    <w:next w:val="664"/>
    <w:uiPriority w:val="39"/>
    <w:unhideWhenUsed/>
    <w:pPr>
      <w:ind w:left="1417" w:firstLine="0"/>
      <w:spacing w:after="57"/>
    </w:pPr>
  </w:style>
  <w:style w:type="paragraph" w:styleId="839">
    <w:name w:val="toc 7"/>
    <w:basedOn w:val="664"/>
    <w:next w:val="664"/>
    <w:uiPriority w:val="39"/>
    <w:unhideWhenUsed/>
    <w:pPr>
      <w:ind w:left="1701" w:firstLine="0"/>
      <w:spacing w:after="57"/>
    </w:pPr>
  </w:style>
  <w:style w:type="paragraph" w:styleId="840">
    <w:name w:val="toc 8"/>
    <w:basedOn w:val="664"/>
    <w:next w:val="664"/>
    <w:uiPriority w:val="39"/>
    <w:unhideWhenUsed/>
    <w:pPr>
      <w:ind w:left="1984" w:firstLine="0"/>
      <w:spacing w:after="57"/>
    </w:pPr>
  </w:style>
  <w:style w:type="paragraph" w:styleId="841">
    <w:name w:val="toc 9"/>
    <w:basedOn w:val="664"/>
    <w:next w:val="664"/>
    <w:uiPriority w:val="39"/>
    <w:unhideWhenUsed/>
    <w:pPr>
      <w:ind w:left="2268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664"/>
    <w:next w:val="664"/>
    <w:uiPriority w:val="99"/>
    <w:unhideWhenUsed/>
  </w:style>
  <w:style w:type="table" w:styleId="844">
    <w:name w:val="Table Grid"/>
    <w:basedOn w:val="67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5" w:customStyle="1">
    <w:name w:val="УРОВЕНЬ_(а)"/>
    <w:basedOn w:val="853"/>
    <w:qFormat/>
    <w:pPr>
      <w:numPr>
        <w:ilvl w:val="3"/>
        <w:numId w:val="1"/>
      </w:numPr>
      <w:contextualSpacing w:val="0"/>
      <w:ind w:left="720" w:firstLine="567"/>
      <w:spacing w:before="120" w:line="360" w:lineRule="exact"/>
      <w:tabs>
        <w:tab w:val="num" w:pos="360" w:leader="none"/>
      </w:tabs>
      <w:outlineLvl w:val="3"/>
    </w:pPr>
    <w:rPr>
      <w:rFonts w:eastAsiaTheme="minorHAnsi"/>
      <w:sz w:val="26"/>
      <w:szCs w:val="28"/>
      <w:lang w:eastAsia="en-US"/>
    </w:rPr>
  </w:style>
  <w:style w:type="paragraph" w:styleId="846" w:customStyle="1">
    <w:name w:val="УРОВЕНЬ_-"/>
    <w:basedOn w:val="853"/>
    <w:link w:val="847"/>
    <w:qFormat/>
    <w:pPr>
      <w:numPr>
        <w:ilvl w:val="4"/>
        <w:numId w:val="1"/>
      </w:numPr>
      <w:contextualSpacing w:val="0"/>
      <w:spacing w:before="120" w:line="360" w:lineRule="exact"/>
      <w:outlineLvl w:val="4"/>
    </w:pPr>
    <w:rPr>
      <w:rFonts w:eastAsiaTheme="minorHAnsi"/>
      <w:sz w:val="26"/>
      <w:szCs w:val="28"/>
      <w:lang w:eastAsia="en-US"/>
    </w:rPr>
  </w:style>
  <w:style w:type="character" w:styleId="847" w:customStyle="1">
    <w:name w:val="УРОВЕНЬ_- Знак"/>
    <w:basedOn w:val="674"/>
    <w:link w:val="846"/>
    <w:rPr>
      <w:rFonts w:ascii="Times New Roman" w:hAnsi="Times New Roman" w:cs="Times New Roman"/>
      <w:sz w:val="26"/>
      <w:szCs w:val="28"/>
    </w:rPr>
  </w:style>
  <w:style w:type="paragraph" w:styleId="848" w:customStyle="1">
    <w:name w:val="УРОВЕНЬ_Абзац_тип2"/>
    <w:basedOn w:val="853"/>
    <w:link w:val="850"/>
    <w:qFormat/>
    <w:pPr>
      <w:numPr>
        <w:ilvl w:val="6"/>
        <w:numId w:val="1"/>
      </w:numPr>
      <w:contextualSpacing w:val="0"/>
      <w:spacing w:before="120" w:line="360" w:lineRule="exact"/>
    </w:pPr>
    <w:rPr>
      <w:rFonts w:eastAsiaTheme="minorHAnsi"/>
      <w:sz w:val="26"/>
      <w:szCs w:val="28"/>
      <w:lang w:eastAsia="en-US"/>
    </w:rPr>
  </w:style>
  <w:style w:type="paragraph" w:styleId="849" w:customStyle="1">
    <w:name w:val="УРОВЕНЬ_Абзац_тип3"/>
    <w:basedOn w:val="853"/>
    <w:link w:val="852"/>
    <w:qFormat/>
    <w:pPr>
      <w:numPr>
        <w:ilvl w:val="7"/>
        <w:numId w:val="1"/>
      </w:numPr>
      <w:contextualSpacing w:val="0"/>
      <w:spacing w:before="120" w:line="360" w:lineRule="exact"/>
    </w:pPr>
    <w:rPr>
      <w:rFonts w:eastAsiaTheme="minorHAnsi"/>
      <w:sz w:val="26"/>
      <w:szCs w:val="28"/>
      <w:lang w:eastAsia="en-US"/>
    </w:rPr>
  </w:style>
  <w:style w:type="character" w:styleId="850" w:customStyle="1">
    <w:name w:val="УРОВЕНЬ_Абзац_тип2 Знак"/>
    <w:basedOn w:val="674"/>
    <w:link w:val="848"/>
    <w:rPr>
      <w:rFonts w:ascii="Times New Roman" w:hAnsi="Times New Roman" w:cs="Times New Roman"/>
      <w:sz w:val="26"/>
      <w:szCs w:val="28"/>
    </w:rPr>
  </w:style>
  <w:style w:type="paragraph" w:styleId="851" w:customStyle="1">
    <w:name w:val="УРОВЕНЬ_Подпись"/>
    <w:basedOn w:val="853"/>
    <w:qFormat/>
    <w:pPr>
      <w:numPr>
        <w:ilvl w:val="5"/>
        <w:numId w:val="1"/>
      </w:numPr>
      <w:contextualSpacing w:val="0"/>
      <w:ind w:left="720" w:firstLine="567"/>
      <w:jc w:val="right"/>
      <w:keepNext/>
      <w:spacing w:before="120" w:after="120" w:line="360" w:lineRule="exact"/>
      <w:tabs>
        <w:tab w:val="num" w:pos="360" w:leader="none"/>
      </w:tabs>
      <w:outlineLvl w:val="3"/>
    </w:pPr>
    <w:rPr>
      <w:rFonts w:eastAsiaTheme="minorHAnsi"/>
      <w:sz w:val="26"/>
      <w:szCs w:val="28"/>
      <w:lang w:eastAsia="en-US"/>
    </w:rPr>
  </w:style>
  <w:style w:type="character" w:styleId="852" w:customStyle="1">
    <w:name w:val="УРОВЕНЬ_Абзац_тип3 Знак"/>
    <w:basedOn w:val="674"/>
    <w:link w:val="849"/>
    <w:rPr>
      <w:rFonts w:ascii="Times New Roman" w:hAnsi="Times New Roman" w:cs="Times New Roman"/>
      <w:sz w:val="26"/>
      <w:szCs w:val="28"/>
    </w:rPr>
  </w:style>
  <w:style w:type="paragraph" w:styleId="853">
    <w:name w:val="List Paragraph"/>
    <w:basedOn w:val="664"/>
    <w:uiPriority w:val="34"/>
    <w:qFormat/>
    <w:pPr>
      <w:contextualSpacing/>
      <w:ind w:left="720"/>
    </w:pPr>
  </w:style>
  <w:style w:type="paragraph" w:styleId="854">
    <w:name w:val="Balloon Text"/>
    <w:basedOn w:val="664"/>
    <w:link w:val="85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55" w:customStyle="1">
    <w:name w:val="Текст выноски Знак"/>
    <w:basedOn w:val="674"/>
    <w:link w:val="854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56" w:customStyle="1">
    <w:name w:val="УРОВЕНЬ_1."/>
    <w:basedOn w:val="853"/>
    <w:qFormat/>
    <w:pPr>
      <w:numPr>
        <w:ilvl w:val="0"/>
        <w:numId w:val="3"/>
      </w:numPr>
      <w:contextualSpacing w:val="0"/>
      <w:keepNext/>
      <w:spacing w:before="360" w:line="360" w:lineRule="exact"/>
      <w:outlineLvl w:val="0"/>
    </w:pPr>
    <w:rPr>
      <w:rFonts w:eastAsiaTheme="minorHAnsi"/>
      <w:b/>
      <w:caps/>
      <w:sz w:val="26"/>
      <w:szCs w:val="28"/>
      <w:lang w:eastAsia="en-US"/>
    </w:rPr>
  </w:style>
  <w:style w:type="paragraph" w:styleId="857" w:customStyle="1">
    <w:name w:val="УРОВЕНЬ_1.1."/>
    <w:basedOn w:val="853"/>
    <w:qFormat/>
    <w:pPr>
      <w:numPr>
        <w:ilvl w:val="1"/>
        <w:numId w:val="3"/>
      </w:numPr>
      <w:contextualSpacing w:val="0"/>
      <w:keepNext/>
      <w:spacing w:before="240" w:line="360" w:lineRule="exact"/>
      <w:outlineLvl w:val="1"/>
    </w:pPr>
    <w:rPr>
      <w:rFonts w:eastAsiaTheme="minorHAnsi"/>
      <w:b/>
      <w:sz w:val="26"/>
      <w:szCs w:val="28"/>
      <w:lang w:eastAsia="en-US"/>
    </w:rPr>
  </w:style>
  <w:style w:type="paragraph" w:styleId="858" w:customStyle="1">
    <w:name w:val="УРОВЕНЬ_1.1.1."/>
    <w:basedOn w:val="853"/>
    <w:qFormat/>
    <w:pPr>
      <w:numPr>
        <w:ilvl w:val="2"/>
        <w:numId w:val="3"/>
      </w:numPr>
      <w:contextualSpacing w:val="0"/>
      <w:spacing w:before="120" w:line="360" w:lineRule="exact"/>
      <w:outlineLvl w:val="2"/>
    </w:pPr>
    <w:rPr>
      <w:rFonts w:eastAsiaTheme="minorHAnsi"/>
      <w:sz w:val="26"/>
      <w:szCs w:val="28"/>
      <w:lang w:eastAsia="en-US"/>
    </w:rPr>
  </w:style>
  <w:style w:type="paragraph" w:styleId="859" w:customStyle="1">
    <w:name w:val="УРОВЕНЬ_Абзац_тип1"/>
    <w:basedOn w:val="853"/>
    <w:qFormat/>
    <w:pPr>
      <w:numPr>
        <w:ilvl w:val="5"/>
        <w:numId w:val="3"/>
      </w:numPr>
      <w:contextualSpacing w:val="0"/>
      <w:spacing w:before="120" w:line="360" w:lineRule="exact"/>
    </w:pPr>
    <w:rPr>
      <w:rFonts w:eastAsiaTheme="minorHAnsi"/>
      <w:sz w:val="26"/>
      <w:szCs w:val="28"/>
      <w:lang w:eastAsia="en-US"/>
    </w:rPr>
  </w:style>
  <w:style w:type="character" w:styleId="860">
    <w:name w:val="annotation reference"/>
    <w:basedOn w:val="674"/>
    <w:uiPriority w:val="99"/>
    <w:semiHidden/>
    <w:unhideWhenUsed/>
    <w:rPr>
      <w:sz w:val="16"/>
      <w:szCs w:val="16"/>
    </w:rPr>
  </w:style>
  <w:style w:type="paragraph" w:styleId="861">
    <w:name w:val="annotation text"/>
    <w:basedOn w:val="664"/>
    <w:link w:val="862"/>
    <w:uiPriority w:val="99"/>
    <w:semiHidden/>
    <w:unhideWhenUsed/>
    <w:pPr>
      <w:spacing w:line="240" w:lineRule="auto"/>
    </w:pPr>
    <w:rPr>
      <w:sz w:val="20"/>
    </w:rPr>
  </w:style>
  <w:style w:type="character" w:styleId="862" w:customStyle="1">
    <w:name w:val="Текст примечания Знак"/>
    <w:basedOn w:val="674"/>
    <w:link w:val="86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3">
    <w:name w:val="annotation subject"/>
    <w:basedOn w:val="861"/>
    <w:next w:val="861"/>
    <w:link w:val="864"/>
    <w:uiPriority w:val="99"/>
    <w:semiHidden/>
    <w:unhideWhenUsed/>
    <w:rPr>
      <w:b/>
      <w:bCs/>
    </w:rPr>
  </w:style>
  <w:style w:type="character" w:styleId="864" w:customStyle="1">
    <w:name w:val="Тема примечания Знак"/>
    <w:basedOn w:val="862"/>
    <w:link w:val="86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65" w:customStyle="1">
    <w:name w:val="docdata"/>
    <w:basedOn w:val="664"/>
    <w:pPr>
      <w:ind w:firstLine="0"/>
      <w:jc w:val="left"/>
      <w:spacing w:before="100" w:beforeAutospacing="1" w:after="100" w:afterAutospacing="1" w:line="240" w:lineRule="auto"/>
    </w:pPr>
    <w:rPr>
      <w:sz w:val="24"/>
      <w:szCs w:val="24"/>
    </w:rPr>
  </w:style>
  <w:style w:type="paragraph" w:styleId="866">
    <w:name w:val="Normal (Web)"/>
    <w:basedOn w:val="664"/>
    <w:uiPriority w:val="99"/>
    <w:unhideWhenUsed/>
    <w:pPr>
      <w:ind w:firstLine="0"/>
      <w:jc w:val="left"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Зильберварг Артем Викторович</dc:creator>
  <cp:keywords/>
  <dc:description/>
  <cp:revision>97</cp:revision>
  <dcterms:created xsi:type="dcterms:W3CDTF">2018-11-24T02:08:00Z</dcterms:created>
  <dcterms:modified xsi:type="dcterms:W3CDTF">2024-09-29T23:58:22Z</dcterms:modified>
</cp:coreProperties>
</file>