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7.xml" ContentType="application/vnd.openxmlformats-officedocument.wordprocessingml.foot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header15.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hanging="0" w:left="5387"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ight="0"/>
        <w:rPr>
          <w:sz w:val="24"/>
          <w:szCs w:val="24"/>
        </w:rPr>
      </w:pPr>
      <w:r>
        <w:rPr>
          <w:sz w:val="24"/>
          <w:szCs w:val="24"/>
        </w:rPr>
      </w:r>
    </w:p>
    <w:p>
      <w:pPr>
        <w:pStyle w:val="Normal"/>
        <w:widowControl w:val="false"/>
        <w:spacing w:before="0" w:after="0"/>
        <w:ind w:firstLine="284" w:left="5103" w:right="0"/>
        <w:rPr>
          <w:sz w:val="24"/>
          <w:szCs w:val="24"/>
        </w:rPr>
      </w:pPr>
      <w:r>
        <w:rPr>
          <w:sz w:val="24"/>
          <w:szCs w:val="24"/>
        </w:rPr>
        <w:t>__________________Д.А. Богонатов</w:t>
      </w:r>
    </w:p>
    <w:p>
      <w:pPr>
        <w:pStyle w:val="Normal"/>
        <w:widowControl w:val="false"/>
        <w:spacing w:lineRule="auto" w:line="276" w:before="0" w:after="0"/>
        <w:ind w:firstLine="5387" w:left="0" w:right="0"/>
        <w:rPr>
          <w:sz w:val="24"/>
          <w:szCs w:val="24"/>
        </w:rPr>
      </w:pPr>
      <w:r>
        <w:rPr>
          <w:sz w:val="24"/>
          <w:szCs w:val="24"/>
        </w:rPr>
        <w:t xml:space="preserve">«___»_______________ 2026 г. </w:t>
      </w:r>
    </w:p>
    <w:p>
      <w:pPr>
        <w:pStyle w:val="Style21"/>
        <w:keepNext w:val="true"/>
        <w:ind w:hanging="0" w:left="4536" w:right="0"/>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Конкурс в электронной форме,</w:t>
        <w:br/>
        <w:t>участниками которого могут быть только субъекты МСП,</w:t>
        <w:br/>
        <w:t>на право заключения договора на </w:t>
      </w:r>
    </w:p>
    <w:p>
      <w:pPr>
        <w:pStyle w:val="Style21"/>
        <w:spacing w:before="240" w:after="0"/>
        <w:jc w:val="center"/>
        <w:rPr/>
      </w:pPr>
      <w:r>
        <w:rPr>
          <w:rStyle w:val="Style3"/>
          <w:b/>
          <w:bCs/>
          <w:shd w:fill="auto" w:val="clear"/>
        </w:rPr>
        <w:t>ОКПД2 49.41.19.900 Оказание услуг по транспортированию промышленных отходов IV-V класса опасности Комсомольской ТЭЦ-2, Комсомольской ТЭЦ-1  до полигона АО "Спецавтохозяйство" г. Хабаровска</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shd w:fill="auto" w:val="clear"/>
        </w:rPr>
        <w:t>(Лот № </w:t>
      </w:r>
      <w:r>
        <w:rPr>
          <w:rStyle w:val="Style3"/>
          <w:shd w:fill="auto" w:val="clear"/>
        </w:rPr>
        <w:t>80029002-АХР ДОР-2027-ДГК-КТЭЦ2</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ind w:hanging="0" w:left="0" w:right="0"/>
            <w:rPr>
              <w:rFonts w:ascii="Calibri" w:hAnsi="Calibri" w:eastAsia="Arial"/>
              <w:b w:val="false"/>
              <w:caps w:val="false"/>
              <w:smallCaps w:val="false"/>
              <w:sz w:val="24"/>
              <w:szCs w:val="24"/>
              <w:lang w:eastAsia="ru-RU"/>
            </w:rPr>
          </w:pPr>
          <w:r>
            <w:fldChar w:fldCharType="begin"/>
          </w:r>
          <w:r>
            <w:rPr>
              <w:rStyle w:val="Style12"/>
            </w:rPr>
            <w:instrText xml:space="preserve"> TOC \t "[РГ] Раздел,1,[РГ] Подраздел,2" \h</w:instrText>
          </w:r>
          <w:r>
            <w:rPr>
              <w:rStyle w:val="Style12"/>
            </w:rPr>
            <w:fldChar w:fldCharType="separate"/>
          </w:r>
          <w:hyperlink w:anchor="_Toc228876833" w:tgtFrame="#_Toc228876833">
            <w:r>
              <w:rPr>
                <w:webHidden/>
              </w:rPr>
              <w:fldChar w:fldCharType="begin"/>
            </w:r>
            <w:r>
              <w:rPr>
                <w:webHidden/>
              </w:rPr>
              <w:instrText xml:space="preserve">PAGEREF _Toc228876833 \h</w:instrText>
            </w:r>
            <w:r>
              <w:rPr>
                <w:webHidden/>
              </w:rPr>
              <w:fldChar w:fldCharType="separate"/>
            </w:r>
            <w:r>
              <w:rPr>
                <w:rStyle w:val="Style12"/>
              </w:rPr>
              <w:t>Сокращения</w:t>
              <w:tab/>
              <w:t>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4" w:tgtFrame="#_Toc228876834">
            <w:r>
              <w:rPr>
                <w:webHidden/>
              </w:rPr>
              <w:fldChar w:fldCharType="begin"/>
            </w:r>
            <w:r>
              <w:rPr>
                <w:webHidden/>
              </w:rPr>
              <w:instrText xml:space="preserve">PAGEREF _Toc228876834 \h</w:instrText>
            </w:r>
            <w:r>
              <w:rPr>
                <w:webHidden/>
              </w:rPr>
              <w:fldChar w:fldCharType="separate"/>
            </w:r>
            <w:r>
              <w:rPr>
                <w:rStyle w:val="Style12"/>
              </w:rPr>
              <w:t>Термины и определения</w:t>
              <w:tab/>
              <w:t>7</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5" w:tgtFrame="#_Toc228876835">
            <w:r>
              <w:rPr>
                <w:rStyle w:val="Style12"/>
              </w:rPr>
              <w:t>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2"/>
              </w:rPr>
              <w:t>Основные сведения о закупке</w:t>
              <w:tab/>
              <w:t>11</w:t>
            </w:r>
            <w:r>
              <w:rPr>
                <w:webHidden/>
              </w:rPr>
              <w:fldChar w:fldCharType="end"/>
            </w:r>
          </w:hyperlink>
        </w:p>
        <w:p>
          <w:pPr>
            <w:pStyle w:val="TOC2"/>
            <w:ind w:hanging="0" w:left="0" w:right="0"/>
            <w:rPr>
              <w:rFonts w:ascii="Calibri" w:hAnsi="Calibri" w:eastAsia="Arial"/>
              <w:sz w:val="24"/>
              <w:szCs w:val="24"/>
              <w:lang w:eastAsia="ru-RU"/>
            </w:rPr>
          </w:pPr>
          <w:hyperlink w:anchor="_Toc228876836" w:tgtFrame="#_Toc228876836">
            <w:r>
              <w:rPr>
                <w:rStyle w:val="Style12"/>
              </w:rPr>
              <w:t>1.1</w:t>
            </w:r>
            <w:r>
              <w:rPr>
                <w:rStyle w:val="Style12"/>
                <w:rFonts w:eastAsia="Arial" w:ascii="Calibri" w:hAnsi="Calibri"/>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2"/>
              </w:rPr>
              <w:t>Статус настоящего раздела</w:t>
              <w:tab/>
              <w:t>11</w:t>
            </w:r>
            <w:r>
              <w:rPr>
                <w:webHidden/>
              </w:rPr>
              <w:fldChar w:fldCharType="end"/>
            </w:r>
          </w:hyperlink>
        </w:p>
        <w:p>
          <w:pPr>
            <w:pStyle w:val="TOC2"/>
            <w:ind w:hanging="0" w:left="0" w:right="0"/>
            <w:rPr>
              <w:rFonts w:ascii="Calibri" w:hAnsi="Calibri" w:eastAsia="Arial"/>
              <w:sz w:val="24"/>
              <w:szCs w:val="24"/>
              <w:lang w:eastAsia="ru-RU"/>
            </w:rPr>
          </w:pPr>
          <w:hyperlink w:anchor="_Toc228876837" w:tgtFrame="#_Toc228876837">
            <w:r>
              <w:rPr>
                <w:rStyle w:val="Style12"/>
              </w:rPr>
              <w:t>1.2</w:t>
            </w:r>
            <w:r>
              <w:rPr>
                <w:rStyle w:val="Style12"/>
                <w:rFonts w:eastAsia="Arial" w:ascii="Calibri" w:hAnsi="Calibri"/>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2"/>
              </w:rPr>
              <w:t>Информация о проводимой закупке</w:t>
              <w:tab/>
              <w:t>11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8" w:tgtFrame="#_Toc228876838">
            <w:r>
              <w:rPr>
                <w:rStyle w:val="Style12"/>
              </w:rPr>
              <w:t>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2"/>
              </w:rPr>
              <w:t>Общие положения</w:t>
              <w:tab/>
              <w:t>17</w:t>
            </w:r>
            <w:r>
              <w:rPr>
                <w:webHidden/>
              </w:rPr>
              <w:fldChar w:fldCharType="end"/>
            </w:r>
          </w:hyperlink>
        </w:p>
        <w:p>
          <w:pPr>
            <w:pStyle w:val="TOC2"/>
            <w:ind w:hanging="0" w:left="0" w:right="0"/>
            <w:rPr>
              <w:rFonts w:ascii="Calibri" w:hAnsi="Calibri" w:eastAsia="Arial"/>
              <w:sz w:val="24"/>
              <w:szCs w:val="24"/>
              <w:lang w:eastAsia="ru-RU"/>
            </w:rPr>
          </w:pPr>
          <w:hyperlink w:anchor="_Toc228876839" w:tgtFrame="#_Toc228876839">
            <w:r>
              <w:rPr>
                <w:rStyle w:val="Style12"/>
              </w:rPr>
              <w:t>2.1</w:t>
            </w:r>
            <w:r>
              <w:rPr>
                <w:rStyle w:val="Style12"/>
                <w:rFonts w:eastAsia="Arial" w:ascii="Calibri" w:hAnsi="Calibri"/>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2"/>
              </w:rPr>
              <w:t>Общие сведения о закупке</w:t>
              <w:tab/>
              <w:t>17</w:t>
            </w:r>
            <w:r>
              <w:rPr>
                <w:webHidden/>
              </w:rPr>
              <w:fldChar w:fldCharType="end"/>
            </w:r>
          </w:hyperlink>
        </w:p>
        <w:p>
          <w:pPr>
            <w:pStyle w:val="TOC2"/>
            <w:ind w:hanging="0" w:left="0" w:right="0"/>
            <w:rPr>
              <w:rFonts w:ascii="Calibri" w:hAnsi="Calibri" w:eastAsia="Arial"/>
              <w:sz w:val="24"/>
              <w:szCs w:val="24"/>
              <w:lang w:eastAsia="ru-RU"/>
            </w:rPr>
          </w:pPr>
          <w:hyperlink w:anchor="_Toc228876840" w:tgtFrame="#_Toc228876840">
            <w:r>
              <w:rPr>
                <w:rStyle w:val="Style12"/>
              </w:rPr>
              <w:t>2.2</w:t>
            </w:r>
            <w:r>
              <w:rPr>
                <w:rStyle w:val="Style12"/>
                <w:rFonts w:eastAsia="Arial" w:ascii="Calibri" w:hAnsi="Calibri"/>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2"/>
              </w:rPr>
              <w:t>Правовой статус документов</w:t>
              <w:tab/>
              <w:t>17</w:t>
            </w:r>
            <w:r>
              <w:rPr>
                <w:webHidden/>
              </w:rPr>
              <w:fldChar w:fldCharType="end"/>
            </w:r>
          </w:hyperlink>
        </w:p>
        <w:p>
          <w:pPr>
            <w:pStyle w:val="TOC2"/>
            <w:ind w:hanging="0" w:left="0" w:right="0"/>
            <w:rPr>
              <w:rFonts w:ascii="Calibri" w:hAnsi="Calibri" w:eastAsia="Arial"/>
              <w:sz w:val="24"/>
              <w:szCs w:val="24"/>
              <w:lang w:eastAsia="ru-RU"/>
            </w:rPr>
          </w:pPr>
          <w:hyperlink w:anchor="_Toc228876841" w:tgtFrame="#_Toc228876841">
            <w:r>
              <w:rPr>
                <w:rStyle w:val="Style12"/>
              </w:rPr>
              <w:t>2.3</w:t>
            </w:r>
            <w:r>
              <w:rPr>
                <w:rStyle w:val="Style12"/>
                <w:rFonts w:eastAsia="Arial" w:ascii="Calibri" w:hAnsi="Calibri"/>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2"/>
              </w:rPr>
              <w:t>Обжалование</w:t>
              <w:tab/>
              <w:t>18</w:t>
            </w:r>
            <w:r>
              <w:rPr>
                <w:webHidden/>
              </w:rPr>
              <w:fldChar w:fldCharType="end"/>
            </w:r>
          </w:hyperlink>
        </w:p>
        <w:p>
          <w:pPr>
            <w:pStyle w:val="TOC2"/>
            <w:ind w:hanging="0" w:left="0" w:right="0"/>
            <w:rPr>
              <w:rFonts w:ascii="Calibri" w:hAnsi="Calibri" w:eastAsia="Arial"/>
              <w:sz w:val="24"/>
              <w:szCs w:val="24"/>
              <w:lang w:eastAsia="ru-RU"/>
            </w:rPr>
          </w:pPr>
          <w:hyperlink w:anchor="_Toc228876842" w:tgtFrame="#_Toc228876842">
            <w:r>
              <w:rPr>
                <w:rStyle w:val="Style12"/>
              </w:rPr>
              <w:t>2.4</w:t>
            </w:r>
            <w:r>
              <w:rPr>
                <w:rStyle w:val="Style12"/>
                <w:rFonts w:eastAsia="Arial" w:ascii="Calibri" w:hAnsi="Calibri"/>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2"/>
              </w:rPr>
              <w:t>Особые положения при проведении закупки с использованием ЭП</w:t>
              <w:tab/>
              <w:t>19</w:t>
            </w:r>
            <w:r>
              <w:rPr>
                <w:webHidden/>
              </w:rPr>
              <w:fldChar w:fldCharType="end"/>
            </w:r>
          </w:hyperlink>
        </w:p>
        <w:p>
          <w:pPr>
            <w:pStyle w:val="TOC2"/>
            <w:ind w:hanging="0" w:left="0" w:right="0"/>
            <w:rPr>
              <w:rFonts w:ascii="Calibri" w:hAnsi="Calibri" w:eastAsia="Arial"/>
              <w:sz w:val="24"/>
              <w:szCs w:val="24"/>
              <w:lang w:eastAsia="ru-RU"/>
            </w:rPr>
          </w:pPr>
          <w:hyperlink w:anchor="_Toc228876843" w:tgtFrame="#_Toc228876843">
            <w:r>
              <w:rPr>
                <w:rStyle w:val="Style12"/>
              </w:rPr>
              <w:t>2.5</w:t>
            </w:r>
            <w:r>
              <w:rPr>
                <w:rStyle w:val="Style12"/>
                <w:rFonts w:eastAsia="Arial" w:ascii="Calibri" w:hAnsi="Calibri"/>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2"/>
              </w:rPr>
              <w:t>Прочие положения</w:t>
              <w:tab/>
              <w:t>19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4" w:tgtFrame="#_Toc228876844">
            <w:r>
              <w:rPr>
                <w:rStyle w:val="Style12"/>
              </w:rPr>
              <w:t>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2"/>
              </w:rPr>
              <w:t>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5" w:tgtFrame="#_Toc228876845">
            <w:r>
              <w:rPr>
                <w:rStyle w:val="Style12"/>
              </w:rPr>
              <w:t>3.1</w:t>
            </w:r>
            <w:r>
              <w:rPr>
                <w:rStyle w:val="Style12"/>
                <w:rFonts w:eastAsia="Arial" w:ascii="Calibri" w:hAnsi="Calibri"/>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2"/>
              </w:rPr>
              <w:t>Общие 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6" w:tgtFrame="#_Toc228876846">
            <w:r>
              <w:rPr>
                <w:rStyle w:val="Style12"/>
              </w:rPr>
              <w:t>3.2</w:t>
            </w:r>
            <w:r>
              <w:rPr>
                <w:rStyle w:val="Style12"/>
                <w:rFonts w:eastAsia="Arial" w:ascii="Calibri" w:hAnsi="Calibri"/>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2"/>
              </w:rPr>
              <w:t>Генеральные подрядчики</w:t>
              <w:tab/>
              <w:t>21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7" w:tgtFrame="#_Toc228876847">
            <w:r>
              <w:rPr>
                <w:rStyle w:val="Style12"/>
              </w:rPr>
              <w:t>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2"/>
              </w:rPr>
              <w:t>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8" w:tgtFrame="#_Toc228876848">
            <w:r>
              <w:rPr>
                <w:rStyle w:val="Style12"/>
              </w:rPr>
              <w:t>4.1</w:t>
            </w:r>
            <w:r>
              <w:rPr>
                <w:rStyle w:val="Style12"/>
                <w:rFonts w:eastAsia="Arial" w:ascii="Calibri" w:hAnsi="Calibri"/>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2"/>
              </w:rPr>
              <w:t>Общий 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9" w:tgtFrame="#_Toc228876849">
            <w:r>
              <w:rPr>
                <w:rStyle w:val="Style12"/>
              </w:rPr>
              <w:t>4.2</w:t>
            </w:r>
            <w:r>
              <w:rPr>
                <w:rStyle w:val="Style12"/>
                <w:rFonts w:eastAsia="Arial" w:ascii="Calibri" w:hAnsi="Calibri"/>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2"/>
              </w:rPr>
              <w:t>Официальное размещение Извещения и Документации о закупке</w:t>
              <w:tab/>
              <w:t>24</w:t>
            </w:r>
            <w:r>
              <w:rPr>
                <w:webHidden/>
              </w:rPr>
              <w:fldChar w:fldCharType="end"/>
            </w:r>
          </w:hyperlink>
        </w:p>
        <w:p>
          <w:pPr>
            <w:pStyle w:val="TOC2"/>
            <w:ind w:hanging="0" w:left="0" w:right="0"/>
            <w:rPr>
              <w:rFonts w:ascii="Calibri" w:hAnsi="Calibri" w:eastAsia="Arial"/>
              <w:sz w:val="24"/>
              <w:szCs w:val="24"/>
              <w:lang w:eastAsia="ru-RU"/>
            </w:rPr>
          </w:pPr>
          <w:hyperlink w:anchor="_Toc228876851" w:tgtFrame="#_Toc228876851">
            <w:r>
              <w:rPr>
                <w:rStyle w:val="Style12"/>
              </w:rPr>
              <w:t>4.3</w:t>
            </w:r>
            <w:r>
              <w:rPr>
                <w:rStyle w:val="Style12"/>
                <w:rFonts w:eastAsia="Arial" w:ascii="Calibri" w:hAnsi="Calibri"/>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2"/>
              </w:rPr>
              <w:t>Подготовка заявки</w:t>
              <w:tab/>
              <w:t>24</w:t>
            </w:r>
            <w:r>
              <w:rPr>
                <w:webHidden/>
              </w:rPr>
              <w:fldChar w:fldCharType="end"/>
            </w:r>
          </w:hyperlink>
        </w:p>
        <w:p>
          <w:pPr>
            <w:pStyle w:val="TOC2"/>
            <w:ind w:hanging="0" w:left="0" w:right="0"/>
            <w:rPr>
              <w:rFonts w:ascii="Calibri" w:hAnsi="Calibri" w:eastAsia="Arial"/>
              <w:sz w:val="24"/>
              <w:szCs w:val="24"/>
              <w:lang w:eastAsia="ru-RU"/>
            </w:rPr>
          </w:pPr>
          <w:hyperlink w:anchor="_Toc228876852" w:tgtFrame="#_Toc228876852">
            <w:r>
              <w:rPr>
                <w:rStyle w:val="Style12"/>
              </w:rPr>
              <w:t>4.4</w:t>
            </w:r>
            <w:r>
              <w:rPr>
                <w:rStyle w:val="Style12"/>
                <w:rFonts w:eastAsia="Arial" w:ascii="Calibri" w:hAnsi="Calibri"/>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2"/>
              </w:rPr>
              <w:t>Разъяснение Документации о закупке</w:t>
              <w:tab/>
              <w:t>27</w:t>
            </w:r>
            <w:r>
              <w:rPr>
                <w:webHidden/>
              </w:rPr>
              <w:fldChar w:fldCharType="end"/>
            </w:r>
          </w:hyperlink>
        </w:p>
        <w:p>
          <w:pPr>
            <w:pStyle w:val="TOC2"/>
            <w:ind w:hanging="0" w:left="0" w:right="0"/>
            <w:rPr>
              <w:rFonts w:ascii="Calibri" w:hAnsi="Calibri" w:eastAsia="Arial"/>
              <w:sz w:val="24"/>
              <w:szCs w:val="24"/>
              <w:lang w:eastAsia="ru-RU"/>
            </w:rPr>
          </w:pPr>
          <w:hyperlink w:anchor="_Toc228876853" w:tgtFrame="#_Toc228876853">
            <w:r>
              <w:rPr>
                <w:rStyle w:val="Style12"/>
              </w:rPr>
              <w:t>4.5</w:t>
            </w:r>
            <w:r>
              <w:rPr>
                <w:rStyle w:val="Style12"/>
                <w:rFonts w:eastAsia="Arial" w:ascii="Calibri" w:hAnsi="Calibri"/>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2"/>
              </w:rPr>
              <w:t>Изменения Извещения и (или) Документации о закупке</w:t>
              <w:tab/>
              <w:t>28</w:t>
            </w:r>
            <w:r>
              <w:rPr>
                <w:webHidden/>
              </w:rPr>
              <w:fldChar w:fldCharType="end"/>
            </w:r>
          </w:hyperlink>
        </w:p>
        <w:p>
          <w:pPr>
            <w:pStyle w:val="TOC2"/>
            <w:ind w:hanging="0" w:left="0" w:right="0"/>
            <w:rPr>
              <w:rFonts w:ascii="Calibri" w:hAnsi="Calibri" w:eastAsia="Arial"/>
              <w:sz w:val="24"/>
              <w:szCs w:val="24"/>
              <w:lang w:eastAsia="ru-RU"/>
            </w:rPr>
          </w:pPr>
          <w:hyperlink w:anchor="_Toc228876854" w:tgtFrame="#_Toc228876854">
            <w:r>
              <w:rPr>
                <w:rStyle w:val="Style12"/>
              </w:rPr>
              <w:t>4.6</w:t>
            </w:r>
            <w:r>
              <w:rPr>
                <w:rStyle w:val="Style12"/>
                <w:rFonts w:eastAsia="Arial" w:ascii="Calibri" w:hAnsi="Calibri"/>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2"/>
              </w:rPr>
              <w:t>Подача заявок и их прием</w:t>
              <w:tab/>
              <w:t>28</w:t>
            </w:r>
            <w:r>
              <w:rPr>
                <w:webHidden/>
              </w:rPr>
              <w:fldChar w:fldCharType="end"/>
            </w:r>
          </w:hyperlink>
        </w:p>
        <w:p>
          <w:pPr>
            <w:pStyle w:val="TOC2"/>
            <w:ind w:hanging="0" w:left="0" w:right="0"/>
            <w:rPr>
              <w:rFonts w:ascii="Calibri" w:hAnsi="Calibri" w:eastAsia="Arial"/>
              <w:sz w:val="24"/>
              <w:szCs w:val="24"/>
              <w:lang w:eastAsia="ru-RU"/>
            </w:rPr>
          </w:pPr>
          <w:hyperlink w:anchor="_Toc228876855" w:tgtFrame="#_Toc228876855">
            <w:r>
              <w:rPr>
                <w:rStyle w:val="Style12"/>
              </w:rPr>
              <w:t>4.7</w:t>
            </w:r>
            <w:r>
              <w:rPr>
                <w:rStyle w:val="Style12"/>
                <w:rFonts w:eastAsia="Arial" w:ascii="Calibri" w:hAnsi="Calibri"/>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2"/>
              </w:rPr>
              <w:t>Изменение и отзыв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56" w:tgtFrame="#_Toc228876856">
            <w:r>
              <w:rPr>
                <w:rStyle w:val="Style12"/>
              </w:rPr>
              <w:t>4.8</w:t>
            </w:r>
            <w:r>
              <w:rPr>
                <w:rStyle w:val="Style12"/>
                <w:rFonts w:eastAsia="Arial" w:ascii="Calibri" w:hAnsi="Calibri"/>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2"/>
              </w:rPr>
              <w:t>Открытие доступа к первым частям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60" w:tgtFrame="#_Toc228876860">
            <w:r>
              <w:rPr>
                <w:rStyle w:val="Style12"/>
              </w:rPr>
              <w:t>4.9</w:t>
            </w:r>
            <w:r>
              <w:rPr>
                <w:rStyle w:val="Style12"/>
                <w:rFonts w:eastAsia="Arial" w:ascii="Calibri" w:hAnsi="Calibri"/>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2"/>
              </w:rPr>
              <w:t>Рассмотрение первых частей заявок / окончательных предложений (отборочная стадия)</w:t>
              <w:tab/>
              <w:tab/>
              <w:t>30</w:t>
            </w:r>
            <w:r>
              <w:rPr>
                <w:webHidden/>
              </w:rPr>
              <w:fldChar w:fldCharType="end"/>
            </w:r>
          </w:hyperlink>
        </w:p>
        <w:p>
          <w:pPr>
            <w:pStyle w:val="TOC2"/>
            <w:ind w:hanging="0" w:left="0" w:right="0"/>
            <w:rPr>
              <w:rFonts w:ascii="Calibri" w:hAnsi="Calibri" w:eastAsia="Arial"/>
              <w:sz w:val="24"/>
              <w:szCs w:val="24"/>
              <w:lang w:eastAsia="ru-RU"/>
            </w:rPr>
          </w:pPr>
          <w:hyperlink w:anchor="_Toc228876861" w:tgtFrame="#_Toc228876861">
            <w:r>
              <w:rPr>
                <w:rStyle w:val="Style12"/>
              </w:rPr>
              <w:t>4.10</w:t>
            </w:r>
            <w:r>
              <w:rPr>
                <w:rStyle w:val="Style12"/>
                <w:rFonts w:eastAsia="Arial" w:ascii="Calibri" w:hAnsi="Calibri"/>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2"/>
              </w:rPr>
              <w:t>Открытие доступа ко вторым частям заявок и ценовым предложениям</w:t>
              <w:tab/>
              <w:t>31</w:t>
            </w:r>
            <w:r>
              <w:rPr>
                <w:webHidden/>
              </w:rPr>
              <w:fldChar w:fldCharType="end"/>
            </w:r>
          </w:hyperlink>
        </w:p>
        <w:p>
          <w:pPr>
            <w:pStyle w:val="TOC2"/>
            <w:ind w:hanging="0" w:left="0" w:right="0"/>
            <w:rPr>
              <w:rFonts w:ascii="Calibri" w:hAnsi="Calibri" w:eastAsia="Arial"/>
              <w:sz w:val="24"/>
              <w:szCs w:val="24"/>
              <w:lang w:eastAsia="ru-RU"/>
            </w:rPr>
          </w:pPr>
          <w:hyperlink w:anchor="_Toc228876862" w:tgtFrame="#_Toc228876862">
            <w:r>
              <w:rPr>
                <w:rStyle w:val="Style12"/>
              </w:rPr>
              <w:t>4.11</w:t>
            </w:r>
            <w:r>
              <w:rPr>
                <w:rStyle w:val="Style12"/>
                <w:rFonts w:eastAsia="Arial" w:ascii="Calibri" w:hAnsi="Calibri"/>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ind w:hanging="0" w:left="0" w:right="0"/>
            <w:rPr>
              <w:rFonts w:ascii="Calibri" w:hAnsi="Calibri" w:eastAsia="Arial"/>
              <w:sz w:val="24"/>
              <w:szCs w:val="24"/>
              <w:lang w:eastAsia="ru-RU"/>
            </w:rPr>
          </w:pPr>
          <w:hyperlink w:anchor="_Toc228876863" w:tgtFrame="#_Toc228876863">
            <w:r>
              <w:rPr>
                <w:rStyle w:val="Style12"/>
              </w:rPr>
              <w:t>4.12</w:t>
            </w:r>
            <w:r>
              <w:rPr>
                <w:rStyle w:val="Style12"/>
                <w:rFonts w:eastAsia="Arial" w:ascii="Calibri" w:hAnsi="Calibri"/>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2"/>
              </w:rPr>
              <w:t>Дополнительные запросы разъяснений заявок</w:t>
              <w:tab/>
              <w:t>33</w:t>
            </w:r>
            <w:r>
              <w:rPr>
                <w:webHidden/>
              </w:rPr>
              <w:fldChar w:fldCharType="end"/>
            </w:r>
          </w:hyperlink>
        </w:p>
        <w:p>
          <w:pPr>
            <w:pStyle w:val="TOC2"/>
            <w:ind w:hanging="0" w:left="0" w:right="0"/>
            <w:rPr>
              <w:rFonts w:ascii="Calibri" w:hAnsi="Calibri" w:eastAsia="Arial"/>
              <w:sz w:val="24"/>
              <w:szCs w:val="24"/>
              <w:lang w:eastAsia="ru-RU"/>
            </w:rPr>
          </w:pPr>
          <w:hyperlink w:anchor="_Toc228876866" w:tgtFrame="#_Toc228876866">
            <w:r>
              <w:rPr>
                <w:rStyle w:val="Style12"/>
              </w:rPr>
              <w:t>4.13</w:t>
            </w:r>
            <w:r>
              <w:rPr>
                <w:rStyle w:val="Style12"/>
                <w:rFonts w:eastAsia="Arial" w:ascii="Calibri" w:hAnsi="Calibri"/>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2"/>
              </w:rPr>
              <w:t>Оценка и сопоставление заявок</w:t>
              <w:tab/>
              <w:t>34</w:t>
            </w:r>
            <w:r>
              <w:rPr>
                <w:webHidden/>
              </w:rPr>
              <w:fldChar w:fldCharType="end"/>
            </w:r>
          </w:hyperlink>
        </w:p>
        <w:p>
          <w:pPr>
            <w:pStyle w:val="TOC2"/>
            <w:ind w:hanging="0" w:left="0" w:right="0"/>
            <w:rPr>
              <w:rFonts w:ascii="Calibri" w:hAnsi="Calibri" w:eastAsia="Arial"/>
              <w:sz w:val="24"/>
              <w:szCs w:val="24"/>
              <w:lang w:eastAsia="ru-RU"/>
            </w:rPr>
          </w:pPr>
          <w:hyperlink w:anchor="_Toc228876867" w:tgtFrame="#_Toc228876867">
            <w:r>
              <w:rPr>
                <w:rStyle w:val="Style12"/>
              </w:rPr>
              <w:t>4.14</w:t>
            </w:r>
            <w:r>
              <w:rPr>
                <w:rStyle w:val="Style12"/>
                <w:rFonts w:eastAsia="Arial" w:ascii="Calibri" w:hAnsi="Calibri"/>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2"/>
              </w:rPr>
              <w:t>Применение законодательства о национальном режиме</w:t>
              <w:tab/>
              <w:t>35</w:t>
            </w:r>
            <w:r>
              <w:rPr>
                <w:webHidden/>
              </w:rPr>
              <w:fldChar w:fldCharType="end"/>
            </w:r>
          </w:hyperlink>
        </w:p>
        <w:p>
          <w:pPr>
            <w:pStyle w:val="TOC2"/>
            <w:ind w:hanging="0" w:left="0" w:right="0"/>
            <w:rPr>
              <w:rFonts w:ascii="Calibri" w:hAnsi="Calibri" w:eastAsia="Arial"/>
              <w:sz w:val="24"/>
              <w:szCs w:val="24"/>
              <w:lang w:eastAsia="ru-RU"/>
            </w:rPr>
          </w:pPr>
          <w:hyperlink w:anchor="_Toc228876869" w:tgtFrame="#_Toc228876869">
            <w:r>
              <w:rPr>
                <w:rStyle w:val="Style12"/>
              </w:rPr>
              <w:t>4.15</w:t>
            </w:r>
            <w:r>
              <w:rPr>
                <w:rStyle w:val="Style12"/>
                <w:rFonts w:eastAsia="Arial" w:ascii="Calibri" w:hAnsi="Calibri"/>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2"/>
              </w:rPr>
              <w:t>Подведение итогов закупки (определение Победителя)</w:t>
              <w:tab/>
              <w:t>37</w:t>
            </w:r>
            <w:r>
              <w:rPr>
                <w:webHidden/>
              </w:rPr>
              <w:fldChar w:fldCharType="end"/>
            </w:r>
          </w:hyperlink>
        </w:p>
        <w:p>
          <w:pPr>
            <w:pStyle w:val="TOC2"/>
            <w:ind w:hanging="0" w:left="0" w:right="0"/>
            <w:rPr>
              <w:rFonts w:ascii="Calibri" w:hAnsi="Calibri" w:eastAsia="Arial"/>
              <w:sz w:val="24"/>
              <w:szCs w:val="24"/>
              <w:lang w:eastAsia="ru-RU"/>
            </w:rPr>
          </w:pPr>
          <w:hyperlink w:anchor="_Toc228876870" w:tgtFrame="#_Toc228876870">
            <w:r>
              <w:rPr>
                <w:rStyle w:val="Style12"/>
              </w:rPr>
              <w:t>4.16</w:t>
            </w:r>
            <w:r>
              <w:rPr>
                <w:rStyle w:val="Style12"/>
                <w:rFonts w:eastAsia="Arial" w:ascii="Calibri" w:hAnsi="Calibri"/>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2"/>
              </w:rPr>
              <w:t>Признание закупки несостоявшейся</w:t>
              <w:tab/>
              <w:t>39</w:t>
            </w:r>
            <w:r>
              <w:rPr>
                <w:webHidden/>
              </w:rPr>
              <w:fldChar w:fldCharType="end"/>
            </w:r>
          </w:hyperlink>
        </w:p>
        <w:p>
          <w:pPr>
            <w:pStyle w:val="TOC2"/>
            <w:ind w:hanging="0" w:left="0" w:right="0"/>
            <w:rPr>
              <w:rFonts w:ascii="Calibri" w:hAnsi="Calibri" w:eastAsia="Arial"/>
              <w:sz w:val="24"/>
              <w:szCs w:val="24"/>
              <w:lang w:eastAsia="ru-RU"/>
            </w:rPr>
          </w:pPr>
          <w:hyperlink w:anchor="_Toc228876871" w:tgtFrame="#_Toc228876871">
            <w:r>
              <w:rPr>
                <w:rStyle w:val="Style12"/>
              </w:rPr>
              <w:t>4.17</w:t>
            </w:r>
            <w:r>
              <w:rPr>
                <w:rStyle w:val="Style12"/>
                <w:rFonts w:eastAsia="Arial" w:ascii="Calibri" w:hAnsi="Calibri"/>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2"/>
              </w:rPr>
              <w:t>Отказ от проведения закупки (отмена закупки)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2" w:tgtFrame="#_Toc228876872">
            <w:r>
              <w:rPr>
                <w:rStyle w:val="Style12"/>
              </w:rPr>
              <w:t>4.18</w:t>
            </w:r>
            <w:r>
              <w:rPr>
                <w:rStyle w:val="Style12"/>
                <w:rFonts w:eastAsia="Arial" w:ascii="Calibri" w:hAnsi="Calibri"/>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2"/>
              </w:rPr>
              <w:t>Особенности проведения закупки с необходимостью обеспечения заявки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3" w:tgtFrame="#_Toc228876873">
            <w:r>
              <w:rPr>
                <w:rStyle w:val="Style12"/>
              </w:rPr>
              <w:t>4.19</w:t>
            </w:r>
            <w:r>
              <w:rPr>
                <w:rStyle w:val="Style12"/>
                <w:rFonts w:eastAsia="Arial" w:ascii="Calibri" w:hAnsi="Calibri"/>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2"/>
              </w:rPr>
              <w:t>Особенности проведения многолотовой закупки</w:t>
              <w:tab/>
              <w:t>44</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5" w:tgtFrame="#_Toc228876875">
            <w:r>
              <w:rPr>
                <w:rStyle w:val="Style12"/>
              </w:rPr>
              <w:t>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2"/>
              </w:rPr>
              <w:t>Порядок заключения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6" w:tgtFrame="#_Toc228876876">
            <w:r>
              <w:rPr>
                <w:rStyle w:val="Style12"/>
              </w:rPr>
              <w:t>5.1</w:t>
            </w:r>
            <w:r>
              <w:rPr>
                <w:rStyle w:val="Style12"/>
                <w:rFonts w:eastAsia="Arial" w:ascii="Calibri" w:hAnsi="Calibri"/>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2"/>
              </w:rPr>
              <w:t>Общие положения</w:t>
              <w:tab/>
              <w:t>46</w:t>
            </w:r>
            <w:r>
              <w:rPr>
                <w:webHidden/>
              </w:rPr>
              <w:fldChar w:fldCharType="end"/>
            </w:r>
          </w:hyperlink>
        </w:p>
        <w:p>
          <w:pPr>
            <w:pStyle w:val="TOC2"/>
            <w:ind w:hanging="0" w:left="0" w:right="0"/>
            <w:rPr>
              <w:rFonts w:ascii="Calibri" w:hAnsi="Calibri" w:eastAsia="Arial"/>
              <w:sz w:val="24"/>
              <w:szCs w:val="24"/>
              <w:lang w:eastAsia="ru-RU"/>
            </w:rPr>
          </w:pPr>
          <w:hyperlink w:anchor="_Toc228876877" w:tgtFrame="#_Toc228876877">
            <w:r>
              <w:rPr>
                <w:rStyle w:val="Style12"/>
              </w:rPr>
              <w:t>5.2</w:t>
            </w:r>
            <w:r>
              <w:rPr>
                <w:rStyle w:val="Style12"/>
                <w:rFonts w:eastAsia="Arial" w:ascii="Calibri" w:hAnsi="Calibri"/>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2"/>
              </w:rPr>
              <w:t>Заключение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8" w:tgtFrame="#_Toc228876878">
            <w:r>
              <w:rPr>
                <w:rStyle w:val="Style12"/>
              </w:rPr>
              <w:t>5.3</w:t>
            </w:r>
            <w:r>
              <w:rPr>
                <w:rStyle w:val="Style12"/>
                <w:rFonts w:eastAsia="Arial" w:ascii="Calibri" w:hAnsi="Calibri"/>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2"/>
              </w:rPr>
              <w:t>Уклонение Победителя от заключения Договора</w:t>
              <w:tab/>
              <w:t>48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9" w:tgtFrame="#_Toc228876879">
            <w:r>
              <w:rPr>
                <w:rStyle w:val="Style12"/>
              </w:rPr>
              <w:t>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2"/>
              </w:rPr>
              <w:t>Приложение № 1 – Технические требования</w:t>
              <w:tab/>
              <w:t>50</w:t>
            </w:r>
            <w:r>
              <w:rPr>
                <w:webHidden/>
              </w:rPr>
              <w:fldChar w:fldCharType="end"/>
            </w:r>
          </w:hyperlink>
        </w:p>
        <w:p>
          <w:pPr>
            <w:pStyle w:val="TOC2"/>
            <w:ind w:hanging="0" w:left="0" w:right="0"/>
            <w:rPr>
              <w:rFonts w:ascii="Calibri" w:hAnsi="Calibri" w:eastAsia="Arial"/>
              <w:sz w:val="24"/>
              <w:szCs w:val="24"/>
              <w:lang w:eastAsia="ru-RU"/>
            </w:rPr>
          </w:pPr>
          <w:hyperlink w:anchor="_Toc228876880" w:tgtFrame="#_Toc228876880">
            <w:r>
              <w:rPr>
                <w:rStyle w:val="Style12"/>
              </w:rPr>
              <w:t>6.1</w:t>
            </w:r>
            <w:r>
              <w:rPr>
                <w:rStyle w:val="Style12"/>
                <w:rFonts w:eastAsia="Arial" w:ascii="Calibri" w:hAnsi="Calibri"/>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2"/>
              </w:rPr>
              <w:t>Пояснения к Техническим требованиям</w:t>
              <w:tab/>
              <w:t>50</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1" w:tgtFrame="#_Toc228876881">
            <w:r>
              <w:rPr>
                <w:rStyle w:val="Style12"/>
              </w:rPr>
              <w:t>7.</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2"/>
              </w:rPr>
              <w:t>Приложение № 2 – Проект договора</w:t>
              <w:tab/>
              <w:t>51</w:t>
            </w:r>
            <w:r>
              <w:rPr>
                <w:webHidden/>
              </w:rPr>
              <w:fldChar w:fldCharType="end"/>
            </w:r>
          </w:hyperlink>
        </w:p>
        <w:p>
          <w:pPr>
            <w:pStyle w:val="TOC2"/>
            <w:ind w:hanging="0" w:left="0" w:right="0"/>
            <w:rPr>
              <w:rFonts w:ascii="Calibri" w:hAnsi="Calibri" w:eastAsia="Arial"/>
              <w:sz w:val="24"/>
              <w:szCs w:val="24"/>
              <w:lang w:eastAsia="ru-RU"/>
            </w:rPr>
          </w:pPr>
          <w:hyperlink w:anchor="_Toc228876882" w:tgtFrame="#_Toc228876882">
            <w:r>
              <w:rPr>
                <w:rStyle w:val="Style12"/>
              </w:rPr>
              <w:t>7.1</w:t>
            </w:r>
            <w:r>
              <w:rPr>
                <w:rStyle w:val="Style12"/>
                <w:rFonts w:eastAsia="Arial" w:ascii="Calibri" w:hAnsi="Calibri"/>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2"/>
              </w:rPr>
              <w:t>Пояснения к Проекту договора</w:t>
              <w:tab/>
              <w:t>51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3" w:tgtFrame="#_Toc228876883">
            <w:r>
              <w:rPr>
                <w:rStyle w:val="Style12"/>
              </w:rPr>
              <w:t>8.</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2"/>
              </w:rPr>
              <w:t>Приложение № 3 – Требования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4" w:tgtFrame="#_Toc228876884">
            <w:r>
              <w:rPr>
                <w:rStyle w:val="Style12"/>
              </w:rPr>
              <w:t>8.1</w:t>
            </w:r>
            <w:r>
              <w:rPr>
                <w:rStyle w:val="Style12"/>
                <w:rFonts w:eastAsia="Arial" w:ascii="Calibri" w:hAnsi="Calibri"/>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2"/>
              </w:rPr>
              <w:t>Пояснения к требованиям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5" w:tgtFrame="#_Toc228876885">
            <w:r>
              <w:rPr>
                <w:rStyle w:val="Style12"/>
              </w:rPr>
              <w:t>8.2</w:t>
            </w:r>
            <w:r>
              <w:rPr>
                <w:rStyle w:val="Style12"/>
                <w:rFonts w:eastAsia="Arial" w:ascii="Calibri" w:hAnsi="Calibri"/>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2"/>
              </w:rPr>
              <w:t>Обязательные требования</w:t>
              <w:tab/>
              <w:t>52</w:t>
            </w:r>
            <w:r>
              <w:rPr>
                <w:webHidden/>
              </w:rPr>
              <w:fldChar w:fldCharType="end"/>
            </w:r>
          </w:hyperlink>
        </w:p>
        <w:p>
          <w:pPr>
            <w:pStyle w:val="TOC2"/>
            <w:ind w:hanging="0" w:left="0" w:right="0"/>
            <w:rPr>
              <w:rFonts w:ascii="Calibri" w:hAnsi="Calibri" w:eastAsia="Arial"/>
              <w:sz w:val="24"/>
              <w:szCs w:val="24"/>
              <w:lang w:eastAsia="ru-RU"/>
            </w:rPr>
          </w:pPr>
          <w:hyperlink w:anchor="_Toc228876886" w:tgtFrame="#_Toc228876886">
            <w:r>
              <w:rPr>
                <w:rStyle w:val="Style12"/>
              </w:rPr>
              <w:t>8.3</w:t>
            </w:r>
            <w:r>
              <w:rPr>
                <w:rStyle w:val="Style12"/>
                <w:rFonts w:eastAsia="Arial" w:ascii="Calibri" w:hAnsi="Calibri"/>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2"/>
              </w:rPr>
              <w:t>Специальные требования</w:t>
              <w:tab/>
              <w:t>55</w:t>
            </w:r>
            <w:r>
              <w:rPr>
                <w:webHidden/>
              </w:rPr>
              <w:fldChar w:fldCharType="end"/>
            </w:r>
          </w:hyperlink>
        </w:p>
        <w:p>
          <w:pPr>
            <w:pStyle w:val="TOC2"/>
            <w:ind w:hanging="0" w:left="0" w:right="0"/>
            <w:rPr>
              <w:rFonts w:ascii="Calibri" w:hAnsi="Calibri" w:eastAsia="Arial"/>
              <w:sz w:val="24"/>
              <w:szCs w:val="24"/>
              <w:lang w:eastAsia="ru-RU"/>
            </w:rPr>
          </w:pPr>
          <w:hyperlink w:anchor="_Toc228876887" w:tgtFrame="#_Toc228876887">
            <w:r>
              <w:rPr>
                <w:rStyle w:val="Style12"/>
              </w:rPr>
              <w:t>8.4</w:t>
            </w:r>
            <w:r>
              <w:rPr>
                <w:rStyle w:val="Style12"/>
                <w:rFonts w:eastAsia="Arial" w:ascii="Calibri" w:hAnsi="Calibri"/>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2"/>
              </w:rPr>
              <w:t>Дополнительные требования к Генеральным подрядчикам</w:t>
              <w:tab/>
              <w:t>56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8" w:tgtFrame="#_Toc228876888">
            <w:r>
              <w:rPr>
                <w:rStyle w:val="Style12"/>
              </w:rPr>
              <w:t>9.</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2"/>
              </w:rPr>
              <w:t>Приложение № 4 – Образцы форм документов, включаемых в состав заявки</w:t>
              <w:tab/>
              <w:t>58</w:t>
            </w:r>
            <w:r>
              <w:rPr>
                <w:webHidden/>
              </w:rPr>
              <w:fldChar w:fldCharType="end"/>
            </w:r>
          </w:hyperlink>
        </w:p>
        <w:p>
          <w:pPr>
            <w:pStyle w:val="TOC2"/>
            <w:ind w:hanging="0" w:left="0" w:right="0"/>
            <w:rPr>
              <w:rFonts w:ascii="Calibri" w:hAnsi="Calibri" w:eastAsia="Arial"/>
              <w:sz w:val="24"/>
              <w:szCs w:val="24"/>
              <w:lang w:eastAsia="ru-RU"/>
            </w:rPr>
          </w:pPr>
          <w:hyperlink w:anchor="_Toc228876889" w:tgtFrame="#_Toc228876889">
            <w:r>
              <w:rPr>
                <w:rStyle w:val="Style12"/>
              </w:rPr>
              <w:t>9.1</w:t>
            </w:r>
            <w:r>
              <w:rPr>
                <w:rStyle w:val="Style12"/>
                <w:rFonts w:eastAsia="Arial" w:ascii="Calibri" w:hAnsi="Calibri"/>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2"/>
              </w:rPr>
              <w:t>Пояснения к Образцам форм документов, включаемых в состав заявки</w:t>
              <w:tab/>
              <w:t>58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0" w:tgtFrame="#_Toc228876890">
            <w:r>
              <w:rPr>
                <w:rStyle w:val="Style12"/>
              </w:rPr>
              <w:t>10.</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2"/>
              </w:rPr>
              <w:t>Приложение № 5 – Образцы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1" w:tgtFrame="#_Toc228876891">
            <w:r>
              <w:rPr>
                <w:rStyle w:val="Style12"/>
              </w:rPr>
              <w:t>10.1</w:t>
            </w:r>
            <w:r>
              <w:rPr>
                <w:rStyle w:val="Style12"/>
                <w:rFonts w:eastAsia="Arial" w:ascii="Calibri" w:hAnsi="Calibri"/>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2"/>
              </w:rPr>
              <w:t>Пояснения к Образцам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2" w:tgtFrame="#_Toc228876892">
            <w:r>
              <w:rPr>
                <w:rStyle w:val="Style12"/>
              </w:rPr>
              <w:t>10.2</w:t>
            </w:r>
            <w:r>
              <w:rPr>
                <w:rStyle w:val="Style12"/>
                <w:rFonts w:eastAsia="Arial" w:ascii="Calibri" w:hAnsi="Calibri"/>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59</w:t>
            </w:r>
            <w:r>
              <w:rPr>
                <w:webHidden/>
              </w:rPr>
              <w:fldChar w:fldCharType="end"/>
            </w:r>
          </w:hyperlink>
        </w:p>
        <w:p>
          <w:pPr>
            <w:pStyle w:val="TOC2"/>
            <w:ind w:hanging="0" w:left="0" w:right="0"/>
            <w:rPr>
              <w:rFonts w:ascii="Calibri" w:hAnsi="Calibri" w:eastAsia="Arial"/>
              <w:sz w:val="24"/>
              <w:szCs w:val="24"/>
              <w:lang w:eastAsia="ru-RU"/>
            </w:rPr>
          </w:pPr>
          <w:hyperlink w:anchor="_Toc228876893" w:tgtFrame="#_Toc228876893">
            <w:r>
              <w:rPr>
                <w:rStyle w:val="Style12"/>
              </w:rPr>
              <w:t>10.3</w:t>
            </w:r>
            <w:r>
              <w:rPr>
                <w:rStyle w:val="Style12"/>
                <w:rFonts w:eastAsia="Arial" w:ascii="Calibri" w:hAnsi="Calibri"/>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2"/>
              </w:rPr>
              <w:t>Форма «Заверение об обстоятельствах»</w:t>
              <w:tab/>
              <w:t>59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4" w:tgtFrame="#_Toc228876894">
            <w:r>
              <w:rPr>
                <w:rStyle w:val="Style12"/>
              </w:rPr>
              <w:t>11.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2"/>
              </w:rPr>
              <w:t>Приложение № 6 – Состав заявки</w:t>
              <w:tab/>
              <w:t>61</w:t>
            </w:r>
            <w:r>
              <w:rPr>
                <w:webHidden/>
              </w:rPr>
              <w:fldChar w:fldCharType="end"/>
            </w:r>
          </w:hyperlink>
        </w:p>
        <w:p>
          <w:pPr>
            <w:pStyle w:val="TOC2"/>
            <w:ind w:hanging="0" w:left="0" w:right="0"/>
            <w:rPr>
              <w:rFonts w:ascii="Calibri" w:hAnsi="Calibri" w:eastAsia="Arial"/>
              <w:sz w:val="24"/>
              <w:szCs w:val="24"/>
              <w:lang w:eastAsia="ru-RU"/>
            </w:rPr>
          </w:pPr>
          <w:hyperlink w:anchor="_Toc228876895" w:tgtFrame="#_Toc228876895">
            <w:r>
              <w:rPr>
                <w:rStyle w:val="Style12"/>
              </w:rPr>
              <w:t>11.1</w:t>
            </w:r>
            <w:r>
              <w:rPr>
                <w:rStyle w:val="Style12"/>
                <w:rFonts w:eastAsia="Arial" w:ascii="Calibri" w:hAnsi="Calibri"/>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2"/>
              </w:rPr>
              <w:t>Состав заявки</w:t>
              <w:tab/>
              <w:t>61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6" w:tgtFrame="#_Toc228876896">
            <w:r>
              <w:rPr>
                <w:rStyle w:val="Style12"/>
              </w:rPr>
              <w:t>12.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2"/>
              </w:rPr>
              <w:t>Приложение № 7 – Отборочные критерии рассмотрения заявок</w:t>
              <w:tab/>
              <w:t>59</w:t>
            </w:r>
            <w:r>
              <w:rPr>
                <w:webHidden/>
              </w:rPr>
              <w:fldChar w:fldCharType="end"/>
            </w:r>
          </w:hyperlink>
        </w:p>
        <w:p>
          <w:pPr>
            <w:pStyle w:val="TOC2"/>
            <w:ind w:hanging="0" w:left="0" w:right="0"/>
            <w:rPr>
              <w:rFonts w:ascii="Calibri" w:hAnsi="Calibri" w:eastAsia="Arial"/>
              <w:sz w:val="24"/>
              <w:szCs w:val="24"/>
              <w:lang w:eastAsia="ru-RU"/>
            </w:rPr>
          </w:pPr>
          <w:hyperlink w:anchor="_Toc228876897" w:tgtFrame="#_Toc228876897">
            <w:r>
              <w:rPr>
                <w:rStyle w:val="Style12"/>
              </w:rPr>
              <w:t>12.1</w:t>
            </w:r>
            <w:r>
              <w:rPr>
                <w:rStyle w:val="Style12"/>
                <w:rFonts w:eastAsia="Arial" w:ascii="Calibri" w:hAnsi="Calibri"/>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2"/>
              </w:rPr>
              <w:t>Отборочные критерии рассмотрения первых частей заявок (первых частей заявок, содержащихся в окончательных предложениях)</w:t>
              <w:tab/>
              <w:t>60</w:t>
            </w:r>
            <w:r>
              <w:rPr>
                <w:webHidden/>
              </w:rPr>
              <w:fldChar w:fldCharType="end"/>
            </w:r>
          </w:hyperlink>
        </w:p>
        <w:p>
          <w:pPr>
            <w:pStyle w:val="TOC2"/>
            <w:ind w:hanging="0" w:left="0" w:right="0"/>
            <w:rPr>
              <w:rFonts w:ascii="Calibri" w:hAnsi="Calibri" w:eastAsia="Arial"/>
              <w:sz w:val="24"/>
              <w:szCs w:val="24"/>
              <w:lang w:eastAsia="ru-RU"/>
            </w:rPr>
          </w:pPr>
          <w:hyperlink w:anchor="_Toc228876899" w:tgtFrame="#_Toc228876899">
            <w:r>
              <w:rPr>
                <w:rStyle w:val="Style12"/>
              </w:rPr>
              <w:t>12.3</w:t>
            </w:r>
            <w:r>
              <w:rPr>
                <w:rStyle w:val="Style12"/>
                <w:rFonts w:eastAsia="Arial" w:ascii="Calibri" w:hAnsi="Calibri"/>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2"/>
              </w:rPr>
              <w:t>Отборочные критерии рассмотрения вторых частей заявок</w:t>
              <w:tab/>
              <w:t>63</w:t>
            </w:r>
            <w:r>
              <w:rPr>
                <w:webHidden/>
              </w:rPr>
              <w:fldChar w:fldCharType="end"/>
            </w:r>
          </w:hyperlink>
        </w:p>
        <w:p>
          <w:pPr>
            <w:pStyle w:val="TOC2"/>
            <w:ind w:hanging="0" w:left="0" w:right="0"/>
            <w:rPr>
              <w:rFonts w:ascii="Calibri" w:hAnsi="Calibri" w:eastAsia="Arial"/>
              <w:sz w:val="24"/>
              <w:szCs w:val="24"/>
              <w:lang w:eastAsia="ru-RU"/>
            </w:rPr>
          </w:pPr>
          <w:hyperlink w:anchor="_Toc228876900" w:tgtFrame="#_Toc228876900">
            <w:r>
              <w:rPr>
                <w:rStyle w:val="Style12"/>
              </w:rPr>
              <w:t>12.4</w:t>
            </w:r>
            <w:r>
              <w:rPr>
                <w:rStyle w:val="Style12"/>
                <w:rFonts w:eastAsia="Arial" w:ascii="Calibri" w:hAnsi="Calibri"/>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2"/>
              </w:rPr>
              <w:t>Отборочные критерии рассмотрения ценовых предложений (дополнительных ценовых предложений)</w:t>
              <w:tab/>
              <w:t>63</w:t>
            </w:r>
            <w:r>
              <w:rPr>
                <w:webHidden/>
              </w:rPr>
              <w:fldChar w:fldCharType="end"/>
            </w:r>
          </w:hyperlink>
        </w:p>
        <w:p>
          <w:pPr>
            <w:pStyle w:val="TOC2"/>
            <w:ind w:hanging="0" w:left="0" w:right="0"/>
            <w:rPr>
              <w:rFonts w:ascii="Calibri" w:hAnsi="Calibri" w:eastAsia="Arial"/>
              <w:sz w:val="24"/>
              <w:szCs w:val="24"/>
              <w:lang w:eastAsia="ru-RU"/>
            </w:rPr>
          </w:pPr>
          <w:hyperlink w:anchor="_Toc228876901" w:tgtFrame="#_Toc228876901">
            <w:r>
              <w:rPr>
                <w:rStyle w:val="Style12"/>
              </w:rPr>
              <w:t>12.5</w:t>
            </w:r>
            <w:r>
              <w:rPr>
                <w:rStyle w:val="Style12"/>
                <w:rFonts w:eastAsia="Arial" w:ascii="Calibri" w:hAnsi="Calibri"/>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64</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2" w:tgtFrame="#_Toc228876902">
            <w:r>
              <w:rPr>
                <w:rStyle w:val="Style12"/>
              </w:rPr>
              <w:t>13.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2"/>
              </w:rPr>
              <w:t>Приложение № 8 – Порядок и критерии оценки и сопоставления заявок</w:t>
              <w:tab/>
              <w:t>66</w:t>
            </w:r>
            <w:r>
              <w:rPr>
                <w:webHidden/>
              </w:rPr>
              <w:fldChar w:fldCharType="end"/>
            </w:r>
          </w:hyperlink>
        </w:p>
        <w:p>
          <w:pPr>
            <w:pStyle w:val="TOC2"/>
            <w:ind w:hanging="0" w:left="0" w:right="0"/>
            <w:rPr>
              <w:rFonts w:ascii="Calibri" w:hAnsi="Calibri" w:eastAsia="Arial"/>
              <w:sz w:val="24"/>
              <w:szCs w:val="24"/>
              <w:lang w:eastAsia="ru-RU"/>
            </w:rPr>
          </w:pPr>
          <w:hyperlink w:anchor="_Toc228876903" w:tgtFrame="#_Toc228876903">
            <w:r>
              <w:rPr>
                <w:rStyle w:val="Style12"/>
              </w:rPr>
              <w:t>13.1</w:t>
            </w:r>
            <w:r>
              <w:rPr>
                <w:rStyle w:val="Style12"/>
                <w:rFonts w:eastAsia="Arial" w:ascii="Calibri" w:hAnsi="Calibri"/>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2"/>
              </w:rPr>
              <w:t>Порядок и критерии оценки и сопоставления заявок</w:t>
              <w:tab/>
              <w:t>66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4" w:tgtFrame="#_Toc228876904">
            <w:r>
              <w:rPr>
                <w:rStyle w:val="Style12"/>
              </w:rPr>
              <w:t>14.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2"/>
              </w:rPr>
              <w:t>Приложение № 9 – Обоснование НМЦ</w:t>
              <w:tab/>
              <w:t>70</w:t>
            </w:r>
            <w:r>
              <w:rPr>
                <w:webHidden/>
              </w:rPr>
              <w:fldChar w:fldCharType="end"/>
            </w:r>
          </w:hyperlink>
        </w:p>
        <w:p>
          <w:pPr>
            <w:pStyle w:val="TOC2"/>
            <w:ind w:hanging="0" w:left="0" w:right="0"/>
            <w:rPr>
              <w:rFonts w:ascii="Calibri" w:hAnsi="Calibri" w:eastAsia="Arial"/>
              <w:sz w:val="24"/>
              <w:szCs w:val="24"/>
              <w:lang w:eastAsia="ru-RU"/>
            </w:rPr>
          </w:pPr>
          <w:hyperlink w:anchor="_Toc228876905" w:tgtFrame="#_Toc228876905">
            <w:r>
              <w:rPr>
                <w:rStyle w:val="Style12"/>
              </w:rPr>
              <w:t>14.1</w:t>
            </w:r>
            <w:r>
              <w:rPr>
                <w:rStyle w:val="Style12"/>
                <w:rFonts w:eastAsia="Arial" w:ascii="Calibri" w:hAnsi="Calibri"/>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2"/>
              </w:rPr>
              <w:t>Пояснения к Обоснованию НМЦ</w:t>
              <w:tab/>
              <w:t>70</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6" w:tgtFrame="#_Toc228876906">
            <w:r>
              <w:rPr>
                <w:rStyle w:val="Style12"/>
              </w:rPr>
              <w:t>15.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2"/>
              </w:rPr>
              <w:t>Приложение № 10 – Форма Заявки на аккредитацию</w:t>
              <w:tab/>
              <w:t>71</w:t>
            </w:r>
            <w:r>
              <w:rPr>
                <w:webHidden/>
              </w:rPr>
              <w:fldChar w:fldCharType="end"/>
            </w:r>
          </w:hyperlink>
        </w:p>
        <w:p>
          <w:pPr>
            <w:pStyle w:val="TOC2"/>
            <w:ind w:hanging="0" w:left="0" w:right="0"/>
            <w:rPr>
              <w:rFonts w:ascii="Calibri" w:hAnsi="Calibri" w:eastAsia="Arial"/>
              <w:sz w:val="24"/>
              <w:szCs w:val="24"/>
              <w:lang w:eastAsia="ru-RU"/>
            </w:rPr>
          </w:pPr>
          <w:hyperlink w:anchor="_Toc228876907" w:tgtFrame="#_Toc228876907">
            <w:r>
              <w:rPr>
                <w:rStyle w:val="Style12"/>
              </w:rPr>
              <w:t>15.1</w:t>
            </w:r>
            <w:r>
              <w:rPr>
                <w:rStyle w:val="Style12"/>
                <w:rFonts w:eastAsia="Arial" w:ascii="Calibri" w:hAnsi="Calibri"/>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2"/>
              </w:rPr>
              <w:t>Пояснения к форме Заявки на аккредитацию</w:t>
              <w:tab/>
              <w:t>71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8" w:tgtFrame="#_Toc228876908">
            <w:r>
              <w:rPr>
                <w:rStyle w:val="Style12"/>
              </w:rPr>
              <w:t>16.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2"/>
              </w:rPr>
              <w:t>Приложение № 11 – форма Данных бухгалтерской (финансовой) отчетности</w:t>
              <w:tab/>
              <w:t>72</w:t>
            </w:r>
            <w:r>
              <w:rPr>
                <w:webHidden/>
              </w:rPr>
              <w:fldChar w:fldCharType="end"/>
            </w:r>
          </w:hyperlink>
        </w:p>
        <w:p>
          <w:pPr>
            <w:pStyle w:val="TOC2"/>
            <w:ind w:hanging="0" w:left="0" w:right="0"/>
            <w:rPr>
              <w:rFonts w:ascii="Calibri" w:hAnsi="Calibri" w:eastAsia="Arial"/>
              <w:sz w:val="24"/>
              <w:szCs w:val="24"/>
              <w:lang w:eastAsia="ru-RU"/>
            </w:rPr>
          </w:pPr>
          <w:hyperlink w:anchor="_Toc228876909" w:tgtFrame="#_Toc228876909">
            <w:r>
              <w:rPr>
                <w:rStyle w:val="Style12"/>
              </w:rPr>
              <w:t>16.1</w:t>
            </w:r>
            <w:r>
              <w:rPr>
                <w:rStyle w:val="Style12"/>
                <w:rFonts w:eastAsia="Arial" w:ascii="Calibri" w:hAnsi="Calibri"/>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2"/>
              </w:rPr>
              <w:t>Пояснения к форме Данных бухгалтерской (финансовой) отчетности</w:t>
              <w:tab/>
              <w:t>72</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ight="0"/>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ight="0"/>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ight="0"/>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ight="0"/>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6833"/>
      <w:r>
        <w:rPr/>
        <w:t>Сокращения</w:t>
      </w:r>
      <w:bookmarkEnd w:id="0"/>
    </w:p>
    <w:p>
      <w:pPr>
        <w:pStyle w:val="Style21"/>
        <w:ind w:firstLine="567" w:left="0" w:right="0"/>
        <w:rPr/>
      </w:pPr>
      <w:r>
        <w:rPr>
          <w:b/>
          <w:bCs/>
        </w:rPr>
        <w:t>ГК РФ</w:t>
      </w:r>
      <w:r>
        <w:rPr/>
        <w:t xml:space="preserve"> – Гражданской кодекс Российской Федерации.</w:t>
      </w:r>
    </w:p>
    <w:p>
      <w:pPr>
        <w:pStyle w:val="Style21"/>
        <w:ind w:firstLine="567" w:left="0" w:right="0"/>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left="0" w:right="0"/>
        <w:rPr/>
      </w:pPr>
      <w:r>
        <w:rPr>
          <w:b/>
          <w:bCs/>
        </w:rPr>
        <w:t>ЕАЭС</w:t>
      </w:r>
      <w:r>
        <w:rPr/>
        <w:t xml:space="preserve"> – Евразийский экономический союз.</w:t>
      </w:r>
    </w:p>
    <w:p>
      <w:pPr>
        <w:pStyle w:val="Style21"/>
        <w:ind w:firstLine="567" w:left="0" w:right="0"/>
        <w:rPr/>
      </w:pPr>
      <w:r>
        <w:rPr>
          <w:b/>
          <w:bCs/>
        </w:rPr>
        <w:t>ЕГРИП</w:t>
      </w:r>
      <w:r>
        <w:rPr/>
        <w:t xml:space="preserve"> – Единый государственный реестр индивидуальных предпринимателей.</w:t>
      </w:r>
    </w:p>
    <w:p>
      <w:pPr>
        <w:pStyle w:val="Style21"/>
        <w:ind w:firstLine="567" w:left="0" w:right="0"/>
        <w:rPr/>
      </w:pPr>
      <w:r>
        <w:rPr>
          <w:b/>
          <w:bCs/>
        </w:rPr>
        <w:t>ЕГРЮЛ</w:t>
      </w:r>
      <w:r>
        <w:rPr/>
        <w:t xml:space="preserve"> – Единый государственный реестр юридических лиц.</w:t>
      </w:r>
    </w:p>
    <w:p>
      <w:pPr>
        <w:pStyle w:val="Style21"/>
        <w:ind w:firstLine="567" w:left="0" w:right="0"/>
        <w:rPr/>
      </w:pPr>
      <w:r>
        <w:rPr>
          <w:b/>
          <w:bCs/>
        </w:rPr>
        <w:t>ЕИС</w:t>
      </w:r>
      <w:r>
        <w:rPr/>
        <w:t xml:space="preserve"> – Единая информационная система в сфере закупок.</w:t>
      </w:r>
    </w:p>
    <w:p>
      <w:pPr>
        <w:pStyle w:val="Style21"/>
        <w:ind w:firstLine="567" w:left="0" w:right="0"/>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1"/>
        <w:ind w:firstLine="567" w:left="0" w:right="0"/>
        <w:rPr/>
      </w:pPr>
      <w:r>
        <w:rPr>
          <w:b/>
          <w:bCs/>
        </w:rPr>
        <w:t>Закон 98-ФЗ</w:t>
      </w:r>
      <w:r>
        <w:rPr/>
        <w:t xml:space="preserve"> – Федеральный закон от 29 июля 2004 года № 98-ФЗ «О коммерческой тайне».</w:t>
      </w:r>
    </w:p>
    <w:p>
      <w:pPr>
        <w:pStyle w:val="Style21"/>
        <w:ind w:firstLine="567" w:left="0" w:right="0"/>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left="0" w:right="0"/>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left="0" w:right="0"/>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left="0" w:right="0"/>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left="0" w:right="0"/>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left="0" w:right="0"/>
        <w:rPr/>
      </w:pPr>
      <w:r>
        <w:rPr>
          <w:b/>
          <w:bCs/>
        </w:rPr>
        <w:t>Извещение</w:t>
      </w:r>
      <w:r>
        <w:rPr/>
        <w:t xml:space="preserve"> – извещение о проведении настоящей закупки.</w:t>
      </w:r>
    </w:p>
    <w:p>
      <w:pPr>
        <w:pStyle w:val="Style21"/>
        <w:ind w:firstLine="567" w:left="0" w:right="0"/>
        <w:rPr/>
      </w:pPr>
      <w:r>
        <w:rPr>
          <w:b/>
          <w:bCs/>
        </w:rPr>
        <w:t>ИНН</w:t>
      </w:r>
      <w:r>
        <w:rPr/>
        <w:t xml:space="preserve"> – идентификационный номер налогоплательщика.</w:t>
      </w:r>
    </w:p>
    <w:p>
      <w:pPr>
        <w:pStyle w:val="Style21"/>
        <w:ind w:firstLine="567" w:left="0" w:right="0"/>
        <w:rPr/>
      </w:pPr>
      <w:r>
        <w:rPr>
          <w:b/>
          <w:bCs/>
        </w:rPr>
        <w:t>ИФНС</w:t>
      </w:r>
      <w:r>
        <w:rPr/>
        <w:t xml:space="preserve"> – инспекция Федеральной налоговой службы Российской Федерации.</w:t>
      </w:r>
    </w:p>
    <w:p>
      <w:pPr>
        <w:pStyle w:val="Style21"/>
        <w:ind w:firstLine="567" w:left="0" w:right="0"/>
        <w:rPr/>
      </w:pPr>
      <w:r>
        <w:rPr>
          <w:b/>
          <w:bCs/>
        </w:rPr>
        <w:t>МТР</w:t>
      </w:r>
      <w:r>
        <w:rPr/>
        <w:t xml:space="preserve"> – материально-технические ресурсы.</w:t>
      </w:r>
    </w:p>
    <w:p>
      <w:pPr>
        <w:pStyle w:val="Style21"/>
        <w:ind w:firstLine="567" w:left="0" w:right="0"/>
        <w:rPr/>
      </w:pPr>
      <w:r>
        <w:rPr>
          <w:b/>
          <w:bCs/>
        </w:rPr>
        <w:t>НДС</w:t>
      </w:r>
      <w:r>
        <w:rPr/>
        <w:t xml:space="preserve"> – налог на добавленную стоимость.</w:t>
      </w:r>
    </w:p>
    <w:p>
      <w:pPr>
        <w:pStyle w:val="Style21"/>
        <w:ind w:firstLine="567" w:left="0" w:right="0"/>
        <w:rPr/>
      </w:pPr>
      <w:r>
        <w:rPr>
          <w:b/>
          <w:bCs/>
        </w:rPr>
        <w:t>НМЦ</w:t>
      </w:r>
      <w:r>
        <w:rPr/>
        <w:t xml:space="preserve"> – начальная (максимальная) цена договора.</w:t>
      </w:r>
    </w:p>
    <w:p>
      <w:pPr>
        <w:pStyle w:val="Style21"/>
        <w:ind w:firstLine="567" w:left="0" w:right="0"/>
        <w:rPr/>
      </w:pPr>
      <w:r>
        <w:rPr>
          <w:b/>
          <w:bCs/>
        </w:rPr>
        <w:t>Оператор ЭП</w:t>
      </w:r>
      <w:r>
        <w:rPr/>
        <w:t xml:space="preserve"> – оператор электронной площадки.</w:t>
      </w:r>
    </w:p>
    <w:p>
      <w:pPr>
        <w:pStyle w:val="Style21"/>
        <w:ind w:firstLine="567" w:left="0" w:right="0"/>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left="0" w:right="0"/>
        <w:rPr/>
      </w:pPr>
      <w:r>
        <w:rPr>
          <w:b/>
          <w:bCs/>
        </w:rPr>
        <w:t>Положение о закупке</w:t>
      </w:r>
      <w:r>
        <w:rPr/>
        <w:t xml:space="preserve"> – Единое Положение о закупке продукции для нужд Группы РусГидро.</w:t>
      </w:r>
    </w:p>
    <w:p>
      <w:pPr>
        <w:pStyle w:val="Style21"/>
        <w:ind w:firstLine="567" w:left="0" w:right="0"/>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left="0" w:right="0"/>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left="0" w:right="0"/>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left="0" w:right="0"/>
        <w:rPr/>
      </w:pPr>
      <w:r>
        <w:rPr/>
      </w:r>
    </w:p>
    <w:p>
      <w:pPr>
        <w:pStyle w:val="Style21"/>
        <w:ind w:firstLine="567" w:left="0" w:right="0"/>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left="0" w:right="0"/>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left="0" w:right="0"/>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left="0" w:right="0"/>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left="0" w:right="0"/>
        <w:rPr/>
      </w:pPr>
      <w:r>
        <w:rPr>
          <w:b/>
          <w:bCs/>
        </w:rPr>
        <w:t>Субъект МСП</w:t>
      </w:r>
      <w:r>
        <w:rPr/>
        <w:t xml:space="preserve"> – субъект малого и среднего предпринимательства.</w:t>
      </w:r>
    </w:p>
    <w:p>
      <w:pPr>
        <w:pStyle w:val="Style21"/>
        <w:ind w:firstLine="567" w:left="0" w:right="0"/>
        <w:rPr/>
      </w:pPr>
      <w:r>
        <w:rPr>
          <w:b/>
          <w:bCs/>
        </w:rPr>
        <w:t>ЭП</w:t>
      </w:r>
      <w:r>
        <w:rPr/>
        <w:t xml:space="preserve"> – электронная площадка.</w:t>
      </w:r>
    </w:p>
    <w:p>
      <w:pPr>
        <w:pStyle w:val="Style20"/>
        <w:numPr>
          <w:ilvl w:val="0"/>
          <w:numId w:val="0"/>
        </w:numPr>
        <w:ind w:hanging="0" w:left="0"/>
        <w:outlineLvl w:val="0"/>
        <w:rPr/>
      </w:pPr>
      <w:bookmarkStart w:id="1" w:name="_Toc228876834"/>
      <w:r>
        <w:rPr/>
        <w:t>Термины и определения</w:t>
      </w:r>
      <w:bookmarkEnd w:id="1"/>
    </w:p>
    <w:p>
      <w:pPr>
        <w:pStyle w:val="Style21"/>
        <w:ind w:firstLine="567" w:left="0" w:right="0"/>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left="0" w:right="0"/>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left="0" w:right="0"/>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left="0" w:right="0"/>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left="0" w:right="0"/>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left="0" w:right="0"/>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left="0" w:right="0"/>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left="0" w:right="0"/>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left="0" w:right="0"/>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left="0" w:right="0"/>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left="0" w:right="0"/>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left="0" w:right="0"/>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left="0" w:right="0"/>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left="0" w:right="0"/>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left="0" w:right="0"/>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left="0" w:right="0"/>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1"/>
        <w:ind w:firstLine="567" w:left="0" w:right="0"/>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left="0" w:right="0"/>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left="0" w:right="0"/>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left="0" w:right="0"/>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4"/>
        <w:rPr/>
      </w:pPr>
      <w:r>
        <w:rPr/>
      </w:r>
    </w:p>
    <w:p>
      <w:pPr>
        <w:pStyle w:val="Style21"/>
        <w:ind w:firstLine="567" w:left="0" w:right="0"/>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left="0" w:right="0"/>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left="0" w:right="0"/>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left="0" w:right="0"/>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left="0" w:right="0"/>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left="0" w:right="0"/>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left="0" w:right="0"/>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left="0" w:right="0"/>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left="0" w:right="0"/>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left="0" w:right="0"/>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left="0" w:right="0"/>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left="0" w:right="0"/>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left="0" w:right="0"/>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228876835"/>
      <w:bookmarkStart w:id="4" w:name="_Ref125359988"/>
      <w:r>
        <w:rPr/>
        <w:t>Основные сведения о закупке</w:t>
      </w:r>
      <w:bookmarkEnd w:id="3"/>
      <w:bookmarkEnd w:id="4"/>
    </w:p>
    <w:p>
      <w:pPr>
        <w:pStyle w:val="Style16"/>
        <w:spacing w:before="360" w:after="0"/>
        <w:rPr/>
      </w:pPr>
      <w:bookmarkStart w:id="5" w:name="_Toc228876836"/>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7270076"/>
      <w:bookmarkStart w:id="7" w:name="_Ref132876309"/>
      <w:bookmarkStart w:id="8" w:name="_Toc228876837"/>
      <w:bookmarkStart w:id="9" w:name="_Ref125359973"/>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3"/>
        <w:gridCol w:w="5813"/>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2973"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3"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shd w:fill="auto" w:val="clear"/>
                <w:lang w:val="ru-RU" w:eastAsia="en-US" w:bidi="ar-SA"/>
              </w:rPr>
              <w:t xml:space="preserve">Лот №  80029002-АХР ДОР-2027-ДГК-КТЭЦ2 </w:t>
            </w:r>
            <w:r>
              <w:rPr>
                <w:rFonts w:eastAsia="Calibri" w:cs="Arial"/>
                <w:i w:val="false"/>
                <w:iCs w:val="false"/>
                <w:kern w:val="0"/>
                <w:sz w:val="26"/>
                <w:szCs w:val="22"/>
                <w:shd w:fill="auto" w:val="clear"/>
                <w:lang w:val="ru-RU" w:eastAsia="en-US" w:bidi="ar-SA"/>
              </w:rPr>
              <w:t>ОКПД2 49.41.19.900 Оказание услуг по транспортированию промышленных отходов IV-V класса опасности Комсомольской ТЭЦ-2, Комсомольской ТЭЦ-1  до полигона АО "Спецавтохозяйство" г. Хабаровска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rHeight w:val="426" w:hRule="atLeast"/>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uppressAutoHyphens w:val="true"/>
              <w:overflowPunct w:val="true"/>
              <w:bidi w:val="0"/>
              <w:spacing w:lineRule="auto" w:line="240" w:before="60" w:after="60"/>
              <w:ind w:hanging="1134" w:left="1587" w:right="1077"/>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val="fals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Участники: </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b w:val="false"/>
                <w:sz w:val="20"/>
                <w:szCs w:val="20"/>
                <w:u w: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rFonts w:ascii="Times New Roman" w:hAnsi="Times New Roman" w:eastAsia="Calibri" w:cs="Arial"/>
                <w:kern w:val="0"/>
              </w:rPr>
            </w:pPr>
            <w:r>
              <w:rPr>
                <w:rFonts w:eastAsia="Calibri" w:cs="Arial"/>
                <w:kern w:val="0"/>
                <w:sz w:val="26"/>
                <w:szCs w:val="26"/>
                <w:lang w:val="ru-RU" w:eastAsia="en-US" w:bidi="ar-SA"/>
              </w:rPr>
              <w:t>Контактный телефон: +7 (4212) 26-41-48</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bCs/>
                <w:kern w:val="0"/>
                <w:sz w:val="26"/>
                <w:szCs w:val="26"/>
                <w:shd w:fill="FFFFFF" w:val="clear"/>
                <w:lang w:val="ru-RU" w:eastAsia="en-US" w:bidi="ar-SA"/>
              </w:rPr>
              <w:t xml:space="preserve">По вопросу заключения Договора обращаться к </w:t>
            </w:r>
            <w:r>
              <w:rPr>
                <w:rFonts w:eastAsia="Calibri" w:cs="Arial"/>
                <w:b w:val="false"/>
                <w:bCs/>
                <w:i w:val="false"/>
                <w:iCs w:val="false"/>
                <w:kern w:val="0"/>
                <w:sz w:val="26"/>
                <w:szCs w:val="26"/>
                <w:shd w:fill="FFFFFF" w:val="clear"/>
                <w:lang w:val="ru-RU" w:eastAsia="en-US" w:bidi="ar-SA"/>
              </w:rPr>
              <w:t xml:space="preserve">Инженер по охране окружающей среды СП «Комсомольская ТЭЦ-2» АО «ДГК» Осипова Екатерина Александровна, (4217) 23-33-78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hanging="0" w:left="0" w:right="0"/>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val="false"/>
              <w:spacing w:lineRule="auto" w:line="240" w:before="0" w:after="0"/>
              <w:ind w:hanging="0" w:left="0" w:right="0"/>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0" w:after="0"/>
              <w:ind w:hanging="0" w:left="0" w:right="0"/>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0" w:after="0"/>
              <w:ind w:hanging="0" w:left="0" w:right="0"/>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0" w:after="0"/>
              <w:ind w:hanging="0" w:left="0" w:right="0"/>
              <w:rPr/>
            </w:pPr>
            <w:r>
              <w:rPr>
                <w:rFonts w:eastAsia="Calibri" w:cs="Arial"/>
                <w:kern w:val="0"/>
                <w:sz w:val="26"/>
                <w:szCs w:val="26"/>
                <w:lang w:val="ru-RU" w:eastAsia="en-US" w:bidi="ar-SA"/>
              </w:rPr>
              <w:t>Контактный телефон: +7(4212) 26-41-48</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6"/>
                <w:szCs w:val="26"/>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«07» октября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18 070 635,00 руб., без учета НДС.</w:t>
            </w:r>
          </w:p>
          <w:p>
            <w:pPr>
              <w:pStyle w:val="Style21"/>
              <w:widowControl w:val="fals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val="fals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533737"/>
            <w:bookmarkStart w:id="37" w:name="_Ref125533737"/>
            <w:bookmarkEnd w:id="37"/>
          </w:p>
        </w:tc>
        <w:tc>
          <w:tcPr>
            <w:tcW w:w="2973"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Предзаявочное обсуждение: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0" w:after="0"/>
              <w:ind w:hanging="0" w:lef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32896648"/>
            <w:bookmarkStart w:id="39" w:name="_Ref132896648"/>
            <w:bookmarkEnd w:id="39"/>
          </w:p>
        </w:tc>
        <w:tc>
          <w:tcPr>
            <w:tcW w:w="2973"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0" w:after="0"/>
              <w:ind w:hanging="0" w:left="0"/>
              <w:jc w:val="left"/>
              <w:rPr/>
            </w:pPr>
            <w:r>
              <w:rPr>
                <w:rFonts w:eastAsia="Calibri" w:cs="Arial"/>
                <w:kern w:val="0"/>
                <w:sz w:val="26"/>
                <w:szCs w:val="22"/>
                <w:lang w:val="ru-RU" w:eastAsia="en-US" w:bidi="ar-SA"/>
              </w:rPr>
              <w:t>Дополнительный этап закупки – Обсуждение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hanging="0" w:left="0"/>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0" w:after="0"/>
              <w:ind w:hanging="0" w:lef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5086"/>
            <w:bookmarkStart w:id="41" w:name="_Ref125475086"/>
            <w:bookmarkEnd w:id="4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hanging="0" w:left="0"/>
              <w:jc w:val="left"/>
              <w:rPr/>
            </w:pPr>
            <w:r>
              <w:rPr>
                <w:rFonts w:eastAsia="Calibri" w:cs="Arial"/>
                <w:kern w:val="0"/>
                <w:sz w:val="26"/>
                <w:szCs w:val="22"/>
                <w:lang w:val="ru-RU" w:eastAsia="en-US" w:bidi="ar-SA"/>
              </w:rPr>
              <w:t>Место и порядок</w:t>
              <w:br/>
              <w:t>подачи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hanging="0" w:left="0"/>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0" w:after="0"/>
              <w:ind w:hanging="0" w:left="0"/>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0779"/>
            <w:bookmarkStart w:id="43" w:name="_Ref125360779"/>
            <w:bookmarkEnd w:id="4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 (окончательных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«07» октября 2026 г.</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 (окончательных предложений):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«20» октября 2026 г. в 15 ч. 00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_Ref125533737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или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_Ref132896648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«20» октября 2026 г. в 15 ч. 00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1.2.19</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25476197"/>
            <w:bookmarkStart w:id="45" w:name="_Ref125476197"/>
            <w:bookmarkEnd w:id="4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33"/>
            <w:bookmarkStart w:id="47" w:name="_Ref125362733"/>
            <w:bookmarkEnd w:id="4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«27» октября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32898515"/>
            <w:bookmarkStart w:id="49" w:name="_Ref132898515"/>
            <w:bookmarkEnd w:id="4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«10» ноября 2026 г.</w:t>
            </w:r>
          </w:p>
          <w:p>
            <w:pPr>
              <w:pStyle w:val="Style21"/>
              <w:widowControl w:val="false"/>
              <w:spacing w:lineRule="auto" w:line="240" w:before="60" w:after="60"/>
              <w:rPr>
                <w:rStyle w:val="Style3"/>
                <w:rFonts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Переторжка (подача дополнительных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2757"/>
            <w:bookmarkStart w:id="51" w:name="_Ref125362757"/>
            <w:bookmarkEnd w:id="5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«10» ноября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047"/>
            <w:bookmarkStart w:id="53" w:name="_Ref125366047"/>
            <w:bookmarkEnd w:id="5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1769"/>
            <w:bookmarkStart w:id="55" w:name="_Ref125361769"/>
            <w:bookmarkEnd w:id="5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6606"/>
            <w:bookmarkStart w:id="57" w:name="_Ref125366606"/>
            <w:bookmarkEnd w:id="5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8" w:name="_Ref125366813"/>
            <w:bookmarkStart w:id="59" w:name="_Ref125366813"/>
            <w:bookmarkEnd w:id="5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3"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0" w:after="0"/>
              <w:rPr/>
            </w:pPr>
            <w:r>
              <w:rPr>
                <w:rFonts w:eastAsia="Calibri" w:cs="Arial"/>
                <w:kern w:val="0"/>
                <w:sz w:val="26"/>
                <w:szCs w:val="22"/>
                <w:lang w:val="ru-RU" w:eastAsia="en-US" w:bidi="ar-SA"/>
              </w:rPr>
              <w:t>Для подачи документов в бумажной форме:</w:t>
            </w:r>
          </w:p>
          <w:p>
            <w:pPr>
              <w:pStyle w:val="Style21"/>
              <w:keepNext w:val="true"/>
              <w:widowControl w:val="false"/>
              <w:spacing w:lineRule="auto" w:line="240" w:before="0" w:after="0"/>
              <w:rPr/>
            </w:pPr>
            <w:r>
              <w:rPr>
                <w:rFonts w:eastAsia="Calibri" w:cs="Arial"/>
                <w:kern w:val="0"/>
                <w:sz w:val="26"/>
                <w:szCs w:val="22"/>
                <w:lang w:val="ru-RU" w:eastAsia="en-US" w:bidi="ar-SA"/>
              </w:rPr>
              <w:t>Контактное лицо (Ф.И.О.):</w:t>
            </w:r>
          </w:p>
          <w:p>
            <w:pPr>
              <w:pStyle w:val="Style21"/>
              <w:widowControl w:val="false"/>
              <w:spacing w:lineRule="auto" w:line="240" w:before="0" w:after="0"/>
              <w:rPr/>
            </w:pPr>
            <w:r>
              <w:rPr>
                <w:rFonts w:eastAsia="Calibri" w:cs="Arial"/>
                <w:kern w:val="0"/>
                <w:sz w:val="26"/>
                <w:szCs w:val="22"/>
                <w:lang w:val="ru-RU" w:eastAsia="en-US" w:bidi="ar-SA"/>
              </w:rPr>
              <w:t>Осипова Екатерина Александровна</w:t>
            </w:r>
          </w:p>
          <w:p>
            <w:pPr>
              <w:pStyle w:val="Style21"/>
              <w:widowControl w:val="false"/>
              <w:spacing w:lineRule="auto" w:line="240" w:before="0" w:after="0"/>
              <w:rPr/>
            </w:pPr>
            <w:r>
              <w:rPr>
                <w:rFonts w:eastAsia="Calibri" w:cs="Arial"/>
                <w:kern w:val="0"/>
                <w:sz w:val="26"/>
                <w:szCs w:val="22"/>
                <w:lang w:val="ru-RU" w:eastAsia="en-US" w:bidi="ar-SA"/>
              </w:rPr>
              <w:t>тел. +7(4217) 23-33-78</w:t>
            </w:r>
          </w:p>
          <w:p>
            <w:pPr>
              <w:pStyle w:val="Style21"/>
              <w:keepNext w:val="true"/>
              <w:widowControl w:val="false"/>
              <w:spacing w:lineRule="auto" w:line="240" w:before="0" w:after="0"/>
              <w:rPr/>
            </w:pPr>
            <w:r>
              <w:rPr>
                <w:rFonts w:eastAsia="Calibri" w:cs="Arial"/>
                <w:kern w:val="0"/>
                <w:sz w:val="26"/>
                <w:szCs w:val="22"/>
                <w:lang w:val="ru-RU" w:eastAsia="en-US" w:bidi="ar-SA"/>
              </w:rPr>
              <w:t>Почтовый адрес:</w:t>
            </w:r>
          </w:p>
          <w:p>
            <w:pPr>
              <w:pStyle w:val="Style21"/>
              <w:widowControl w:val="false"/>
              <w:spacing w:lineRule="auto" w:line="240" w:before="0" w:after="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681000, г. Комсомольск-на-Амуре, ул. Аллея Труда 1/3</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60" w:name="_Ref125368490"/>
            <w:bookmarkStart w:id="61" w:name="_Ref125368490"/>
            <w:bookmarkEnd w:id="6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highlight w:val="none"/>
                <w:shd w:fill="auto" w:val="clear"/>
              </w:rPr>
            </w:pPr>
            <w:r>
              <w:rPr>
                <w:rFonts w:eastAsia="Calibri" w:cs="Arial"/>
                <w:kern w:val="0"/>
                <w:sz w:val="26"/>
                <w:szCs w:val="22"/>
                <w:shd w:fill="auto" w:val="clear"/>
                <w:lang w:val="ru-RU" w:eastAsia="en-US" w:bidi="ar-SA"/>
              </w:rPr>
              <w:t>Обеспечение</w:t>
              <w:br/>
              <w:t>исполнения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Normal"/>
              <w:spacing w:lineRule="auto" w:line="240" w:before="60" w:after="240"/>
              <w:ind w:hanging="0" w:left="11"/>
              <w:jc w:val="left"/>
              <w:rPr>
                <w:highlight w:val="none"/>
                <w:shd w:fill="auto" w:val="clear"/>
              </w:rPr>
            </w:pPr>
            <w:r>
              <w:rPr>
                <w:rFonts w:eastAsia="Times New Roman" w:cs="Times New Roman"/>
                <w:i w:val="false"/>
                <w:iCs w:val="false"/>
                <w:sz w:val="26"/>
                <w:szCs w:val="26"/>
                <w:shd w:fill="auto" w:val="clear"/>
              </w:rPr>
              <w:t>Не требуется</w:t>
            </w:r>
          </w:p>
          <w:p>
            <w:pPr>
              <w:pStyle w:val="Normal"/>
              <w:spacing w:lineRule="auto" w:line="240" w:before="60" w:after="240"/>
              <w:ind w:hanging="0" w:left="11"/>
              <w:jc w:val="left"/>
              <w:rPr>
                <w:rFonts w:eastAsia="Times New Roman" w:cs="Times New Roman"/>
                <w:i w:val="false"/>
                <w:i w:val="false"/>
                <w:iCs w:val="false"/>
                <w:kern w:val="0"/>
                <w:sz w:val="26"/>
                <w:szCs w:val="26"/>
                <w:lang w:val="ru-RU" w:eastAsia="en-US" w:bidi="ar-SA"/>
              </w:rPr>
            </w:pPr>
            <w:r>
              <w:rPr>
                <w:rFonts w:eastAsia="Times New Roman" w:cs="Times New Roman"/>
                <w:i w:val="false"/>
                <w:iCs w:val="false"/>
                <w:kern w:val="0"/>
                <w:sz w:val="26"/>
                <w:szCs w:val="26"/>
                <w:lang w:val="ru-RU" w:eastAsia="en-US" w:bidi="ar-SA"/>
              </w:rPr>
            </w:r>
          </w:p>
        </w:tc>
      </w:tr>
    </w:tbl>
    <w:p>
      <w:pPr>
        <w:pStyle w:val="Style15"/>
        <w:spacing w:before="0" w:after="0"/>
        <w:rPr/>
      </w:pPr>
      <w:bookmarkStart w:id="62" w:name="_Ref125360337"/>
      <w:bookmarkStart w:id="63" w:name="_Toc228876838"/>
      <w:bookmarkStart w:id="64" w:name="_Ref125360073"/>
      <w:r>
        <w:rPr/>
        <w:t>Общие положения</w:t>
      </w:r>
      <w:bookmarkEnd w:id="62"/>
      <w:bookmarkEnd w:id="63"/>
      <w:bookmarkEnd w:id="64"/>
    </w:p>
    <w:p>
      <w:pPr>
        <w:pStyle w:val="Style16"/>
        <w:spacing w:before="360" w:after="0"/>
        <w:rPr/>
      </w:pPr>
      <w:bookmarkStart w:id="65" w:name="_Toc228876839"/>
      <w:r>
        <w:rPr/>
        <w:t>Общие сведения о закупке</w:t>
      </w:r>
      <w:bookmarkEnd w:id="65"/>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6" w:name="_Toc228876840"/>
      <w:r>
        <w:rPr/>
        <w:t>Правовой статус документов</w:t>
      </w:r>
      <w:bookmarkEnd w:id="66"/>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8" w:name="_Toc228876841"/>
      <w:bookmarkStart w:id="69" w:name="_Ref125363536"/>
      <w:r>
        <w:rPr/>
        <w:t>Обжалование</w:t>
      </w:r>
      <w:bookmarkEnd w:id="68"/>
      <w:bookmarkEnd w:id="69"/>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296876"/>
      <w:bookmarkStart w:id="71" w:name="_Hlk219301278"/>
      <w:r>
        <w:rPr/>
        <w:t>Красноярского края</w:t>
      </w:r>
      <w:bookmarkEnd w:id="70"/>
      <w:bookmarkEnd w:id="71"/>
      <w:r>
        <w:rPr/>
        <w:t>.</w:t>
      </w:r>
    </w:p>
    <w:p>
      <w:pPr>
        <w:pStyle w:val="Style21"/>
        <w:ind w:hanging="0" w:left="1134" w:right="0"/>
        <w:rPr/>
      </w:pPr>
      <w:r>
        <w:rPr/>
        <w:t>Закупочная комиссия определяется в соответствии с Положением о закупке.</w:t>
      </w:r>
    </w:p>
    <w:p>
      <w:pPr>
        <w:pStyle w:val="Style16"/>
        <w:spacing w:before="360" w:after="0"/>
        <w:rPr/>
      </w:pPr>
      <w:bookmarkStart w:id="72" w:name="_Toc228876842"/>
      <w:r>
        <w:rPr/>
        <w:t>Особые положения при проведении закупки с использованием ЭП</w:t>
      </w:r>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73" w:name="_Toc228876843"/>
      <w:r>
        <w:rPr/>
        <w:t>Прочие положения</w:t>
      </w:r>
      <w:bookmarkEnd w:id="73"/>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4" w:name="_Toc228876844"/>
      <w:bookmarkStart w:id="75" w:name="_Ref125361210"/>
      <w:r>
        <w:rPr/>
        <w:t>Требования к Участникам</w:t>
      </w:r>
      <w:bookmarkEnd w:id="74"/>
      <w:bookmarkEnd w:id="75"/>
    </w:p>
    <w:p>
      <w:pPr>
        <w:pStyle w:val="Style16"/>
        <w:spacing w:before="360" w:after="0"/>
        <w:rPr/>
      </w:pPr>
      <w:bookmarkStart w:id="76" w:name="_Toc228876845"/>
      <w:bookmarkStart w:id="77" w:name="_Ref127524530"/>
      <w:r>
        <w:rPr/>
        <w:t>Общие требования к Участникам</w:t>
      </w:r>
      <w:bookmarkEnd w:id="76"/>
      <w:bookmarkEnd w:id="77"/>
    </w:p>
    <w:p>
      <w:pPr>
        <w:pStyle w:val="Style17"/>
        <w:spacing w:before="120" w:after="0"/>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17"/>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9" w:name="_Ref125361976"/>
      <w:bookmarkStart w:id="80" w:name="_Ref125361969"/>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16"/>
        <w:spacing w:before="360" w:after="0"/>
        <w:rPr/>
      </w:pPr>
      <w:bookmarkStart w:id="82" w:name="_Ref125361702"/>
      <w:bookmarkStart w:id="83" w:name="_Toc228876846"/>
      <w:bookmarkStart w:id="84" w:name="_Ref125361976_Копия_1"/>
      <w:bookmarkStart w:id="85" w:name="_Ref125361969_Копия_1"/>
      <w:bookmarkEnd w:id="84"/>
      <w:bookmarkEnd w:id="85"/>
      <w:r>
        <w:rPr/>
        <w:t>Генеральные подрядчики</w:t>
      </w:r>
      <w:bookmarkEnd w:id="82"/>
      <w:bookmarkEnd w:id="83"/>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ight="0"/>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rPr/>
      </w:pPr>
      <w:bookmarkStart w:id="88" w:name="_Ref125367098"/>
      <w:bookmarkStart w:id="89" w:name="_Ref125367107"/>
      <w:bookmarkStart w:id="90" w:name="_Ref125367974"/>
      <w:bookmarkStart w:id="91" w:name="_Toc228876847"/>
      <w:bookmarkStart w:id="92" w:name="_Ref125361211"/>
      <w:r>
        <w:rPr/>
        <w:t>Порядок проведения закупки</w:t>
      </w:r>
      <w:bookmarkEnd w:id="88"/>
      <w:bookmarkEnd w:id="89"/>
      <w:bookmarkEnd w:id="90"/>
      <w:bookmarkEnd w:id="91"/>
      <w:bookmarkEnd w:id="92"/>
    </w:p>
    <w:p>
      <w:pPr>
        <w:pStyle w:val="Style16"/>
        <w:spacing w:before="360" w:after="0"/>
        <w:rPr/>
      </w:pPr>
      <w:bookmarkStart w:id="93" w:name="_Toc228876848"/>
      <w:bookmarkStart w:id="94" w:name="_Ref126141932"/>
      <w:r>
        <w:rPr/>
        <w:t>Общий порядок проведения закупки</w:t>
      </w:r>
      <w:bookmarkEnd w:id="93"/>
      <w:bookmarkEnd w:id="94"/>
    </w:p>
    <w:p>
      <w:pPr>
        <w:pStyle w:val="Style17"/>
        <w:keepNext w:val="true"/>
        <w:spacing w:before="120" w:after="120"/>
        <w:rPr/>
      </w:pPr>
      <w:r>
        <w:rPr/>
        <w:t>Закупка проводится в следующем порядке:</w:t>
      </w:r>
    </w:p>
    <w:tbl>
      <w:tblPr>
        <w:tblW w:w="14637" w:type="dxa"/>
        <w:jc w:val="right"/>
        <w:tblInd w:w="0" w:type="dxa"/>
        <w:tblLayout w:type="fixed"/>
        <w:tblCellMar>
          <w:top w:w="0" w:type="dxa"/>
          <w:left w:w="0" w:type="dxa"/>
          <w:bottom w:w="0" w:type="dxa"/>
          <w:right w:w="5" w:type="dxa"/>
        </w:tblCellMar>
      </w:tblPr>
      <w:tblGrid>
        <w:gridCol w:w="509"/>
        <w:gridCol w:w="2535"/>
        <w:gridCol w:w="1171"/>
        <w:gridCol w:w="3224"/>
        <w:gridCol w:w="2685"/>
        <w:gridCol w:w="2280"/>
        <w:gridCol w:w="2232"/>
      </w:tblGrid>
      <w:tr>
        <w:trPr/>
        <w:tc>
          <w:tcPr>
            <w:tcW w:w="509" w:type="dxa"/>
            <w:tcBorders>
              <w:top w:val="single" w:sz="4" w:space="0" w:color="7F7F7F"/>
              <w:bottom w:val="single" w:sz="4" w:space="0" w:color="7F7F7F"/>
              <w:right w:val="single" w:sz="4" w:space="0" w:color="7F7F7F"/>
            </w:tcBorders>
            <w:vAlign w:val="bottom"/>
          </w:tcPr>
          <w:p>
            <w:pPr>
              <w:pStyle w:val="Style21"/>
              <w:keepNext w:val="true"/>
              <w:keepLines w:val="false"/>
              <w:widowControl w:val="false"/>
              <w:spacing w:lineRule="auto" w:line="240" w:before="40" w:after="40"/>
              <w:jc w:val="center"/>
              <w:rPr>
                <w:b w:val="false"/>
                <w:bCs/>
                <w:sz w:val="23"/>
                <w:szCs w:val="23"/>
              </w:rPr>
            </w:pPr>
            <w:r>
              <w:rPr>
                <w:rFonts w:eastAsia="Wingdings 3" w:cs="Wingdings 3" w:ascii="Wingdings 3" w:hAnsi="Wingdings 3"/>
                <w:b w:val="false"/>
                <w:bCs/>
                <w:kern w:val="0"/>
                <w:sz w:val="23"/>
                <w:szCs w:val="23"/>
                <w:lang w:val="ru-RU" w:eastAsia="en-US" w:bidi="ar-SA"/>
              </w:rPr>
              <w:t>Ô</w:t>
            </w:r>
          </w:p>
        </w:tc>
        <w:tc>
          <w:tcPr>
            <w:tcW w:w="14127" w:type="dxa"/>
            <w:gridSpan w:val="6"/>
            <w:tcBorders>
              <w:top w:val="single" w:sz="4" w:space="0" w:color="7F7F7F"/>
              <w:left w:val="single" w:sz="4" w:space="0" w:color="7F7F7F"/>
              <w:bottom w:val="single" w:sz="4" w:space="0" w:color="7F7F7F"/>
            </w:tcBorders>
          </w:tcPr>
          <w:p>
            <w:pPr>
              <w:pStyle w:val="Style21"/>
              <w:keepNext w:val="true"/>
              <w:keepLines w:val="false"/>
              <w:widowControl w:val="false"/>
              <w:spacing w:lineRule="auto" w:line="240" w:before="40" w:after="40"/>
              <w:jc w:val="center"/>
              <w:rPr>
                <w:b w:val="false"/>
                <w:bCs/>
                <w:sz w:val="23"/>
                <w:szCs w:val="23"/>
              </w:rPr>
            </w:pPr>
            <w:r>
              <w:rPr>
                <w:rFonts w:eastAsia="Calibri" w:cs="Arial"/>
                <w:b/>
                <w:bCs/>
                <w:kern w:val="0"/>
                <w:sz w:val="23"/>
                <w:szCs w:val="23"/>
                <w:lang w:val="ru-RU" w:eastAsia="en-US" w:bidi="ar-SA"/>
              </w:rPr>
              <w:t>Официальное размещение Извещения и Документации о закупке (подраздел </w:t>
            </w:r>
            <w:r>
              <w:rPr>
                <w:rFonts w:eastAsia="Calibri" w:cs="Arial"/>
                <w:b/>
                <w:bCs/>
                <w:kern w:val="0"/>
                <w:sz w:val="23"/>
                <w:szCs w:val="23"/>
                <w:lang w:val="ru-RU" w:eastAsia="en-US" w:bidi="ar-SA"/>
              </w:rPr>
              <w:fldChar w:fldCharType="begin"/>
            </w:r>
            <w:r>
              <w:rPr>
                <w:sz w:val="23"/>
                <w:b/>
                <w:kern w:val="0"/>
                <w:szCs w:val="23"/>
                <w:bCs/>
                <w:rFonts w:eastAsia="Calibri" w:cs="Arial"/>
                <w:lang w:val="ru-RU" w:eastAsia="en-US" w:bidi="ar-SA"/>
              </w:rPr>
              <w:instrText xml:space="preserve"> REF _Ref130286532 \r \h </w:instrText>
            </w:r>
            <w:r>
              <w:rPr>
                <w:sz w:val="23"/>
                <w:b/>
                <w:kern w:val="0"/>
                <w:szCs w:val="23"/>
                <w:bCs/>
                <w:rFonts w:eastAsia="Calibri" w:cs="Arial"/>
                <w:lang w:val="ru-RU" w:eastAsia="en-US" w:bidi="ar-SA"/>
              </w:rPr>
              <w:fldChar w:fldCharType="separate"/>
            </w:r>
            <w:r>
              <w:rPr>
                <w:sz w:val="23"/>
                <w:b/>
                <w:kern w:val="0"/>
                <w:szCs w:val="23"/>
                <w:bCs/>
                <w:rFonts w:eastAsia="Calibri" w:cs="Arial"/>
                <w:lang w:val="ru-RU" w:eastAsia="en-US" w:bidi="ar-SA"/>
              </w:rPr>
              <w:t>4.2</w:t>
            </w:r>
            <w:r>
              <w:rPr>
                <w:sz w:val="23"/>
                <w:b/>
                <w:kern w:val="0"/>
                <w:szCs w:val="23"/>
                <w:bCs/>
                <w:rFonts w:eastAsia="Calibri" w:cs="Arial"/>
                <w:lang w:val="ru-RU" w:eastAsia="en-US" w:bidi="ar-SA"/>
              </w:rPr>
              <w:fldChar w:fldCharType="end"/>
            </w:r>
            <w:r>
              <w:rPr>
                <w:rFonts w:eastAsia="Calibri" w:cs="Arial"/>
                <w:b/>
                <w:bCs/>
                <w:kern w:val="0"/>
                <w:sz w:val="23"/>
                <w:szCs w:val="23"/>
                <w:lang w:val="ru-RU" w:eastAsia="en-US" w:bidi="ar-SA"/>
              </w:rPr>
              <w:t>)</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Подготовка заявки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_Ref130281199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Предоставление разъяснений положений Документации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_Ref130394205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80"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0"/>
                <w:szCs w:val="20"/>
              </w:rPr>
            </w:pPr>
            <w:r>
              <w:rPr>
                <w:rFonts w:eastAsia="Calibri" w:cs="Arial"/>
                <w:bCs/>
                <w:kern w:val="0"/>
                <w:sz w:val="23"/>
                <w:szCs w:val="23"/>
                <w:lang w:val="ru-RU" w:eastAsia="en-US" w:bidi="ar-SA"/>
              </w:rPr>
              <w:t>Внесение изменений в Извещение и (или) Документацию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_Ref125362076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c>
          <w:tcPr>
            <w:tcW w:w="2232" w:type="dxa"/>
            <w:vMerge w:val="restart"/>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_Ref132816134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Подача заявок и их прием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_Ref125362119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Изменение и отзыв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_Ref125362130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11895" w:type="dxa"/>
            <w:gridSpan w:val="5"/>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 первым частям заявок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_Ref132816188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4.8</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32" w:type="dxa"/>
            <w:tcBorders>
              <w:top w:val="single" w:sz="4" w:space="0" w:color="7F7F7F"/>
              <w:left w:val="single" w:sz="4" w:space="0" w:color="7F7F7F"/>
            </w:tcBorders>
          </w:tcPr>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Рассмотрение первых частей заявок / окончательных предложений (отборочная стадия)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_Ref125362364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4.9</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Направление дополнительных запросов разъяснений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_Ref125362381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restart"/>
            <w:tcBorders>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Признание закупки</w:t>
              <w:br/>
              <w:t>несостоявшейся</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_Ref125364149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32" w:type="dxa"/>
            <w:vMerge w:val="restart"/>
            <w:tcBorders>
              <w:left w:val="single" w:sz="4" w:space="0" w:color="7F7F7F"/>
              <w:bottom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_Ref132816141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ко вторым частям заявок</w:t>
              <w:br/>
              <w:t>и ценовым предложениям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_Ref132801184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4.10</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0" w:after="0"/>
              <w:jc w:val="center"/>
              <w:rPr>
                <w:bCs/>
                <w:sz w:val="23"/>
                <w:szCs w:val="23"/>
              </w:rPr>
            </w:pPr>
            <w:r>
              <w:rPr>
                <w:rFonts w:eastAsia="Wingdings 3" w:cs="Wingdings 3" w:ascii="Wingdings 3" w:hAnsi="Wingdings 3"/>
                <w:bCs/>
                <w:kern w:val="0"/>
                <w:sz w:val="23"/>
                <w:szCs w:val="23"/>
                <w:lang w:val="ru-RU" w:eastAsia="en-US" w:bidi="ar-SA"/>
              </w:rPr>
              <w:t>Ô</w:t>
            </w:r>
          </w:p>
        </w:tc>
        <w:tc>
          <w:tcPr>
            <w:tcW w:w="3706"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Рассмотрение вторых частей заявок (отборочная стадия), в том числе (при необходимости) проведение аккредитации,и ценовых предложений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_Ref132797154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4.11</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322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w:t>
            </w:r>
            <w:r>
              <w:rPr>
                <w:rFonts w:eastAsia="Calibri" w:cs="Arial"/>
                <w:bCs/>
                <w:kern w:val="0"/>
                <w:sz w:val="23"/>
                <w:szCs w:val="23"/>
                <w:u w:val="single"/>
                <w:lang w:val="ru-RU" w:eastAsia="en-US" w:bidi="ar-SA"/>
              </w:rPr>
              <w:t>предоставление национального режима / запрета, ограничения</w:t>
            </w:r>
            <w:r>
              <w:rPr>
                <w:rFonts w:eastAsia="Calibri" w:cs="Arial"/>
                <w:bCs/>
                <w:kern w:val="0"/>
                <w:sz w:val="23"/>
                <w:szCs w:val="23"/>
                <w:lang w:val="ru-RU" w:eastAsia="en-US" w:bidi="ar-SA"/>
              </w:rPr>
              <w:t>)</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627"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Оценка и сопоставление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_Ref125362626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9615"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Подведение итогов закупки (определение Победителя)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_Ref125362658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311"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u w:val="single"/>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Заключение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_Ref138341423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c>
          <w:tcPr>
            <w:tcW w:w="7197" w:type="dxa"/>
            <w:gridSpan w:val="3"/>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Уклонение Победителя от заключения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_Ref125367068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8" w:name="_Ref130394681"/>
      <w:bookmarkStart w:id="99" w:name="_Toc228876851"/>
      <w:bookmarkStart w:id="100" w:name="_Ref130281199"/>
      <w:r>
        <w:rPr/>
        <w:t>Подготовка заявки</w:t>
      </w:r>
      <w:bookmarkEnd w:id="98"/>
      <w:bookmarkEnd w:id="99"/>
      <w:bookmarkEnd w:id="100"/>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shd w:fill="FFFF00" w:val="clea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w:t>
      </w:r>
      <w:r>
        <w:rPr/>
        <w:t xml:space="preserve">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02" w:name="_Ref125365866"/>
      <w:bookmarkStart w:id="103"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4" w:name="_Ref125370700"/>
      <w:bookmarkStart w:id="105"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6" w:name="_Ref125370398"/>
      <w:bookmarkStart w:id="107" w:name="_Ref125714384"/>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8" w:name="_Ref125361260"/>
      <w:bookmarkStart w:id="109" w:name="_Ref125362071"/>
      <w:bookmarkStart w:id="110" w:name="_Ref125366672"/>
      <w:bookmarkStart w:id="111" w:name="_Ref130394785"/>
      <w:bookmarkStart w:id="112" w:name="_Ref130394802"/>
      <w:bookmarkStart w:id="113" w:name="_Toc228876852"/>
      <w:bookmarkStart w:id="114" w:name="_Ref130394205"/>
      <w:r>
        <w:rPr/>
        <w:t>Разъяснение Документации о закупке</w:t>
      </w:r>
      <w:bookmarkEnd w:id="108"/>
      <w:bookmarkEnd w:id="109"/>
      <w:bookmarkEnd w:id="110"/>
      <w:bookmarkEnd w:id="111"/>
      <w:bookmarkEnd w:id="112"/>
      <w:bookmarkEnd w:id="113"/>
      <w:bookmarkEnd w:id="114"/>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5" w:name="_Ref125363891"/>
      <w:bookmarkStart w:id="116" w:name="_Ref125364404"/>
      <w:bookmarkStart w:id="117" w:name="_Toc228876853"/>
      <w:bookmarkStart w:id="118" w:name="_Ref125362076"/>
      <w:r>
        <w:rPr/>
        <w:t>Изменения Извещения и (или) Документации о закупке</w:t>
      </w:r>
      <w:bookmarkEnd w:id="115"/>
      <w:bookmarkEnd w:id="116"/>
      <w:bookmarkEnd w:id="117"/>
      <w:bookmarkEnd w:id="118"/>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 / окончательных предложений;</w:t>
      </w:r>
    </w:p>
    <w:p>
      <w:pPr>
        <w:pStyle w:val="Style18"/>
        <w:spacing w:before="0" w:after="0"/>
        <w:rPr/>
      </w:pPr>
      <w:r>
        <w:rPr/>
        <w:t>рассмотрения вторых частей заявок и ценовых предложений;</w:t>
      </w:r>
    </w:p>
    <w:p>
      <w:pPr>
        <w:pStyle w:val="Style18"/>
        <w:spacing w:before="0" w:after="0"/>
        <w:rPr/>
      </w:pPr>
      <w:r>
        <w:rPr/>
        <w:t>проведения переторжки, если предусмотрен данный этап;</w:t>
      </w:r>
    </w:p>
    <w:p>
      <w:pPr>
        <w:pStyle w:val="Style18"/>
        <w:spacing w:before="0" w:after="0"/>
        <w:rPr/>
      </w:pPr>
      <w:r>
        <w:rPr/>
        <w:t>подведения итогов закупки;</w:t>
      </w:r>
    </w:p>
    <w:p>
      <w:pPr>
        <w:pStyle w:val="Style21"/>
        <w:ind w:hanging="0" w:left="1134" w:right="0"/>
        <w:rPr/>
      </w:pPr>
      <w:bookmarkStart w:id="119" w:name="_Ref125550844"/>
      <w:r>
        <w:rPr/>
        <w:t>в пределах срока действия заявок и с уведомлением Участников, подавших заявки.</w:t>
      </w:r>
      <w:bookmarkEnd w:id="119"/>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18"/>
        <w:spacing w:before="120" w:after="0"/>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18"/>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17"/>
        <w:spacing w:before="12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20" w:name="_Toc228876854"/>
      <w:bookmarkStart w:id="121" w:name="_Ref125362119"/>
      <w:r>
        <w:rPr/>
        <w:t>Подача заявок и их прием</w:t>
      </w:r>
      <w:bookmarkEnd w:id="120"/>
      <w:bookmarkEnd w:id="121"/>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23" w:name="_Ref125362130"/>
      <w:bookmarkStart w:id="124" w:name="_Ref125365136"/>
      <w:bookmarkStart w:id="125" w:name="_Toc228876855"/>
      <w:bookmarkStart w:id="126" w:name="_Ref125362192"/>
      <w:bookmarkStart w:id="127" w:name="_Ref125363819"/>
      <w:r>
        <w:rPr/>
        <w:t>Изменение и отзыв заявок</w:t>
      </w:r>
      <w:bookmarkEnd w:id="123"/>
      <w:bookmarkEnd w:id="124"/>
      <w:bookmarkEnd w:id="125"/>
      <w:bookmarkEnd w:id="126"/>
      <w:bookmarkEnd w:id="127"/>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8" w:name="_Toc228876856"/>
      <w:bookmarkStart w:id="129" w:name="_Ref132816188"/>
      <w:r>
        <w:rPr/>
        <w:t>Открытие доступа к первым частям заявок</w:t>
      </w:r>
      <w:bookmarkEnd w:id="128"/>
      <w:bookmarkEnd w:id="129"/>
    </w:p>
    <w:p>
      <w:pPr>
        <w:pStyle w:val="Style17"/>
        <w:spacing w:before="120" w:after="0"/>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16"/>
        <w:spacing w:before="360" w:after="0"/>
        <w:rPr/>
      </w:pPr>
      <w:bookmarkStart w:id="130" w:name="_Ref125362364"/>
      <w:bookmarkStart w:id="131" w:name="_Ref125366689"/>
      <w:bookmarkStart w:id="132" w:name="_Toc228876860"/>
      <w:r>
        <w:rPr/>
        <w:t>Рассмотрение первых частей заявок / окончательных предложений (отборочная стадия)</w:t>
      </w:r>
      <w:bookmarkEnd w:id="130"/>
      <w:bookmarkEnd w:id="131"/>
      <w:bookmarkEnd w:id="132"/>
    </w:p>
    <w:p>
      <w:pPr>
        <w:pStyle w:val="Style17"/>
        <w:spacing w:before="120" w:after="0"/>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widowControl w:val="false"/>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widowControl w:val="false"/>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17"/>
        <w:keepNext w:val="true"/>
        <w:widowControl w:val="false"/>
        <w:spacing w:before="0" w:after="0"/>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18"/>
        <w:widowControl w:val="false"/>
        <w:bidi w:val="0"/>
        <w:spacing w:before="120" w:after="0"/>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 окончательных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 / окончательных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4" w:name="_Toc228876861"/>
      <w:bookmarkStart w:id="135" w:name="_Ref132801184"/>
      <w:r>
        <w:rPr/>
        <w:t>Открытие доступа ко вторым частям заявок и ценовым предложениям</w:t>
      </w:r>
      <w:bookmarkEnd w:id="134"/>
      <w:bookmarkEnd w:id="135"/>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6" w:name="_Toc228876862"/>
      <w:bookmarkStart w:id="137"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ight="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40" w:name="_Toc228876863"/>
      <w:bookmarkStart w:id="141" w:name="_Ref125362425"/>
      <w:bookmarkStart w:id="142" w:name="_Ref125362464"/>
      <w:bookmarkStart w:id="143" w:name="_Ref125362381"/>
      <w:bookmarkStart w:id="144" w:name="_Ref125362610"/>
      <w:r>
        <w:rPr/>
        <w:t>Дополнительные запросы разъяснений заявок</w:t>
      </w:r>
      <w:bookmarkEnd w:id="140"/>
      <w:bookmarkEnd w:id="141"/>
      <w:bookmarkEnd w:id="142"/>
      <w:bookmarkEnd w:id="143"/>
      <w:bookmarkEnd w:id="144"/>
    </w:p>
    <w:p>
      <w:pPr>
        <w:pStyle w:val="Style17"/>
        <w:spacing w:before="120" w:after="0"/>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9" w:name="_Ref125365335"/>
      <w:bookmarkStart w:id="150" w:name="_Toc228876866"/>
      <w:bookmarkStart w:id="151" w:name="_Ref125365519"/>
      <w:bookmarkStart w:id="152" w:name="_Ref125369308"/>
      <w:bookmarkStart w:id="153" w:name="_Ref125366534"/>
      <w:bookmarkStart w:id="154" w:name="_Ref125369041"/>
      <w:bookmarkStart w:id="155" w:name="_Ref125362626"/>
      <w:r>
        <w:rPr/>
        <w:t>Оценка и сопоставление заявок</w:t>
      </w:r>
      <w:bookmarkEnd w:id="149"/>
      <w:bookmarkEnd w:id="150"/>
      <w:bookmarkEnd w:id="151"/>
      <w:bookmarkEnd w:id="152"/>
      <w:bookmarkEnd w:id="153"/>
      <w:bookmarkEnd w:id="154"/>
      <w:bookmarkEnd w:id="155"/>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6" w:name="_Ref125369991"/>
      <w:bookmarkStart w:id="157" w:name="_Ref125366064"/>
      <w:bookmarkStart w:id="158" w:name="_Ref125370507"/>
      <w:bookmarkStart w:id="159" w:name="_Ref130458671"/>
      <w:bookmarkStart w:id="160" w:name="_Ref130985951"/>
      <w:bookmarkStart w:id="161" w:name="_Toc228876867"/>
      <w:bookmarkStart w:id="162" w:name="_Ref132816300"/>
      <w:bookmarkStart w:id="163" w:name="_Ref186181253"/>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16"/>
        <w:spacing w:before="360" w:after="0"/>
        <w:rPr/>
      </w:pPr>
      <w:bookmarkStart w:id="166" w:name="_Ref125366091"/>
      <w:bookmarkStart w:id="167" w:name="_Ref125362658"/>
      <w:bookmarkStart w:id="168" w:name="_Ref125367242"/>
      <w:bookmarkStart w:id="169" w:name="_Toc228876869"/>
      <w:r>
        <w:rPr/>
        <w:t>Подведение итогов закупки (определение Победителя)</w:t>
      </w:r>
      <w:bookmarkEnd w:id="166"/>
      <w:bookmarkEnd w:id="167"/>
      <w:bookmarkEnd w:id="168"/>
      <w:bookmarkEnd w:id="169"/>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ight="0"/>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16"/>
        <w:spacing w:before="360" w:after="0"/>
        <w:rPr/>
      </w:pPr>
      <w:bookmarkStart w:id="172" w:name="_Ref125365570"/>
      <w:bookmarkStart w:id="173" w:name="_Ref125366631"/>
      <w:bookmarkStart w:id="174" w:name="_Ref125366796"/>
      <w:bookmarkStart w:id="175" w:name="_Toc228876870"/>
      <w:bookmarkStart w:id="176" w:name="_Ref125364149"/>
      <w:bookmarkStart w:id="177" w:name="_Ref125364187"/>
      <w:bookmarkStart w:id="178" w:name="_Ref125365305"/>
      <w:r>
        <w:rPr/>
        <w:t>Признание закупки несостоявшейся</w:t>
      </w:r>
      <w:bookmarkEnd w:id="172"/>
      <w:bookmarkEnd w:id="173"/>
      <w:bookmarkEnd w:id="174"/>
      <w:bookmarkEnd w:id="175"/>
      <w:bookmarkEnd w:id="176"/>
      <w:bookmarkEnd w:id="177"/>
      <w:bookmarkEnd w:id="178"/>
    </w:p>
    <w:p>
      <w:pPr>
        <w:pStyle w:val="Style17"/>
        <w:keepNext w:val="true"/>
        <w:spacing w:before="120" w:after="0"/>
        <w:rPr/>
      </w:pPr>
      <w:bookmarkStart w:id="179" w:name="_Ref214289498"/>
      <w:r>
        <w:rPr/>
        <w:t>Закупка признается несостоявшейся в следующих случаях:</w:t>
      </w:r>
      <w:bookmarkEnd w:id="179"/>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ight="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ight="0"/>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ight="0"/>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ight="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ight="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ight="0"/>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18"/>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ight="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ight="0"/>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ight="0"/>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84" w:name="_Ref132816134"/>
      <w:bookmarkStart w:id="185" w:name="_Ref132816141"/>
      <w:bookmarkStart w:id="186" w:name="_Toc228876871"/>
      <w:bookmarkStart w:id="187" w:name="_Ref126141962"/>
      <w:r>
        <w:rPr/>
        <w:t>Отказ от проведения закупки</w:t>
      </w:r>
      <w:bookmarkEnd w:id="187"/>
      <w:r>
        <w:rPr/>
        <w:t xml:space="preserve"> (отмена закупки)</w:t>
      </w:r>
      <w:bookmarkEnd w:id="184"/>
      <w:bookmarkEnd w:id="185"/>
      <w:bookmarkEnd w:id="186"/>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8" w:name="_Ref130455226"/>
      <w:bookmarkStart w:id="189" w:name="_Toc228876872"/>
      <w:r>
        <w:rPr/>
        <w:t>Особенности проведения закупки с необходимостью обеспечения заявки</w:t>
      </w:r>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92" w:name="_Toc228876873"/>
      <w:bookmarkStart w:id="193" w:name="_Ref149317133"/>
      <w:bookmarkStart w:id="194" w:name="_Ref130225422"/>
      <w:r>
        <w:rPr/>
        <w:t>Особенности проведения многолотовой закупки</w:t>
      </w:r>
      <w:bookmarkEnd w:id="192"/>
      <w:bookmarkEnd w:id="193"/>
      <w:bookmarkEnd w:id="19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17"/>
        <w:keepNext w:val="true"/>
        <w:spacing w:before="0" w:after="0"/>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5" w:name="_Ref125363439"/>
      <w:bookmarkStart w:id="196" w:name="_Ref125362671"/>
      <w:bookmarkStart w:id="197" w:name="_Ref125366769"/>
      <w:bookmarkStart w:id="198" w:name="_Ref125367087"/>
      <w:bookmarkStart w:id="199" w:name="_Toc228876875"/>
      <w:bookmarkStart w:id="200" w:name="_Ref126142429"/>
      <w:bookmarkStart w:id="201" w:name="_Ref125361212"/>
      <w:bookmarkStart w:id="202" w:name="_Ref130224037"/>
      <w:bookmarkStart w:id="203" w:name="_Ref125367083"/>
      <w:r>
        <w:rPr/>
        <w:t>Порядок заключения Договора</w:t>
      </w:r>
      <w:bookmarkEnd w:id="195"/>
      <w:bookmarkEnd w:id="196"/>
      <w:bookmarkEnd w:id="197"/>
      <w:bookmarkEnd w:id="198"/>
      <w:bookmarkEnd w:id="199"/>
      <w:bookmarkEnd w:id="200"/>
      <w:bookmarkEnd w:id="201"/>
      <w:bookmarkEnd w:id="202"/>
      <w:bookmarkEnd w:id="203"/>
    </w:p>
    <w:p>
      <w:pPr>
        <w:pStyle w:val="Style16"/>
        <w:spacing w:before="360" w:after="0"/>
        <w:rPr/>
      </w:pPr>
      <w:bookmarkStart w:id="204" w:name="_Toc228876876"/>
      <w:r>
        <w:rPr/>
        <w:t>Общие положения</w:t>
      </w:r>
      <w:bookmarkEnd w:id="20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5" w:name="_Toc228876877"/>
      <w:bookmarkStart w:id="206" w:name="_Ref125368755"/>
      <w:bookmarkStart w:id="207" w:name="_Ref138341423"/>
      <w:bookmarkStart w:id="208" w:name="_Ref125366947"/>
      <w:r>
        <w:rPr/>
        <w:t>Заключение Договора</w:t>
      </w:r>
      <w:bookmarkEnd w:id="205"/>
      <w:bookmarkEnd w:id="206"/>
      <w:bookmarkEnd w:id="207"/>
      <w:bookmarkEnd w:id="208"/>
    </w:p>
    <w:p>
      <w:pPr>
        <w:pStyle w:val="Style17"/>
        <w:spacing w:before="120" w:after="0"/>
        <w:rPr/>
      </w:pPr>
      <w:bookmarkStart w:id="209" w:name="_Ref130293821"/>
      <w:bookmarkStart w:id="21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9"/>
      <w:bookmarkEnd w:id="210"/>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bookmarkStart w:id="211" w:name="_Hlk207818000"/>
      <w:bookmarkStart w:id="212" w:name="_Ref125363464"/>
      <w:bookmarkEnd w:id="211"/>
      <w:bookmarkEnd w:id="212"/>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Данные документы должны быть предоставлены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0"/>
        </w:numPr>
        <w:spacing w:before="0" w:after="0"/>
        <w:ind w:hanging="0" w:left="1701"/>
        <w:rPr/>
      </w:pPr>
      <w:r>
        <w:rPr/>
      </w:r>
      <w:bookmarkStart w:id="213" w:name="_Hlk207818000_Копия_1"/>
      <w:bookmarkStart w:id="214" w:name="_Ref125363464_Копия_1"/>
      <w:bookmarkStart w:id="215" w:name="_Hlk207818000_Копия_1"/>
      <w:bookmarkStart w:id="216" w:name="_Ref125363464_Копия_1"/>
      <w:bookmarkEnd w:id="215"/>
      <w:bookmarkEnd w:id="216"/>
    </w:p>
    <w:p>
      <w:pPr>
        <w:pStyle w:val="Style17"/>
        <w:spacing w:before="120" w:after="0"/>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7" w:name="_Hlk207818034"/>
      <w:r>
        <w:rPr/>
        <w:t>Portable Document Format (</w:t>
      </w:r>
      <w:r>
        <w:rPr>
          <w:lang w:val="en-US"/>
        </w:rPr>
        <w:t>pdf</w:t>
      </w:r>
      <w:r>
        <w:rPr/>
        <w:t>)</w:t>
      </w:r>
      <w:bookmarkEnd w:id="217"/>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18"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18"/>
    </w:p>
    <w:p>
      <w:pPr>
        <w:pStyle w:val="Style18"/>
        <w:keepNext w:val="true"/>
        <w:spacing w:before="120" w:after="0"/>
        <w:rPr/>
      </w:pPr>
      <w:r>
        <w:rPr/>
        <w:t>для юридического лица:</w:t>
      </w:r>
    </w:p>
    <w:p>
      <w:pPr>
        <w:pStyle w:val="Style19"/>
        <w:widowControl/>
        <w:suppressAutoHyphens w:val="true"/>
        <w:overflowPunct w:val="true"/>
        <w:bidi w:val="0"/>
        <w:spacing w:lineRule="auto" w:line="240" w:before="120" w:after="0"/>
        <w:ind w:firstLine="397" w:left="0" w:right="0"/>
        <w:jc w:val="both"/>
        <w:rPr/>
      </w:pPr>
      <w:r>
        <w:rPr/>
        <w:t>копия устава в действующей редакции с отметкой ИФНС либо копия нотариально заверенного устава (с отметкой нотариуса);</w:t>
      </w:r>
    </w:p>
    <w:p>
      <w:pPr>
        <w:pStyle w:val="Style19"/>
        <w:widowControl/>
        <w:suppressAutoHyphens w:val="true"/>
        <w:overflowPunct w:val="true"/>
        <w:bidi w:val="0"/>
        <w:spacing w:lineRule="auto" w:line="240" w:before="0" w:after="0"/>
        <w:ind w:firstLine="397" w:left="0" w:right="0"/>
        <w:jc w:val="both"/>
        <w:rPr/>
      </w:pPr>
      <w:bookmarkStart w:id="21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9"/>
    </w:p>
    <w:p>
      <w:pPr>
        <w:pStyle w:val="Style19"/>
        <w:widowControl/>
        <w:suppressAutoHyphens w:val="true"/>
        <w:overflowPunct w:val="true"/>
        <w:bidi w:val="0"/>
        <w:spacing w:lineRule="auto" w:line="240" w:before="0" w:after="0"/>
        <w:ind w:firstLine="397" w:left="0" w:right="0"/>
        <w:jc w:val="both"/>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bookmarkStart w:id="220" w:name="_Ref125361554"/>
      <w:r>
        <w:rPr/>
        <w:t>.</w:t>
      </w:r>
      <w:bookmarkEnd w:id="220"/>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2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1"/>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22"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2"/>
    </w:p>
    <w:p>
      <w:pPr>
        <w:pStyle w:val="Style17"/>
        <w:spacing w:before="0" w:after="0"/>
        <w:rPr/>
      </w:pPr>
      <w:bookmarkStart w:id="223"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4"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4"/>
      <w:r>
        <w:rPr/>
        <w:t>.</w:t>
      </w:r>
      <w:bookmarkEnd w:id="223"/>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25" w:name="_Toc228876878"/>
      <w:bookmarkStart w:id="226" w:name="_Ref125367068"/>
      <w:r>
        <w:rPr/>
        <w:t>Уклонение Победителя от заключения Договора</w:t>
      </w:r>
      <w:bookmarkEnd w:id="225"/>
      <w:bookmarkEnd w:id="226"/>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ight="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27" w:name="_Ref125363752"/>
      <w:bookmarkStart w:id="228" w:name="_Ref125364088"/>
      <w:bookmarkStart w:id="229" w:name="_Ref125364201"/>
      <w:bookmarkStart w:id="230" w:name="_Ref125370732"/>
      <w:bookmarkStart w:id="231" w:name="_Ref125363023"/>
      <w:bookmarkStart w:id="232" w:name="_Ref125363034"/>
      <w:bookmarkStart w:id="233" w:name="_Ref125363600"/>
      <w:bookmarkStart w:id="234" w:name="_Ref125370746"/>
      <w:bookmarkStart w:id="235" w:name="_Ref125370750"/>
      <w:bookmarkStart w:id="236" w:name="_Ref125370843"/>
      <w:bookmarkStart w:id="237" w:name="Прил01_ТехТребования"/>
      <w:bookmarkStart w:id="238" w:name="_Toc228876879"/>
      <w:bookmarkStart w:id="239" w:name="_Ref125363016"/>
      <w:bookmarkStart w:id="240" w:name="_Ref125370741"/>
      <w:r>
        <w:rPr/>
        <w:t>Приложение № 1 – Технические требования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tyle16"/>
        <w:spacing w:before="360" w:after="0"/>
        <w:rPr/>
      </w:pPr>
      <w:bookmarkStart w:id="241" w:name="_Toc228876880"/>
      <w:r>
        <w:rPr/>
        <w:t>Пояснения к Техническим требованиям</w:t>
      </w:r>
      <w:bookmarkEnd w:id="241"/>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42" w:name="_Toc228876881"/>
      <w:bookmarkStart w:id="243" w:name="Прил02_ПроектДоговора"/>
      <w:bookmarkStart w:id="244" w:name="_Ref125364081"/>
      <w:bookmarkStart w:id="245" w:name="_Ref125370754"/>
      <w:bookmarkStart w:id="246" w:name="_Ref125363605"/>
      <w:bookmarkStart w:id="247" w:name="_Ref125361746"/>
      <w:bookmarkStart w:id="248" w:name="_Ref125363040"/>
      <w:bookmarkStart w:id="249" w:name="_Ref125363759"/>
      <w:bookmarkStart w:id="250" w:name="_Ref125364206"/>
      <w:r>
        <w:rPr/>
        <w:t>Приложение № 2 – Проект договора</w:t>
      </w:r>
      <w:bookmarkEnd w:id="242"/>
      <w:bookmarkEnd w:id="243"/>
      <w:bookmarkEnd w:id="244"/>
      <w:bookmarkEnd w:id="245"/>
      <w:bookmarkEnd w:id="246"/>
      <w:bookmarkEnd w:id="247"/>
      <w:bookmarkEnd w:id="248"/>
      <w:bookmarkEnd w:id="249"/>
      <w:bookmarkEnd w:id="250"/>
    </w:p>
    <w:p>
      <w:pPr>
        <w:pStyle w:val="Style16"/>
        <w:spacing w:before="360" w:after="0"/>
        <w:rPr/>
      </w:pPr>
      <w:bookmarkStart w:id="251" w:name="_Toc228876882"/>
      <w:r>
        <w:rPr/>
        <w:t>Пояснения к Проекту договора</w:t>
      </w:r>
      <w:bookmarkEnd w:id="251"/>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2" w:name="_MON_1736255517"/>
      <w:bookmarkEnd w:id="252"/>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07060"/>
            <wp:effectExtent l="0" t="0" r="0" b="0"/>
            <wp:docPr id="1" name="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0" descr=""/>
                    <pic:cNvPicPr>
                      <a:picLocks noChangeAspect="1" noChangeArrowheads="1"/>
                    </pic:cNvPicPr>
                  </pic:nvPicPr>
                  <pic:blipFill>
                    <a:blip r:embed="rId12"/>
                    <a:stretch>
                      <a:fillRect/>
                    </a:stretch>
                  </pic:blipFill>
                  <pic:spPr bwMode="auto">
                    <a:xfrm>
                      <a:off x="0" y="0"/>
                      <a:ext cx="991235" cy="607060"/>
                    </a:xfrm>
                    <a:prstGeom prst="rect">
                      <a:avLst/>
                    </a:prstGeom>
                  </pic:spPr>
                </pic:pic>
              </a:graphicData>
            </a:graphic>
          </wp:inline>
        </w:drawing>
      </w:r>
    </w:p>
    <w:p>
      <w:pPr>
        <w:pStyle w:val="Style15"/>
        <w:spacing w:before="0" w:after="0"/>
        <w:rPr/>
      </w:pPr>
      <w:bookmarkStart w:id="253" w:name="_Ref125365476"/>
      <w:bookmarkStart w:id="254" w:name="_Ref125361908"/>
      <w:bookmarkStart w:id="255" w:name="_Ref125370013"/>
      <w:bookmarkStart w:id="256" w:name="Прил03_ТребованияУчастникам"/>
      <w:bookmarkStart w:id="257" w:name="_Ref125361494"/>
      <w:bookmarkStart w:id="258" w:name="_Toc228876883"/>
      <w:r>
        <w:rPr/>
        <w:t>Приложение № 3 – Требования к Участникам</w:t>
      </w:r>
      <w:bookmarkEnd w:id="253"/>
      <w:bookmarkEnd w:id="254"/>
      <w:bookmarkEnd w:id="255"/>
      <w:bookmarkEnd w:id="256"/>
      <w:bookmarkEnd w:id="257"/>
      <w:bookmarkEnd w:id="258"/>
    </w:p>
    <w:p>
      <w:pPr>
        <w:pStyle w:val="Style16"/>
        <w:spacing w:before="360" w:after="0"/>
        <w:rPr/>
      </w:pPr>
      <w:bookmarkStart w:id="259" w:name="_Toc228876884"/>
      <w:r>
        <w:rPr/>
        <w:t>Пояснения к требованиям к Участникам</w:t>
      </w:r>
      <w:bookmarkEnd w:id="259"/>
    </w:p>
    <w:p>
      <w:pPr>
        <w:pStyle w:val="Style17"/>
        <w:spacing w:before="120" w:after="0"/>
        <w:rPr/>
      </w:pPr>
      <w:bookmarkStart w:id="260"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0"/>
    </w:p>
    <w:p>
      <w:pPr>
        <w:pStyle w:val="Style16"/>
        <w:spacing w:before="360" w:after="120"/>
        <w:rPr/>
      </w:pPr>
      <w:bookmarkStart w:id="261" w:name="_Ref125361832"/>
      <w:bookmarkStart w:id="262" w:name="_Ref125369088"/>
      <w:bookmarkStart w:id="263" w:name="_Ref125368812"/>
      <w:bookmarkStart w:id="264" w:name="_Ref125361617"/>
      <w:bookmarkStart w:id="265" w:name="_Ref125361926"/>
      <w:bookmarkStart w:id="266" w:name="_Ref125361846"/>
      <w:bookmarkStart w:id="267" w:name="_Ref125361590"/>
      <w:bookmarkStart w:id="268" w:name="_Ref125370058"/>
      <w:bookmarkStart w:id="269" w:name="_Ref125366879"/>
      <w:bookmarkStart w:id="270" w:name="_Ref125370071"/>
      <w:bookmarkStart w:id="271" w:name="_Ref125361435"/>
      <w:bookmarkStart w:id="272" w:name="_Ref125370064"/>
      <w:bookmarkStart w:id="273" w:name="_Ref125368895"/>
      <w:bookmarkStart w:id="274" w:name="_Toc228876885"/>
      <w:r>
        <w:rPr/>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5" w:name="_Ref125552433"/>
            <w:bookmarkStart w:id="276" w:name="_Ref125552433"/>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5"/>
              </w:numPr>
              <w:spacing w:lineRule="auto" w:line="240" w:before="60" w:after="60"/>
              <w:ind w:hanging="284" w:left="568"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pacing w:lineRule="auto" w:line="240" w:before="60" w:after="60"/>
              <w:ind w:hanging="0" w:left="284" w:right="0"/>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7" w:name="_Ref132893662"/>
            <w:bookmarkStart w:id="278" w:name="_Ref132893662"/>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9" w:name="_Ref139029906"/>
            <w:bookmarkStart w:id="280" w:name="_Ref139029906"/>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0" w:after="0"/>
              <w:ind w:hanging="0" w:left="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1" w:name="_Ref186181914"/>
            <w:bookmarkStart w:id="282" w:name="_Ref186181914"/>
            <w:bookmarkEnd w:id="28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0" w:after="0"/>
              <w:ind w:left="0"/>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p>
            <w:pPr>
              <w:pStyle w:val="Style21"/>
              <w:widowControl w:val="false"/>
              <w:spacing w:lineRule="auto" w:line="240" w:before="0" w:after="0"/>
              <w:ind w:left="0"/>
              <w:rPr>
                <w:rFonts w:eastAsia="Calibri" w:cs="Arial"/>
                <w:i/>
                <w:i/>
                <w:iCs/>
                <w:kern w:val="0"/>
                <w:sz w:val="26"/>
                <w:szCs w:val="22"/>
                <w:lang w:val="ru-RU" w:eastAsia="en-US" w:bidi="ar-SA"/>
              </w:rPr>
            </w:pPr>
            <w:r>
              <w:rPr>
                <w:rFonts w:eastAsia="Calibri" w:cs="Arial"/>
                <w:i/>
                <w:iCs/>
                <w:kern w:val="0"/>
                <w:sz w:val="26"/>
                <w:szCs w:val="22"/>
                <w:lang w:val="ru-RU" w:eastAsia="en-US" w:bidi="ar-SA"/>
              </w:rPr>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0" w:after="0"/>
              <w:ind w:hanging="0" w:left="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3" w:name="_Ref186181918"/>
            <w:bookmarkStart w:id="284" w:name="_Ref186181918"/>
            <w:bookmarkEnd w:id="28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ind w:left="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0" w:after="0"/>
              <w:ind w:left="0"/>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p>
            <w:pPr>
              <w:pStyle w:val="Style21"/>
              <w:widowControl w:val="false"/>
              <w:spacing w:lineRule="auto" w:line="240" w:before="0" w:after="0"/>
              <w:ind w:left="0"/>
              <w:rPr>
                <w:rFonts w:eastAsia="Calibri" w:cs="Arial"/>
                <w:i/>
                <w:i/>
                <w:iCs/>
                <w:kern w:val="0"/>
                <w:sz w:val="26"/>
                <w:szCs w:val="22"/>
                <w:lang w:val="ru-RU" w:eastAsia="en-US" w:bidi="ar-SA"/>
              </w:rPr>
            </w:pPr>
            <w:r>
              <w:rPr>
                <w:rFonts w:eastAsia="Calibri" w:cs="Arial"/>
                <w:i/>
                <w:iCs/>
                <w:kern w:val="0"/>
                <w:sz w:val="26"/>
                <w:szCs w:val="22"/>
                <w:lang w:val="ru-RU" w:eastAsia="en-US" w:bidi="ar-SA"/>
              </w:rPr>
            </w:r>
          </w:p>
          <w:p>
            <w:pPr>
              <w:pStyle w:val="Style21"/>
              <w:widowControl w:val="false"/>
              <w:spacing w:lineRule="auto" w:line="240" w:before="0" w:after="0"/>
              <w:ind w:left="0"/>
              <w:rPr>
                <w:rFonts w:eastAsia="Calibri" w:cs="Arial"/>
                <w:i/>
                <w:i/>
                <w:iCs/>
                <w:kern w:val="0"/>
                <w:sz w:val="26"/>
                <w:szCs w:val="22"/>
                <w:lang w:val="ru-RU" w:eastAsia="en-US" w:bidi="ar-SA"/>
              </w:rPr>
            </w:pPr>
            <w:r>
              <w:rPr>
                <w:rFonts w:eastAsia="Calibri" w:cs="Arial"/>
                <w:i/>
                <w:iCs/>
                <w:kern w:val="0"/>
                <w:sz w:val="26"/>
                <w:szCs w:val="22"/>
                <w:lang w:val="ru-RU" w:eastAsia="en-US" w:bidi="ar-SA"/>
              </w:rPr>
            </w:r>
          </w:p>
          <w:p>
            <w:pPr>
              <w:pStyle w:val="Style21"/>
              <w:widowControl w:val="false"/>
              <w:spacing w:lineRule="auto" w:line="240" w:before="0" w:after="0"/>
              <w:ind w:left="0"/>
              <w:rPr>
                <w:rFonts w:eastAsia="Calibri" w:cs="Arial"/>
                <w:i/>
                <w:i/>
                <w:iCs/>
                <w:kern w:val="0"/>
                <w:sz w:val="26"/>
                <w:szCs w:val="22"/>
                <w:lang w:val="ru-RU" w:eastAsia="en-US" w:bidi="ar-SA"/>
              </w:rPr>
            </w:pPr>
            <w:r>
              <w:rPr>
                <w:rFonts w:eastAsia="Calibri" w:cs="Arial"/>
                <w:i/>
                <w:iCs/>
                <w:kern w:val="0"/>
                <w:sz w:val="26"/>
                <w:szCs w:val="22"/>
                <w:lang w:val="ru-RU" w:eastAsia="en-US" w:bidi="ar-SA"/>
              </w:rPr>
            </w:r>
          </w:p>
          <w:p>
            <w:pPr>
              <w:pStyle w:val="Style21"/>
              <w:widowControl w:val="false"/>
              <w:spacing w:lineRule="auto" w:line="240" w:before="0" w:after="0"/>
              <w:ind w:left="0"/>
              <w:rPr>
                <w:rFonts w:eastAsia="Calibri" w:cs="Arial"/>
                <w:i/>
                <w:i/>
                <w:iCs/>
                <w:kern w:val="0"/>
                <w:sz w:val="26"/>
                <w:szCs w:val="22"/>
                <w:lang w:val="ru-RU" w:eastAsia="en-US" w:bidi="ar-SA"/>
              </w:rPr>
            </w:pPr>
            <w:r>
              <w:rPr>
                <w:rFonts w:eastAsia="Calibri" w:cs="Arial"/>
                <w:i/>
                <w:iCs/>
                <w:kern w:val="0"/>
                <w:sz w:val="26"/>
                <w:szCs w:val="22"/>
                <w:lang w:val="ru-RU" w:eastAsia="en-US" w:bidi="ar-SA"/>
              </w:rPr>
            </w:r>
          </w:p>
        </w:tc>
      </w:tr>
    </w:tbl>
    <w:p>
      <w:pPr>
        <w:pStyle w:val="Style16"/>
        <w:spacing w:before="0" w:after="0"/>
        <w:ind w:hanging="0" w:left="0"/>
        <w:rPr>
          <w:highlight w:val="none"/>
          <w:shd w:fill="FFFF00" w:val="clear"/>
        </w:rPr>
      </w:pPr>
      <w:bookmarkStart w:id="285" w:name="_Ref125367539"/>
      <w:bookmarkStart w:id="286" w:name="_Ref125368818"/>
      <w:bookmarkStart w:id="287" w:name="_Ref125361869"/>
      <w:bookmarkStart w:id="288" w:name="_Ref125709250"/>
      <w:bookmarkStart w:id="289" w:name="_Ref125367521"/>
      <w:bookmarkStart w:id="290" w:name="_Ref125370079"/>
      <w:bookmarkStart w:id="291" w:name="_Ref125361671"/>
      <w:bookmarkStart w:id="292" w:name="_Ref125361633"/>
      <w:bookmarkStart w:id="293" w:name="_Ref125368916"/>
      <w:bookmarkStart w:id="294" w:name="_Ref125369099"/>
      <w:bookmarkStart w:id="295" w:name="_Ref125368901"/>
      <w:bookmarkStart w:id="296" w:name="_Ref125361442"/>
      <w:bookmarkStart w:id="297" w:name="_Ref125361937"/>
      <w:bookmarkStart w:id="298" w:name="_Toc228876886"/>
      <w:bookmarkStart w:id="299" w:name="_Ref125709888"/>
      <w:bookmarkStart w:id="300" w:name="_Ref125365459"/>
      <w:bookmarkStart w:id="301" w:name="_Ref125709401"/>
      <w:bookmarkStart w:id="302" w:name="_Ref125709153"/>
      <w:r>
        <w:rPr>
          <w:shd w:fill="FFFF00" w:val="clear"/>
        </w:rPr>
        <w:t>Специальные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0" w:after="0"/>
              <w:ind w:hanging="0" w:left="0"/>
              <w:jc w:val="center"/>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0" w:after="0"/>
              <w:ind w:hanging="0" w:left="0"/>
              <w:jc w:val="center"/>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0" w:after="0"/>
              <w:ind w:hanging="0" w:left="0"/>
              <w:jc w:val="center"/>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3"/>
              </w:numPr>
              <w:spacing w:lineRule="auto" w:line="240" w:before="0" w:after="0"/>
              <w:ind w:hanging="0" w:left="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Normal"/>
              <w:keepNext w:val="true"/>
              <w:widowControl/>
              <w:suppressAutoHyphens w:val="true"/>
              <w:spacing w:lineRule="auto" w:line="240" w:before="60" w:after="60"/>
              <w:jc w:val="both"/>
              <w:rPr>
                <w:highlight w:val="none"/>
                <w:shd w:fill="FFFF00" w:val="clear"/>
              </w:rPr>
            </w:pPr>
            <w:r>
              <w:rPr>
                <w:rFonts w:eastAsia="Times New Roman" w:cs="Times New Roman"/>
                <w:bCs/>
                <w:kern w:val="0"/>
                <w:sz w:val="22"/>
                <w:szCs w:val="22"/>
                <w:shd w:fill="FFFF00" w:val="clear"/>
                <w:lang w:val="ru-RU" w:eastAsia="en-US" w:bidi="ar-SA"/>
              </w:rPr>
              <w:t xml:space="preserve">1. </w:t>
            </w:r>
            <w:r>
              <w:rPr>
                <w:rFonts w:eastAsia="Times New Roman" w:cs="Times New Roman"/>
                <w:kern w:val="0"/>
                <w:sz w:val="22"/>
                <w:szCs w:val="22"/>
                <w:shd w:fill="FFFF00" w:val="clear"/>
                <w:lang w:val="ru-RU" w:eastAsia="en-US" w:bidi="ar-SA"/>
              </w:rPr>
              <w:t xml:space="preserve">В соответствии со ст. 12 Федерального закона от 04.05.2011 № 99-ФЗ «О лицензировании отдельных видов деятельности»: наличие у Участника действующей на момент подачи заявки на участие в закупке Лицензии </w:t>
            </w:r>
            <w:r>
              <w:rPr>
                <w:rFonts w:eastAsia="Times New Roman" w:cs="Times New Roman"/>
                <w:iCs/>
                <w:kern w:val="0"/>
                <w:sz w:val="22"/>
                <w:szCs w:val="22"/>
                <w:shd w:fill="FFFF00" w:val="clear"/>
                <w:lang w:val="ru-RU" w:eastAsia="en-US" w:bidi="ar-SA"/>
              </w:rPr>
              <w:t xml:space="preserve"> на обращение с отходами I - IV классов опасности (сбор, транспортировка, обезвреживание, утилизация отходов), </w:t>
            </w:r>
            <w:r>
              <w:rPr>
                <w:rFonts w:eastAsia="Times New Roman" w:cs="Times New Roman"/>
                <w:b/>
                <w:bCs/>
                <w:iCs/>
                <w:kern w:val="0"/>
                <w:sz w:val="22"/>
                <w:szCs w:val="22"/>
                <w:shd w:fill="FFFF00" w:val="clear"/>
                <w:lang w:val="ru-RU" w:eastAsia="en-US" w:bidi="ar-SA"/>
              </w:rPr>
              <w:t>в части транспортирования на весь перечень отходов, указанный</w:t>
            </w:r>
            <w:r>
              <w:rPr>
                <w:rFonts w:eastAsia="Times New Roman" w:cs="Times New Roman"/>
                <w:iCs/>
                <w:kern w:val="0"/>
                <w:sz w:val="22"/>
                <w:szCs w:val="22"/>
                <w:shd w:fill="FFFF00" w:val="clear"/>
                <w:lang w:val="ru-RU" w:eastAsia="en-US" w:bidi="ar-SA"/>
              </w:rPr>
              <w:t xml:space="preserve"> </w:t>
            </w:r>
            <w:r>
              <w:rPr>
                <w:rFonts w:eastAsia="Times New Roman" w:cs="Times New Roman"/>
                <w:b/>
                <w:bCs/>
                <w:iCs/>
                <w:kern w:val="0"/>
                <w:sz w:val="22"/>
                <w:szCs w:val="22"/>
                <w:shd w:fill="FFFF00" w:val="clear"/>
                <w:lang w:val="ru-RU" w:eastAsia="en-US" w:bidi="ar-SA"/>
              </w:rPr>
              <w:t>в Приложении 1</w:t>
            </w:r>
            <w:r>
              <w:rPr>
                <w:rFonts w:eastAsia="Times New Roman" w:cs="Times New Roman"/>
                <w:iCs/>
                <w:kern w:val="0"/>
                <w:sz w:val="22"/>
                <w:szCs w:val="22"/>
                <w:shd w:fill="FFFF00" w:val="clear"/>
                <w:lang w:val="ru-RU" w:eastAsia="en-US" w:bidi="ar-SA"/>
              </w:rPr>
              <w:t xml:space="preserve"> к Техническим требованиям.</w:t>
            </w:r>
          </w:p>
        </w:tc>
        <w:tc>
          <w:tcPr>
            <w:tcW w:w="8327" w:type="dxa"/>
            <w:tcBorders>
              <w:top w:val="single" w:sz="4" w:space="0" w:color="7F7F7F"/>
              <w:left w:val="single" w:sz="4" w:space="0" w:color="7F7F7F"/>
              <w:bottom w:val="single" w:sz="4" w:space="0" w:color="7F7F7F"/>
              <w:right w:val="single" w:sz="4" w:space="0" w:color="7F7F7F"/>
            </w:tcBorders>
          </w:tcPr>
          <w:p>
            <w:pPr>
              <w:pStyle w:val="Normal"/>
              <w:keepNext w:val="true"/>
              <w:widowControl/>
              <w:suppressAutoHyphens w:val="true"/>
              <w:spacing w:lineRule="auto" w:line="240" w:before="60" w:after="60"/>
              <w:jc w:val="both"/>
              <w:rPr>
                <w:rFonts w:eastAsia="Calibri"/>
                <w:kern w:val="0"/>
                <w:sz w:val="22"/>
                <w:szCs w:val="22"/>
                <w:lang w:val="ru-RU" w:eastAsia="en-US" w:bidi="ar-SA"/>
              </w:rPr>
            </w:pPr>
            <w:r>
              <w:rPr>
                <w:rFonts w:eastAsia="Calibri" w:cs="Times New Roman"/>
                <w:kern w:val="0"/>
                <w:sz w:val="22"/>
                <w:szCs w:val="22"/>
                <w:lang w:val="ru-RU" w:eastAsia="en-US" w:bidi="ar-SA"/>
              </w:rPr>
              <w:t>В письме о подаче оферты Участник должен Указать адреса сайта или страницы сайта в информационно-телекоммуникационной сети «Интернет», на которых размещены соответствующие подтверждающие документы и информация.</w:t>
            </w:r>
          </w:p>
          <w:p>
            <w:pPr>
              <w:pStyle w:val="Normal"/>
              <w:keepNext w:val="true"/>
              <w:widowControl/>
              <w:suppressAutoHyphens w:val="true"/>
              <w:spacing w:lineRule="auto" w:line="240" w:before="60" w:after="60"/>
              <w:jc w:val="both"/>
              <w:rPr>
                <w:b/>
                <w:bCs/>
              </w:rPr>
            </w:pPr>
            <w:r>
              <w:rPr>
                <w:rFonts w:eastAsia="Calibri" w:cs="Times New Roman"/>
                <w:b/>
                <w:bCs/>
                <w:kern w:val="0"/>
                <w:sz w:val="22"/>
                <w:szCs w:val="22"/>
                <w:lang w:val="ru-RU" w:eastAsia="en-US" w:bidi="ar-SA"/>
              </w:rPr>
              <w:t>Требование является обязательным, неисполнение которого повлечет отклонение заявки.</w:t>
            </w:r>
          </w:p>
        </w:tc>
      </w:tr>
    </w:tbl>
    <w:p>
      <w:pPr>
        <w:pStyle w:val="Style16"/>
        <w:spacing w:before="0" w:after="0"/>
        <w:ind w:hanging="0" w:left="0"/>
        <w:rPr/>
      </w:pPr>
      <w:bookmarkStart w:id="303" w:name="_Ref125362031"/>
      <w:bookmarkStart w:id="304" w:name="_Ref125369117"/>
      <w:bookmarkStart w:id="305" w:name="_Ref125370173"/>
      <w:bookmarkStart w:id="306" w:name="_Ref125370180"/>
      <w:bookmarkStart w:id="307" w:name="_Ref125370209"/>
      <w:bookmarkStart w:id="308" w:name="_Ref125709777"/>
      <w:bookmarkStart w:id="309" w:name="_Ref125709973"/>
      <w:bookmarkStart w:id="310" w:name="_Toc228876887"/>
      <w:bookmarkStart w:id="311" w:name="_Ref125361823"/>
      <w:r>
        <w:rPr/>
        <w:t>Дополнительные требования к Генеральным подрядчикам</w:t>
      </w:r>
      <w:bookmarkEnd w:id="303"/>
      <w:bookmarkEnd w:id="304"/>
      <w:bookmarkEnd w:id="305"/>
      <w:bookmarkEnd w:id="306"/>
      <w:bookmarkEnd w:id="307"/>
      <w:bookmarkEnd w:id="308"/>
      <w:bookmarkEnd w:id="309"/>
      <w:bookmarkEnd w:id="310"/>
      <w:bookmarkEnd w:id="311"/>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2" w:name="_Ref125370187"/>
            <w:bookmarkStart w:id="313" w:name="_Ref125370187"/>
            <w:bookmarkEnd w:id="313"/>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4" w:name="_Ref125370193"/>
            <w:bookmarkStart w:id="315" w:name="_Ref125370193"/>
            <w:bookmarkEnd w:id="315"/>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6" w:name="_Ref125553847"/>
            <w:bookmarkStart w:id="317" w:name="_Ref125553847"/>
            <w:bookmarkEnd w:id="317"/>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18" w:name="_Toc228876888"/>
      <w:bookmarkStart w:id="319" w:name="Прил04_ФормыЗаявки"/>
      <w:bookmarkEnd w:id="319"/>
      <w:r>
        <w:rPr/>
        <w:t>Приложение № 4 – Образцы форм документов, включаемых в состав заявки</w:t>
      </w:r>
      <w:bookmarkEnd w:id="318"/>
    </w:p>
    <w:p>
      <w:pPr>
        <w:pStyle w:val="Style16"/>
        <w:spacing w:before="360" w:after="0"/>
        <w:rPr/>
      </w:pPr>
      <w:bookmarkStart w:id="320" w:name="_Toc228876889"/>
      <w:r>
        <w:rPr/>
        <w:t>Пояснения к Образцам форм документов, включаемых в состав заявки</w:t>
      </w:r>
      <w:bookmarkEnd w:id="320"/>
    </w:p>
    <w:p>
      <w:pPr>
        <w:pStyle w:val="Style17"/>
        <w:spacing w:before="120" w:after="0"/>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1" w:name="_Hlk207818315"/>
      <w:r>
        <w:rPr/>
        <w:t>Участник при подготовке заявки обязан придерживаться установленных форм документов</w:t>
      </w:r>
      <w:bookmarkEnd w:id="321"/>
      <w:r>
        <w:rPr/>
        <w:t>.</w:t>
      </w:r>
    </w:p>
    <w:p>
      <w:pPr>
        <w:pStyle w:val="Style15"/>
        <w:spacing w:before="0" w:after="0"/>
        <w:rPr/>
      </w:pPr>
      <w:bookmarkStart w:id="322" w:name="_Toc228876890"/>
      <w:bookmarkStart w:id="323" w:name="Прил05_ФормыПобедителя"/>
      <w:bookmarkEnd w:id="323"/>
      <w:r>
        <w:rPr/>
        <w:t>Приложение № 5 – Образцы форм документов, предоставляемых Победителем</w:t>
      </w:r>
      <w:bookmarkEnd w:id="322"/>
    </w:p>
    <w:p>
      <w:pPr>
        <w:pStyle w:val="Style16"/>
        <w:spacing w:before="360" w:after="0"/>
        <w:rPr/>
      </w:pPr>
      <w:bookmarkStart w:id="324" w:name="_Toc228876891"/>
      <w:r>
        <w:rPr/>
        <w:t>Пояснения к Образцам форм документов, предоставляемых Победителем</w:t>
      </w:r>
      <w:bookmarkEnd w:id="324"/>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25" w:name="_Ref130395470"/>
      <w:bookmarkStart w:id="326" w:name="_Toc228876892"/>
      <w:r>
        <w:rPr/>
        <w:t>Форма справки «Сведения о цепочке собственников, включая бенефициаров (в том числе конечных)»</w:t>
      </w:r>
      <w:bookmarkEnd w:id="325"/>
      <w:bookmarkEnd w:id="326"/>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27" w:name="_Hlk207818329"/>
      <w:bookmarkStart w:id="328" w:name="_MON_1805621314"/>
      <w:bookmarkEnd w:id="328"/>
      <w:r>
        <w:rPr/>
        <w:drawing>
          <wp:inline distT="0" distB="0" distL="0" distR="0">
            <wp:extent cx="860425" cy="389255"/>
            <wp:effectExtent l="0" t="0" r="0" b="0"/>
            <wp:docPr id="2" name="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1" descr=""/>
                    <pic:cNvPicPr>
                      <a:picLocks noChangeAspect="1" noChangeArrowheads="1"/>
                    </pic:cNvPicPr>
                  </pic:nvPicPr>
                  <pic:blipFill>
                    <a:blip r:embed="rId21"/>
                    <a:stretch>
                      <a:fillRect/>
                    </a:stretch>
                  </pic:blipFill>
                  <pic:spPr bwMode="auto">
                    <a:xfrm>
                      <a:off x="0" y="0"/>
                      <a:ext cx="860425" cy="389255"/>
                    </a:xfrm>
                    <a:prstGeom prst="rect">
                      <a:avLst/>
                    </a:prstGeom>
                  </pic:spPr>
                </pic:pic>
              </a:graphicData>
            </a:graphic>
          </wp:inline>
        </w:drawing>
      </w:r>
      <w:bookmarkEnd w:id="327"/>
    </w:p>
    <w:p>
      <w:pPr>
        <w:pStyle w:val="Style16"/>
        <w:spacing w:before="360" w:after="0"/>
        <w:rPr/>
      </w:pPr>
      <w:bookmarkStart w:id="329" w:name="_Toc228876893"/>
      <w:bookmarkStart w:id="330" w:name="_Ref130395475"/>
      <w:r>
        <w:rPr/>
        <w:t>Форма «Заверение об обстоятельствах»</w:t>
      </w:r>
      <w:bookmarkEnd w:id="329"/>
      <w:bookmarkEnd w:id="330"/>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widowControl w:val="false"/>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widowControl w:val="fals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widowControl w:val="false"/>
        <w:spacing w:before="120" w:after="120"/>
        <w:jc w:val="center"/>
        <w:rPr/>
      </w:pPr>
      <w:bookmarkStart w:id="331" w:name="_MON_1741074184"/>
      <w:bookmarkEnd w:id="331"/>
      <w:r>
        <w:rPr/>
        <w:drawing>
          <wp:inline distT="0" distB="0" distL="0" distR="0">
            <wp:extent cx="915670" cy="475615"/>
            <wp:effectExtent l="0" t="0" r="0" b="0"/>
            <wp:docPr id="3" name="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2" descr=""/>
                    <pic:cNvPicPr>
                      <a:picLocks noChangeAspect="1" noChangeArrowheads="1"/>
                    </pic:cNvPicPr>
                  </pic:nvPicPr>
                  <pic:blipFill>
                    <a:blip r:embed="rId22"/>
                    <a:stretch>
                      <a:fillRect/>
                    </a:stretch>
                  </pic:blipFill>
                  <pic:spPr bwMode="auto">
                    <a:xfrm>
                      <a:off x="0" y="0"/>
                      <a:ext cx="915670" cy="475615"/>
                    </a:xfrm>
                    <a:prstGeom prst="rect">
                      <a:avLst/>
                    </a:prstGeom>
                  </pic:spPr>
                </pic:pic>
              </a:graphicData>
            </a:graphic>
          </wp:inline>
        </w:drawing>
      </w:r>
    </w:p>
    <w:p>
      <w:pPr>
        <w:pStyle w:val="Style15"/>
        <w:spacing w:before="0" w:after="0"/>
        <w:rPr/>
      </w:pPr>
      <w:bookmarkStart w:id="332" w:name="_Ref125362865"/>
      <w:bookmarkStart w:id="333" w:name="_Ref125362900"/>
      <w:bookmarkStart w:id="334" w:name="_Toc228876894"/>
      <w:bookmarkStart w:id="335" w:name="Прил06_СоставЗаявки"/>
      <w:bookmarkEnd w:id="335"/>
      <w:r>
        <w:rPr/>
        <w:t>Приложение № 6 – Состав заявки</w:t>
      </w:r>
      <w:bookmarkEnd w:id="332"/>
      <w:bookmarkEnd w:id="333"/>
      <w:bookmarkEnd w:id="334"/>
    </w:p>
    <w:p>
      <w:pPr>
        <w:pStyle w:val="Style16"/>
        <w:spacing w:before="360" w:after="0"/>
        <w:rPr/>
      </w:pPr>
      <w:bookmarkStart w:id="336" w:name="_Toc228876895"/>
      <w:r>
        <w:rPr/>
        <w:t>Состав заявки</w:t>
      </w:r>
      <w:bookmarkEnd w:id="336"/>
    </w:p>
    <w:p>
      <w:pPr>
        <w:pStyle w:val="Style17"/>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7" w:name="_Hlk207818365"/>
      <w:r>
        <w:rPr/>
        <w:t>по установленным формам и в соответствии с инструкциями, приведенными</w:t>
      </w:r>
      <w:bookmarkEnd w:id="337"/>
      <w:r>
        <w:rPr/>
        <w:t xml:space="preserve">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32888537"/>
            <w:bookmarkStart w:id="339" w:name="_Ref132888537"/>
            <w:bookmarkEnd w:id="339"/>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0" w:name="_Ref130389408"/>
            <w:bookmarkStart w:id="341" w:name="_Ref130389408"/>
            <w:bookmarkEnd w:id="341"/>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2" w:name="_Ref130389413"/>
            <w:bookmarkStart w:id="343" w:name="_Ref130389413"/>
            <w:bookmarkEnd w:id="343"/>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4" w:name="_Ref130389419"/>
            <w:bookmarkStart w:id="345" w:name="_Ref130389419"/>
            <w:bookmarkEnd w:id="345"/>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46" w:name="_Ref125365264"/>
      <w:bookmarkStart w:id="347" w:name="_Toc228876896"/>
      <w:bookmarkStart w:id="348" w:name="Прил07_ОтборочныеКритерии"/>
      <w:bookmarkEnd w:id="348"/>
      <w:r>
        <w:rPr/>
        <w:t>Приложение № 7 – Отборочные критерии рассмотрения заявок</w:t>
      </w:r>
      <w:bookmarkEnd w:id="346"/>
      <w:bookmarkEnd w:id="347"/>
    </w:p>
    <w:p>
      <w:pPr>
        <w:pStyle w:val="Style16"/>
        <w:spacing w:before="360" w:after="120"/>
        <w:rPr>
          <w:i w:val="false"/>
          <w:i w:val="false"/>
          <w:iCs w:val="false"/>
          <w:shd w:fill="auto" w:val="clear"/>
        </w:rPr>
      </w:pPr>
      <w:bookmarkStart w:id="349" w:name="_Toc228876897"/>
      <w:r>
        <w:rPr>
          <w:rStyle w:val="Style3"/>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49"/>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0" w:name="_Hlk132891087"/>
      <w:bookmarkStart w:id="351" w:name="_Toc228876899"/>
      <w:r>
        <w:rPr>
          <w:rStyle w:val="Style3"/>
          <w:i w:val="false"/>
          <w:iCs w:val="false"/>
          <w:shd w:fill="auto" w:val="clear"/>
        </w:rPr>
        <w:t>Отборочные критерии рассмотрения вторых частей заявок</w:t>
      </w:r>
      <w:bookmarkEnd w:id="350"/>
      <w:bookmarkEnd w:id="351"/>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2" w:name="_Ref132890414"/>
            <w:bookmarkStart w:id="353" w:name="_Ref132890414"/>
            <w:bookmarkEnd w:id="353"/>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с предоставлением требуемых подтверждающих документов </w:t>
            </w: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4" w:name="_Toc228876900"/>
      <w:r>
        <w:rPr>
          <w:rStyle w:val="Style3"/>
          <w:i w:val="false"/>
          <w:iCs w:val="false"/>
          <w:shd w:fill="auto" w:val="clear"/>
        </w:rPr>
        <w:t>Отборочные критерии рассмотрения ценовых предложений (дополнительных ценовых предложений)</w:t>
      </w:r>
      <w:bookmarkEnd w:id="354"/>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1"/>
              <w:widowControl w:val="fals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spacing w:before="0" w:after="0"/>
        <w:rPr/>
      </w:pPr>
      <w:bookmarkStart w:id="355" w:name="_Toc228876901"/>
      <w:r>
        <w:rPr>
          <w:rStyle w:val="Style3"/>
          <w:i w:val="false"/>
          <w:iCs w:val="false"/>
          <w:shd w:fill="auto" w:val="clear"/>
        </w:rPr>
        <w:t>Дополнительные критерии проверки заявок на соответствие условиям Документации о закупке</w:t>
      </w:r>
      <w:bookmarkEnd w:id="355"/>
    </w:p>
    <w:p>
      <w:pPr>
        <w:pStyle w:val="Style21"/>
        <w:keepNext w:val="true"/>
        <w:spacing w:before="0" w:after="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2"/>
              </w:numPr>
              <w:spacing w:lineRule="auto" w:line="240" w:before="0" w:after="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 </w:t>
            </w: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0" w:after="0"/>
        <w:rPr>
          <w:b/>
          <w:bCs/>
        </w:rPr>
      </w:pPr>
      <w:r>
        <w:rPr>
          <w:b/>
          <w:bCs/>
        </w:rPr>
        <w:t>* Направления оценки заявок:</w:t>
      </w:r>
    </w:p>
    <w:p>
      <w:pPr>
        <w:pStyle w:val="Style21"/>
        <w:widowControl/>
        <w:tabs>
          <w:tab w:val="clear" w:pos="708"/>
          <w:tab w:val="left" w:pos="1134" w:leader="none"/>
        </w:tabs>
        <w:suppressAutoHyphens w:val="true"/>
        <w:overflowPunct w:val="true"/>
        <w:bidi w:val="0"/>
        <w:spacing w:lineRule="auto" w:line="240" w:before="0" w:after="0"/>
        <w:ind w:hanging="1587" w:left="1417" w:right="0"/>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6"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6"/>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Цена</w:t>
      </w:r>
      <w:r>
        <w:rPr/>
        <w:tab/>
        <w:t>–</w:t>
        <w:tab/>
      </w:r>
      <w:bookmarkStart w:id="357" w:name="_Hlk207818793"/>
      <w:bookmarkStart w:id="358"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7"/>
      <w:bookmarkEnd w:id="358"/>
      <w:r>
        <w:rPr/>
        <w:t xml:space="preserve"> непревышения ценового предложения участника установленного размера НМЦ.</w:t>
      </w:r>
    </w:p>
    <w:p>
      <w:pPr>
        <w:pStyle w:val="Style21"/>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1"/>
        <w:widowControl w:val="false"/>
        <w:spacing w:before="0" w:after="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59" w:name="_Ref125361648"/>
      <w:bookmarkStart w:id="360" w:name="_Ref125361951"/>
      <w:bookmarkStart w:id="361" w:name="_Ref125366280"/>
      <w:bookmarkStart w:id="362" w:name="_Ref125369438"/>
      <w:bookmarkStart w:id="363" w:name="_Ref125366285"/>
      <w:bookmarkStart w:id="364" w:name="_Ref125368140"/>
      <w:bookmarkStart w:id="365" w:name="_Ref125368150"/>
      <w:bookmarkStart w:id="366" w:name="_Ref125368165"/>
      <w:bookmarkStart w:id="367" w:name="_Ref125368184"/>
      <w:bookmarkStart w:id="368" w:name="_Ref125368283"/>
      <w:bookmarkStart w:id="369" w:name="_Ref125368291"/>
      <w:bookmarkStart w:id="370" w:name="_Ref125368302"/>
      <w:bookmarkStart w:id="371" w:name="_Ref125368313"/>
      <w:bookmarkStart w:id="372" w:name="_Ref125368331"/>
      <w:bookmarkStart w:id="373" w:name="_Ref125369021"/>
      <w:bookmarkStart w:id="374" w:name="_Ref125366013"/>
      <w:bookmarkStart w:id="375" w:name="_Toc228876902"/>
      <w:bookmarkStart w:id="376" w:name="_Ref125368172"/>
      <w:bookmarkStart w:id="377" w:name="Прил08_ПорядокОценки"/>
      <w:bookmarkEnd w:id="377"/>
      <w:r>
        <w:rPr/>
        <w:t>Приложение № 8 – Порядок и критерии оценки и сопоставления заявок</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Style16"/>
        <w:spacing w:before="360" w:after="0"/>
        <w:rPr/>
      </w:pPr>
      <w:bookmarkStart w:id="378" w:name="_Toc228876903"/>
      <w:r>
        <w:rPr/>
        <w:t>Порядок и критерии оценки и сопоставления заявок</w:t>
      </w:r>
      <w:bookmarkEnd w:id="378"/>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177" w:type="dxa"/>
        <w:jc w:val="left"/>
        <w:tblInd w:w="1129" w:type="dxa"/>
        <w:tblLayout w:type="fixed"/>
        <w:tblCellMar>
          <w:top w:w="0" w:type="dxa"/>
          <w:left w:w="57" w:type="dxa"/>
          <w:bottom w:w="0" w:type="dxa"/>
          <w:right w:w="57" w:type="dxa"/>
        </w:tblCellMar>
      </w:tblPr>
      <w:tblGrid>
        <w:gridCol w:w="995"/>
        <w:gridCol w:w="1269"/>
        <w:gridCol w:w="1026"/>
        <w:gridCol w:w="1219"/>
        <w:gridCol w:w="1191"/>
        <w:gridCol w:w="1900"/>
        <w:gridCol w:w="6576"/>
      </w:tblGrid>
      <w:tr>
        <w:trPr/>
        <w:tc>
          <w:tcPr>
            <w:tcW w:w="995"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245"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9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6576"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99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269"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02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219"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91"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90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6576"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19"/>
              </w:numPr>
              <w:spacing w:lineRule="auto" w:line="240" w:before="0" w:after="0"/>
              <w:ind w:hanging="0" w:left="0" w:right="0"/>
              <w:jc w:val="center"/>
              <w:rPr>
                <w:rFonts w:ascii="Times New Roman" w:hAnsi="Times New Roman" w:cs="Times New Roman"/>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31"/>
                          <a:stretch>
                            <a:fillRect/>
                          </a:stretch>
                        </pic:blipFill>
                        <pic:spPr bwMode="auto">
                          <a:xfrm>
                            <a:off x="0" y="0"/>
                            <a:ext cx="1009650" cy="295275"/>
                          </a:xfrm>
                          <a:prstGeom prst="rect">
                            <a:avLst/>
                          </a:prstGeom>
                        </pic:spPr>
                      </pic:pic>
                    </a:graphicData>
                  </a:graphic>
                </wp:inline>
              </w:drawing>
            </w:r>
            <w:r>
              <w:rPr/>
              <w:fldChar w:fldCharType="separate"/>
            </w:r>
            <w:r>
              <w:rPr/>
            </w:r>
            <w:r/>
            <w:r>
              <w:rPr/>
              <w:fldChar w:fldCharType="end"/>
            </w:r>
            <w:r>
              <w:rPr/>
            </w:r>
          </w:p>
          <w:p>
            <w:pPr>
              <w:pStyle w:val="22"/>
              <w:widowControl w:val="false"/>
              <w:numPr>
                <w:ilvl w:val="6"/>
                <w:numId w:val="19"/>
              </w:numPr>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19"/>
              </w:numPr>
              <w:tabs>
                <w:tab w:val="clear" w:pos="0"/>
                <w:tab w:val="left" w:pos="283"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iCs/>
                <w:kern w:val="0"/>
                <w:sz w:val="18"/>
                <w:szCs w:val="18"/>
                <w:vertAlign w:val="subscript"/>
                <w:lang w:val="en-US" w:eastAsia="ru-RU"/>
              </w:rPr>
              <w:t>i</w:t>
            </w:r>
            <w:r>
              <w:rPr>
                <w:rFonts w:cs="Cantarell" w:ascii="Cantarell" w:hAnsi="Cantarell"/>
                <w:i/>
                <w:iCs/>
                <w:kern w:val="0"/>
                <w:sz w:val="18"/>
                <w:szCs w:val="18"/>
                <w:vertAlign w:val="subscript"/>
                <w:lang w:eastAsia="ru-RU"/>
              </w:rPr>
              <w:t> </w:t>
            </w:r>
            <w:r>
              <w:rPr>
                <w:rFonts w:cs="Times New Roman"/>
                <w:kern w:val="0"/>
                <w:sz w:val="18"/>
                <w:szCs w:val="18"/>
              </w:rPr>
              <w:t xml:space="preserve"> – </w:t>
            </w:r>
            <w:r>
              <w:rPr>
                <w:rFonts w:eastAsia="Calibri" w:cs="Times New Roman"/>
                <w:kern w:val="0"/>
                <w:sz w:val="18"/>
                <w:szCs w:val="18"/>
              </w:rPr>
              <w:t xml:space="preserve">цена договора (заявки), указанная в </w:t>
            </w:r>
            <w:r>
              <w:rPr>
                <w:rFonts w:eastAsia="Calibri" w:cs="Times New Roman"/>
                <w:kern w:val="0"/>
                <w:sz w:val="18"/>
                <w:szCs w:val="18"/>
                <w:lang w:val="en-US"/>
              </w:rPr>
              <w:t>i</w:t>
            </w:r>
            <w:r>
              <w:rPr>
                <w:rFonts w:eastAsia="Calibri" w:cs="Times New Roman"/>
                <w:kern w:val="0"/>
                <w:sz w:val="18"/>
                <w:szCs w:val="18"/>
              </w:rPr>
              <w:t xml:space="preserve">-той заявке (в Коммерческом предложении по установленной в Документации о закупке форме) допущенного Участника, </w:t>
            </w:r>
            <w:r>
              <w:rPr>
                <w:rFonts w:cs="Times New Roman"/>
                <w:kern w:val="0"/>
                <w:sz w:val="18"/>
                <w:szCs w:val="18"/>
              </w:rPr>
              <w:t>руб. без учета НДС ;</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val="false"/>
                <w:iCs w:val="false"/>
                <w:kern w:val="0"/>
                <w:sz w:val="18"/>
                <w:szCs w:val="18"/>
                <w:vertAlign w:val="subscript"/>
                <w:lang w:val="en-US" w:eastAsia="ru-RU"/>
              </w:rPr>
              <w:t xml:space="preserve">min </w:t>
            </w:r>
            <w:r>
              <w:rPr>
                <w:rFonts w:cs="Times New Roman"/>
                <w:kern w:val="0"/>
                <w:sz w:val="18"/>
                <w:szCs w:val="18"/>
              </w:rPr>
              <w:t>– минимальная цена договора (заявки) среди всех допущенных заявок Участников, руб. без учета НДС;</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Ш</w:t>
            </w:r>
            <w:r>
              <w:rPr>
                <w:rFonts w:cs="Times New Roman"/>
                <w:kern w:val="0"/>
                <w:sz w:val="18"/>
                <w:szCs w:val="18"/>
                <w:lang w:eastAsia="ru-RU"/>
              </w:rPr>
              <w:tab/>
              <w:t>–</w:t>
              <w:tab/>
              <w:t xml:space="preserve">максимально возможный балл (максимальная возможная оценка предпочтительности) по шкале оценок </w:t>
            </w:r>
            <w:r>
              <w:rPr>
                <w:rFonts w:cs="Cantarell" w:ascii="Cantarell" w:hAnsi="Cantarell"/>
                <w:kern w:val="0"/>
                <w:sz w:val="18"/>
                <w:szCs w:val="18"/>
                <w:lang w:eastAsia="ru-RU"/>
              </w:rPr>
              <w:t>(Ш</w:t>
            </w:r>
            <w:r>
              <w:rPr>
                <w:rFonts w:cs="Times New Roman"/>
                <w:kern w:val="0"/>
                <w:sz w:val="18"/>
                <w:szCs w:val="18"/>
                <w:lang w:eastAsia="ru-RU"/>
              </w:rPr>
              <w:t> = 5).</w:t>
            </w:r>
          </w:p>
          <w:p>
            <w:pPr>
              <w:pStyle w:val="31"/>
              <w:widowControl w:val="false"/>
              <w:numPr>
                <w:ilvl w:val="7"/>
                <w:numId w:val="19"/>
              </w:numPr>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widowControl w:val="false"/>
              <w:numPr>
                <w:ilvl w:val="7"/>
                <w:numId w:val="19"/>
              </w:numPr>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widowControl w:val="false"/>
              <w:numPr>
                <w:ilvl w:val="7"/>
                <w:numId w:val="19"/>
              </w:numPr>
              <w:spacing w:lineRule="auto" w:line="240" w:before="0" w:after="96"/>
              <w:ind w:firstLine="283" w:left="0" w:right="0"/>
              <w:jc w:val="left"/>
              <w:rPr>
                <w:b/>
                <w:bCs/>
              </w:rPr>
            </w:pPr>
            <w:r>
              <w:rPr>
                <w:rFonts w:cs="Times New Roman" w:ascii="Times New Roman" w:hAnsi="Times New Roman"/>
                <w:b/>
                <w:bCs/>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widowControl w:val="false"/>
              <w:numPr>
                <w:ilvl w:val="0"/>
              </w:numPr>
              <w:spacing w:lineRule="auto" w:line="240" w:before="40" w:after="40"/>
              <w:ind w:hanging="0" w:left="0" w:right="0"/>
              <w:rPr>
                <w:rFonts w:ascii="Times New Roman" w:hAnsi="Times New Roman" w:cs="Times New Roman"/>
                <w:kern w:val="0"/>
                <w:sz w:val="18"/>
                <w:szCs w:val="18"/>
              </w:rPr>
            </w:pPr>
            <w:r>
              <w:rPr>
                <w:rFonts w:cs="Times New Roman" w:ascii="Times New Roman" w:hAnsi="Times New Roman"/>
                <w:kern w:val="0"/>
                <w:sz w:val="18"/>
                <w:szCs w:val="18"/>
              </w:rPr>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tabs>
                <w:tab w:val="clear" w:pos="0"/>
              </w:tabs>
              <w:spacing w:lineRule="auto" w:line="240" w:before="40" w:after="0"/>
              <w:ind w:hanging="0" w:left="0" w:right="0"/>
              <w:jc w:val="center"/>
              <w:rPr>
                <w:rFonts w:ascii="Times New Roman" w:hAnsi="Times New Roman" w:cs="Times New Roman"/>
                <w:sz w:val="18"/>
                <w:szCs w:val="18"/>
                <w:lang w:eastAsia="ru-RU"/>
              </w:rPr>
            </w:pPr>
            <w:r>
              <w:rPr>
                <w:rFonts w:cs="Times New Roman" w:ascii="Times New Roman" w:hAnsi="Times New Roman"/>
                <w:kern w:val="0"/>
                <w:sz w:val="18"/>
                <w:szCs w:val="18"/>
                <w:lang w:eastAsia="ru-RU"/>
              </w:rPr>
              <w:t xml:space="preserve">Чем больше опыт оказания аналогичных профилю закупки услуг </w:t>
            </w:r>
            <w:r>
              <w:rPr>
                <w:rFonts w:cs="Times New Roman" w:ascii="Times New Roman" w:hAnsi="Times New Roman"/>
                <w:kern w:val="0"/>
                <w:sz w:val="18"/>
                <w:szCs w:val="18"/>
                <w:shd w:fill="FFFF00" w:val="clear"/>
                <w:lang w:eastAsia="ru-RU"/>
              </w:rPr>
              <w:t>(</w:t>
            </w:r>
            <w:r>
              <w:rPr>
                <w:rFonts w:eastAsia="Times New Roman" w:cs="Times New Roman" w:ascii="Times New Roman" w:hAnsi="Times New Roman"/>
                <w:b/>
                <w:bCs/>
                <w:color w:val="1F2E3C"/>
                <w:kern w:val="0"/>
                <w:sz w:val="18"/>
                <w:szCs w:val="18"/>
                <w:shd w:fill="FFFF00" w:val="clear"/>
                <w:lang w:eastAsia="ru-RU"/>
              </w:rPr>
              <w:t>оказания услуг по транспортированию отходов</w:t>
            </w:r>
            <w:r>
              <w:rPr>
                <w:rFonts w:cs="Times New Roman" w:ascii="Times New Roman" w:hAnsi="Times New Roman"/>
                <w:kern w:val="0"/>
                <w:sz w:val="18"/>
                <w:szCs w:val="18"/>
                <w:shd w:fill="FFFF00" w:val="clear"/>
                <w:lang w:eastAsia="ru-RU"/>
              </w:rPr>
              <w:t>) з</w:t>
            </w:r>
            <w:r>
              <w:rPr>
                <w:rFonts w:cs="Times New Roman" w:ascii="Times New Roman" w:hAnsi="Times New Roman"/>
                <w:kern w:val="0"/>
                <w:sz w:val="18"/>
                <w:szCs w:val="18"/>
                <w:lang w:eastAsia="ru-RU"/>
              </w:rPr>
              <w:t>а 5 лет предшествующих дате подачи заявки, тем выше предпочтительность.</w:t>
            </w:r>
          </w:p>
          <w:p>
            <w:pPr>
              <w:pStyle w:val="31"/>
              <w:widowControl w:val="false"/>
              <w:numPr>
                <w:ilvl w:val="7"/>
                <w:numId w:val="20"/>
              </w:numPr>
              <w:spacing w:lineRule="auto" w:line="240" w:before="0" w:after="40"/>
              <w:ind w:hanging="0" w:left="0" w:right="0"/>
              <w:jc w:val="center"/>
              <w:rPr>
                <w:rFonts w:ascii="Times New Roman" w:hAnsi="Times New Roman" w:cs="Times New Roman"/>
                <w:kern w:val="0"/>
                <w:sz w:val="18"/>
                <w:szCs w:val="18"/>
              </w:rPr>
            </w:pPr>
            <w:r>
              <w:rPr>
                <w:rFonts w:cs="Times New Roman" w:ascii="Times New Roman" w:hAnsi="Times New Roman"/>
                <w:kern w:val="0"/>
                <w:sz w:val="18"/>
                <w:szCs w:val="18"/>
              </w:rPr>
            </w:r>
          </w:p>
        </w:tc>
        <w:tc>
          <w:tcPr>
            <w:tcW w:w="6576"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7"/>
                <w:numId w:val="27"/>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val="false"/>
              <w:numPr>
                <w:ilvl w:val="7"/>
                <w:numId w:val="28"/>
              </w:numPr>
              <w:spacing w:lineRule="auto" w:line="240" w:before="0" w:after="60"/>
              <w:ind w:firstLine="283" w:left="0" w:right="0"/>
              <w:jc w:val="left"/>
              <w:rPr>
                <w:rFonts w:eastAsia="Calibri"/>
                <w:kern w:val="0"/>
                <w:lang w:val="ru-RU" w:eastAsia="en-US" w:bidi="ar-SA"/>
              </w:rPr>
            </w:pPr>
            <w:r>
              <w:rPr>
                <w:rFonts w:eastAsia="Calibri" w:cs="Times New Roman"/>
                <w:color w:val="000000"/>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val="false"/>
              <w:numPr>
                <w:ilvl w:val="7"/>
                <w:numId w:val="29"/>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w:t>
            </w:r>
            <w:r>
              <w:rPr>
                <w:rFonts w:eastAsia="Calibri" w:cs="Times New Roman"/>
                <w:color w:val="000000"/>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val="false"/>
              <w:numPr>
                <w:ilvl w:val="7"/>
                <w:numId w:val="30"/>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shd w:fill="FFFF00" w:val="clear"/>
                <w:lang w:val="ru-RU" w:eastAsia="en-US" w:bidi="ar-SA"/>
              </w:rPr>
              <w:t xml:space="preserve"> </w:t>
            </w:r>
            <w:r>
              <w:rPr>
                <w:rFonts w:eastAsia="Calibri" w:cs="Times New Roman"/>
                <w:color w:val="000000"/>
                <w:kern w:val="0"/>
                <w:sz w:val="18"/>
                <w:szCs w:val="18"/>
                <w:shd w:fill="FFFF00" w:val="clear"/>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r>
              <w:rPr>
                <w:rFonts w:eastAsia="Calibri" w:cs="Times New Roman"/>
                <w:color w:val="000000"/>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numPr>
                <w:ilvl w:val="7"/>
                <w:numId w:val="31"/>
              </w:numPr>
              <w:spacing w:lineRule="auto" w:line="240" w:before="0" w:after="60"/>
              <w:ind w:firstLine="283" w:left="0" w:right="0"/>
              <w:jc w:val="left"/>
              <w:rPr>
                <w:rFonts w:ascii="Times New Roman" w:hAnsi="Times New Roman" w:cs="Times New Roman"/>
                <w:color w:val="000000"/>
                <w:sz w:val="18"/>
                <w:szCs w:val="18"/>
              </w:rPr>
            </w:pPr>
            <w:r>
              <w:rPr>
                <w:rFonts w:eastAsia="Calibri" w:cs="Times New Roman"/>
                <w:color w:val="000000"/>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6378" w:type="dxa"/>
              <w:jc w:val="left"/>
              <w:tblInd w:w="0" w:type="dxa"/>
              <w:tblLayout w:type="fixed"/>
              <w:tblCellMar>
                <w:top w:w="0" w:type="dxa"/>
                <w:left w:w="108" w:type="dxa"/>
                <w:bottom w:w="0" w:type="dxa"/>
                <w:right w:w="108" w:type="dxa"/>
              </w:tblCellMar>
            </w:tblPr>
            <w:tblGrid>
              <w:gridCol w:w="882"/>
              <w:gridCol w:w="5495"/>
            </w:tblGrid>
            <w:tr>
              <w:trPr>
                <w:cantSplit w:val="true"/>
              </w:trPr>
              <w:tc>
                <w:tcPr>
                  <w:tcW w:w="882" w:type="dxa"/>
                  <w:tcBorders>
                    <w:bottom w:val="single" w:sz="4" w:space="0" w:color="000000"/>
                    <w:right w:val="single" w:sz="4" w:space="0" w:color="000000"/>
                  </w:tcBorders>
                </w:tcPr>
                <w:p>
                  <w:pPr>
                    <w:pStyle w:val="Normal"/>
                    <w:widowControl w:val="false"/>
                    <w:spacing w:before="0" w:after="0"/>
                    <w:ind w:firstLine="27" w:left="0" w:right="0"/>
                    <w:jc w:val="center"/>
                    <w:rPr>
                      <w:rFonts w:ascii="Times New Roman" w:hAnsi="Times New Roman" w:cs="Times New Roman"/>
                      <w:color w:val="000000"/>
                      <w:sz w:val="18"/>
                      <w:szCs w:val="18"/>
                    </w:rPr>
                  </w:pPr>
                  <w:r>
                    <w:rPr>
                      <w:rFonts w:eastAsia="Calibri" w:cs="Times New Roman"/>
                      <w:color w:val="000000"/>
                      <w:sz w:val="18"/>
                      <w:szCs w:val="18"/>
                      <w:lang w:eastAsia="ru-RU"/>
                    </w:rPr>
                    <w:t>Б2 = 0</w:t>
                  </w:r>
                </w:p>
              </w:tc>
              <w:tc>
                <w:tcPr>
                  <w:tcW w:w="5495" w:type="dxa"/>
                  <w:tcBorders>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Опыт отсутствует/Опыт не подтвержден;</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 xml:space="preserve">более 0% от НМЦ «без учета НДС», но менее 20% от НМЦ «без учета НДС» </w:t>
                  </w:r>
                </w:p>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20% от НМЦ «без учета НДС», но менее 40%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40% от НМЦ «без учета НДС», но менее 60%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60% от НМЦ «без учета НДС», но менее 80% от НМЦ «без учета НДС» (включительно)</w:t>
                  </w:r>
                </w:p>
              </w:tc>
            </w:tr>
            <w:tr>
              <w:trPr>
                <w:cantSplit w:val="true"/>
              </w:trPr>
              <w:tc>
                <w:tcPr>
                  <w:tcW w:w="882" w:type="dxa"/>
                  <w:tcBorders>
                    <w:top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5495" w:type="dxa"/>
                  <w:tcBorders>
                    <w:top w:val="single" w:sz="4" w:space="0" w:color="000000"/>
                    <w:left w:val="single" w:sz="4" w:space="0" w:color="000000"/>
                  </w:tcBorders>
                </w:tcPr>
                <w:p>
                  <w:pPr>
                    <w:pStyle w:val="Normal"/>
                    <w:widowControl w:val="false"/>
                    <w:spacing w:before="120" w:after="0"/>
                    <w:rPr>
                      <w:rFonts w:ascii="Times New Roman" w:hAnsi="Times New Roman" w:cs="Times New Roman"/>
                      <w:sz w:val="18"/>
                      <w:szCs w:val="18"/>
                    </w:rPr>
                  </w:pPr>
                  <w:r>
                    <w:rPr>
                      <w:rFonts w:eastAsia="Calibri" w:cs="Times New Roman"/>
                      <w:color w:val="000000"/>
                      <w:sz w:val="18"/>
                      <w:szCs w:val="18"/>
                    </w:rPr>
                    <w:t>более 80% от НМЦ «без учета НДС» и выше;</w:t>
                  </w:r>
                </w:p>
              </w:tc>
            </w:tr>
          </w:tbl>
          <w:p>
            <w:pPr>
              <w:pStyle w:val="22"/>
              <w:widowControl w:val="false"/>
              <w:numPr>
                <w:ilvl w:val="6"/>
                <w:numId w:val="20"/>
              </w:numPr>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20"/>
              </w:numPr>
              <w:tabs>
                <w:tab w:val="left" w:pos="0"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widowControl w:val="false"/>
              <w:numPr>
                <w:ilvl w:val="7"/>
                <w:numId w:val="20"/>
              </w:numPr>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widowControl w:val="false"/>
              <w:numPr>
                <w:ilvl w:val="7"/>
                <w:numId w:val="20"/>
              </w:numPr>
              <w:spacing w:lineRule="auto" w:line="240" w:before="0" w:after="40"/>
              <w:ind w:firstLine="283" w:left="0" w:right="0"/>
              <w:jc w:val="left"/>
              <w:rPr>
                <w:b/>
                <w:bCs/>
              </w:rPr>
            </w:pPr>
            <w:r>
              <w:rPr>
                <w:rFonts w:cs="Times New Roman" w:ascii="Times New Roman" w:hAnsi="Times New Roman"/>
                <w:b/>
                <w:bCs/>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026" w:type="dxa"/>
            <w:tcBorders>
              <w:top w:val="single" w:sz="4" w:space="0" w:color="7F7F7F"/>
              <w:left w:val="single" w:sz="4" w:space="0" w:color="7F7F7F"/>
              <w:bottom w:val="single" w:sz="4" w:space="0" w:color="7F7F7F"/>
              <w:right w:val="single" w:sz="4" w:space="0" w:color="7F7F7F"/>
            </w:tcBorders>
          </w:tcPr>
          <w:p>
            <w:pPr>
              <w:pStyle w:val="31"/>
              <w:keepNext w:val="false"/>
              <w:keepLines w:val="false"/>
              <w:widowControl w:val="false"/>
              <w:numPr>
                <w:ilvl w:val="7"/>
                <w:numId w:val="21"/>
              </w:numPr>
              <w:bidi w:val="0"/>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val="fals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val="false"/>
              <w:numPr>
                <w:ilvl w:val="0"/>
                <w:numId w:val="13"/>
              </w:numPr>
              <w:spacing w:lineRule="auto" w:line="240" w:before="40" w:after="0"/>
              <w:ind w:hanging="142" w:left="142" w:right="0"/>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val="false"/>
              <w:numPr>
                <w:ilvl w:val="0"/>
                <w:numId w:val="13"/>
              </w:numPr>
              <w:spacing w:lineRule="auto" w:line="240" w:before="0" w:after="40"/>
              <w:ind w:hanging="142" w:left="142" w:right="0"/>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numPr>
                <w:ilvl w:val="0"/>
                <w:numId w:val="13"/>
              </w:numPr>
              <w:spacing w:lineRule="auto" w:line="240" w:before="40" w:after="40"/>
              <w:ind w:hanging="142" w:left="284" w:right="0"/>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6379" w:type="dxa"/>
              <w:jc w:val="left"/>
              <w:tblInd w:w="0" w:type="dxa"/>
              <w:tblLayout w:type="fixed"/>
              <w:tblCellMar>
                <w:top w:w="0" w:type="dxa"/>
                <w:left w:w="57" w:type="dxa"/>
                <w:bottom w:w="0" w:type="dxa"/>
                <w:right w:w="57" w:type="dxa"/>
              </w:tblCellMar>
            </w:tblPr>
            <w:tblGrid>
              <w:gridCol w:w="789"/>
              <w:gridCol w:w="5589"/>
            </w:tblGrid>
            <w:tr>
              <w:trPr/>
              <w:tc>
                <w:tcPr>
                  <w:tcW w:w="789" w:type="dxa"/>
                  <w:tcBorders>
                    <w:bottom w:val="single" w:sz="4" w:space="0" w:color="7F7F7F"/>
                    <w:right w:val="single" w:sz="4" w:space="0" w:color="7F7F7F"/>
                  </w:tcBorders>
                </w:tcPr>
                <w:p>
                  <w:pPr>
                    <w:pStyle w:val="Style21"/>
                    <w:keepNext w:val="false"/>
                    <w:keepLines w:val="false"/>
                    <w:widowControl w:val="fals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89" w:type="dxa"/>
                  <w:tcBorders>
                    <w:left w:val="single" w:sz="4" w:space="0" w:color="7F7F7F"/>
                    <w:bottom w:val="single" w:sz="4" w:space="0" w:color="7F7F7F"/>
                  </w:tcBorders>
                </w:tcPr>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val="fals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val="false"/>
                    <w:numPr>
                      <w:ilvl w:val="0"/>
                      <w:numId w:val="13"/>
                    </w:numPr>
                    <w:spacing w:lineRule="auto" w:line="240" w:before="40" w:after="0"/>
                    <w:ind w:hanging="142" w:left="142" w:right="0"/>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val="false"/>
                    <w:numPr>
                      <w:ilvl w:val="0"/>
                      <w:numId w:val="13"/>
                    </w:numPr>
                    <w:spacing w:lineRule="auto" w:line="240" w:before="0" w:after="40"/>
                    <w:ind w:hanging="142" w:left="142" w:right="0"/>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89" w:type="dxa"/>
                  <w:tcBorders>
                    <w:top w:val="single" w:sz="4" w:space="0" w:color="7F7F7F"/>
                    <w:left w:val="single" w:sz="4" w:space="0" w:color="7F7F7F"/>
                    <w:bottom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89" w:type="dxa"/>
                  <w:tcBorders>
                    <w:top w:val="single" w:sz="4" w:space="0" w:color="7F7F7F"/>
                    <w:lef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val="false"/>
              <w:spacing w:lineRule="auto" w:line="240" w:before="40" w:after="40"/>
              <w:jc w:val="left"/>
              <w:rPr>
                <w:b/>
                <w:bCs/>
              </w:rPr>
            </w:pPr>
            <w:r>
              <w:rPr>
                <w:rFonts w:eastAsia="Calibri" w:cs="Arial"/>
                <w:b/>
                <w:bCs/>
                <w:kern w:val="0"/>
                <w:sz w:val="18"/>
                <w:szCs w:val="18"/>
                <w:lang w:val="ru-RU" w:eastAsia="en-US" w:bidi="ar-SA"/>
              </w:rPr>
              <w:t>Шкала оценок от 0 до 5 баллов.</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4509"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667"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val="fals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79" w:name="_Ref125360420"/>
      <w:bookmarkStart w:id="380" w:name="_Toc228876904"/>
      <w:bookmarkStart w:id="381" w:name="Прил09_ОбоснованиеНМЦ"/>
      <w:bookmarkEnd w:id="381"/>
      <w:r>
        <w:rPr/>
        <w:t>Приложение № 9 – Обоснование НМЦ</w:t>
      </w:r>
      <w:bookmarkEnd w:id="379"/>
      <w:bookmarkEnd w:id="380"/>
    </w:p>
    <w:p>
      <w:pPr>
        <w:pStyle w:val="Style16"/>
        <w:spacing w:before="360" w:after="0"/>
        <w:rPr/>
      </w:pPr>
      <w:bookmarkStart w:id="382" w:name="_Toc228876905"/>
      <w:r>
        <w:rPr/>
        <w:t>Пояснения к Обоснованию НМЦ</w:t>
      </w:r>
      <w:bookmarkEnd w:id="382"/>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83" w:name="_Toc228876906"/>
      <w:bookmarkStart w:id="384" w:name="Прил10_ФормаЗаявкиНаАккредитацию"/>
      <w:bookmarkEnd w:id="384"/>
      <w:r>
        <w:rPr/>
        <w:t>Приложение № 10 – Форма Заявки на аккредитацию</w:t>
      </w:r>
      <w:bookmarkEnd w:id="383"/>
    </w:p>
    <w:p>
      <w:pPr>
        <w:pStyle w:val="Style16"/>
        <w:spacing w:before="360" w:after="0"/>
        <w:rPr/>
      </w:pPr>
      <w:bookmarkStart w:id="385" w:name="_Toc228876907"/>
      <w:r>
        <w:rPr/>
        <w:t>Пояснения к форме Заявки на аккредитацию</w:t>
      </w:r>
      <w:bookmarkEnd w:id="385"/>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6"/>
      <w:r>
        <w:rPr/>
        <w:t>.</w:t>
      </w:r>
    </w:p>
    <w:p>
      <w:pPr>
        <w:pStyle w:val="Style21"/>
        <w:jc w:val="center"/>
        <w:rPr/>
      </w:pPr>
      <w:r>
        <w:rPr/>
        <w:drawing>
          <wp:inline distT="0" distB="0" distL="0" distR="0">
            <wp:extent cx="914400" cy="645160"/>
            <wp:effectExtent l="0" t="0" r="0" b="0"/>
            <wp:docPr id="5" name="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4" descr=""/>
                    <pic:cNvPicPr>
                      <a:picLocks noChangeAspect="1" noChangeArrowheads="1"/>
                    </pic:cNvPicPr>
                  </pic:nvPicPr>
                  <pic:blipFill>
                    <a:blip r:embed="rId36"/>
                    <a:stretch>
                      <a:fillRect/>
                    </a:stretch>
                  </pic:blipFill>
                  <pic:spPr bwMode="auto">
                    <a:xfrm>
                      <a:off x="0" y="0"/>
                      <a:ext cx="914400" cy="645160"/>
                    </a:xfrm>
                    <a:prstGeom prst="rect">
                      <a:avLst/>
                    </a:prstGeom>
                  </pic:spPr>
                </pic:pic>
              </a:graphicData>
            </a:graphic>
          </wp:inline>
        </w:drawing>
      </w:r>
    </w:p>
    <w:p>
      <w:pPr>
        <w:pStyle w:val="Normal"/>
        <w:rPr/>
      </w:pPr>
      <w:r>
        <w:rPr/>
      </w:r>
    </w:p>
    <w:p>
      <w:pPr>
        <w:pStyle w:val="Style15"/>
        <w:spacing w:before="0" w:after="0"/>
        <w:rPr/>
      </w:pPr>
      <w:bookmarkStart w:id="387" w:name="_Toc228876908"/>
      <w:bookmarkStart w:id="388" w:name="Прил11_Данные_бухотчетность"/>
      <w:r>
        <w:rPr/>
        <w:t xml:space="preserve">Приложение № 11 </w:t>
      </w:r>
      <w:bookmarkEnd w:id="388"/>
      <w:r>
        <w:rPr/>
        <w:t>– форма Данных бухгалтерской (финансовой) отчетности</w:t>
      </w:r>
      <w:bookmarkEnd w:id="387"/>
    </w:p>
    <w:p>
      <w:pPr>
        <w:pStyle w:val="Style16"/>
        <w:spacing w:before="360" w:after="0"/>
        <w:rPr/>
      </w:pPr>
      <w:bookmarkStart w:id="389" w:name="_Toc228876909"/>
      <w:r>
        <w:rPr/>
        <w:t>Пояснения к форме Данных бухгалтерской (финансовой) отчетности</w:t>
      </w:r>
      <w:bookmarkEnd w:id="389"/>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90" w:name="_Hlk210644436"/>
      <w:bookmarkStart w:id="391" w:name="_MON_1821256687"/>
      <w:bookmarkEnd w:id="391"/>
      <w:r>
        <w:rPr/>
        <w:drawing>
          <wp:inline distT="0" distB="0" distL="0" distR="0">
            <wp:extent cx="998855" cy="645160"/>
            <wp:effectExtent l="0" t="0" r="0" b="0"/>
            <wp:docPr id="6" name="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5" descr=""/>
                    <pic:cNvPicPr>
                      <a:picLocks noChangeAspect="1" noChangeArrowheads="1"/>
                    </pic:cNvPicPr>
                  </pic:nvPicPr>
                  <pic:blipFill>
                    <a:blip r:embed="rId37"/>
                    <a:stretch>
                      <a:fillRect/>
                    </a:stretch>
                  </pic:blipFill>
                  <pic:spPr bwMode="auto">
                    <a:xfrm>
                      <a:off x="0" y="0"/>
                      <a:ext cx="998855" cy="645160"/>
                    </a:xfrm>
                    <a:prstGeom prst="rect">
                      <a:avLst/>
                    </a:prstGeom>
                  </pic:spPr>
                </pic:pic>
              </a:graphicData>
            </a:graphic>
          </wp:inline>
        </w:drawing>
      </w:r>
      <w:bookmarkEnd w:id="390"/>
    </w:p>
    <w:p>
      <w:pPr>
        <w:pStyle w:val="Normal"/>
        <w:jc w:val="center"/>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48</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53</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58</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69</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72</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right="0"/>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right="0"/>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right="0"/>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right="0"/>
        <w:jc w:val="both"/>
        <w:rPr/>
      </w:pPr>
      <w:r>
        <w:rPr>
          <w:rStyle w:val="Style5"/>
        </w:rPr>
        <w:footnoteRef/>
      </w:r>
      <w:r>
        <w:rPr/>
        <w:tab/>
        <w:t>https://minfin.gov.ru/ru/perfomance/tax_relations/policy/bankwarranty/</w:t>
      </w:r>
    </w:p>
  </w:footnote>
  <w:footnote w:id="11">
    <w:p>
      <w:pPr>
        <w:pStyle w:val="Style23"/>
        <w:spacing w:before="80" w:after="0"/>
        <w:ind w:hanging="567" w:left="567" w:right="0"/>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right="0"/>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right="0"/>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right="0"/>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right="0"/>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Arial" w:cs="Arial"/>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Arial" w:hAnsi="Arial" w:eastAsia="Arial" w:cs="Arial"/>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Arial" w:hAnsi="Arial" w:eastAsia="Arial" w:cs="Arial"/>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Arial" w:hAnsi="Arial" w:eastAsia="Arial" w:cs="Arial"/>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Arial" w:hAnsi="Arial" w:eastAsia="Arial" w:cs="Arial"/>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Arial" w:hAnsi="Arial" w:eastAsia="Arial" w:cs="Arial"/>
      <w:i/>
      <w:iCs/>
      <w:sz w:val="21"/>
      <w:szCs w:val="21"/>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Arial" w:cs="Arial"/>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hanging="0"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hanging="0"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right="0"/>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right="0"/>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right="0"/>
    </w:pPr>
    <w:rPr>
      <w:b/>
      <w:caps/>
    </w:rPr>
  </w:style>
  <w:style w:type="paragraph" w:styleId="TOC3">
    <w:name w:val="TOC 3"/>
    <w:basedOn w:val="Normal"/>
    <w:next w:val="Normal"/>
    <w:pPr>
      <w:spacing w:lineRule="auto" w:line="259" w:before="0" w:after="100"/>
      <w:ind w:hanging="0" w:left="440" w:right="0"/>
    </w:pPr>
    <w:rPr>
      <w:rFonts w:ascii="Calibri" w:hAnsi="Calibri" w:eastAsia="Arial"/>
      <w:sz w:val="22"/>
      <w:lang w:eastAsia="ru-RU"/>
    </w:rPr>
  </w:style>
  <w:style w:type="paragraph" w:styleId="TOC4">
    <w:name w:val="TOC 4"/>
    <w:basedOn w:val="Normal"/>
    <w:next w:val="Normal"/>
    <w:pPr>
      <w:spacing w:lineRule="auto" w:line="259" w:before="0" w:after="100"/>
      <w:ind w:hanging="0" w:left="660" w:right="0"/>
    </w:pPr>
    <w:rPr>
      <w:rFonts w:ascii="Calibri" w:hAnsi="Calibri" w:eastAsia="Arial"/>
      <w:sz w:val="22"/>
      <w:lang w:eastAsia="ru-RU"/>
    </w:rPr>
  </w:style>
  <w:style w:type="paragraph" w:styleId="TOC5">
    <w:name w:val="TOC 5"/>
    <w:basedOn w:val="Normal"/>
    <w:next w:val="Normal"/>
    <w:pPr>
      <w:spacing w:lineRule="auto" w:line="259" w:before="0" w:after="100"/>
      <w:ind w:hanging="0" w:left="880" w:right="0"/>
    </w:pPr>
    <w:rPr>
      <w:rFonts w:ascii="Calibri" w:hAnsi="Calibri" w:eastAsia="Arial"/>
      <w:sz w:val="22"/>
      <w:lang w:eastAsia="ru-RU"/>
    </w:rPr>
  </w:style>
  <w:style w:type="paragraph" w:styleId="TOC6">
    <w:name w:val="TOC 6"/>
    <w:basedOn w:val="Normal"/>
    <w:next w:val="Normal"/>
    <w:pPr>
      <w:spacing w:lineRule="auto" w:line="259" w:before="0" w:after="100"/>
      <w:ind w:hanging="0" w:left="1100" w:right="0"/>
    </w:pPr>
    <w:rPr>
      <w:rFonts w:ascii="Calibri" w:hAnsi="Calibri" w:eastAsia="Arial"/>
      <w:sz w:val="22"/>
      <w:lang w:eastAsia="ru-RU"/>
    </w:rPr>
  </w:style>
  <w:style w:type="paragraph" w:styleId="TOC7">
    <w:name w:val="TOC 7"/>
    <w:basedOn w:val="Normal"/>
    <w:next w:val="Normal"/>
    <w:pPr>
      <w:spacing w:lineRule="auto" w:line="259" w:before="0" w:after="100"/>
      <w:ind w:hanging="0" w:left="1320" w:right="0"/>
    </w:pPr>
    <w:rPr>
      <w:rFonts w:ascii="Calibri" w:hAnsi="Calibri" w:eastAsia="Arial"/>
      <w:sz w:val="22"/>
      <w:lang w:eastAsia="ru-RU"/>
    </w:rPr>
  </w:style>
  <w:style w:type="paragraph" w:styleId="TOC8">
    <w:name w:val="TOC 8"/>
    <w:basedOn w:val="Normal"/>
    <w:next w:val="Normal"/>
    <w:pPr>
      <w:spacing w:lineRule="auto" w:line="259" w:before="0" w:after="100"/>
      <w:ind w:hanging="0" w:left="1540" w:right="0"/>
    </w:pPr>
    <w:rPr>
      <w:rFonts w:ascii="Calibri" w:hAnsi="Calibri" w:eastAsia="Arial"/>
      <w:sz w:val="22"/>
      <w:lang w:eastAsia="ru-RU"/>
    </w:rPr>
  </w:style>
  <w:style w:type="paragraph" w:styleId="TOC9">
    <w:name w:val="TOC 9"/>
    <w:basedOn w:val="Normal"/>
    <w:next w:val="Normal"/>
    <w:pPr>
      <w:spacing w:lineRule="auto" w:line="259" w:before="0" w:after="100"/>
      <w:ind w:hanging="0" w:left="1760" w:right="0"/>
    </w:pPr>
    <w:rPr>
      <w:rFonts w:ascii="Calibri" w:hAnsi="Calibri" w:eastAsia="Arial"/>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ListParagraph">
    <w:name w:val="List Paragraph"/>
    <w:basedOn w:val="Normal"/>
    <w:qFormat/>
    <w:pPr>
      <w:spacing w:before="120" w:after="0"/>
      <w:ind w:hanging="0" w:left="720" w:right="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right="0"/>
    </w:pPr>
    <w:rPr/>
  </w:style>
  <w:style w:type="paragraph" w:styleId="Style27">
    <w:name w:val="Подподпункт"/>
    <w:basedOn w:val="Style26"/>
    <w:qFormat/>
    <w:pPr>
      <w:numPr>
        <w:ilvl w:val="4"/>
        <w:numId w:val="9"/>
      </w:numPr>
      <w:ind w:hanging="360" w:left="3600" w:right="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right="0"/>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31">
    <w:name w:val="УРОВЕНЬ_Абзац_тип3"/>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0" w:right="0"/>
      <w:jc w:val="both"/>
    </w:pPr>
    <w:rPr>
      <w:rFonts w:ascii="Calibri" w:hAnsi="Calibri" w:eastAsia="Calibri" w:cs="Arial"/>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rPr>
  </w:style>
  <w:style w:type="paragraph" w:styleId="22">
    <w:name w:val="УРОВЕНЬ_Абзац_тип2"/>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72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4.png"/><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image" Target="media/image5.wmf"/><Relationship Id="rId37" Type="http://schemas.openxmlformats.org/officeDocument/2006/relationships/image" Target="media/image6.wmf"/><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160</TotalTime>
  <Application>AlterOffice/2026.2.0.0$Linux_X86_64 LibreOffice_project/bc4ef1adf80b36c7a6365f8ed6cbf29021361edd</Application>
  <AppVersion>15.0000</AppVersion>
  <Pages>72</Pages>
  <Words>19443</Words>
  <Characters>134518</Characters>
  <CharactersWithSpaces>151199</CharactersWithSpaces>
  <Paragraphs>1106</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2026-10-07T08:46:03Z</dcterms:modified>
  <cp:revision>177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