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C63" w:rsidRDefault="00991685">
      <w:pPr>
        <w:shd w:val="clear" w:color="auto" w:fill="FFFFFF"/>
        <w:tabs>
          <w:tab w:val="left" w:pos="7513"/>
        </w:tabs>
        <w:ind w:left="4820" w:right="58"/>
        <w:jc w:val="right"/>
        <w:rPr>
          <w:spacing w:val="-1"/>
          <w:sz w:val="24"/>
          <w:szCs w:val="24"/>
        </w:rPr>
      </w:pPr>
      <w:r>
        <w:rPr>
          <w:bCs/>
          <w:spacing w:val="-1"/>
          <w:sz w:val="24"/>
          <w:szCs w:val="26"/>
        </w:rPr>
        <w:t>УТВЕРЖДЕНО</w:t>
      </w:r>
    </w:p>
    <w:p w:rsidR="005C7C63" w:rsidRDefault="00991685">
      <w:pPr>
        <w:shd w:val="clear" w:color="auto" w:fill="FFFFFF"/>
        <w:tabs>
          <w:tab w:val="left" w:pos="7513"/>
        </w:tabs>
        <w:ind w:left="4820" w:right="58"/>
        <w:jc w:val="right"/>
        <w:rPr>
          <w:bCs/>
          <w:spacing w:val="-1"/>
          <w:sz w:val="24"/>
          <w:szCs w:val="26"/>
        </w:rPr>
      </w:pPr>
      <w:r>
        <w:rPr>
          <w:bCs/>
          <w:spacing w:val="-1"/>
          <w:sz w:val="24"/>
          <w:szCs w:val="26"/>
        </w:rPr>
        <w:t xml:space="preserve">Решением Совета директоров </w:t>
      </w:r>
    </w:p>
    <w:p w:rsidR="005C7C63" w:rsidRDefault="00991685">
      <w:pPr>
        <w:shd w:val="clear" w:color="auto" w:fill="FFFFFF"/>
        <w:tabs>
          <w:tab w:val="left" w:pos="7513"/>
        </w:tabs>
        <w:ind w:left="4820" w:right="58"/>
        <w:jc w:val="right"/>
        <w:rPr>
          <w:bCs/>
          <w:spacing w:val="-1"/>
          <w:sz w:val="24"/>
          <w:szCs w:val="26"/>
        </w:rPr>
      </w:pPr>
      <w:r>
        <w:rPr>
          <w:bCs/>
          <w:spacing w:val="-1"/>
          <w:sz w:val="24"/>
          <w:szCs w:val="26"/>
        </w:rPr>
        <w:t>АО «ДГК» «</w:t>
      </w:r>
      <w:r w:rsidR="00330928">
        <w:rPr>
          <w:bCs/>
          <w:spacing w:val="-1"/>
          <w:sz w:val="24"/>
          <w:szCs w:val="26"/>
          <w:lang w:val="en-US"/>
        </w:rPr>
        <w:t>24</w:t>
      </w:r>
      <w:r>
        <w:rPr>
          <w:bCs/>
          <w:spacing w:val="-1"/>
          <w:sz w:val="24"/>
          <w:szCs w:val="26"/>
        </w:rPr>
        <w:t>»</w:t>
      </w:r>
      <w:r w:rsidR="00330928">
        <w:rPr>
          <w:bCs/>
          <w:spacing w:val="-1"/>
          <w:sz w:val="24"/>
          <w:szCs w:val="26"/>
          <w:lang w:val="en-US"/>
        </w:rPr>
        <w:t xml:space="preserve"> </w:t>
      </w:r>
      <w:r w:rsidR="00330928">
        <w:rPr>
          <w:bCs/>
          <w:spacing w:val="-1"/>
          <w:sz w:val="24"/>
          <w:szCs w:val="26"/>
        </w:rPr>
        <w:t>февраля</w:t>
      </w:r>
      <w:r>
        <w:rPr>
          <w:bCs/>
          <w:spacing w:val="-1"/>
          <w:sz w:val="24"/>
          <w:szCs w:val="26"/>
        </w:rPr>
        <w:t xml:space="preserve"> 2026 г.</w:t>
      </w:r>
    </w:p>
    <w:p w:rsidR="005C7C63" w:rsidRDefault="00991685">
      <w:pPr>
        <w:shd w:val="clear" w:color="auto" w:fill="FFFFFF"/>
        <w:tabs>
          <w:tab w:val="left" w:pos="7513"/>
        </w:tabs>
        <w:ind w:left="4820" w:right="58"/>
        <w:jc w:val="right"/>
        <w:rPr>
          <w:bCs/>
          <w:spacing w:val="-1"/>
          <w:sz w:val="26"/>
          <w:szCs w:val="26"/>
        </w:rPr>
      </w:pPr>
      <w:r>
        <w:rPr>
          <w:bCs/>
          <w:spacing w:val="-1"/>
          <w:sz w:val="24"/>
          <w:szCs w:val="26"/>
        </w:rPr>
        <w:t xml:space="preserve">(протокол № </w:t>
      </w:r>
      <w:r w:rsidR="00330928">
        <w:rPr>
          <w:bCs/>
          <w:spacing w:val="-1"/>
          <w:sz w:val="24"/>
          <w:szCs w:val="26"/>
        </w:rPr>
        <w:t>3</w:t>
      </w:r>
      <w:r>
        <w:rPr>
          <w:bCs/>
          <w:spacing w:val="-1"/>
          <w:sz w:val="24"/>
          <w:szCs w:val="26"/>
        </w:rPr>
        <w:t xml:space="preserve"> от «</w:t>
      </w:r>
      <w:r w:rsidR="00330928">
        <w:rPr>
          <w:bCs/>
          <w:spacing w:val="-1"/>
          <w:sz w:val="24"/>
          <w:szCs w:val="26"/>
        </w:rPr>
        <w:t>24</w:t>
      </w:r>
      <w:r>
        <w:rPr>
          <w:bCs/>
          <w:spacing w:val="-1"/>
          <w:sz w:val="24"/>
          <w:szCs w:val="26"/>
        </w:rPr>
        <w:t xml:space="preserve">» </w:t>
      </w:r>
      <w:r w:rsidR="00330928">
        <w:rPr>
          <w:bCs/>
          <w:spacing w:val="-1"/>
          <w:sz w:val="24"/>
          <w:szCs w:val="26"/>
        </w:rPr>
        <w:t>февраля</w:t>
      </w:r>
      <w:bookmarkStart w:id="0" w:name="_GoBack"/>
      <w:bookmarkEnd w:id="0"/>
      <w:r>
        <w:rPr>
          <w:bCs/>
          <w:spacing w:val="-1"/>
          <w:sz w:val="24"/>
          <w:szCs w:val="26"/>
        </w:rPr>
        <w:t xml:space="preserve"> 2026 г.)</w:t>
      </w:r>
    </w:p>
    <w:p w:rsidR="005C7C63" w:rsidRDefault="005C7C63">
      <w:pPr>
        <w:shd w:val="clear" w:color="auto" w:fill="FFFFFF"/>
        <w:tabs>
          <w:tab w:val="left" w:pos="5387"/>
          <w:tab w:val="left" w:pos="7513"/>
        </w:tabs>
        <w:ind w:right="58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991685">
      <w:pPr>
        <w:shd w:val="clear" w:color="auto" w:fill="FFFFFF"/>
        <w:jc w:val="center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>Положение</w:t>
      </w:r>
    </w:p>
    <w:p w:rsidR="005C7C63" w:rsidRDefault="00991685">
      <w:pPr>
        <w:shd w:val="clear" w:color="auto" w:fill="FFFFFF"/>
        <w:jc w:val="center"/>
        <w:rPr>
          <w:bCs/>
          <w:sz w:val="28"/>
          <w:szCs w:val="28"/>
        </w:rPr>
      </w:pPr>
      <w:bookmarkStart w:id="1" w:name="_Hlk212391734"/>
      <w:bookmarkStart w:id="2" w:name="_Hlk212395826"/>
      <w:r>
        <w:rPr>
          <w:bCs/>
          <w:sz w:val="28"/>
          <w:szCs w:val="28"/>
        </w:rPr>
        <w:t>о</w:t>
      </w:r>
      <w:r>
        <w:t xml:space="preserve"> </w:t>
      </w:r>
      <w:r>
        <w:rPr>
          <w:bCs/>
          <w:sz w:val="28"/>
          <w:szCs w:val="28"/>
        </w:rPr>
        <w:t xml:space="preserve">порядке доступа к инсайдерской информации, </w:t>
      </w:r>
    </w:p>
    <w:p w:rsidR="005C7C63" w:rsidRDefault="00991685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правилах охраны ее конфиденциальности</w:t>
      </w:r>
      <w:bookmarkEnd w:id="1"/>
      <w:r>
        <w:rPr>
          <w:bCs/>
          <w:sz w:val="28"/>
          <w:szCs w:val="28"/>
        </w:rPr>
        <w:t xml:space="preserve"> </w:t>
      </w:r>
      <w:bookmarkEnd w:id="2"/>
    </w:p>
    <w:p w:rsidR="005C7C63" w:rsidRDefault="005C7C63">
      <w:pPr>
        <w:shd w:val="clear" w:color="auto" w:fill="FFFFFF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tabs>
          <w:tab w:val="left" w:pos="6683"/>
        </w:tabs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991685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  <w:r>
        <w:rPr>
          <w:sz w:val="28"/>
          <w:szCs w:val="28"/>
        </w:rPr>
        <w:t>г. Хабаровск</w:t>
      </w:r>
    </w:p>
    <w:p w:rsidR="005C7C63" w:rsidRDefault="00991685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  <w:sectPr w:rsidR="005C7C63">
          <w:pgSz w:w="11906" w:h="16838"/>
          <w:pgMar w:top="890" w:right="851" w:bottom="357" w:left="1644" w:header="0" w:footer="0" w:gutter="0"/>
          <w:cols w:space="1701"/>
          <w:docGrid w:linePitch="360"/>
        </w:sectPr>
      </w:pPr>
      <w:r>
        <w:rPr>
          <w:sz w:val="28"/>
          <w:szCs w:val="28"/>
        </w:rPr>
        <w:t xml:space="preserve">2026 г. </w:t>
      </w:r>
      <w:r>
        <w:br w:type="page" w:clear="all"/>
      </w:r>
    </w:p>
    <w:p w:rsidR="005C7C63" w:rsidRDefault="00991685">
      <w:pPr>
        <w:pStyle w:val="1"/>
      </w:pPr>
      <w:bookmarkStart w:id="3" w:name="_Toc210313372"/>
      <w:r>
        <w:lastRenderedPageBreak/>
        <w:t>ГЛОССАРИЙ</w:t>
      </w:r>
      <w:bookmarkEnd w:id="3"/>
    </w:p>
    <w:tbl>
      <w:tblPr>
        <w:tblStyle w:val="affe"/>
        <w:tblW w:w="9634" w:type="dxa"/>
        <w:tblLayout w:type="fixed"/>
        <w:tblLook w:val="04A0" w:firstRow="1" w:lastRow="0" w:firstColumn="1" w:lastColumn="0" w:noHBand="0" w:noVBand="1"/>
      </w:tblPr>
      <w:tblGrid>
        <w:gridCol w:w="3421"/>
        <w:gridCol w:w="6213"/>
      </w:tblGrid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торговли -</w:t>
            </w:r>
          </w:p>
        </w:tc>
        <w:tc>
          <w:tcPr>
            <w:tcW w:w="6213" w:type="dxa"/>
          </w:tcPr>
          <w:p w:rsidR="005C7C63" w:rsidRDefault="0099168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Московская Биржа 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Инсайдеры Общества -</w:t>
            </w:r>
          </w:p>
        </w:tc>
        <w:tc>
          <w:tcPr>
            <w:tcW w:w="6213" w:type="dxa"/>
          </w:tcPr>
          <w:p w:rsidR="005C7C63" w:rsidRDefault="0099168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и юридические лица, включенные в Список инсайдеров Общества и имеющие доступ к инсайдерской информации на основаниях, предусмотренных законодательством Российской Федерации.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Инсайдерская информация - </w:t>
            </w:r>
          </w:p>
        </w:tc>
        <w:tc>
          <w:tcPr>
            <w:tcW w:w="6213" w:type="dxa"/>
          </w:tcPr>
          <w:p w:rsidR="005C7C63" w:rsidRDefault="0099168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точная и конкретная информация</w:t>
            </w:r>
            <w:r w:rsidR="00224F83">
              <w:rPr>
                <w:color w:val="000000"/>
                <w:sz w:val="24"/>
                <w:szCs w:val="24"/>
              </w:rPr>
              <w:t xml:space="preserve"> Эмитента</w:t>
            </w:r>
            <w:r>
              <w:rPr>
                <w:color w:val="000000"/>
                <w:sz w:val="24"/>
                <w:szCs w:val="24"/>
              </w:rPr>
              <w:t>, которая не была распространена (в том числе сведения, составляющие коммерческую, служебную, и иную охраняемую законом тайну) и распространение которой может оказать существенное влияние на цены Финансовых инструментов.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ЕИО Общества - </w:t>
            </w:r>
          </w:p>
        </w:tc>
        <w:tc>
          <w:tcPr>
            <w:tcW w:w="6213" w:type="dxa"/>
          </w:tcPr>
          <w:p w:rsidR="005C7C63" w:rsidRDefault="0099168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единоличный исполнительный орган Общества - Генеральный директор.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 w:rsidP="00340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Лист </w:t>
            </w:r>
            <w:r w:rsidR="00340C45">
              <w:rPr>
                <w:sz w:val="24"/>
                <w:szCs w:val="24"/>
              </w:rPr>
              <w:t>эмитента</w:t>
            </w:r>
          </w:p>
        </w:tc>
        <w:tc>
          <w:tcPr>
            <w:tcW w:w="6213" w:type="dxa"/>
          </w:tcPr>
          <w:p w:rsidR="005C7C63" w:rsidRDefault="00991685" w:rsidP="00340C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эмитентов, а также финансовых инструментов, в отношении которых Обществом получена инсайдерская информация 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ЛНД (А) Общества - </w:t>
            </w:r>
          </w:p>
        </w:tc>
        <w:tc>
          <w:tcPr>
            <w:tcW w:w="6213" w:type="dxa"/>
          </w:tcPr>
          <w:p w:rsidR="005C7C63" w:rsidRDefault="0099168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локальные нормативные документы (акты) Общества.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Обращение с инсайдерской информацией - </w:t>
            </w:r>
          </w:p>
        </w:tc>
        <w:tc>
          <w:tcPr>
            <w:tcW w:w="6213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получение, хранение и любое другое использование Инсайдерской информации.</w:t>
            </w:r>
          </w:p>
        </w:tc>
      </w:tr>
      <w:tr w:rsidR="005C7C63"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- </w:t>
            </w:r>
          </w:p>
        </w:tc>
        <w:tc>
          <w:tcPr>
            <w:tcW w:w="6213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 общество Дальневосточная генерирующая компания» 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с Финансовыми инструментами - </w:t>
            </w:r>
          </w:p>
        </w:tc>
        <w:tc>
          <w:tcPr>
            <w:tcW w:w="6213" w:type="dxa"/>
          </w:tcPr>
          <w:p w:rsidR="005C7C63" w:rsidRDefault="00991685">
            <w:pPr>
              <w:pStyle w:val="Style7"/>
              <w:spacing w:line="276" w:lineRule="auto"/>
              <w:rPr>
                <w:bCs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совершение сделок и иные действия, направленные на приобретение, отчуждение, иное изменение прав на Финансовые инструменты</w:t>
            </w:r>
            <w:r w:rsidR="00B64469">
              <w:rPr>
                <w:szCs w:val="24"/>
                <w:lang w:val="ru-RU"/>
              </w:rPr>
              <w:t xml:space="preserve"> Эмитента</w:t>
            </w:r>
            <w:r>
              <w:rPr>
                <w:szCs w:val="24"/>
                <w:lang w:val="ru-RU"/>
              </w:rPr>
              <w:t>, а также действия, связанные с принятием обязательств совершить указанные действия, в том числе выставление заявок (дача поручений) или отмена таких заявок.</w:t>
            </w:r>
          </w:p>
        </w:tc>
      </w:tr>
      <w:tr w:rsidR="005C7C63">
        <w:trPr>
          <w:trHeight w:val="396"/>
        </w:trPr>
        <w:tc>
          <w:tcPr>
            <w:tcW w:w="3421" w:type="dxa"/>
            <w:shd w:val="clear" w:color="auto" w:fill="auto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Ответственное должностное лицо Общества (далее – ОДЛ) - </w:t>
            </w:r>
          </w:p>
        </w:tc>
        <w:tc>
          <w:tcPr>
            <w:tcW w:w="6213" w:type="dxa"/>
            <w:shd w:val="clear" w:color="auto" w:fill="auto"/>
          </w:tcPr>
          <w:p w:rsidR="005C7C63" w:rsidRDefault="00991685">
            <w:pPr>
              <w:pStyle w:val="Style7"/>
              <w:spacing w:line="276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ответственное должностное лицо Общества, назначаемое приказом ЕИО Общества, в обязанности которого входит осуществление контроля за соблюдением Обществом требований Федерального закона № 224-ФЗ и принятых в соответствии с ним нормативных актов, а также требований ЛНД (А) Общества по противодействию неправомерному использованию инсайдерской информации и манипулированию рынком.</w:t>
            </w:r>
          </w:p>
        </w:tc>
      </w:tr>
      <w:tr w:rsidR="005C7C63">
        <w:trPr>
          <w:trHeight w:val="396"/>
        </w:trPr>
        <w:tc>
          <w:tcPr>
            <w:tcW w:w="3421" w:type="dxa"/>
            <w:shd w:val="clear" w:color="auto" w:fill="auto"/>
          </w:tcPr>
          <w:p w:rsidR="005C7C63" w:rsidRDefault="00991685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 структурное подразделение Общества (далее – ОСП)</w:t>
            </w:r>
          </w:p>
        </w:tc>
        <w:tc>
          <w:tcPr>
            <w:tcW w:w="6213" w:type="dxa"/>
            <w:shd w:val="clear" w:color="auto" w:fill="auto"/>
          </w:tcPr>
          <w:p w:rsidR="005C7C63" w:rsidRDefault="00991685" w:rsidP="00140AA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структурное подразделение </w:t>
            </w:r>
            <w:r>
              <w:rPr>
                <w:sz w:val="24"/>
                <w:szCs w:val="24"/>
              </w:rPr>
              <w:t xml:space="preserve">Общества, назначаемое приказом ЕИО Общества, в обязанности которого входит </w:t>
            </w:r>
            <w:r w:rsidR="00140AA0">
              <w:rPr>
                <w:sz w:val="24"/>
                <w:szCs w:val="24"/>
              </w:rPr>
              <w:t>осуществление контроля за</w:t>
            </w:r>
            <w:r>
              <w:rPr>
                <w:sz w:val="24"/>
                <w:szCs w:val="24"/>
              </w:rPr>
              <w:t xml:space="preserve"> соблюдени</w:t>
            </w:r>
            <w:r w:rsidR="00140AA0">
              <w:rPr>
                <w:sz w:val="24"/>
                <w:szCs w:val="24"/>
              </w:rPr>
              <w:t>ем</w:t>
            </w:r>
            <w:r>
              <w:rPr>
                <w:sz w:val="24"/>
                <w:szCs w:val="24"/>
              </w:rPr>
              <w:t xml:space="preserve"> Обществом требований Федерального закона № 224-ФЗ и принятых в соответствии с ним нормативных актов, а также требований ЛНД (А) Общества по противодействию неправомерному использованию инсайдерской информации и манипулированию рынком.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-</w:t>
            </w:r>
          </w:p>
        </w:tc>
        <w:tc>
          <w:tcPr>
            <w:tcW w:w="6213" w:type="dxa"/>
          </w:tcPr>
          <w:p w:rsidR="005C7C63" w:rsidRDefault="00991685">
            <w:pPr>
              <w:pStyle w:val="Style7"/>
              <w:spacing w:line="276" w:lineRule="auto"/>
              <w:rPr>
                <w:szCs w:val="24"/>
                <w:lang w:val="ru-RU"/>
              </w:rPr>
            </w:pPr>
            <w:r>
              <w:rPr>
                <w:bCs/>
                <w:szCs w:val="24"/>
                <w:lang w:val="ru-RU"/>
              </w:rPr>
              <w:t>Положение 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bCs/>
                <w:szCs w:val="24"/>
                <w:lang w:val="ru-RU"/>
              </w:rPr>
              <w:t xml:space="preserve">порядке доступа к инсайдерской информации, правилах охраны ее конфиденциальности 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Правила ВК ПНИИИМР - </w:t>
            </w:r>
          </w:p>
        </w:tc>
        <w:tc>
          <w:tcPr>
            <w:tcW w:w="6213" w:type="dxa"/>
          </w:tcPr>
          <w:p w:rsidR="005C7C63" w:rsidRDefault="0099168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внутреннего контроля по предотвращению, выявлению и пресечению неправомерного использования инсайдерской информации и (или) манипулирования рынком 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Раскрытие информации -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6213" w:type="dxa"/>
          </w:tcPr>
          <w:p w:rsidR="005C7C63" w:rsidRDefault="0099168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ее доступности всем заинтересованным в этом лицам независимо от целей получения данной информации в соответствии с процедурой, гарантирующей ее нахождение и получение. Раскрытой информацией на рынке ценных бумаг признается информация, в отношении которой проведены действия по ее Раскрытию.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Связанные с Инсайдером Общества лица - </w:t>
            </w:r>
          </w:p>
        </w:tc>
        <w:tc>
          <w:tcPr>
            <w:tcW w:w="6213" w:type="dxa"/>
          </w:tcPr>
          <w:p w:rsidR="005C7C63" w:rsidRDefault="009916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 (супруга), родители, дети, усыновители, усыновленные, полнородные и неполнородные братья и сестры, бабушки и дедушки Инсайдера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Список инсайдеров Общества - </w:t>
            </w:r>
          </w:p>
        </w:tc>
        <w:tc>
          <w:tcPr>
            <w:tcW w:w="6213" w:type="dxa"/>
          </w:tcPr>
          <w:p w:rsidR="005C7C63" w:rsidRDefault="0099168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содержащий в себе сведения об Инсайдерах Общества, установленных Федеральным законом № 224-ФЗ (в том числе персональные данные), формируемый и подлежащий ведению Обществом на постоянной основе.</w:t>
            </w:r>
          </w:p>
        </w:tc>
      </w:tr>
      <w:tr w:rsidR="00140AA0">
        <w:trPr>
          <w:trHeight w:val="396"/>
        </w:trPr>
        <w:tc>
          <w:tcPr>
            <w:tcW w:w="3421" w:type="dxa"/>
          </w:tcPr>
          <w:p w:rsidR="00140AA0" w:rsidRPr="00140AA0" w:rsidRDefault="00140AA0" w:rsidP="00140AA0">
            <w:pPr>
              <w:spacing w:after="120" w:line="276" w:lineRule="auto"/>
              <w:rPr>
                <w:sz w:val="24"/>
                <w:szCs w:val="24"/>
              </w:rPr>
            </w:pPr>
            <w:r w:rsidRPr="00140AA0">
              <w:rPr>
                <w:sz w:val="24"/>
                <w:szCs w:val="24"/>
              </w:rPr>
              <w:t xml:space="preserve">СПОИ - </w:t>
            </w:r>
          </w:p>
        </w:tc>
        <w:tc>
          <w:tcPr>
            <w:tcW w:w="6213" w:type="dxa"/>
          </w:tcPr>
          <w:p w:rsidR="00140AA0" w:rsidRPr="00140AA0" w:rsidRDefault="00140AA0" w:rsidP="00140AA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0AA0">
              <w:rPr>
                <w:sz w:val="24"/>
                <w:szCs w:val="24"/>
              </w:rPr>
              <w:t xml:space="preserve">структурное подразделение Общества, назначаемое приказом ЕИО Общества, в обязанности которого входит организация исполнения соблюдения Обществом требований Федерального закона № 224-ФЗ и принятых в соответствии с ним нормативных актов, а также требований ЛНД (А) Общества по противодействию неправомерному использованию инсайдерской информации и манипулированию рынком. 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Суперинсайдеры Общества -</w:t>
            </w:r>
          </w:p>
        </w:tc>
        <w:tc>
          <w:tcPr>
            <w:tcW w:w="6213" w:type="dxa"/>
          </w:tcPr>
          <w:p w:rsidR="005C7C63" w:rsidRDefault="00991685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члены Совета директоров, Генеральный директор (в том числе управляющая организация, управляющий либо временный единоличный исполнительный орган), члены Ревизионной комиссии Общества (управляющей организации).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- </w:t>
            </w:r>
          </w:p>
        </w:tc>
        <w:tc>
          <w:tcPr>
            <w:tcW w:w="6213" w:type="dxa"/>
          </w:tcPr>
          <w:p w:rsidR="005C7C63" w:rsidRDefault="00991685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уведомление об включении в Список инсайдеров Общества (исключении из Списка инсайдеров Общества) по форме в соответствии с Приложением 1 к Положению.</w:t>
            </w:r>
            <w:r>
              <w:rPr>
                <w:szCs w:val="24"/>
              </w:rPr>
              <w:t xml:space="preserve"> 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pStyle w:val="Style7"/>
              <w:spacing w:line="276" w:lineRule="auto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Федеральный закон № 224-ФЗ - </w:t>
            </w:r>
          </w:p>
        </w:tc>
        <w:tc>
          <w:tcPr>
            <w:tcW w:w="6213" w:type="dxa"/>
          </w:tcPr>
          <w:p w:rsidR="005C7C63" w:rsidRDefault="00991685">
            <w:pPr>
              <w:pStyle w:val="Style7"/>
              <w:spacing w:line="276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Федеральный закон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pStyle w:val="Style7"/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Финансовые инструменты - </w:t>
            </w:r>
          </w:p>
        </w:tc>
        <w:tc>
          <w:tcPr>
            <w:tcW w:w="6213" w:type="dxa"/>
          </w:tcPr>
          <w:p w:rsidR="005C7C63" w:rsidRDefault="00991685">
            <w:pPr>
              <w:pStyle w:val="Style7"/>
              <w:spacing w:line="276" w:lineRule="auto"/>
              <w:rPr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ценные бумаги или производные Финансовые инструменты, как этот термин определен в Федеральном законе от 22.04.1996 № 39-ФЗ «О рынке ценных бумаг».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pStyle w:val="Style7"/>
              <w:spacing w:line="276" w:lineRule="auto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Эмитент</w:t>
            </w:r>
          </w:p>
        </w:tc>
        <w:tc>
          <w:tcPr>
            <w:tcW w:w="6213" w:type="dxa"/>
          </w:tcPr>
          <w:p w:rsidR="005C7C63" w:rsidRDefault="00991685">
            <w:pPr>
              <w:widowControl/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Лицо, в котором Общество имеет право прямо или косвенно (через подконтрольных им лиц) распоряжаться не менее чем 25 процентами голосов в высшем органе управления такого лица, или в силу владения акциями (долями) в уставном капитале такого лица Общество имеет доступ к инсайдерской информации на основании </w:t>
            </w:r>
            <w:r>
              <w:rPr>
                <w:sz w:val="24"/>
                <w:szCs w:val="24"/>
              </w:rPr>
              <w:lastRenderedPageBreak/>
              <w:t>федеральных законов, учредительных документов или внутренних документов.</w:t>
            </w:r>
          </w:p>
        </w:tc>
      </w:tr>
    </w:tbl>
    <w:p w:rsidR="005C7C63" w:rsidRDefault="00991685">
      <w:pPr>
        <w:widowControl/>
        <w:spacing w:after="200" w:line="276" w:lineRule="auto"/>
        <w:rPr>
          <w:b/>
          <w:bCs/>
          <w:spacing w:val="-2"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br w:type="page" w:clear="all"/>
      </w:r>
    </w:p>
    <w:p w:rsidR="005C7C63" w:rsidRDefault="00991685">
      <w:pPr>
        <w:pStyle w:val="1"/>
        <w:numPr>
          <w:ilvl w:val="0"/>
          <w:numId w:val="1"/>
        </w:numPr>
        <w:spacing w:line="276" w:lineRule="auto"/>
        <w:ind w:left="0" w:firstLine="0"/>
      </w:pPr>
      <w:bookmarkStart w:id="4" w:name="_Toc210313373"/>
      <w:r>
        <w:lastRenderedPageBreak/>
        <w:t>ОБЩИЕ ПОЛОЖЕНИЯ</w:t>
      </w:r>
      <w:bookmarkEnd w:id="4"/>
    </w:p>
    <w:p w:rsidR="005C7C63" w:rsidRDefault="00991685">
      <w:pPr>
        <w:shd w:val="clear" w:color="auto" w:fill="FFFFFF"/>
        <w:tabs>
          <w:tab w:val="left" w:pos="1134"/>
          <w:tab w:val="left" w:pos="1276"/>
        </w:tabs>
        <w:spacing w:line="276" w:lineRule="auto"/>
        <w:ind w:right="5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1.1. Положение разработано в соответствии с требованиями Федерального закона № 224-ФЗ и иными нормативными правовыми актами Российской Федерации,</w:t>
      </w:r>
      <w:r w:rsidR="00224F83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связанными с установлением, изменением и прекращением порядка доступа к инсайдерской информации, охраной ее конфиденциальности и контролем за соблюдением требований Федерального закона № 224-ФЗ и принятых в соответствии с ним нормативных правовых актов Российской Федерации, ЛНД (А) Общества.</w:t>
      </w:r>
    </w:p>
    <w:p w:rsidR="005C7C63" w:rsidRDefault="00991685">
      <w:pPr>
        <w:shd w:val="clear" w:color="auto" w:fill="FFFFFF"/>
        <w:tabs>
          <w:tab w:val="left" w:pos="1134"/>
          <w:tab w:val="left" w:pos="1276"/>
        </w:tabs>
        <w:spacing w:line="276" w:lineRule="auto"/>
        <w:ind w:right="5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1.2. Положение вступает в силу с даты его утверждения Советом директоров Общества.</w:t>
      </w:r>
    </w:p>
    <w:p w:rsidR="005C7C63" w:rsidRDefault="00991685">
      <w:pPr>
        <w:shd w:val="clear" w:color="auto" w:fill="FFFFFF"/>
        <w:tabs>
          <w:tab w:val="left" w:pos="1134"/>
          <w:tab w:val="left" w:pos="1276"/>
        </w:tabs>
        <w:spacing w:line="276" w:lineRule="auto"/>
        <w:ind w:right="5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1.3. Положение является ЛНД (А) Общества,</w:t>
      </w:r>
      <w:r>
        <w:t xml:space="preserve"> </w:t>
      </w:r>
      <w:r>
        <w:rPr>
          <w:spacing w:val="-2"/>
          <w:sz w:val="24"/>
          <w:szCs w:val="24"/>
        </w:rPr>
        <w:t xml:space="preserve">определяющим порядок доступа к Инсайдерской информации; правила охраны ее конфиденциальности, ограничения на ее использование, общие нормы о защите сведений, составляющих Инсайдерскую информацию; перечень лиц, подлежащих включению в Список инсайдеров Общества; условия совершения операций с Финансовыми инструментами. </w:t>
      </w:r>
    </w:p>
    <w:p w:rsidR="005C7C63" w:rsidRDefault="00991685">
      <w:pPr>
        <w:shd w:val="clear" w:color="auto" w:fill="FFFFFF"/>
        <w:tabs>
          <w:tab w:val="left" w:pos="1134"/>
          <w:tab w:val="left" w:pos="1276"/>
        </w:tabs>
        <w:spacing w:line="276" w:lineRule="auto"/>
        <w:ind w:right="5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1.4. Утверждение Правил ВК ПНИИИМР Общества, назначение ОДЛ</w:t>
      </w:r>
      <w:r w:rsidR="00340C45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 w:rsidR="00340C45">
        <w:rPr>
          <w:spacing w:val="-2"/>
          <w:sz w:val="24"/>
          <w:szCs w:val="24"/>
        </w:rPr>
        <w:t xml:space="preserve">ОСП </w:t>
      </w:r>
      <w:r>
        <w:rPr>
          <w:spacing w:val="-2"/>
          <w:sz w:val="24"/>
          <w:szCs w:val="24"/>
        </w:rPr>
        <w:t xml:space="preserve">и </w:t>
      </w:r>
      <w:r w:rsidR="00340C45">
        <w:rPr>
          <w:spacing w:val="-2"/>
          <w:sz w:val="24"/>
          <w:szCs w:val="24"/>
        </w:rPr>
        <w:t xml:space="preserve">СПОИ </w:t>
      </w:r>
      <w:r>
        <w:rPr>
          <w:spacing w:val="-2"/>
          <w:sz w:val="24"/>
          <w:szCs w:val="24"/>
        </w:rPr>
        <w:t>осуществляется ЕИО Общества.</w:t>
      </w:r>
    </w:p>
    <w:p w:rsidR="005C7C63" w:rsidRDefault="00991685">
      <w:pPr>
        <w:pStyle w:val="1"/>
      </w:pPr>
      <w:bookmarkStart w:id="5" w:name="_Toc210313374"/>
      <w:r>
        <w:t>2. ЦЕЛИ И ЗАДАЧИ ПОЛОЖЕНИЯ</w:t>
      </w:r>
      <w:bookmarkEnd w:id="5"/>
    </w:p>
    <w:p w:rsidR="005C7C63" w:rsidRDefault="00991685">
      <w:pPr>
        <w:shd w:val="clear" w:color="auto" w:fill="FFFFFF"/>
        <w:spacing w:line="276" w:lineRule="auto"/>
        <w:ind w:right="5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2.1. Целями Положения являются:</w:t>
      </w:r>
    </w:p>
    <w:p w:rsidR="005C7C63" w:rsidRDefault="00991685">
      <w:pPr>
        <w:shd w:val="clear" w:color="auto" w:fill="FFFFFF"/>
        <w:spacing w:line="276" w:lineRule="auto"/>
        <w:ind w:right="5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2.1.1. Исполнение Обществом требований законодательства Российской Федерации в сфере </w:t>
      </w:r>
      <w:r>
        <w:rPr>
          <w:sz w:val="24"/>
          <w:szCs w:val="24"/>
        </w:rPr>
        <w:t>противодействия неправомерному использованию инсайдерской информации и манипулированию рынком.</w:t>
      </w:r>
    </w:p>
    <w:p w:rsidR="005C7C63" w:rsidRDefault="00991685">
      <w:pPr>
        <w:shd w:val="clear" w:color="auto" w:fill="FFFFFF"/>
        <w:spacing w:line="276" w:lineRule="auto"/>
        <w:ind w:right="5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2.1.2. Недопущение манипулирования ценами на Финансовые инструменты.</w:t>
      </w:r>
    </w:p>
    <w:p w:rsidR="005C7C63" w:rsidRDefault="00991685">
      <w:pPr>
        <w:shd w:val="clear" w:color="auto" w:fill="FFFFFF"/>
        <w:tabs>
          <w:tab w:val="left" w:pos="1134"/>
          <w:tab w:val="left" w:pos="1276"/>
        </w:tabs>
        <w:spacing w:line="276" w:lineRule="auto"/>
        <w:ind w:right="5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2.1.3. Защита прав и имущественных интересов акционеров Эмитента, защита репутации Эмитента, Общества</w:t>
      </w:r>
    </w:p>
    <w:p w:rsidR="005C7C63" w:rsidRDefault="00991685">
      <w:pPr>
        <w:shd w:val="clear" w:color="auto" w:fill="FFFFFF"/>
        <w:spacing w:line="276" w:lineRule="auto"/>
        <w:ind w:right="5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2.1.4. Обеспечение экономической безопасности Эмитента.</w:t>
      </w:r>
    </w:p>
    <w:p w:rsidR="005C7C63" w:rsidRDefault="00991685">
      <w:pPr>
        <w:shd w:val="clear" w:color="auto" w:fill="FFFFFF"/>
        <w:tabs>
          <w:tab w:val="left" w:pos="1134"/>
          <w:tab w:val="left" w:pos="1276"/>
        </w:tabs>
        <w:spacing w:line="276" w:lineRule="auto"/>
        <w:ind w:right="5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2.2. Основными задачами Положения являются предупреждение и пресечение случаев неправомерного использования Инсайдерской информации, которая не является общедоступной, и Раскрытие которой может оказать влияние на рыночную стоимость Финансовых инструментов.</w:t>
      </w:r>
    </w:p>
    <w:p w:rsidR="005C7C63" w:rsidRDefault="00991685">
      <w:pPr>
        <w:pStyle w:val="1"/>
      </w:pPr>
      <w:bookmarkStart w:id="6" w:name="_Toc210313375"/>
      <w:bookmarkStart w:id="7" w:name="_Toc210313376"/>
      <w:r>
        <w:t xml:space="preserve">3. </w:t>
      </w:r>
      <w:bookmarkEnd w:id="6"/>
      <w:r>
        <w:t>ИНСАЙДЕРЫ ОБЩЕСТВА</w:t>
      </w:r>
      <w:bookmarkEnd w:id="7"/>
    </w:p>
    <w:p w:rsidR="005C7C63" w:rsidRDefault="00991685">
      <w:pPr>
        <w:widowControl/>
        <w:spacing w:line="276" w:lineRule="auto"/>
        <w:ind w:firstLine="540"/>
        <w:jc w:val="both"/>
        <w:rPr>
          <w:color w:val="000000"/>
          <w:sz w:val="24"/>
          <w:szCs w:val="24"/>
        </w:rPr>
      </w:pPr>
      <w:r>
        <w:rPr>
          <w:bCs/>
          <w:spacing w:val="-2"/>
          <w:sz w:val="24"/>
          <w:szCs w:val="24"/>
        </w:rPr>
        <w:t>3.1. Инсайдерами Общества в соответствии с</w:t>
      </w:r>
      <w:r>
        <w:t xml:space="preserve"> </w:t>
      </w:r>
      <w:r>
        <w:rPr>
          <w:bCs/>
          <w:spacing w:val="-2"/>
          <w:sz w:val="24"/>
          <w:szCs w:val="24"/>
        </w:rPr>
        <w:t xml:space="preserve">Федеральным законом № 224-ФЗ являются: </w:t>
      </w:r>
    </w:p>
    <w:p w:rsidR="005C7C63" w:rsidRDefault="00991685">
      <w:pPr>
        <w:widowControl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3.1.1. Члены Совета директоров, лицо, осуществляющее функции ЕИО, члены Ревизионной комиссии Общества.</w:t>
      </w:r>
    </w:p>
    <w:p w:rsidR="005C7C63" w:rsidRDefault="00991685">
      <w:pPr>
        <w:widowControl/>
        <w:spacing w:line="276" w:lineRule="auto"/>
        <w:ind w:firstLine="540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3.1.2. Физические лица, имеющие доступ к Инсайдерской информации, на основании трудовых и (или) гражданско-правовых договоров, заключенных с </w:t>
      </w:r>
      <w:r>
        <w:rPr>
          <w:sz w:val="24"/>
          <w:szCs w:val="24"/>
          <w:highlight w:val="white"/>
        </w:rPr>
        <w:t>Обществом.</w:t>
      </w:r>
    </w:p>
    <w:p w:rsidR="005C7C63" w:rsidRDefault="00991685">
      <w:pPr>
        <w:shd w:val="clear" w:color="auto" w:fill="FFFFFF"/>
        <w:spacing w:line="276" w:lineRule="auto"/>
        <w:ind w:right="10" w:firstLine="567"/>
        <w:jc w:val="both"/>
        <w:rPr>
          <w:bCs/>
          <w:spacing w:val="-2"/>
          <w:sz w:val="24"/>
          <w:szCs w:val="24"/>
          <w:highlight w:val="white"/>
        </w:rPr>
      </w:pPr>
      <w:bookmarkStart w:id="8" w:name="Par9"/>
      <w:bookmarkStart w:id="9" w:name="Par1"/>
      <w:bookmarkStart w:id="10" w:name="Par4"/>
      <w:bookmarkStart w:id="11" w:name="Par6"/>
      <w:bookmarkStart w:id="12" w:name="Par8"/>
      <w:bookmarkStart w:id="13" w:name="Par11"/>
      <w:bookmarkStart w:id="14" w:name="Par12"/>
      <w:bookmarkEnd w:id="8"/>
      <w:bookmarkEnd w:id="9"/>
      <w:bookmarkEnd w:id="10"/>
      <w:bookmarkEnd w:id="11"/>
      <w:bookmarkEnd w:id="12"/>
      <w:bookmarkEnd w:id="13"/>
      <w:bookmarkEnd w:id="14"/>
      <w:r>
        <w:rPr>
          <w:bCs/>
          <w:spacing w:val="-2"/>
          <w:sz w:val="24"/>
          <w:szCs w:val="24"/>
          <w:highlight w:val="white"/>
        </w:rPr>
        <w:t>3.2. Инсайдеры Общества не вправе: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3.2.1. Предоставлять, распространять и без согласия Общества использовать Инсайдерскую информацию.</w:t>
      </w:r>
    </w:p>
    <w:p w:rsidR="005C7C63" w:rsidRDefault="00991685">
      <w:pPr>
        <w:widowControl/>
        <w:spacing w:line="276" w:lineRule="auto"/>
        <w:ind w:firstLine="567"/>
        <w:jc w:val="both"/>
        <w:rPr>
          <w:sz w:val="24"/>
          <w:szCs w:val="24"/>
        </w:rPr>
      </w:pPr>
      <w:r>
        <w:rPr>
          <w:bCs/>
          <w:spacing w:val="-2"/>
          <w:sz w:val="24"/>
          <w:szCs w:val="24"/>
        </w:rPr>
        <w:t>3.2.2. Давать рекомендации третьим лицам, обязывать или побуждать их иным образом к приобретению или продаже Финансовых инструментов.</w:t>
      </w:r>
      <w:r>
        <w:rPr>
          <w:sz w:val="24"/>
          <w:szCs w:val="24"/>
        </w:rPr>
        <w:t xml:space="preserve"> </w:t>
      </w:r>
    </w:p>
    <w:p w:rsidR="005C7C63" w:rsidRDefault="00991685">
      <w:pPr>
        <w:widowControl/>
        <w:spacing w:line="276" w:lineRule="auto"/>
        <w:ind w:firstLine="567"/>
        <w:jc w:val="both"/>
        <w:rPr>
          <w:bCs/>
          <w:spacing w:val="-2"/>
          <w:sz w:val="24"/>
          <w:szCs w:val="24"/>
        </w:rPr>
      </w:pPr>
      <w:r>
        <w:rPr>
          <w:sz w:val="24"/>
          <w:szCs w:val="24"/>
        </w:rPr>
        <w:t xml:space="preserve">3.2.3. </w:t>
      </w:r>
      <w:r>
        <w:rPr>
          <w:bCs/>
          <w:spacing w:val="-2"/>
          <w:sz w:val="24"/>
          <w:szCs w:val="24"/>
        </w:rPr>
        <w:t>Использовать Инсайдерскую информацию для осуществления операций с Финансовыми инструментами</w:t>
      </w:r>
      <w:r w:rsidR="00224F83">
        <w:rPr>
          <w:bCs/>
          <w:spacing w:val="-2"/>
          <w:sz w:val="24"/>
          <w:szCs w:val="24"/>
        </w:rPr>
        <w:t xml:space="preserve"> Эмитента</w:t>
      </w:r>
      <w:r>
        <w:rPr>
          <w:bCs/>
          <w:spacing w:val="-2"/>
          <w:sz w:val="24"/>
          <w:szCs w:val="24"/>
        </w:rPr>
        <w:t>, которых касается Инсайдерская информация, за свой счет или за счет третьего лица, за исключением совершения операций в рамках исполнения обязательства по покупке или продаже Финансовых инструментов</w:t>
      </w:r>
      <w:r w:rsidR="00224F83">
        <w:rPr>
          <w:bCs/>
          <w:spacing w:val="-2"/>
          <w:sz w:val="24"/>
          <w:szCs w:val="24"/>
        </w:rPr>
        <w:t xml:space="preserve"> Эмитента</w:t>
      </w:r>
      <w:r>
        <w:rPr>
          <w:bCs/>
          <w:spacing w:val="-2"/>
          <w:sz w:val="24"/>
          <w:szCs w:val="24"/>
        </w:rPr>
        <w:t xml:space="preserve">, срок исполнения которого наступил, если такое обязательство возникло в результате </w:t>
      </w:r>
      <w:r>
        <w:rPr>
          <w:bCs/>
          <w:spacing w:val="-2"/>
          <w:sz w:val="24"/>
          <w:szCs w:val="24"/>
        </w:rPr>
        <w:lastRenderedPageBreak/>
        <w:t>операции, совершенной до того, как лицу стала известна соответствующая Инсайдерская информация.</w:t>
      </w:r>
    </w:p>
    <w:p w:rsidR="005C7C63" w:rsidRDefault="00991685">
      <w:pPr>
        <w:widowControl/>
        <w:spacing w:line="276" w:lineRule="auto"/>
        <w:ind w:firstLine="567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3.2.4. Передавать Инсайдерскую информацию другому лицу, за исключением случаев передачи этой информации лицу, включенному в Список инсайдеров Общества, в связи с исполнением обязанностей, установленных федеральными законами, либо в связи с исполнением трудовых обязанностей или исполнением договора.</w:t>
      </w:r>
    </w:p>
    <w:p w:rsidR="005C7C63" w:rsidRDefault="00991685">
      <w:pPr>
        <w:widowControl/>
        <w:spacing w:line="276" w:lineRule="auto"/>
        <w:ind w:firstLine="567"/>
        <w:jc w:val="both"/>
        <w:rPr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3.2.5. Осуществлять действия, относящиеся в соответствии с </w:t>
      </w:r>
      <w:r>
        <w:rPr>
          <w:sz w:val="24"/>
          <w:szCs w:val="24"/>
          <w:lang w:bidi="pa-IN"/>
        </w:rPr>
        <w:t>Федеральным законом № 224-ФЗ</w:t>
      </w:r>
      <w:r>
        <w:rPr>
          <w:bCs/>
          <w:spacing w:val="-2"/>
          <w:sz w:val="24"/>
          <w:szCs w:val="24"/>
        </w:rPr>
        <w:t xml:space="preserve"> к манипулированию рынком.</w:t>
      </w:r>
    </w:p>
    <w:p w:rsidR="005C7C63" w:rsidRDefault="00991685">
      <w:pPr>
        <w:widowControl/>
        <w:spacing w:line="276" w:lineRule="auto"/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3.3. Обязательства Инсайдеров Общества в отношении Инсайдерской информации прекращаются в момент Раскрытия соответствующей Инсайдерской информации в порядке, предусмотренном законодательством Российской Федерации, П</w:t>
      </w:r>
      <w:r w:rsidR="003F2EB2">
        <w:rPr>
          <w:spacing w:val="-2"/>
          <w:sz w:val="24"/>
          <w:szCs w:val="24"/>
        </w:rPr>
        <w:t>оложением и иными ЛНД (А) Эмитент</w:t>
      </w:r>
      <w:r>
        <w:rPr>
          <w:spacing w:val="-2"/>
          <w:sz w:val="24"/>
          <w:szCs w:val="24"/>
        </w:rPr>
        <w:t>а.</w:t>
      </w:r>
    </w:p>
    <w:p w:rsidR="005C7C63" w:rsidRDefault="00991685">
      <w:pPr>
        <w:pStyle w:val="1"/>
        <w:ind w:left="0"/>
      </w:pPr>
      <w:bookmarkStart w:id="15" w:name="_Toc210313377"/>
      <w:r>
        <w:t>4. ПОРЯДОК ВЕДЕНИЯ СПИСКА ИНСАЙДЕРОВ ОБЩЕСТВА.</w:t>
      </w:r>
      <w:bookmarkEnd w:id="15"/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4.1. </w:t>
      </w:r>
      <w:r>
        <w:rPr>
          <w:sz w:val="24"/>
          <w:szCs w:val="24"/>
        </w:rPr>
        <w:t xml:space="preserve">Общество ведет Список инсайдеров Общества в соответствии с требованиями </w:t>
      </w:r>
      <w:r>
        <w:rPr>
          <w:sz w:val="24"/>
          <w:szCs w:val="24"/>
          <w:lang w:bidi="pa-IN"/>
        </w:rPr>
        <w:t>Федерального закона № 224-ФЗ</w:t>
      </w:r>
      <w:r>
        <w:rPr>
          <w:sz w:val="24"/>
          <w:szCs w:val="24"/>
        </w:rPr>
        <w:t>, принятых в соответствии с ним нормативных актов и Положения.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Ведение Списка инсайдеров Общества, уведомление лиц о включении в Список инсайдеров Общества и исключении из Списка инсайдеров Общества, передачу Списка инсайдеров Общества организатору торговли, а также Банку России по его требованию осуществляет СП</w:t>
      </w:r>
      <w:r w:rsidR="00340C45">
        <w:rPr>
          <w:sz w:val="24"/>
          <w:szCs w:val="24"/>
        </w:rPr>
        <w:t>ОИ</w:t>
      </w:r>
      <w:r>
        <w:rPr>
          <w:sz w:val="24"/>
          <w:szCs w:val="24"/>
        </w:rPr>
        <w:t>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Общество ведет список Инсайдеров Общества, указанных в п. 3.1. Положения.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 Список инсайдеров Общества должен содержать следующую информацию: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4.4.1. Фамилию, имя, отчество, дату и место рождения, номер основного документа, удостоверяющего личность, сведения о дате выдачи указанного документа и выдавшем его органе, занимаемую должность, номер пункта (номера пунктов) статьи 4 </w:t>
      </w:r>
      <w:r>
        <w:rPr>
          <w:sz w:val="24"/>
          <w:szCs w:val="24"/>
          <w:lang w:bidi="pa-IN"/>
        </w:rPr>
        <w:t xml:space="preserve">Федерального закона № </w:t>
      </w:r>
      <w:r>
        <w:rPr>
          <w:sz w:val="24"/>
          <w:szCs w:val="24"/>
        </w:rPr>
        <w:t>224-ФЗ, в соответствии с которым (которыми) физическое лицо включено в Список инсайдеров, а также основание включения лица в Список - для физических лиц.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4.4.2. Полное фирменное наименование, ИНН, ОГРН, номер пункта (номера пунктов) статьи 4 </w:t>
      </w:r>
      <w:r>
        <w:rPr>
          <w:sz w:val="24"/>
          <w:szCs w:val="24"/>
          <w:lang w:bidi="pa-IN"/>
        </w:rPr>
        <w:t xml:space="preserve">Федерального закона № </w:t>
      </w:r>
      <w:r>
        <w:rPr>
          <w:sz w:val="24"/>
          <w:szCs w:val="24"/>
        </w:rPr>
        <w:t>224-ФЗ, в соответствии с которым (которыми) лицо включено в Список инсайдеров, а также основание включения лица в Список – для юридических лиц.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4.4.3. Дату, на которую Список инсайдеров Общества был создан или изменен.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4.4.4. Дату включения Инсайдера в Список инсайдеров Общества.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Общество составляет и ведет Список инсайдеров Общества на русском языке в электронном формате. 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4.6. Лицам, включенным (исключённым) в (из) Список (ка) инсайдеров Общества, Уведомления по форме Приложения 1 направляются в срок, не превышающий 7 (семь) рабочих дней со дня их включения в Список (исключения из Списка).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4.7. Уведомления направляются одним из следующих способов: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4.7.1. в форме электронного документа посредством использования программно-технических средств и сети «Интернет»;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4.7.2. в форме электронного документа посредством использования информационных систем и комплексов программно-технических средств Общества, используемых для корпоративного информационного взаимодействия (в том числе электронной почты);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4.7.3. на бумажном носителе путем направления заказных почтовых отправлений с уведомлением о вручении (иным регистрируемым почтовым отправлением с уведомлением отправителя о вручении адресату) или путем передачи в курьерскую службу (иным </w:t>
      </w:r>
      <w:r>
        <w:rPr>
          <w:sz w:val="24"/>
          <w:szCs w:val="24"/>
        </w:rPr>
        <w:lastRenderedPageBreak/>
        <w:t>способом, позволяющим подтвердить получение уведомления);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4.8. Уведомление в форме электронного документа должно быть подписано электронной подписью ЕИО Общества или уполномоченного им лица</w:t>
      </w:r>
      <w:r>
        <w:t xml:space="preserve"> </w:t>
      </w:r>
      <w:r>
        <w:rPr>
          <w:sz w:val="24"/>
          <w:szCs w:val="24"/>
        </w:rPr>
        <w:t>(за исключением направления уведомлений способами, указанными в пп. 4.7.2 Положения).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4.9. Уведомление на бумажном носителе должно быть подписано ЕИО Общества или уполномоченным им лицом.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4.10. Лица, включенные в Список инсайдеров Общества, должны предоставить Обществу свое подтверждение о том, что они знают об обязанностях, возникающих в связи с доступом к Инсайдерской информации, а также о мерах ответственности, налагаемых за злоупотребление такой информацией или за ненадлежащее обращение с ней, информация о которых доводится Обществом одновременно с направлением уведомления о включении указанных лиц в Список инсайдеров Общества. 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4.11. Информация о требованиях законодательства Российской Федерации об инсайдерской информации включается в Уведомление.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Уведомления о включении лица в Список инсайдеров Общества направляются Инсайдерам Общества в порядке, установленном Положением, и хранятся в Обществе в течение не менее 5 (пяти) лет с даты исключения лица из Списка инсайдеров Общества.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4.12. При исключении из Списка инсайдеров Общества Инсайдеры Общества обязаны передать Обществу имеющиеся материальные носители информации, содержащие Инсайдерскую информацию, а также уничтожить Инсайдерскую информацию, предоставленную Инсайдеру Общества в электронном виде.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4.13. Общество передает Список инсайдеров организатору торговли, через которого совершаются операции с Финансовыми инструментами, а также в Банк России по их требованию в порядке, установленном законодательством Российской Федерации.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 xml:space="preserve">4.14. За </w:t>
      </w:r>
      <w:r>
        <w:rPr>
          <w:sz w:val="24"/>
          <w:szCs w:val="24"/>
        </w:rPr>
        <w:t>неисполнение или ненадлежащее исполнение должностным лицом СП</w:t>
      </w:r>
      <w:r w:rsidR="00340C45">
        <w:rPr>
          <w:sz w:val="24"/>
          <w:szCs w:val="24"/>
        </w:rPr>
        <w:t>ОИ</w:t>
      </w:r>
      <w:r>
        <w:rPr>
          <w:sz w:val="24"/>
          <w:szCs w:val="24"/>
        </w:rPr>
        <w:t xml:space="preserve"> обязанностей по составлению и ведению Списка инсайдеров Общества, а также уведомлению лиц, включенных в Список инсайдеров Общества предусмотрена дисциплинарная и (или) административная ответственность.</w:t>
      </w:r>
    </w:p>
    <w:p w:rsidR="004D7E24" w:rsidRDefault="004D7E24">
      <w:pPr>
        <w:spacing w:line="276" w:lineRule="auto"/>
        <w:ind w:firstLine="567"/>
        <w:jc w:val="both"/>
        <w:rPr>
          <w:sz w:val="24"/>
          <w:szCs w:val="24"/>
        </w:rPr>
      </w:pPr>
    </w:p>
    <w:p w:rsidR="004D7E24" w:rsidRDefault="00991685" w:rsidP="004D7E24">
      <w:pPr>
        <w:pStyle w:val="1"/>
        <w:spacing w:before="0" w:after="0"/>
        <w:ind w:left="0"/>
      </w:pPr>
      <w:bookmarkStart w:id="16" w:name="_Toc210313378"/>
      <w:r>
        <w:t xml:space="preserve">5. ПОРЯДОК ВЕДЕНИЯ СПИСКА ЭМИТЕНТОВ </w:t>
      </w:r>
    </w:p>
    <w:p w:rsidR="005C7C63" w:rsidRDefault="00991685" w:rsidP="004D7E24">
      <w:pPr>
        <w:pStyle w:val="1"/>
        <w:spacing w:before="0" w:after="0"/>
        <w:ind w:left="0"/>
      </w:pPr>
      <w:r>
        <w:t xml:space="preserve">И </w:t>
      </w:r>
      <w:bookmarkEnd w:id="16"/>
      <w:r>
        <w:t>ФИНАНСОВЫХ ИНСТРУМЕНТОВ</w:t>
      </w:r>
    </w:p>
    <w:p w:rsidR="00255F01" w:rsidRPr="00255F01" w:rsidRDefault="00255F01" w:rsidP="00255F01"/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Работник СП</w:t>
      </w:r>
      <w:r w:rsidR="004D7E24">
        <w:rPr>
          <w:sz w:val="24"/>
          <w:szCs w:val="24"/>
        </w:rPr>
        <w:t>ОИ</w:t>
      </w:r>
      <w:r>
        <w:rPr>
          <w:sz w:val="24"/>
          <w:szCs w:val="24"/>
        </w:rPr>
        <w:t xml:space="preserve">, ответственный за ведение Списка инсайдеров, заполняет Лист </w:t>
      </w:r>
      <w:r w:rsidR="00255F01">
        <w:rPr>
          <w:sz w:val="24"/>
          <w:szCs w:val="24"/>
        </w:rPr>
        <w:t xml:space="preserve">эмитента </w:t>
      </w:r>
      <w:r>
        <w:rPr>
          <w:sz w:val="24"/>
          <w:szCs w:val="24"/>
        </w:rPr>
        <w:t xml:space="preserve">в соответствии с Приложением 2 к Положению. 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Работник ОСП несет ответственность за ведение списка Эмитентов и Финансовых инструментов Эмитента, обеспечивает внесение изменений в список Эмитентов и Финансовых инструментов Эмитента, осуществляет контроль, обеспечивает хранение и уничтожение списков Эмитентов и Финансовых инструментов Эмитента по истечении 5 (пяти) лет с даты формирования списка.</w:t>
      </w:r>
    </w:p>
    <w:p w:rsidR="005C7C63" w:rsidRDefault="00991685">
      <w:pPr>
        <w:pStyle w:val="1"/>
      </w:pPr>
      <w:bookmarkStart w:id="17" w:name="_Toc210313382"/>
      <w:r>
        <w:t xml:space="preserve">6. УСЛОВИЯ СОВЕРШЕНИЯ ОПЕРАЦИЙ С ФИНАНСОВЫМИ ИНСТРУМЕНТАМИ </w:t>
      </w:r>
      <w:bookmarkEnd w:id="17"/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Инсайдеры Общества самостоятельно доводят до сведения Связанных с Инсайдером Общества лиц информацию о запрете совершать сделки с Финансовыми инструментами, а также об иных условиях совершения операций с Финансовыми инструментами.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Инсайдерам Общества и Связанным с Инсайдером Общества лицам (далее в целях настоящего раздела Положения указанные лица именуются Инсайдерами Общества) запрещается использовать Инсайдерскую информацию для осуществления операций с </w:t>
      </w:r>
      <w:r>
        <w:rPr>
          <w:sz w:val="24"/>
          <w:szCs w:val="24"/>
        </w:rPr>
        <w:lastRenderedPageBreak/>
        <w:t xml:space="preserve">Финансовыми инструментами, которых касается </w:t>
      </w:r>
      <w:r>
        <w:rPr>
          <w:bCs/>
          <w:spacing w:val="-2"/>
          <w:sz w:val="24"/>
          <w:szCs w:val="24"/>
        </w:rPr>
        <w:t>Инсайдерская информация</w:t>
      </w:r>
      <w:r>
        <w:rPr>
          <w:sz w:val="24"/>
          <w:szCs w:val="24"/>
        </w:rPr>
        <w:t>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</w:rPr>
        <w:t>6.3. Условиями совершения операций с Финансовыми инструментами являются: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6.3.1 Инсайдеры Общества перед осуществлением операций с Финансовыми инструментами должны проверять является ли информация, используемая при совершении сделки, общедоступной на момент совершения сделки;</w:t>
      </w:r>
    </w:p>
    <w:p w:rsidR="00255F01" w:rsidRDefault="00255F01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6.3.2. </w:t>
      </w:r>
      <w:r w:rsidRPr="00255F01">
        <w:rPr>
          <w:sz w:val="24"/>
          <w:szCs w:val="24"/>
        </w:rPr>
        <w:t xml:space="preserve">Инсайдерам Общества запрещено совершение любых операций с Финансовыми инструментами Эмитента </w:t>
      </w:r>
      <w:r w:rsidR="00D12EAB">
        <w:rPr>
          <w:sz w:val="24"/>
          <w:szCs w:val="24"/>
        </w:rPr>
        <w:t xml:space="preserve">в </w:t>
      </w:r>
      <w:r w:rsidR="00C31A62">
        <w:rPr>
          <w:sz w:val="24"/>
          <w:szCs w:val="24"/>
        </w:rPr>
        <w:t xml:space="preserve">«закрытые </w:t>
      </w:r>
      <w:r w:rsidR="00D12EAB">
        <w:rPr>
          <w:sz w:val="24"/>
          <w:szCs w:val="24"/>
        </w:rPr>
        <w:t>период</w:t>
      </w:r>
      <w:r w:rsidR="00C31A62">
        <w:rPr>
          <w:sz w:val="24"/>
          <w:szCs w:val="24"/>
        </w:rPr>
        <w:t>ы»/«периоды охлаждения»</w:t>
      </w:r>
      <w:r w:rsidR="00D12EAB">
        <w:rPr>
          <w:sz w:val="24"/>
          <w:szCs w:val="24"/>
        </w:rPr>
        <w:t xml:space="preserve">, </w:t>
      </w:r>
      <w:r w:rsidR="00C31A62">
        <w:rPr>
          <w:sz w:val="24"/>
          <w:szCs w:val="24"/>
        </w:rPr>
        <w:t>определенные</w:t>
      </w:r>
      <w:r w:rsidR="00D12EAB">
        <w:rPr>
          <w:sz w:val="24"/>
          <w:szCs w:val="24"/>
        </w:rPr>
        <w:t xml:space="preserve"> ЛНД (А) Эмитента</w:t>
      </w:r>
      <w:r w:rsidRPr="00255F01">
        <w:rPr>
          <w:sz w:val="24"/>
          <w:szCs w:val="24"/>
        </w:rPr>
        <w:t>;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</w:t>
      </w:r>
      <w:r w:rsidR="00D12EAB">
        <w:rPr>
          <w:sz w:val="24"/>
          <w:szCs w:val="24"/>
        </w:rPr>
        <w:t>3</w:t>
      </w:r>
      <w:r>
        <w:rPr>
          <w:sz w:val="24"/>
          <w:szCs w:val="24"/>
        </w:rPr>
        <w:t>. Покупка Финансовых инструментов допускается только в целях долгосрочного владения Финансовыми инструментами и не допускается в спекулятивных целях.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Суперинсайдеры Общества и Связанные с Суперинсайдером лица обязаны предварительно уведомлять Ревизионную комиссию Общества о планируемых сделках с Финансовыми инструментами.</w:t>
      </w:r>
      <w:r w:rsidR="001D3FDE">
        <w:rPr>
          <w:sz w:val="24"/>
          <w:szCs w:val="24"/>
        </w:rPr>
        <w:t xml:space="preserve"> </w:t>
      </w:r>
      <w:r w:rsidR="001D3FDE" w:rsidRPr="001D3FDE">
        <w:rPr>
          <w:sz w:val="24"/>
          <w:szCs w:val="24"/>
        </w:rPr>
        <w:t>В случае, если Ревизионная комиссия Общества не была избрана, уведомления направляются О</w:t>
      </w:r>
      <w:r w:rsidR="00C31A62">
        <w:rPr>
          <w:sz w:val="24"/>
          <w:szCs w:val="24"/>
        </w:rPr>
        <w:t>СП</w:t>
      </w:r>
      <w:r w:rsidR="001D3FDE">
        <w:rPr>
          <w:sz w:val="24"/>
          <w:szCs w:val="24"/>
        </w:rPr>
        <w:t xml:space="preserve">. 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6.5. Ревизионная комиссия Общества может осуществлять дополнительный контроль соблюдения Обществом требований в сфере противодействия неправомерному использованию инсайдерской информации и манипулированию рынком и оценку эффективности внутреннего контроля.</w:t>
      </w:r>
    </w:p>
    <w:p w:rsidR="005C7C63" w:rsidRDefault="00991685">
      <w:pPr>
        <w:spacing w:line="276" w:lineRule="auto"/>
        <w:ind w:firstLine="567"/>
        <w:jc w:val="both"/>
        <w:rPr>
          <w:sz w:val="24"/>
        </w:rPr>
      </w:pPr>
      <w:r>
        <w:rPr>
          <w:sz w:val="24"/>
          <w:szCs w:val="24"/>
          <w:lang w:bidi="pa-IN"/>
        </w:rPr>
        <w:t xml:space="preserve">6.6. </w:t>
      </w:r>
      <w:r>
        <w:rPr>
          <w:sz w:val="24"/>
        </w:rPr>
        <w:t>Совершение операций с Финансовыми инструментами с нарушением условий совершения таких операций, перечисленных в Положении, является основанием для привлечения указанных лиц к дисциплинарной, административной, уголовной ответственности.</w:t>
      </w:r>
    </w:p>
    <w:p w:rsidR="005C7C63" w:rsidRDefault="00991685">
      <w:pPr>
        <w:pStyle w:val="1"/>
        <w:numPr>
          <w:ilvl w:val="0"/>
          <w:numId w:val="8"/>
        </w:numPr>
      </w:pPr>
      <w:bookmarkStart w:id="18" w:name="_Toc210313383"/>
      <w:r>
        <w:t>ПОРЯДОК ДОСТУПА К ИНСАЙДЕРСКОЙ ИНФОРМАЦИИ И ПРАВИЛА ОХРАНЫ ЕЕ КОНФИДЕНЦИАЛЬНОСТИ</w:t>
      </w:r>
      <w:bookmarkEnd w:id="18"/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7.1. Обеспечение доступа к Инсайдерской информации, ее сохранности и защиты основывается на следующих принципах: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7.1.1. Принцип непрерывности и эффективности процесса обеспечения защиты и сохранности Инсайдерской информации.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7.1.2. Принцип предотвращения конфликта интересов при обращении Инсайдерской информации.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7.1.3. Принцип соответствия мер по обеспечению защиты и сохранности Инсайдерской информации, в том числе предотвращению, выявлению и пресечению ее неправомерного использования.</w:t>
      </w:r>
    </w:p>
    <w:p w:rsidR="005C7C63" w:rsidRDefault="0099168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Общество принимает следующие меры по обеспечению доступа, защиты и сохранности Инсайдерской информации:</w:t>
      </w:r>
    </w:p>
    <w:p w:rsidR="005C7C63" w:rsidRDefault="00991685">
      <w:pPr>
        <w:spacing w:line="276" w:lineRule="auto"/>
        <w:ind w:firstLine="540"/>
        <w:jc w:val="both"/>
        <w:rPr>
          <w:sz w:val="24"/>
          <w:szCs w:val="24"/>
          <w:highlight w:val="white"/>
          <w:lang w:bidi="pa-IN"/>
        </w:rPr>
      </w:pPr>
      <w:bookmarkStart w:id="19" w:name="_Toc14"/>
      <w:bookmarkStart w:id="20" w:name="_Toc202456027"/>
      <w:bookmarkStart w:id="21" w:name="_Toc210313385"/>
      <w:r>
        <w:rPr>
          <w:sz w:val="24"/>
          <w:szCs w:val="24"/>
          <w:highlight w:val="white"/>
          <w:lang w:bidi="pa-IN"/>
        </w:rPr>
        <w:t>7.2.1. Доступ к Инсайдерской информации имеют только те лица, которые включены в Список инсайдеров Общества и обладают основаниями доступа к инсайдерской информации, предусмотренных законодательством Российской Федерации.</w:t>
      </w:r>
      <w:bookmarkEnd w:id="19"/>
      <w:bookmarkEnd w:id="20"/>
      <w:bookmarkEnd w:id="21"/>
    </w:p>
    <w:p w:rsidR="005C7C63" w:rsidRDefault="00991685">
      <w:pPr>
        <w:spacing w:line="276" w:lineRule="auto"/>
        <w:ind w:firstLine="540"/>
        <w:jc w:val="both"/>
        <w:rPr>
          <w:sz w:val="24"/>
          <w:szCs w:val="24"/>
          <w:highlight w:val="white"/>
        </w:rPr>
      </w:pPr>
      <w:bookmarkStart w:id="22" w:name="undefined"/>
      <w:bookmarkStart w:id="23" w:name="_Toc202456028"/>
      <w:bookmarkStart w:id="24" w:name="_Toc210313387"/>
      <w:bookmarkStart w:id="25" w:name="_Toc15"/>
      <w:r>
        <w:rPr>
          <w:sz w:val="24"/>
          <w:szCs w:val="24"/>
          <w:highlight w:val="white"/>
          <w:lang w:bidi="pa-IN"/>
        </w:rPr>
        <w:t xml:space="preserve">7.2.2. Члены Совета директоров и Ревизионной комиссии Общества, а также работники Общества, занимающие должность не </w:t>
      </w:r>
      <w:r>
        <w:rPr>
          <w:sz w:val="24"/>
          <w:szCs w:val="24"/>
          <w:lang w:bidi="pa-IN"/>
        </w:rPr>
        <w:t>ниже начальника Управления корпоративной работы и имущественных отношений,</w:t>
      </w:r>
      <w:r>
        <w:rPr>
          <w:sz w:val="24"/>
          <w:szCs w:val="24"/>
          <w:highlight w:val="white"/>
          <w:lang w:bidi="pa-IN"/>
        </w:rPr>
        <w:t xml:space="preserve"> и включенные в Список</w:t>
      </w:r>
      <w:r>
        <w:rPr>
          <w:sz w:val="24"/>
          <w:szCs w:val="24"/>
        </w:rPr>
        <w:t xml:space="preserve"> инсайдеров Общества</w:t>
      </w:r>
      <w:r>
        <w:rPr>
          <w:sz w:val="24"/>
          <w:szCs w:val="24"/>
          <w:highlight w:val="white"/>
          <w:lang w:bidi="pa-IN"/>
        </w:rPr>
        <w:t xml:space="preserve"> имеют доступ к любой Инсайдерской информации, за исключением случаев, когда их доступ к определенной информации органичен О</w:t>
      </w:r>
      <w:r w:rsidR="00FE7B05">
        <w:rPr>
          <w:sz w:val="24"/>
          <w:szCs w:val="24"/>
          <w:highlight w:val="white"/>
          <w:lang w:bidi="pa-IN"/>
        </w:rPr>
        <w:t>СП</w:t>
      </w:r>
      <w:r>
        <w:rPr>
          <w:sz w:val="24"/>
          <w:szCs w:val="24"/>
          <w:highlight w:val="white"/>
          <w:lang w:bidi="pa-IN"/>
        </w:rPr>
        <w:t>.</w:t>
      </w:r>
      <w:bookmarkEnd w:id="22"/>
      <w:bookmarkEnd w:id="23"/>
      <w:bookmarkEnd w:id="24"/>
      <w:r>
        <w:rPr>
          <w:sz w:val="24"/>
          <w:szCs w:val="24"/>
          <w:highlight w:val="white"/>
          <w:lang w:bidi="pa-IN"/>
        </w:rPr>
        <w:t xml:space="preserve"> </w:t>
      </w:r>
      <w:bookmarkEnd w:id="25"/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highlight w:val="white"/>
          <w:lang w:bidi="pa-IN"/>
        </w:rPr>
        <w:t>7.2.3. Иные лица, включенные в Список</w:t>
      </w:r>
      <w:r>
        <w:rPr>
          <w:sz w:val="24"/>
          <w:szCs w:val="24"/>
        </w:rPr>
        <w:t xml:space="preserve"> инсайдеров Общества</w:t>
      </w:r>
      <w:r>
        <w:rPr>
          <w:sz w:val="24"/>
          <w:szCs w:val="24"/>
          <w:highlight w:val="white"/>
          <w:lang w:bidi="pa-IN"/>
        </w:rPr>
        <w:t xml:space="preserve">, имеют доступ только к той </w:t>
      </w:r>
      <w:r>
        <w:rPr>
          <w:bCs/>
          <w:spacing w:val="-2"/>
          <w:sz w:val="24"/>
          <w:szCs w:val="24"/>
        </w:rPr>
        <w:t>Инсайдерской информации</w:t>
      </w:r>
      <w:r>
        <w:rPr>
          <w:sz w:val="24"/>
          <w:szCs w:val="24"/>
          <w:highlight w:val="white"/>
          <w:lang w:bidi="pa-IN"/>
        </w:rPr>
        <w:t xml:space="preserve">, которая необходима им для исполнения своих обязанностей в рамках заключенных с ними договоров. </w:t>
      </w:r>
      <w:r>
        <w:rPr>
          <w:sz w:val="24"/>
          <w:szCs w:val="24"/>
          <w:lang w:bidi="pa-IN"/>
        </w:rPr>
        <w:t xml:space="preserve">Иная </w:t>
      </w:r>
      <w:r>
        <w:rPr>
          <w:bCs/>
          <w:spacing w:val="-2"/>
          <w:sz w:val="24"/>
          <w:szCs w:val="24"/>
        </w:rPr>
        <w:t xml:space="preserve">Инсайдерская информация </w:t>
      </w:r>
      <w:r>
        <w:rPr>
          <w:sz w:val="24"/>
          <w:szCs w:val="24"/>
          <w:lang w:bidi="pa-IN"/>
        </w:rPr>
        <w:t>может предоставляться таким лицам с согласия О</w:t>
      </w:r>
      <w:r w:rsidR="00FE7B05">
        <w:rPr>
          <w:sz w:val="24"/>
          <w:szCs w:val="24"/>
          <w:lang w:bidi="pa-IN"/>
        </w:rPr>
        <w:t>СП</w:t>
      </w:r>
      <w:r>
        <w:rPr>
          <w:sz w:val="24"/>
          <w:szCs w:val="24"/>
          <w:lang w:bidi="pa-IN"/>
        </w:rPr>
        <w:t>.</w:t>
      </w:r>
    </w:p>
    <w:p w:rsidR="005C7C63" w:rsidRDefault="00991685">
      <w:pPr>
        <w:keepNext/>
        <w:keepLines/>
        <w:widowControl/>
        <w:spacing w:line="276" w:lineRule="auto"/>
        <w:ind w:firstLine="567"/>
        <w:jc w:val="both"/>
        <w:rPr>
          <w:sz w:val="24"/>
          <w:szCs w:val="24"/>
          <w:highlight w:val="white"/>
          <w:lang w:bidi="pa-IN"/>
        </w:rPr>
      </w:pPr>
      <w:r>
        <w:rPr>
          <w:sz w:val="24"/>
          <w:szCs w:val="24"/>
          <w:highlight w:val="white"/>
          <w:lang w:bidi="pa-IN"/>
        </w:rPr>
        <w:lastRenderedPageBreak/>
        <w:t xml:space="preserve">7.2.4. В случае необходимости предоставления доступа к определенной Инсайдерской информации лицам, не включенным в Список инсайдеров Общества, такое предоставление осуществляется после включения их в Список инсайдеров Общества. 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 xml:space="preserve">7.3. Общество вправе вводить специальные процедуры и меры, направленные на охрану </w:t>
      </w:r>
      <w:r>
        <w:rPr>
          <w:bCs/>
          <w:spacing w:val="-2"/>
          <w:sz w:val="24"/>
          <w:szCs w:val="24"/>
        </w:rPr>
        <w:t xml:space="preserve">Инсайдерской информации </w:t>
      </w:r>
      <w:r>
        <w:rPr>
          <w:sz w:val="24"/>
          <w:szCs w:val="24"/>
          <w:lang w:bidi="pa-IN"/>
        </w:rPr>
        <w:t>от неправомерного использования, в том числе, но не ограничиваясь: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7.3.1. Ограничивать права доступа к Инсайдерской информации для Инсайдеров Общества.</w:t>
      </w:r>
    </w:p>
    <w:p w:rsidR="005C7C63" w:rsidRDefault="00991685">
      <w:pPr>
        <w:keepNext/>
        <w:keepLines/>
        <w:widowControl/>
        <w:spacing w:line="276" w:lineRule="auto"/>
        <w:ind w:firstLine="539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7.3.2. Определять места и источники хранения Инсайдерской информации, а также разрешать доступ к Инсайдерской информации в определенных местах, с определенных носителей или в определенных источниках доступа.</w:t>
      </w:r>
    </w:p>
    <w:p w:rsidR="005C7C63" w:rsidRDefault="00991685">
      <w:pPr>
        <w:keepNext/>
        <w:keepLines/>
        <w:widowControl/>
        <w:spacing w:line="276" w:lineRule="auto"/>
        <w:ind w:firstLine="539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7.3.3. Использовать системы защиты информационно-технических систем, предохраняющие от потери Инсайдерской информации и несанкционированного доступа к такой информации, в том числе предусматривать средства идентификации субъектов доступа и объектов доступа, присваивать субъектам и объектам доступа уникальный признак (идентификатор).</w:t>
      </w:r>
    </w:p>
    <w:p w:rsidR="005C7C63" w:rsidRDefault="00991685">
      <w:pPr>
        <w:keepNext/>
        <w:keepLines/>
        <w:widowControl/>
        <w:spacing w:line="276" w:lineRule="auto"/>
        <w:ind w:firstLine="539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7.3.4. Обеспечивать расположение мониторов компьютеров работников, имеющих доступ к Инсайдерской информации, исключающее риски ознакомления с Инсайдерской информации иными лицами.</w:t>
      </w:r>
    </w:p>
    <w:p w:rsidR="005C7C63" w:rsidRDefault="00991685">
      <w:pPr>
        <w:keepNext/>
        <w:keepLines/>
        <w:widowControl/>
        <w:spacing w:line="276" w:lineRule="auto"/>
        <w:ind w:firstLine="539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7.3.5. Осуществлять контроль за передачей средств идентификации работников Общества, имеющих доступ к Инсайдерской информации, иным лицам.</w:t>
      </w:r>
    </w:p>
    <w:p w:rsidR="005C7C63" w:rsidRDefault="00991685">
      <w:pPr>
        <w:keepNext/>
        <w:keepLines/>
        <w:widowControl/>
        <w:spacing w:line="276" w:lineRule="auto"/>
        <w:ind w:firstLine="539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7.3.6. Устанавливать средства идентификации к принтерам и аналогичным устройствам, используемым работниками Общества, имеющими доступ к Инсайдерской информации.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7.3.7. Устанавливать ограничения на использование личных средств связи, компьютеров, машинных носителей информации работниками Общества.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7.3.8. Запрещать несанкционированный доступ к рабочим местам, компьютерам, машинным носителям информации работников Общества, имеющих доступ к Инсайдерской информации.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7.3.9. Проводить переговоры в отдельных помещениях (комнатах переговоров), обеспечивающих исключение возможности неправомерного распространения информации о факте и содержании указанных переговоров, в случае наличия риска неправомерного использования Инсайдерской информации.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7.3.10. Устанавливать рабочие места работников, имеющих доступ к Инсайдерской информации, в помещениях, отделенных от помещений, в которых находятся рабочие места иных работников Общества.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7.3.11. Хранить документы, содержащие сведения, составляющие Инсайдерскую информацию, в местах, доступ к которым ограничен.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color w:val="000000"/>
          <w:sz w:val="24"/>
        </w:rPr>
      </w:pPr>
      <w:r>
        <w:rPr>
          <w:sz w:val="24"/>
          <w:szCs w:val="24"/>
          <w:lang w:bidi="pa-IN"/>
        </w:rPr>
        <w:t xml:space="preserve">7.4. </w:t>
      </w:r>
      <w:r>
        <w:rPr>
          <w:color w:val="000000"/>
          <w:sz w:val="24"/>
        </w:rPr>
        <w:t>Права и обязанности ОДЛ и ОСП определены Правилами ВК ПНИИИМР.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color w:val="000000"/>
          <w:sz w:val="24"/>
        </w:rPr>
        <w:t xml:space="preserve">7.5. </w:t>
      </w:r>
      <w:r>
        <w:rPr>
          <w:sz w:val="24"/>
          <w:szCs w:val="24"/>
          <w:lang w:bidi="pa-IN"/>
        </w:rPr>
        <w:t xml:space="preserve">Права и обязанности ЕИО Общества, в части защиты и сохранности Инсайдерской информации Общества и реализации мер по предотвращению, выявлению и пресечению ее неправомерного использования </w:t>
      </w:r>
      <w:r>
        <w:rPr>
          <w:color w:val="000000"/>
          <w:sz w:val="24"/>
        </w:rPr>
        <w:t>определены Правилами ВК ПНИИИМР</w:t>
      </w:r>
      <w:r>
        <w:rPr>
          <w:sz w:val="24"/>
          <w:szCs w:val="24"/>
          <w:lang w:bidi="pa-IN"/>
        </w:rPr>
        <w:t>.</w:t>
      </w:r>
    </w:p>
    <w:p w:rsidR="005C7C63" w:rsidRDefault="00991685">
      <w:pPr>
        <w:keepNext/>
        <w:keepLines/>
        <w:widowControl/>
        <w:spacing w:line="276" w:lineRule="auto"/>
        <w:ind w:firstLine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7.6. Инсайдеры Общества, имеющие право доступа к Инсайдерской информации, в пределах своей компетенции и предоставленных в установленном порядке полномочий обязаны принимать все зависящие от них меры к защите и недопущению неправомерного использования Инсайдерской информации.</w:t>
      </w:r>
    </w:p>
    <w:p w:rsidR="005C7C63" w:rsidRDefault="00991685">
      <w:pPr>
        <w:keepNext/>
        <w:keepLines/>
        <w:widowControl/>
        <w:spacing w:line="276" w:lineRule="auto"/>
        <w:ind w:firstLine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lastRenderedPageBreak/>
        <w:t xml:space="preserve">7.7. В случае передачи Инсайдером Общества Инсайдерской информации лицу, не включенному в Список инсайдеров Общества, Инсайдер Общества должен предоставить ОДЛ </w:t>
      </w:r>
      <w:r>
        <w:rPr>
          <w:sz w:val="24"/>
          <w:szCs w:val="24"/>
        </w:rPr>
        <w:t xml:space="preserve">сведения о </w:t>
      </w:r>
      <w:r>
        <w:rPr>
          <w:sz w:val="24"/>
          <w:szCs w:val="24"/>
          <w:lang w:bidi="pa-IN"/>
        </w:rPr>
        <w:t>лице, которому планируется передача информации, дату и время передачи, причины передачи информации.</w:t>
      </w:r>
    </w:p>
    <w:p w:rsidR="005C7C63" w:rsidRDefault="00991685">
      <w:pPr>
        <w:keepNext/>
        <w:keepLines/>
        <w:widowControl/>
        <w:spacing w:line="276" w:lineRule="auto"/>
        <w:ind w:firstLine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7.8. Лица, не включенные в Список инсайдеров Общества, но получившие доступ к Инсайдерской информации, обязаны:</w:t>
      </w:r>
    </w:p>
    <w:p w:rsidR="005C7C63" w:rsidRDefault="00991685">
      <w:pPr>
        <w:pStyle w:val="affa"/>
        <w:keepNext/>
        <w:keepLines/>
        <w:widowControl/>
        <w:numPr>
          <w:ilvl w:val="0"/>
          <w:numId w:val="9"/>
        </w:numPr>
        <w:spacing w:line="276" w:lineRule="auto"/>
        <w:ind w:left="567" w:hanging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прекратить ознакомление с Инсайдерской информацией;</w:t>
      </w:r>
    </w:p>
    <w:p w:rsidR="005C7C63" w:rsidRDefault="00991685">
      <w:pPr>
        <w:pStyle w:val="affa"/>
        <w:keepNext/>
        <w:keepLines/>
        <w:widowControl/>
        <w:numPr>
          <w:ilvl w:val="0"/>
          <w:numId w:val="9"/>
        </w:numPr>
        <w:spacing w:line="276" w:lineRule="auto"/>
        <w:ind w:left="567" w:hanging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принять исчерпывающие меры по сохранению конфиденциальности Инсайдерской информации;</w:t>
      </w:r>
    </w:p>
    <w:p w:rsidR="005C7C63" w:rsidRDefault="00991685">
      <w:pPr>
        <w:pStyle w:val="affa"/>
        <w:keepNext/>
        <w:keepLines/>
        <w:widowControl/>
        <w:numPr>
          <w:ilvl w:val="0"/>
          <w:numId w:val="9"/>
        </w:numPr>
        <w:spacing w:line="276" w:lineRule="auto"/>
        <w:ind w:left="567" w:hanging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исключить распространение или предоставление Инсайдерской информации;</w:t>
      </w:r>
    </w:p>
    <w:p w:rsidR="005C7C63" w:rsidRDefault="00991685">
      <w:pPr>
        <w:pStyle w:val="affa"/>
        <w:keepNext/>
        <w:keepLines/>
        <w:widowControl/>
        <w:numPr>
          <w:ilvl w:val="0"/>
          <w:numId w:val="9"/>
        </w:numPr>
        <w:spacing w:line="276" w:lineRule="auto"/>
        <w:ind w:left="567" w:hanging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действовать в соответствии с указаниями ОДЛ.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7.9. С момента опубликования Инсайдерской информации она утрачивает статус инсайдерской и становится общедоступной.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 xml:space="preserve">7.10. Обществом проводится обучение, включающее в себя разъяснения положений Федерального закона № 224-ФЗ и принятых в соответствии с ним нормативных актов, и ЛНД (А) Общества в сфере </w:t>
      </w:r>
      <w:r>
        <w:rPr>
          <w:sz w:val="24"/>
          <w:szCs w:val="24"/>
        </w:rPr>
        <w:t>противодействия неправомерному использованию инсайдерской информации и манипулированию рынком</w:t>
      </w:r>
      <w:r>
        <w:rPr>
          <w:sz w:val="24"/>
          <w:szCs w:val="24"/>
          <w:lang w:bidi="pa-IN"/>
        </w:rPr>
        <w:t>. Обучающие материалы должны быть адаптированы для понимания различных категорий работников Общества, а также доступны им и Инсайдерам Общества на постоянной основе.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 xml:space="preserve">Обучающий курс в сфере </w:t>
      </w:r>
      <w:r>
        <w:rPr>
          <w:sz w:val="24"/>
          <w:szCs w:val="24"/>
        </w:rPr>
        <w:t>противодействия неправомерному использованию инсайдерской информации и манипулированию рынком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  <w:lang w:bidi="pa-IN"/>
        </w:rPr>
        <w:t>в обязательном порядке должно включать в себя следующие тематики:</w:t>
      </w:r>
    </w:p>
    <w:p w:rsidR="005C7C63" w:rsidRDefault="00991685">
      <w:pPr>
        <w:pStyle w:val="affa"/>
        <w:keepNext/>
        <w:keepLines/>
        <w:widowControl/>
        <w:numPr>
          <w:ilvl w:val="0"/>
          <w:numId w:val="10"/>
        </w:numPr>
        <w:spacing w:line="276" w:lineRule="auto"/>
        <w:ind w:left="567" w:hanging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основные требования Федерального закона № 224-ФЗ и принятых в соответствии с ним нормативных актов, в части, защиты и охраны инсайдерской информации;</w:t>
      </w:r>
    </w:p>
    <w:p w:rsidR="005C7C63" w:rsidRDefault="00991685">
      <w:pPr>
        <w:pStyle w:val="affa"/>
        <w:keepNext/>
        <w:keepLines/>
        <w:widowControl/>
        <w:numPr>
          <w:ilvl w:val="0"/>
          <w:numId w:val="10"/>
        </w:numPr>
        <w:spacing w:line="276" w:lineRule="auto"/>
        <w:ind w:left="567" w:hanging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 xml:space="preserve">требования ЛНД (А) Общества в сфере </w:t>
      </w:r>
      <w:r>
        <w:rPr>
          <w:sz w:val="24"/>
          <w:szCs w:val="24"/>
        </w:rPr>
        <w:t>противодействия неправомерному использованию инсайдерской информации и манипулированию рынком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  <w:lang w:bidi="pa-IN"/>
        </w:rPr>
        <w:t>в части, защиты и охраны инсайдерской информации;</w:t>
      </w:r>
    </w:p>
    <w:p w:rsidR="005C7C63" w:rsidRDefault="00991685">
      <w:pPr>
        <w:pStyle w:val="affa"/>
        <w:keepNext/>
        <w:keepLines/>
        <w:widowControl/>
        <w:numPr>
          <w:ilvl w:val="0"/>
          <w:numId w:val="10"/>
        </w:numPr>
        <w:spacing w:line="276" w:lineRule="auto"/>
        <w:ind w:left="567" w:hanging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последствия нарушений требований Федерального закона № 224-ФЗ и принятых в соответствии с ним нормативных актов, ЛНД (А) Общества.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Периодичность проведения обучения работников устанавливается отдельным ЛНД (А) Общества.</w:t>
      </w:r>
    </w:p>
    <w:p w:rsidR="005C7C63" w:rsidRDefault="00991685">
      <w:pPr>
        <w:pStyle w:val="1"/>
        <w:widowControl/>
        <w:ind w:hanging="720"/>
      </w:pPr>
      <w:bookmarkStart w:id="26" w:name="_Toc210313389"/>
      <w:r>
        <w:t>8. ОТВЕТСТВЕННОСТЬ</w:t>
      </w:r>
      <w:bookmarkEnd w:id="26"/>
    </w:p>
    <w:p w:rsidR="005C7C63" w:rsidRDefault="00991685">
      <w:pPr>
        <w:keepNext/>
        <w:keepLines/>
        <w:widowControl/>
        <w:shd w:val="clear" w:color="auto" w:fill="FFFFFF"/>
        <w:tabs>
          <w:tab w:val="left" w:pos="0"/>
        </w:tabs>
        <w:spacing w:line="276" w:lineRule="auto"/>
        <w:ind w:right="11" w:firstLine="567"/>
        <w:jc w:val="both"/>
        <w:rPr>
          <w:sz w:val="24"/>
          <w:szCs w:val="24"/>
        </w:rPr>
      </w:pPr>
      <w:bookmarkStart w:id="27" w:name="_Toc17"/>
      <w:bookmarkStart w:id="28" w:name="_Toc202447480"/>
      <w:r>
        <w:rPr>
          <w:sz w:val="24"/>
          <w:szCs w:val="24"/>
        </w:rPr>
        <w:t>8.1. Инсайдеры Общества, являющиеся работниками Общества, несут ответственность за неправомерное использование Инсайдерской информации и могут быть привлечены к дисциплинарной, административной, уголовной или гражданско-правовой ответственности в соответствии с законодательством Российской Федерации и условиями трудовых отношений с Обществом.</w:t>
      </w:r>
    </w:p>
    <w:p w:rsidR="005C7C63" w:rsidRDefault="00991685">
      <w:pPr>
        <w:keepNext/>
        <w:keepLines/>
        <w:widowControl/>
        <w:shd w:val="clear" w:color="auto" w:fill="FFFFFF"/>
        <w:tabs>
          <w:tab w:val="left" w:pos="0"/>
        </w:tabs>
        <w:spacing w:line="276" w:lineRule="auto"/>
        <w:ind w:right="11" w:firstLine="567"/>
        <w:jc w:val="both"/>
        <w:rPr>
          <w:sz w:val="24"/>
          <w:szCs w:val="24"/>
        </w:rPr>
      </w:pPr>
      <w:r>
        <w:rPr>
          <w:sz w:val="24"/>
          <w:szCs w:val="24"/>
        </w:rPr>
        <w:t>8.2. Инсайдеры Общества, не являющиеся работниками Общества, несут ответственность за неправомерное использование Инсайдерской информации и могут быть привлечены к административной, уголовной или гражданско-правовой ответственности в соответствии с законодательством Российской Федерации и условиями договоров с Обществом.</w:t>
      </w:r>
    </w:p>
    <w:p w:rsidR="005C7C63" w:rsidRDefault="00991685">
      <w:pPr>
        <w:keepNext/>
        <w:keepLines/>
        <w:widowControl/>
        <w:shd w:val="clear" w:color="auto" w:fill="FFFFFF"/>
        <w:tabs>
          <w:tab w:val="left" w:pos="0"/>
        </w:tabs>
        <w:spacing w:line="276" w:lineRule="auto"/>
        <w:ind w:right="11" w:firstLine="567"/>
        <w:jc w:val="both"/>
        <w:rPr>
          <w:sz w:val="24"/>
          <w:szCs w:val="24"/>
        </w:rPr>
      </w:pPr>
      <w:r>
        <w:rPr>
          <w:sz w:val="24"/>
          <w:szCs w:val="24"/>
        </w:rPr>
        <w:t>8.3. К ответственности могут быть привлечены лица, не включенные в Список инсайдеров Общества, но распространяющие Инсайдерскую информацию или совершающие операции с Финансовыми инструментами с использованием Инсайдерской информации.</w:t>
      </w:r>
    </w:p>
    <w:p w:rsidR="005C7C63" w:rsidRDefault="00991685">
      <w:pPr>
        <w:keepNext/>
        <w:keepLines/>
        <w:widowControl/>
        <w:shd w:val="clear" w:color="auto" w:fill="FFFFFF"/>
        <w:tabs>
          <w:tab w:val="left" w:pos="0"/>
        </w:tabs>
        <w:spacing w:line="276" w:lineRule="auto"/>
        <w:ind w:right="11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8.4. Любое лицо, распространившее ложные сведения, не несет ответственности за манипулирование рынком, если оно не знало и не должно было знать, что распространенные сведения являются ложными.</w:t>
      </w:r>
    </w:p>
    <w:p w:rsidR="005C7C63" w:rsidRDefault="00991685">
      <w:pPr>
        <w:keepNext/>
        <w:keepLines/>
        <w:widowControl/>
        <w:shd w:val="clear" w:color="auto" w:fill="FFFFFF"/>
        <w:tabs>
          <w:tab w:val="left" w:pos="0"/>
        </w:tabs>
        <w:spacing w:line="276" w:lineRule="auto"/>
        <w:ind w:right="11" w:firstLine="567"/>
        <w:jc w:val="both"/>
        <w:rPr>
          <w:sz w:val="24"/>
          <w:szCs w:val="24"/>
        </w:rPr>
      </w:pPr>
      <w:r>
        <w:rPr>
          <w:bCs/>
          <w:spacing w:val="-2"/>
          <w:sz w:val="24"/>
          <w:szCs w:val="24"/>
        </w:rPr>
        <w:t>8.5. Любое лицо, использовавшее Инсайдерскую информацию, не несет ответственности за неправомерное использование Инсайдерской информации Общества, если оно не знало и не должно было знать, что такая информация является инсайдерской.</w:t>
      </w:r>
    </w:p>
    <w:p w:rsidR="005C7C63" w:rsidRDefault="00991685">
      <w:pPr>
        <w:pStyle w:val="1"/>
        <w:ind w:hanging="720"/>
      </w:pPr>
      <w:bookmarkStart w:id="29" w:name="_Toc210313391"/>
      <w:bookmarkEnd w:id="27"/>
      <w:bookmarkEnd w:id="28"/>
      <w:r>
        <w:t>9. ЗАКЛЮЧИТЕЛЬНЫЕ ПОЛОЖЕНИЯ</w:t>
      </w:r>
      <w:bookmarkEnd w:id="29"/>
    </w:p>
    <w:p w:rsidR="005C7C63" w:rsidRDefault="00991685">
      <w:pPr>
        <w:keepNext/>
        <w:keepLines/>
        <w:widowControl/>
        <w:shd w:val="clear" w:color="auto" w:fill="FFFFFF"/>
        <w:tabs>
          <w:tab w:val="left" w:pos="0"/>
        </w:tabs>
        <w:spacing w:line="276" w:lineRule="auto"/>
        <w:ind w:right="11" w:firstLine="567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9.1. Положение, а также изменения к нему, утверждаются Советом директоров Общества. </w:t>
      </w:r>
    </w:p>
    <w:p w:rsidR="005C7C63" w:rsidRDefault="00991685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9.2. Вопросы, не урегулированные Положением, регулируются законодательством Российской Федерации, Уставом Общества и иными ЛНД (А) Общества. </w:t>
      </w:r>
    </w:p>
    <w:p w:rsidR="005C7C63" w:rsidRDefault="00991685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9.3. В случае, если в результате изменения законодательства Российской Федерации отдельные статьи Положения вступают в противоречие с законодательством Российской Федерации, они утрачивают силу, и до момента внесения изменений в Положение Общество руководствуется законами и подзаконными нормативными правовыми актами Российской Федерации. </w:t>
      </w: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991685">
      <w:pPr>
        <w:shd w:val="clear" w:color="auto" w:fill="FFFFFF"/>
        <w:tabs>
          <w:tab w:val="left" w:pos="0"/>
          <w:tab w:val="left" w:pos="6094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ab/>
      </w: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991685">
      <w:pPr>
        <w:jc w:val="right"/>
      </w:pPr>
      <w:r>
        <w:lastRenderedPageBreak/>
        <w:t>Приложение 1</w:t>
      </w:r>
    </w:p>
    <w:p w:rsidR="005C7C63" w:rsidRDefault="00991685">
      <w:pPr>
        <w:jc w:val="right"/>
      </w:pPr>
      <w:r>
        <w:t xml:space="preserve">к Положению о порядке доступа </w:t>
      </w:r>
    </w:p>
    <w:p w:rsidR="005C7C63" w:rsidRDefault="00991685">
      <w:pPr>
        <w:jc w:val="right"/>
      </w:pPr>
      <w:r>
        <w:t xml:space="preserve">к инсайдерской информации, </w:t>
      </w:r>
    </w:p>
    <w:p w:rsidR="005C7C63" w:rsidRDefault="00991685">
      <w:pPr>
        <w:jc w:val="right"/>
      </w:pPr>
      <w:r>
        <w:t>правилах охраны ее конфиденциальности</w:t>
      </w:r>
    </w:p>
    <w:tbl>
      <w:tblPr>
        <w:tblStyle w:val="14"/>
        <w:tblW w:w="9890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4786"/>
      </w:tblGrid>
      <w:tr w:rsidR="005C7C63"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C7C63" w:rsidRDefault="005C7C63">
            <w:pPr>
              <w:rPr>
                <w:lang w:eastAsia="ru-RU" w:bidi="ar-SA"/>
              </w:rPr>
            </w:pPr>
          </w:p>
        </w:tc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C7C63" w:rsidRDefault="005C7C63">
            <w:pPr>
              <w:spacing w:after="120"/>
              <w:rPr>
                <w:lang w:eastAsia="ru-RU" w:bidi="ar-SA"/>
              </w:rPr>
            </w:pPr>
          </w:p>
        </w:tc>
      </w:tr>
    </w:tbl>
    <w:p w:rsidR="005C7C63" w:rsidRDefault="00991685">
      <w:pPr>
        <w:spacing w:before="240" w:after="240"/>
        <w:jc w:val="center"/>
        <w:rPr>
          <w:b/>
          <w:bCs/>
          <w:sz w:val="22"/>
          <w:szCs w:val="22"/>
          <w:lang w:bidi="ru-RU"/>
        </w:rPr>
      </w:pPr>
      <w:r>
        <w:rPr>
          <w:b/>
          <w:bCs/>
          <w:sz w:val="22"/>
          <w:szCs w:val="22"/>
          <w:lang w:bidi="ru-RU"/>
        </w:rPr>
        <w:t>УВЕДОМЛЕНИЕ</w:t>
      </w:r>
      <w:r>
        <w:rPr>
          <w:b/>
          <w:bCs/>
          <w:sz w:val="22"/>
          <w:szCs w:val="22"/>
          <w:lang w:bidi="ru-RU"/>
        </w:rPr>
        <w:br w:type="textWrapping" w:clear="all"/>
        <w:t xml:space="preserve">о включении лица в список </w:t>
      </w:r>
      <w:r>
        <w:rPr>
          <w:b/>
          <w:bCs/>
          <w:sz w:val="22"/>
          <w:szCs w:val="22"/>
        </w:rPr>
        <w:t xml:space="preserve">(исключении из списка) </w:t>
      </w:r>
      <w:r>
        <w:rPr>
          <w:b/>
          <w:bCs/>
          <w:sz w:val="22"/>
          <w:szCs w:val="22"/>
          <w:lang w:bidi="ru-RU"/>
        </w:rPr>
        <w:t>инсайдеров</w:t>
      </w:r>
    </w:p>
    <w:tbl>
      <w:tblPr>
        <w:tblW w:w="1009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422"/>
        <w:gridCol w:w="5104"/>
      </w:tblGrid>
      <w:tr w:rsidR="005C7C63">
        <w:trPr>
          <w:trHeight w:val="3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63" w:rsidRDefault="00991685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</w:t>
            </w:r>
          </w:p>
        </w:tc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jc w:val="center"/>
              <w:rPr>
                <w:b/>
                <w:bCs/>
                <w:sz w:val="18"/>
                <w:szCs w:val="18"/>
                <w:lang w:bidi="ru-RU"/>
              </w:rPr>
            </w:pPr>
            <w:r>
              <w:rPr>
                <w:b/>
                <w:bCs/>
                <w:sz w:val="18"/>
                <w:szCs w:val="18"/>
                <w:lang w:bidi="ru-RU"/>
              </w:rPr>
              <w:t>Сведения об уведомлении</w:t>
            </w:r>
          </w:p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63" w:rsidRDefault="00991685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1.1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Порядковый номер и дата составления уведомления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>
            <w:pPr>
              <w:ind w:left="57"/>
              <w:rPr>
                <w:sz w:val="18"/>
                <w:szCs w:val="18"/>
                <w:lang w:bidi="ru-RU"/>
              </w:rPr>
            </w:pPr>
          </w:p>
        </w:tc>
      </w:tr>
      <w:tr w:rsidR="005C7C63">
        <w:trPr>
          <w:trHeight w:val="36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63" w:rsidRDefault="00991685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</w:t>
            </w:r>
          </w:p>
        </w:tc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ind w:left="57"/>
              <w:jc w:val="center"/>
              <w:rPr>
                <w:b/>
                <w:bCs/>
                <w:sz w:val="18"/>
                <w:szCs w:val="18"/>
                <w:lang w:bidi="ru-RU"/>
              </w:rPr>
            </w:pPr>
            <w:r>
              <w:rPr>
                <w:b/>
                <w:bCs/>
                <w:sz w:val="18"/>
                <w:szCs w:val="18"/>
                <w:lang w:bidi="ru-RU"/>
              </w:rPr>
              <w:t>Сведения в отношении уведомляющего лица</w:t>
            </w:r>
          </w:p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63" w:rsidRDefault="00991685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2.1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Полное фирменное наименование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63" w:rsidRDefault="00991685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2.2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Место нахождения и (или) адрес для направления почтовой корреспонденции (при наличии)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>
            <w:pPr>
              <w:ind w:left="57"/>
              <w:rPr>
                <w:sz w:val="18"/>
                <w:szCs w:val="18"/>
                <w:lang w:bidi="ru-RU"/>
              </w:rPr>
            </w:pPr>
          </w:p>
          <w:p w:rsidR="005C7C63" w:rsidRDefault="005C7C63"/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63" w:rsidRDefault="00991685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2.3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 xml:space="preserve">ОГРН, ИНН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63" w:rsidRDefault="00991685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2.4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Адрес сайта в информационно-телекоммуникационной сети «Интернет» (при наличии)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63" w:rsidRDefault="00991685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2.5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Номер контактного телефона и (или) адрес электронной почты для обращений инсайдеров</w:t>
            </w:r>
            <w:r>
              <w:rPr>
                <w:sz w:val="18"/>
                <w:szCs w:val="18"/>
              </w:rPr>
              <w:t xml:space="preserve"> (лиц, исключенных из списка инсайдеров)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val="en-US" w:bidi="ru-RU"/>
              </w:rPr>
            </w:pPr>
            <w:r>
              <w:rPr>
                <w:sz w:val="18"/>
                <w:szCs w:val="18"/>
                <w:lang w:bidi="ru-RU"/>
              </w:rPr>
              <w:t>2.6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Номер пункта статьи 4 Федерального закона от 27 июля 2010 года N 224-ФЗ, относящий уведомляющее лицо к инсайдерам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33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</w:t>
            </w:r>
          </w:p>
        </w:tc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jc w:val="center"/>
              <w:rPr>
                <w:b/>
                <w:bCs/>
                <w:sz w:val="18"/>
                <w:szCs w:val="18"/>
                <w:lang w:bidi="ru-RU"/>
              </w:rPr>
            </w:pPr>
            <w:r>
              <w:rPr>
                <w:b/>
                <w:bCs/>
                <w:sz w:val="18"/>
                <w:szCs w:val="18"/>
                <w:lang w:bidi="ru-RU"/>
              </w:rPr>
              <w:t>Сведения в отношении инсайдера (лица, исключенного из списка)</w:t>
            </w:r>
          </w:p>
        </w:tc>
      </w:tr>
      <w:tr w:rsidR="005C7C63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jc w:val="center"/>
            </w:pPr>
            <w:r>
              <w:t>для инсайдера (лица, исключенного из списка), являющегося российским или иностранным юридическим лицом (иностранной организацией, не являющейся юридическим лицом в соответствии с правом страны, где эта организация учреждена)</w:t>
            </w:r>
          </w:p>
        </w:tc>
      </w:tr>
      <w:tr w:rsidR="005C7C63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3.1.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Полное фирменное наименование (для инсайдера (лица, исключенного из списка), являющегося российским юридическим лицом - коммерческой организацией), наименование (для инсайдера (лица, исключенного из списка), являющегося российским юридическим лицом - некоммерческой организацией, иностранным юридическим лицом, иностранной организацией, не являющейся юридическим лицом в соответствии с правом страны, где эта организация учреждена)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Место нахождения и (или) адрес для направления почтовой корреспонденции (при наличии)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ОГРН, ИНН (при наличии)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КИО (при наличии) и ОКСМ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3.5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Регистрационный номер в стране регистрации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3.6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Финансовый инструмент, иностранная валюта и (или) товар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3.7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Основание для включения инсайдера в список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3.8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Основание, в силу которого инсайдер (лицо, исключенное из списка) перестал соответствовать положениям статьи 4 Федерального закона от 27 июля 2010 года № 224-ФЗ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3.9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Информация о включении инсайдера в список (исключении лица, исключенного из списка, из списка) и дате такого включения (исключения)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jc w:val="center"/>
            </w:pPr>
            <w:r>
              <w:t>для инсайдера (лица, исключенного из списка),</w:t>
            </w:r>
          </w:p>
          <w:p w:rsidR="005C7C63" w:rsidRDefault="00991685">
            <w:pPr>
              <w:jc w:val="center"/>
            </w:pPr>
            <w:r>
              <w:t>являющегося физическим лицом</w:t>
            </w:r>
          </w:p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Фамилия, имя, отчество (последнее - при наличии)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Дата рождения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Место рождения (при наличии таких сведений)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56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Должность, которую инсайдер (лицо, исключенное из списка) занимает в уведомляющем лице (при наличии)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3.5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color w:val="FF0000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Финансовый инструмент, иностранная валюта и (или) товар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 xml:space="preserve"> </w:t>
            </w:r>
          </w:p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lastRenderedPageBreak/>
              <w:t>3.6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color w:val="FF0000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 xml:space="preserve">Основание для включения инсайдера в список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3.7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Основание, в силу которого инсайдер (лицо, исключенное из списка) перестал соответствовать положениям статьи 4 Федерального закона от 27 июля 2010 года № 224-ФЗ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val="en-US" w:bidi="ru-RU"/>
              </w:rPr>
              <w:t>3.</w:t>
            </w:r>
            <w:r>
              <w:rPr>
                <w:color w:val="000000"/>
                <w:sz w:val="18"/>
                <w:szCs w:val="18"/>
                <w:lang w:bidi="ru-RU"/>
              </w:rPr>
              <w:t>8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color w:val="FF0000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Информация о включении инсайдера в список (исключении лица, исключенного из списка, из списка) и дате такого включения (исключения)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en-US" w:bidi="ru-RU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</w:rPr>
              <w:t xml:space="preserve">  Информационное сообщение о требованиях Федерального закона от 27 июля 2010 года N 224-ФЗ, предусмотренное пунктом 2 части 1 статьи 9 Федерального закона от 27 июля 2010 года N 224-ФЗ</w:t>
            </w:r>
          </w:p>
        </w:tc>
      </w:tr>
      <w:tr w:rsidR="005C7C63">
        <w:trPr>
          <w:trHeight w:val="227"/>
          <w:jc w:val="center"/>
        </w:trPr>
        <w:tc>
          <w:tcPr>
            <w:tcW w:w="10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ind w:firstLine="426"/>
              <w:jc w:val="both"/>
              <w:rPr>
                <w:b/>
                <w:i/>
                <w:iCs/>
                <w:sz w:val="18"/>
                <w:szCs w:val="18"/>
                <w:lang w:bidi="ru-RU"/>
              </w:rPr>
            </w:pPr>
            <w:r>
              <w:rPr>
                <w:b/>
                <w:i/>
                <w:iCs/>
                <w:sz w:val="18"/>
                <w:szCs w:val="18"/>
                <w:lang w:bidi="ru-RU"/>
              </w:rPr>
              <w:t>Обращаем Ваше внимание, что с момента внесения Вас в список инсайдеров Общества на основании статьи 6 Федерального закона от 27 июля 2010 года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(далее – Федеральный закон) Вам запрещается использование инсайдерской информации:</w:t>
            </w:r>
          </w:p>
          <w:p w:rsidR="005C7C63" w:rsidRDefault="00991685">
            <w:pPr>
              <w:ind w:firstLine="709"/>
              <w:jc w:val="both"/>
              <w:rPr>
                <w:b/>
                <w:i/>
                <w:iCs/>
                <w:sz w:val="18"/>
                <w:szCs w:val="18"/>
                <w:lang w:bidi="ru-RU"/>
              </w:rPr>
            </w:pPr>
            <w:r>
              <w:rPr>
                <w:b/>
                <w:i/>
                <w:iCs/>
                <w:sz w:val="18"/>
                <w:szCs w:val="18"/>
                <w:lang w:bidi="ru-RU"/>
              </w:rPr>
              <w:t>1) для осуществления операций с финансовыми инструментами, которых касается инсайдерская информация, за свой счет или за счет третьего лица, за исключением совершения операций в рамках исполнения обязательства по покупке или продаже финансовых инструментов, срок исполнения которого наступил, если такое обязательство возникло в результате операции, совершенной до того, как Вам стала известна инсайдерская информация;</w:t>
            </w:r>
          </w:p>
          <w:p w:rsidR="005C7C63" w:rsidRDefault="00991685">
            <w:pPr>
              <w:ind w:firstLine="709"/>
              <w:jc w:val="both"/>
              <w:rPr>
                <w:b/>
                <w:i/>
                <w:iCs/>
                <w:sz w:val="18"/>
                <w:szCs w:val="18"/>
                <w:lang w:bidi="ru-RU"/>
              </w:rPr>
            </w:pPr>
            <w:r>
              <w:rPr>
                <w:b/>
                <w:i/>
                <w:iCs/>
                <w:sz w:val="18"/>
                <w:szCs w:val="18"/>
                <w:lang w:bidi="ru-RU"/>
              </w:rPr>
              <w:t>2) путем передачи ее другому лицу, за исключением случаев передачи этой информации лицу, включенному в список инсайдеров, в связи с исполнением обязанностей, установленных федеральными законами, либо в связи с исполнением трудовых обязанностей или исполнением договора;</w:t>
            </w:r>
          </w:p>
          <w:p w:rsidR="005C7C63" w:rsidRDefault="00991685">
            <w:pPr>
              <w:ind w:firstLine="709"/>
              <w:jc w:val="both"/>
              <w:rPr>
                <w:b/>
                <w:i/>
                <w:iCs/>
                <w:sz w:val="18"/>
                <w:szCs w:val="18"/>
                <w:lang w:bidi="ru-RU"/>
              </w:rPr>
            </w:pPr>
            <w:r>
              <w:rPr>
                <w:b/>
                <w:i/>
                <w:iCs/>
                <w:sz w:val="18"/>
                <w:szCs w:val="18"/>
                <w:lang w:bidi="ru-RU"/>
              </w:rPr>
              <w:t>3) путем дачи рекомендаций третьим лицам, обязывания или побуждения их иным образом к приобретению или продаже финансовых инструментов Общества.</w:t>
            </w:r>
          </w:p>
          <w:p w:rsidR="005C7C63" w:rsidRDefault="00991685">
            <w:pPr>
              <w:ind w:firstLine="709"/>
              <w:jc w:val="both"/>
              <w:rPr>
                <w:b/>
                <w:i/>
                <w:iCs/>
                <w:sz w:val="18"/>
                <w:szCs w:val="18"/>
                <w:lang w:bidi="ru-RU"/>
              </w:rPr>
            </w:pPr>
            <w:r>
              <w:rPr>
                <w:b/>
                <w:i/>
                <w:iCs/>
                <w:sz w:val="18"/>
                <w:szCs w:val="18"/>
                <w:lang w:bidi="ru-RU"/>
              </w:rPr>
              <w:t>Также запрещается осуществлять действия, относящиеся в соответствии со статьей 5 Федерального закона к манипулированию рынком.</w:t>
            </w:r>
          </w:p>
          <w:p w:rsidR="005C7C63" w:rsidRDefault="00991685">
            <w:pPr>
              <w:ind w:firstLine="426"/>
              <w:jc w:val="both"/>
              <w:rPr>
                <w:b/>
                <w:i/>
                <w:iCs/>
                <w:sz w:val="18"/>
                <w:szCs w:val="18"/>
                <w:lang w:bidi="ru-RU"/>
              </w:rPr>
            </w:pPr>
            <w:r>
              <w:rPr>
                <w:b/>
                <w:i/>
                <w:iCs/>
                <w:sz w:val="18"/>
                <w:szCs w:val="18"/>
                <w:lang w:bidi="ru-RU"/>
              </w:rPr>
              <w:t>Статьями 7 и 11 Федерального закона определена ответственность таких лиц. За неправомерное использование инсайдерской информации и (или) манипулирование рынком, законодательством Российской Федерации, в том числе, предусмотрена административная (ст. 15.30 и 15.21 КоАП РФ) и уголовная ответственность (ст. 185.3 и 185.6 УК РФ).</w:t>
            </w:r>
          </w:p>
          <w:p w:rsidR="005C7C63" w:rsidRDefault="00991685">
            <w:pPr>
              <w:ind w:firstLine="426"/>
              <w:jc w:val="both"/>
              <w:rPr>
                <w:b/>
                <w:i/>
                <w:iCs/>
                <w:sz w:val="18"/>
                <w:szCs w:val="18"/>
                <w:lang w:bidi="ru-RU"/>
              </w:rPr>
            </w:pPr>
            <w:r>
              <w:rPr>
                <w:b/>
                <w:i/>
                <w:iCs/>
                <w:sz w:val="18"/>
                <w:szCs w:val="18"/>
                <w:lang w:bidi="ru-RU"/>
              </w:rPr>
              <w:t xml:space="preserve">Инсайдеры Общества обязаны соблюдать режим конфиденциальности инсайдерской информации (в том числе в случаях прекращения договорных отношений и исключения из Списка инсайдеров Общества) до момента, когда такая информация не потеряет статуса инсайдерской информации. Окончание срока действия договора, на основании которого лицо было включено в Список инсайдеров и получило доступ к инсайдерской информации, не свидетельствует о прекращении доступа такого лица к инсайдерской информации. </w:t>
            </w:r>
          </w:p>
          <w:p w:rsidR="005C7C63" w:rsidRDefault="00991685">
            <w:pPr>
              <w:ind w:firstLine="426"/>
              <w:jc w:val="both"/>
              <w:rPr>
                <w:b/>
                <w:i/>
                <w:iCs/>
                <w:sz w:val="18"/>
                <w:szCs w:val="18"/>
                <w:lang w:bidi="ru-RU"/>
              </w:rPr>
            </w:pPr>
            <w:r>
              <w:rPr>
                <w:b/>
                <w:i/>
                <w:iCs/>
                <w:sz w:val="18"/>
                <w:szCs w:val="18"/>
                <w:lang w:bidi="ru-RU"/>
              </w:rPr>
              <w:t>Более подробная информация о правах, обязанностях и ответственности инсайдера содержится в Федеральном законе и Положении Общества о порядке доступа к инсайдерской информации, правилах охраны ее конфиденциальности.</w:t>
            </w:r>
          </w:p>
        </w:tc>
      </w:tr>
    </w:tbl>
    <w:p w:rsidR="005C7C63" w:rsidRDefault="005C7C63">
      <w:pPr>
        <w:ind w:firstLine="426"/>
        <w:jc w:val="both"/>
        <w:rPr>
          <w:bCs/>
          <w:i/>
          <w:sz w:val="18"/>
          <w:szCs w:val="18"/>
          <w:lang w:bidi="ru-RU"/>
        </w:rPr>
      </w:pPr>
    </w:p>
    <w:p w:rsidR="005C7C63" w:rsidRDefault="00991685">
      <w:pPr>
        <w:ind w:firstLine="426"/>
        <w:jc w:val="both"/>
        <w:rPr>
          <w:bCs/>
          <w:i/>
          <w:sz w:val="18"/>
          <w:szCs w:val="18"/>
          <w:lang w:bidi="ru-RU"/>
        </w:rPr>
      </w:pPr>
      <w:r>
        <w:rPr>
          <w:bCs/>
          <w:i/>
          <w:sz w:val="18"/>
          <w:szCs w:val="18"/>
          <w:lang w:bidi="ru-RU"/>
        </w:rPr>
        <w:t>Своей подписью Вы подтверждаете, что настоящее уведомление получено, а также ознакомление со ст. 6, 7 и 11 Федерального закона, Положением о порядке доступа к инсайдерской информации, правилах охраны ее конфиденциальности, Правилами ВК ПНИИИМР.</w:t>
      </w:r>
    </w:p>
    <w:p w:rsidR="005C7C63" w:rsidRDefault="005C7C63">
      <w:pPr>
        <w:ind w:firstLine="426"/>
        <w:jc w:val="both"/>
        <w:rPr>
          <w:bCs/>
          <w:i/>
          <w:sz w:val="18"/>
          <w:szCs w:val="18"/>
          <w:lang w:bidi="ru-RU"/>
        </w:rPr>
      </w:pPr>
    </w:p>
    <w:p w:rsidR="005C7C63" w:rsidRDefault="005C7C63">
      <w:pPr>
        <w:ind w:firstLine="426"/>
        <w:jc w:val="both"/>
        <w:rPr>
          <w:bCs/>
          <w:i/>
          <w:sz w:val="18"/>
          <w:szCs w:val="18"/>
          <w:lang w:bidi="ru-RU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6"/>
        <w:gridCol w:w="1984"/>
        <w:gridCol w:w="4850"/>
      </w:tblGrid>
      <w:tr w:rsidR="005C7C63">
        <w:tc>
          <w:tcPr>
            <w:tcW w:w="3146" w:type="dxa"/>
            <w:tcBorders>
              <w:bottom w:val="single" w:sz="4" w:space="0" w:color="000000"/>
            </w:tcBorders>
            <w:vAlign w:val="bottom"/>
          </w:tcPr>
          <w:p w:rsidR="005C7C63" w:rsidRDefault="005C7C63"/>
        </w:tc>
        <w:tc>
          <w:tcPr>
            <w:tcW w:w="1984" w:type="dxa"/>
          </w:tcPr>
          <w:p w:rsidR="005C7C63" w:rsidRDefault="005C7C63"/>
        </w:tc>
        <w:tc>
          <w:tcPr>
            <w:tcW w:w="4850" w:type="dxa"/>
          </w:tcPr>
          <w:p w:rsidR="005C7C63" w:rsidRDefault="005C7C63"/>
        </w:tc>
      </w:tr>
      <w:tr w:rsidR="005C7C63">
        <w:tc>
          <w:tcPr>
            <w:tcW w:w="3146" w:type="dxa"/>
            <w:tcBorders>
              <w:top w:val="single" w:sz="4" w:space="0" w:color="000000"/>
            </w:tcBorders>
          </w:tcPr>
          <w:p w:rsidR="005C7C63" w:rsidRDefault="00991685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(инициалы, фамилия)</w:t>
            </w:r>
          </w:p>
        </w:tc>
        <w:tc>
          <w:tcPr>
            <w:tcW w:w="1984" w:type="dxa"/>
          </w:tcPr>
          <w:p w:rsidR="005C7C63" w:rsidRDefault="005C7C63"/>
        </w:tc>
        <w:tc>
          <w:tcPr>
            <w:tcW w:w="4850" w:type="dxa"/>
          </w:tcPr>
          <w:p w:rsidR="005C7C63" w:rsidRDefault="005C7C63"/>
        </w:tc>
      </w:tr>
      <w:tr w:rsidR="005C7C63">
        <w:tc>
          <w:tcPr>
            <w:tcW w:w="3146" w:type="dxa"/>
          </w:tcPr>
          <w:p w:rsidR="005C7C63" w:rsidRDefault="005C7C63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984" w:type="dxa"/>
          </w:tcPr>
          <w:p w:rsidR="005C7C63" w:rsidRDefault="005C7C63"/>
        </w:tc>
        <w:tc>
          <w:tcPr>
            <w:tcW w:w="4850" w:type="dxa"/>
          </w:tcPr>
          <w:p w:rsidR="005C7C63" w:rsidRDefault="005C7C63"/>
        </w:tc>
      </w:tr>
      <w:tr w:rsidR="005C7C63">
        <w:tc>
          <w:tcPr>
            <w:tcW w:w="3146" w:type="dxa"/>
          </w:tcPr>
          <w:p w:rsidR="005C7C63" w:rsidRDefault="005C7C63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984" w:type="dxa"/>
          </w:tcPr>
          <w:p w:rsidR="005C7C63" w:rsidRDefault="005C7C63"/>
        </w:tc>
        <w:tc>
          <w:tcPr>
            <w:tcW w:w="4850" w:type="dxa"/>
          </w:tcPr>
          <w:p w:rsidR="005C7C63" w:rsidRDefault="005C7C63"/>
        </w:tc>
      </w:tr>
      <w:tr w:rsidR="005C7C63">
        <w:tc>
          <w:tcPr>
            <w:tcW w:w="3146" w:type="dxa"/>
            <w:tcBorders>
              <w:bottom w:val="single" w:sz="4" w:space="0" w:color="000000"/>
            </w:tcBorders>
            <w:vAlign w:val="bottom"/>
          </w:tcPr>
          <w:p w:rsidR="005C7C63" w:rsidRDefault="005C7C63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984" w:type="dxa"/>
          </w:tcPr>
          <w:p w:rsidR="005C7C63" w:rsidRDefault="005C7C63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4850" w:type="dxa"/>
            <w:tcBorders>
              <w:bottom w:val="single" w:sz="4" w:space="0" w:color="000000"/>
            </w:tcBorders>
            <w:vAlign w:val="bottom"/>
          </w:tcPr>
          <w:p w:rsidR="005C7C63" w:rsidRDefault="005C7C63">
            <w:pPr>
              <w:jc w:val="center"/>
              <w:rPr>
                <w:sz w:val="18"/>
                <w:szCs w:val="18"/>
                <w:lang w:bidi="ru-RU"/>
              </w:rPr>
            </w:pPr>
          </w:p>
        </w:tc>
      </w:tr>
      <w:tr w:rsidR="005C7C63">
        <w:tc>
          <w:tcPr>
            <w:tcW w:w="3146" w:type="dxa"/>
            <w:tcBorders>
              <w:top w:val="single" w:sz="4" w:space="0" w:color="000000"/>
            </w:tcBorders>
          </w:tcPr>
          <w:p w:rsidR="005C7C63" w:rsidRDefault="00991685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(подпись)</w:t>
            </w:r>
          </w:p>
        </w:tc>
        <w:tc>
          <w:tcPr>
            <w:tcW w:w="1984" w:type="dxa"/>
          </w:tcPr>
          <w:p w:rsidR="005C7C63" w:rsidRDefault="005C7C63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4850" w:type="dxa"/>
            <w:tcBorders>
              <w:top w:val="single" w:sz="4" w:space="0" w:color="000000"/>
            </w:tcBorders>
          </w:tcPr>
          <w:p w:rsidR="005C7C63" w:rsidRDefault="00991685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(наименование должности, дата подписи)</w:t>
            </w:r>
          </w:p>
        </w:tc>
      </w:tr>
    </w:tbl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991685">
      <w:r>
        <w:br w:type="page" w:clear="all"/>
      </w:r>
    </w:p>
    <w:p w:rsidR="005C7C63" w:rsidRDefault="00991685">
      <w:pPr>
        <w:jc w:val="right"/>
      </w:pPr>
      <w:r>
        <w:lastRenderedPageBreak/>
        <w:t>Приложение 2</w:t>
      </w:r>
    </w:p>
    <w:p w:rsidR="005C7C63" w:rsidRDefault="002D19A5">
      <w:pPr>
        <w:jc w:val="right"/>
      </w:pPr>
      <w:r>
        <w:t>к</w:t>
      </w:r>
      <w:r w:rsidR="00991685">
        <w:t xml:space="preserve"> Положению о порядке доступа </w:t>
      </w:r>
    </w:p>
    <w:p w:rsidR="005C7C63" w:rsidRDefault="00991685">
      <w:pPr>
        <w:jc w:val="right"/>
      </w:pPr>
      <w:r>
        <w:t xml:space="preserve">к инсайдерской информации, </w:t>
      </w:r>
    </w:p>
    <w:p w:rsidR="005C7C63" w:rsidRDefault="00991685">
      <w:pPr>
        <w:jc w:val="right"/>
      </w:pPr>
      <w:r>
        <w:t>правилах охраны ее конфиденциальности</w:t>
      </w:r>
    </w:p>
    <w:p w:rsidR="005C7C63" w:rsidRDefault="005C7C63">
      <w:pPr>
        <w:jc w:val="right"/>
      </w:pPr>
    </w:p>
    <w:tbl>
      <w:tblPr>
        <w:tblStyle w:val="affe"/>
        <w:tblW w:w="9784" w:type="dxa"/>
        <w:tblLook w:val="04A0" w:firstRow="1" w:lastRow="0" w:firstColumn="1" w:lastColumn="0" w:noHBand="0" w:noVBand="1"/>
      </w:tblPr>
      <w:tblGrid>
        <w:gridCol w:w="988"/>
        <w:gridCol w:w="2740"/>
        <w:gridCol w:w="3257"/>
        <w:gridCol w:w="1418"/>
        <w:gridCol w:w="1381"/>
      </w:tblGrid>
      <w:tr w:rsidR="005C7C63">
        <w:tc>
          <w:tcPr>
            <w:tcW w:w="9784" w:type="dxa"/>
            <w:gridSpan w:val="5"/>
          </w:tcPr>
          <w:p w:rsidR="005C7C63" w:rsidRDefault="00991685">
            <w:pPr>
              <w:pStyle w:val="Standard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ЛИСТ </w:t>
            </w:r>
            <w:r w:rsidR="002D19A5">
              <w:rPr>
                <w:rFonts w:ascii="Times New Roman" w:hAnsi="Times New Roman" w:cs="Times New Roman"/>
                <w:sz w:val="22"/>
                <w:szCs w:val="22"/>
              </w:rPr>
              <w:t>ЭМИТЕНТА</w:t>
            </w:r>
          </w:p>
          <w:p w:rsidR="005C7C63" w:rsidRDefault="005C7C63">
            <w:pPr>
              <w:tabs>
                <w:tab w:val="left" w:pos="0"/>
              </w:tabs>
              <w:spacing w:line="276" w:lineRule="auto"/>
              <w:ind w:right="10"/>
              <w:jc w:val="both"/>
            </w:pPr>
          </w:p>
        </w:tc>
      </w:tr>
      <w:tr w:rsidR="005C7C63">
        <w:trPr>
          <w:trHeight w:val="714"/>
        </w:trPr>
        <w:tc>
          <w:tcPr>
            <w:tcW w:w="988" w:type="dxa"/>
          </w:tcPr>
          <w:p w:rsidR="005C7C63" w:rsidRDefault="00991685">
            <w:pPr>
              <w:pStyle w:val="Standard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пп</w:t>
            </w:r>
          </w:p>
        </w:tc>
        <w:tc>
          <w:tcPr>
            <w:tcW w:w="2740" w:type="dxa"/>
          </w:tcPr>
          <w:p w:rsidR="005C7C63" w:rsidRDefault="00991685">
            <w:pPr>
              <w:pStyle w:val="Standard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внесения в список</w:t>
            </w:r>
          </w:p>
        </w:tc>
        <w:tc>
          <w:tcPr>
            <w:tcW w:w="3257" w:type="dxa"/>
          </w:tcPr>
          <w:p w:rsidR="005C7C63" w:rsidRDefault="00991685">
            <w:pPr>
              <w:pStyle w:val="Standard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эмитента</w:t>
            </w:r>
          </w:p>
        </w:tc>
        <w:tc>
          <w:tcPr>
            <w:tcW w:w="1418" w:type="dxa"/>
          </w:tcPr>
          <w:p w:rsidR="005C7C63" w:rsidRDefault="00991685">
            <w:pPr>
              <w:pStyle w:val="Standard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Финансовый инструмент</w:t>
            </w:r>
          </w:p>
        </w:tc>
        <w:tc>
          <w:tcPr>
            <w:tcW w:w="1381" w:type="dxa"/>
          </w:tcPr>
          <w:p w:rsidR="005C7C63" w:rsidRDefault="00991685">
            <w:pPr>
              <w:pStyle w:val="Standard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5C7C63">
        <w:tc>
          <w:tcPr>
            <w:tcW w:w="988" w:type="dxa"/>
          </w:tcPr>
          <w:p w:rsidR="005C7C63" w:rsidRDefault="005C7C63">
            <w:pPr>
              <w:pStyle w:val="Standard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0" w:type="dxa"/>
          </w:tcPr>
          <w:p w:rsidR="005C7C63" w:rsidRDefault="005C7C63">
            <w:pPr>
              <w:pStyle w:val="Standard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7" w:type="dxa"/>
          </w:tcPr>
          <w:p w:rsidR="005C7C63" w:rsidRDefault="005C7C63">
            <w:pPr>
              <w:pStyle w:val="Standard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5C7C63" w:rsidRDefault="005C7C63">
            <w:pPr>
              <w:pStyle w:val="Standard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1" w:type="dxa"/>
          </w:tcPr>
          <w:p w:rsidR="005C7C63" w:rsidRDefault="005C7C63">
            <w:pPr>
              <w:pStyle w:val="Standard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C7C63" w:rsidRDefault="005C7C63">
      <w:pPr>
        <w:jc w:val="right"/>
      </w:pPr>
    </w:p>
    <w:sectPr w:rsidR="005C7C63">
      <w:footerReference w:type="even" r:id="rId8"/>
      <w:footerReference w:type="default" r:id="rId9"/>
      <w:footerReference w:type="first" r:id="rId10"/>
      <w:pgSz w:w="11906" w:h="16838"/>
      <w:pgMar w:top="567" w:right="850" w:bottom="709" w:left="1701" w:header="0" w:footer="450" w:gutter="0"/>
      <w:cols w:space="1701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33E9B60" w16cex:dateUtc="2026-01-29T00:04:14Z"/>
  <w16cex:commentExtensible w16cex:durableId="7FACEF8F" w16cex:dateUtc="2026-01-28T23:43:19Z"/>
  <w16cex:commentExtensible w16cex:durableId="74CCD80F" w16cex:dateUtc="2026-01-28T23:37:27Z"/>
  <w16cex:commentExtensible w16cex:durableId="1460F5FF" w16cex:dateUtc="2026-01-28T23:36:2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33E9B60"/>
  <w16cid:commentId w16cid:paraId="00000002" w16cid:durableId="7FACEF8F"/>
  <w16cid:commentId w16cid:paraId="00000003" w16cid:durableId="74CCD80F"/>
  <w16cid:commentId w16cid:paraId="00000004" w16cid:durableId="1460F5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C63" w:rsidRDefault="00991685">
      <w:r>
        <w:separator/>
      </w:r>
    </w:p>
  </w:endnote>
  <w:endnote w:type="continuationSeparator" w:id="0">
    <w:p w:rsidR="005C7C63" w:rsidRDefault="0099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0"/>
    <w:family w:val="auto"/>
    <w:pitch w:val="default"/>
  </w:font>
  <w:font w:name="Noto Sans Devanagari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Noto Serif CJK SC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C63" w:rsidRDefault="00991685">
    <w:pPr>
      <w:pStyle w:val="af4"/>
      <w:ind w:right="360"/>
    </w:pPr>
    <w:r>
      <w:rPr>
        <w:noProof/>
      </w:rPr>
      <mc:AlternateContent>
        <mc:Choice Requires="wpg">
          <w:drawing>
            <wp:anchor distT="0" distB="0" distL="0" distR="0" simplePos="0" relativeHeight="2516587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C7C63" w:rsidRDefault="00991685">
                          <w:pPr>
                            <w:pStyle w:val="af4"/>
                            <w:rPr>
                              <w:rStyle w:val="af2"/>
                            </w:rPr>
                          </w:pPr>
                          <w:r>
                            <w:rPr>
                              <w:rStyle w:val="af2"/>
                            </w:rPr>
                            <w:fldChar w:fldCharType="begin"/>
                          </w:r>
                          <w:r>
                            <w:rPr>
                              <w:rStyle w:val="af2"/>
                            </w:rPr>
                            <w:instrText xml:space="preserve"> PAGE </w:instrText>
                          </w:r>
                          <w:r>
                            <w:rPr>
                              <w:rStyle w:val="af2"/>
                            </w:rPr>
                            <w:fldChar w:fldCharType="separate"/>
                          </w:r>
                          <w:r>
                            <w:rPr>
                              <w:rStyle w:val="af2"/>
                            </w:rPr>
                            <w:t>0</w:t>
                          </w:r>
                          <w:r>
                            <w:rPr>
                              <w:rStyle w:val="af2"/>
                            </w:rPr>
                            <w:fldChar w:fldCharType="end"/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o:spt="202" type="#_x0000_t202" style="position:absolute;z-index:251658752;o:allowoverlap:true;o:allowincell:tru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857"/>
                      <w:rPr>
                        <w:rStyle w:val="825"/>
                      </w:rPr>
                    </w:pPr>
                    <w:r>
                      <w:rPr>
                        <w:rStyle w:val="825"/>
                      </w:rPr>
                      <w:fldChar w:fldCharType="begin"/>
                    </w:r>
                    <w:r>
                      <w:rPr>
                        <w:rStyle w:val="825"/>
                      </w:rPr>
                      <w:instrText xml:space="preserve"> PAGE </w:instrText>
                    </w:r>
                    <w:r>
                      <w:rPr>
                        <w:rStyle w:val="825"/>
                      </w:rPr>
                      <w:fldChar w:fldCharType="separate"/>
                    </w:r>
                    <w:r>
                      <w:rPr>
                        <w:rStyle w:val="825"/>
                      </w:rPr>
                      <w:t xml:space="preserve">0</w:t>
                    </w:r>
                    <w:r>
                      <w:rPr>
                        <w:rStyle w:val="825"/>
                      </w:rPr>
                      <w:fldChar w:fldCharType="end"/>
                    </w:r>
                    <w:r>
                      <w:rPr>
                        <w:rStyle w:val="825"/>
                      </w:rPr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C63" w:rsidRDefault="00991685">
    <w:pPr>
      <w:pStyle w:val="af4"/>
      <w:tabs>
        <w:tab w:val="clear" w:pos="4677"/>
        <w:tab w:val="clear" w:pos="9355"/>
        <w:tab w:val="right" w:pos="8794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C63" w:rsidRDefault="00991685">
    <w:pPr>
      <w:pStyle w:val="af4"/>
      <w:ind w:right="360"/>
    </w:pPr>
    <w:r>
      <w:rPr>
        <w:noProof/>
      </w:rPr>
      <mc:AlternateContent>
        <mc:Choice Requires="wpg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C7C63" w:rsidRDefault="00991685">
                          <w:pPr>
                            <w:pStyle w:val="af4"/>
                            <w:rPr>
                              <w:rStyle w:val="af2"/>
                            </w:rPr>
                          </w:pPr>
                          <w:r>
                            <w:rPr>
                              <w:rStyle w:val="af2"/>
                            </w:rPr>
                            <w:fldChar w:fldCharType="begin"/>
                          </w:r>
                          <w:r>
                            <w:rPr>
                              <w:rStyle w:val="af2"/>
                            </w:rPr>
                            <w:instrText xml:space="preserve"> PAGE </w:instrText>
                          </w:r>
                          <w:r>
                            <w:rPr>
                              <w:rStyle w:val="af2"/>
                            </w:rPr>
                            <w:fldChar w:fldCharType="separate"/>
                          </w:r>
                          <w:r>
                            <w:rPr>
                              <w:rStyle w:val="af2"/>
                            </w:rPr>
                            <w:t>24</w:t>
                          </w:r>
                          <w:r>
                            <w:rPr>
                              <w:rStyle w:val="af2"/>
                            </w:rPr>
                            <w:fldChar w:fldCharType="end"/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2" o:spid="_x0000_s2" o:spt="202" type="#_x0000_t202" style="position:absolute;z-index:251657728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857"/>
                      <w:rPr>
                        <w:rStyle w:val="825"/>
                      </w:rPr>
                    </w:pPr>
                    <w:r>
                      <w:rPr>
                        <w:rStyle w:val="825"/>
                      </w:rPr>
                      <w:fldChar w:fldCharType="begin"/>
                    </w:r>
                    <w:r>
                      <w:rPr>
                        <w:rStyle w:val="825"/>
                      </w:rPr>
                      <w:instrText xml:space="preserve"> PAGE </w:instrText>
                    </w:r>
                    <w:r>
                      <w:rPr>
                        <w:rStyle w:val="825"/>
                      </w:rPr>
                      <w:fldChar w:fldCharType="separate"/>
                    </w:r>
                    <w:r>
                      <w:rPr>
                        <w:rStyle w:val="825"/>
                      </w:rPr>
                      <w:t xml:space="preserve">24</w:t>
                    </w:r>
                    <w:r>
                      <w:rPr>
                        <w:rStyle w:val="825"/>
                      </w:rPr>
                      <w:fldChar w:fldCharType="end"/>
                    </w:r>
                    <w:r>
                      <w:rPr>
                        <w:rStyle w:val="825"/>
                      </w:rPr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C63" w:rsidRDefault="00991685">
      <w:pPr>
        <w:rPr>
          <w:sz w:val="12"/>
        </w:rPr>
      </w:pPr>
      <w:r>
        <w:separator/>
      </w:r>
    </w:p>
  </w:footnote>
  <w:footnote w:type="continuationSeparator" w:id="0">
    <w:p w:rsidR="005C7C63" w:rsidRDefault="00991685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3E6C"/>
    <w:multiLevelType w:val="hybridMultilevel"/>
    <w:tmpl w:val="EC4CC736"/>
    <w:lvl w:ilvl="0" w:tplc="EE04C6C4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D308597C">
      <w:start w:val="1"/>
      <w:numFmt w:val="lowerLetter"/>
      <w:lvlText w:val="%2."/>
      <w:lvlJc w:val="left"/>
      <w:pPr>
        <w:ind w:left="1773" w:hanging="360"/>
      </w:pPr>
    </w:lvl>
    <w:lvl w:ilvl="2" w:tplc="54244BDA">
      <w:start w:val="1"/>
      <w:numFmt w:val="lowerRoman"/>
      <w:lvlText w:val="%3."/>
      <w:lvlJc w:val="right"/>
      <w:pPr>
        <w:ind w:left="2493" w:hanging="180"/>
      </w:pPr>
    </w:lvl>
    <w:lvl w:ilvl="3" w:tplc="3BD833AA">
      <w:start w:val="1"/>
      <w:numFmt w:val="decimal"/>
      <w:lvlText w:val="%4."/>
      <w:lvlJc w:val="left"/>
      <w:pPr>
        <w:ind w:left="3213" w:hanging="360"/>
      </w:pPr>
    </w:lvl>
    <w:lvl w:ilvl="4" w:tplc="6A5E0F9C">
      <w:start w:val="1"/>
      <w:numFmt w:val="lowerLetter"/>
      <w:lvlText w:val="%5."/>
      <w:lvlJc w:val="left"/>
      <w:pPr>
        <w:ind w:left="3933" w:hanging="360"/>
      </w:pPr>
    </w:lvl>
    <w:lvl w:ilvl="5" w:tplc="28E07E60">
      <w:start w:val="1"/>
      <w:numFmt w:val="lowerRoman"/>
      <w:lvlText w:val="%6."/>
      <w:lvlJc w:val="right"/>
      <w:pPr>
        <w:ind w:left="4653" w:hanging="180"/>
      </w:pPr>
    </w:lvl>
    <w:lvl w:ilvl="6" w:tplc="A1C0CC26">
      <w:start w:val="1"/>
      <w:numFmt w:val="decimal"/>
      <w:lvlText w:val="%7."/>
      <w:lvlJc w:val="left"/>
      <w:pPr>
        <w:ind w:left="5373" w:hanging="360"/>
      </w:pPr>
    </w:lvl>
    <w:lvl w:ilvl="7" w:tplc="497EB884">
      <w:start w:val="1"/>
      <w:numFmt w:val="lowerLetter"/>
      <w:lvlText w:val="%8."/>
      <w:lvlJc w:val="left"/>
      <w:pPr>
        <w:ind w:left="6093" w:hanging="360"/>
      </w:pPr>
    </w:lvl>
    <w:lvl w:ilvl="8" w:tplc="4D041486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18180FCD"/>
    <w:multiLevelType w:val="hybridMultilevel"/>
    <w:tmpl w:val="B8228B28"/>
    <w:lvl w:ilvl="0" w:tplc="1BD6255A">
      <w:start w:val="7"/>
      <w:numFmt w:val="decimal"/>
      <w:lvlText w:val="%1."/>
      <w:lvlJc w:val="left"/>
      <w:pPr>
        <w:ind w:left="1413" w:hanging="360"/>
      </w:pPr>
      <w:rPr>
        <w:rFonts w:hint="default"/>
      </w:rPr>
    </w:lvl>
    <w:lvl w:ilvl="1" w:tplc="50BE1988">
      <w:start w:val="1"/>
      <w:numFmt w:val="lowerLetter"/>
      <w:lvlText w:val="%2."/>
      <w:lvlJc w:val="left"/>
      <w:pPr>
        <w:ind w:left="2133" w:hanging="360"/>
      </w:pPr>
    </w:lvl>
    <w:lvl w:ilvl="2" w:tplc="C3C03C1E">
      <w:start w:val="1"/>
      <w:numFmt w:val="lowerRoman"/>
      <w:lvlText w:val="%3."/>
      <w:lvlJc w:val="right"/>
      <w:pPr>
        <w:ind w:left="2853" w:hanging="180"/>
      </w:pPr>
    </w:lvl>
    <w:lvl w:ilvl="3" w:tplc="A9F22296">
      <w:start w:val="1"/>
      <w:numFmt w:val="decimal"/>
      <w:lvlText w:val="%4."/>
      <w:lvlJc w:val="left"/>
      <w:pPr>
        <w:ind w:left="3573" w:hanging="360"/>
      </w:pPr>
    </w:lvl>
    <w:lvl w:ilvl="4" w:tplc="595457F2">
      <w:start w:val="1"/>
      <w:numFmt w:val="lowerLetter"/>
      <w:lvlText w:val="%5."/>
      <w:lvlJc w:val="left"/>
      <w:pPr>
        <w:ind w:left="4293" w:hanging="360"/>
      </w:pPr>
    </w:lvl>
    <w:lvl w:ilvl="5" w:tplc="366086D4">
      <w:start w:val="1"/>
      <w:numFmt w:val="lowerRoman"/>
      <w:lvlText w:val="%6."/>
      <w:lvlJc w:val="right"/>
      <w:pPr>
        <w:ind w:left="5013" w:hanging="180"/>
      </w:pPr>
    </w:lvl>
    <w:lvl w:ilvl="6" w:tplc="0486F14A">
      <w:start w:val="1"/>
      <w:numFmt w:val="decimal"/>
      <w:lvlText w:val="%7."/>
      <w:lvlJc w:val="left"/>
      <w:pPr>
        <w:ind w:left="5733" w:hanging="360"/>
      </w:pPr>
    </w:lvl>
    <w:lvl w:ilvl="7" w:tplc="49B63DCE">
      <w:start w:val="1"/>
      <w:numFmt w:val="lowerLetter"/>
      <w:lvlText w:val="%8."/>
      <w:lvlJc w:val="left"/>
      <w:pPr>
        <w:ind w:left="6453" w:hanging="360"/>
      </w:pPr>
    </w:lvl>
    <w:lvl w:ilvl="8" w:tplc="77F09F18">
      <w:start w:val="1"/>
      <w:numFmt w:val="lowerRoman"/>
      <w:lvlText w:val="%9."/>
      <w:lvlJc w:val="right"/>
      <w:pPr>
        <w:ind w:left="7173" w:hanging="180"/>
      </w:pPr>
    </w:lvl>
  </w:abstractNum>
  <w:abstractNum w:abstractNumId="2" w15:restartNumberingAfterBreak="0">
    <w:nsid w:val="3AC67CC7"/>
    <w:multiLevelType w:val="hybridMultilevel"/>
    <w:tmpl w:val="52B0945E"/>
    <w:lvl w:ilvl="0" w:tplc="727683AA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plc="723A7B46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 w:tplc="B25E3D7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 w:tplc="CFD0D316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 w:tplc="7DA81976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 w:tplc="12E67CBA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 w:tplc="5DBC8A4C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 w:tplc="140423C4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 w:tplc="5B80B354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567754AB"/>
    <w:multiLevelType w:val="hybridMultilevel"/>
    <w:tmpl w:val="E460F9DC"/>
    <w:lvl w:ilvl="0" w:tplc="3836F3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A00B1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ADA95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4C82B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66686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4E008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7A63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076FC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EEA17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9D37AF"/>
    <w:multiLevelType w:val="hybridMultilevel"/>
    <w:tmpl w:val="C6600C8C"/>
    <w:lvl w:ilvl="0" w:tplc="CC22DB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C804BF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16898C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EFAC2F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564FAF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6EA5AE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364102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54C6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EDC4F1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14721FC"/>
    <w:multiLevelType w:val="hybridMultilevel"/>
    <w:tmpl w:val="114E5DA8"/>
    <w:lvl w:ilvl="0" w:tplc="741CC8BC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 w:tplc="59A2135E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 w:tplc="4444522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 w:tplc="671C3A6C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 w:tplc="A51A5A92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 w:tplc="30DEFF04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 w:tplc="D1D6A6F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 w:tplc="95C64224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 w:tplc="AA9E087E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0D41FA"/>
    <w:multiLevelType w:val="hybridMultilevel"/>
    <w:tmpl w:val="BB24E978"/>
    <w:lvl w:ilvl="0" w:tplc="1F36AE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BE2E1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FB8719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EF4B5E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91ABE5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FBE422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7E02EC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E30F2F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DC8C9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ACC74D4"/>
    <w:multiLevelType w:val="hybridMultilevel"/>
    <w:tmpl w:val="7F903466"/>
    <w:lvl w:ilvl="0" w:tplc="9AD6AA5E">
      <w:start w:val="8"/>
      <w:numFmt w:val="decimal"/>
      <w:lvlText w:val="%1."/>
      <w:lvlJc w:val="left"/>
      <w:pPr>
        <w:ind w:left="1413" w:hanging="360"/>
      </w:pPr>
      <w:rPr>
        <w:rFonts w:hint="default"/>
      </w:rPr>
    </w:lvl>
    <w:lvl w:ilvl="1" w:tplc="5DE0BB84">
      <w:start w:val="1"/>
      <w:numFmt w:val="lowerLetter"/>
      <w:lvlText w:val="%2."/>
      <w:lvlJc w:val="left"/>
      <w:pPr>
        <w:ind w:left="2133" w:hanging="360"/>
      </w:pPr>
    </w:lvl>
    <w:lvl w:ilvl="2" w:tplc="4738B802">
      <w:start w:val="1"/>
      <w:numFmt w:val="lowerRoman"/>
      <w:lvlText w:val="%3."/>
      <w:lvlJc w:val="right"/>
      <w:pPr>
        <w:ind w:left="2853" w:hanging="180"/>
      </w:pPr>
    </w:lvl>
    <w:lvl w:ilvl="3" w:tplc="DAD4867A">
      <w:start w:val="1"/>
      <w:numFmt w:val="decimal"/>
      <w:lvlText w:val="%4."/>
      <w:lvlJc w:val="left"/>
      <w:pPr>
        <w:ind w:left="3573" w:hanging="360"/>
      </w:pPr>
    </w:lvl>
    <w:lvl w:ilvl="4" w:tplc="8DE04C26">
      <w:start w:val="1"/>
      <w:numFmt w:val="lowerLetter"/>
      <w:lvlText w:val="%5."/>
      <w:lvlJc w:val="left"/>
      <w:pPr>
        <w:ind w:left="4293" w:hanging="360"/>
      </w:pPr>
    </w:lvl>
    <w:lvl w:ilvl="5" w:tplc="C4BA8632">
      <w:start w:val="1"/>
      <w:numFmt w:val="lowerRoman"/>
      <w:lvlText w:val="%6."/>
      <w:lvlJc w:val="right"/>
      <w:pPr>
        <w:ind w:left="5013" w:hanging="180"/>
      </w:pPr>
    </w:lvl>
    <w:lvl w:ilvl="6" w:tplc="CF0EE272">
      <w:start w:val="1"/>
      <w:numFmt w:val="decimal"/>
      <w:lvlText w:val="%7."/>
      <w:lvlJc w:val="left"/>
      <w:pPr>
        <w:ind w:left="5733" w:hanging="360"/>
      </w:pPr>
    </w:lvl>
    <w:lvl w:ilvl="7" w:tplc="D5B887F4">
      <w:start w:val="1"/>
      <w:numFmt w:val="lowerLetter"/>
      <w:lvlText w:val="%8."/>
      <w:lvlJc w:val="left"/>
      <w:pPr>
        <w:ind w:left="6453" w:hanging="360"/>
      </w:pPr>
    </w:lvl>
    <w:lvl w:ilvl="8" w:tplc="1EBC805C">
      <w:start w:val="1"/>
      <w:numFmt w:val="lowerRoman"/>
      <w:lvlText w:val="%9."/>
      <w:lvlJc w:val="right"/>
      <w:pPr>
        <w:ind w:left="7173" w:hanging="180"/>
      </w:pPr>
    </w:lvl>
  </w:abstractNum>
  <w:abstractNum w:abstractNumId="8" w15:restartNumberingAfterBreak="0">
    <w:nsid w:val="74193463"/>
    <w:multiLevelType w:val="hybridMultilevel"/>
    <w:tmpl w:val="CB10D936"/>
    <w:lvl w:ilvl="0" w:tplc="83A6DCB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DE32D10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760923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A0C7CC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C24A2C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76DAE30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60C63EA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7180C246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73C8319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B9C6716"/>
    <w:multiLevelType w:val="hybridMultilevel"/>
    <w:tmpl w:val="F4D2B19E"/>
    <w:lvl w:ilvl="0" w:tplc="6CBA7632">
      <w:start w:val="6"/>
      <w:numFmt w:val="decimal"/>
      <w:lvlText w:val="%1."/>
      <w:lvlJc w:val="left"/>
      <w:pPr>
        <w:ind w:left="1413" w:hanging="360"/>
      </w:pPr>
      <w:rPr>
        <w:rFonts w:hint="default"/>
      </w:rPr>
    </w:lvl>
    <w:lvl w:ilvl="1" w:tplc="BFC6C65E">
      <w:start w:val="1"/>
      <w:numFmt w:val="lowerLetter"/>
      <w:lvlText w:val="%2."/>
      <w:lvlJc w:val="left"/>
      <w:pPr>
        <w:ind w:left="2133" w:hanging="360"/>
      </w:pPr>
    </w:lvl>
    <w:lvl w:ilvl="2" w:tplc="895039E4">
      <w:start w:val="1"/>
      <w:numFmt w:val="lowerRoman"/>
      <w:lvlText w:val="%3."/>
      <w:lvlJc w:val="right"/>
      <w:pPr>
        <w:ind w:left="2853" w:hanging="180"/>
      </w:pPr>
    </w:lvl>
    <w:lvl w:ilvl="3" w:tplc="6760328C">
      <w:start w:val="1"/>
      <w:numFmt w:val="decimal"/>
      <w:lvlText w:val="%4."/>
      <w:lvlJc w:val="left"/>
      <w:pPr>
        <w:ind w:left="3573" w:hanging="360"/>
      </w:pPr>
    </w:lvl>
    <w:lvl w:ilvl="4" w:tplc="9968A7D6">
      <w:start w:val="1"/>
      <w:numFmt w:val="lowerLetter"/>
      <w:lvlText w:val="%5."/>
      <w:lvlJc w:val="left"/>
      <w:pPr>
        <w:ind w:left="4293" w:hanging="360"/>
      </w:pPr>
    </w:lvl>
    <w:lvl w:ilvl="5" w:tplc="705AD01C">
      <w:start w:val="1"/>
      <w:numFmt w:val="lowerRoman"/>
      <w:lvlText w:val="%6."/>
      <w:lvlJc w:val="right"/>
      <w:pPr>
        <w:ind w:left="5013" w:hanging="180"/>
      </w:pPr>
    </w:lvl>
    <w:lvl w:ilvl="6" w:tplc="5B289ADA">
      <w:start w:val="1"/>
      <w:numFmt w:val="decimal"/>
      <w:lvlText w:val="%7."/>
      <w:lvlJc w:val="left"/>
      <w:pPr>
        <w:ind w:left="5733" w:hanging="360"/>
      </w:pPr>
    </w:lvl>
    <w:lvl w:ilvl="7" w:tplc="0B26314C">
      <w:start w:val="1"/>
      <w:numFmt w:val="lowerLetter"/>
      <w:lvlText w:val="%8."/>
      <w:lvlJc w:val="left"/>
      <w:pPr>
        <w:ind w:left="6453" w:hanging="360"/>
      </w:pPr>
    </w:lvl>
    <w:lvl w:ilvl="8" w:tplc="90D00712">
      <w:start w:val="1"/>
      <w:numFmt w:val="lowerRoman"/>
      <w:lvlText w:val="%9."/>
      <w:lvlJc w:val="right"/>
      <w:pPr>
        <w:ind w:left="7173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63"/>
    <w:rsid w:val="00140AA0"/>
    <w:rsid w:val="001D3FDE"/>
    <w:rsid w:val="00224F83"/>
    <w:rsid w:val="00255F01"/>
    <w:rsid w:val="002D19A5"/>
    <w:rsid w:val="00330928"/>
    <w:rsid w:val="00340C45"/>
    <w:rsid w:val="003F2EB2"/>
    <w:rsid w:val="004D7E24"/>
    <w:rsid w:val="005C7C63"/>
    <w:rsid w:val="00634809"/>
    <w:rsid w:val="006D613D"/>
    <w:rsid w:val="00991685"/>
    <w:rsid w:val="00B64469"/>
    <w:rsid w:val="00C31A62"/>
    <w:rsid w:val="00D12EAB"/>
    <w:rsid w:val="00FE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6AEF92"/>
  <w15:docId w15:val="{5C8CF530-BADA-400D-81E0-B1C1AFF9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 w:after="240"/>
      <w:ind w:left="72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Подзаголовок Знак1"/>
    <w:basedOn w:val="a0"/>
    <w:link w:val="a3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character" w:customStyle="1" w:styleId="a5">
    <w:name w:val="Выделенная цитата Знак"/>
    <w:link w:val="a6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сноски"/>
    <w:basedOn w:val="a0"/>
    <w:uiPriority w:val="99"/>
    <w:qFormat/>
    <w:rPr>
      <w:rFonts w:cs="Times New Roman"/>
      <w:vertAlign w:val="superscript"/>
    </w:rPr>
  </w:style>
  <w:style w:type="character" w:styleId="a8">
    <w:name w:val="footnote reference"/>
    <w:rPr>
      <w:rFonts w:cs="Times New Roman"/>
      <w:vertAlign w:val="superscript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link w:val="ad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ae">
    <w:name w:val="Символ концевой сноски"/>
    <w:basedOn w:val="a0"/>
    <w:uiPriority w:val="99"/>
    <w:semiHidden/>
    <w:qFormat/>
    <w:rPr>
      <w:rFonts w:cs="Times New Roman"/>
      <w:vertAlign w:val="superscript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af0">
    <w:name w:val="Текст концевой сноски Знак"/>
    <w:basedOn w:val="a0"/>
    <w:link w:val="af1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af2">
    <w:name w:val="page number"/>
    <w:basedOn w:val="a0"/>
    <w:uiPriority w:val="99"/>
    <w:qFormat/>
    <w:rPr>
      <w:rFonts w:cs="Times New Roman"/>
    </w:rPr>
  </w:style>
  <w:style w:type="character" w:customStyle="1" w:styleId="af3">
    <w:name w:val="Нижний колонтитул Знак"/>
    <w:basedOn w:val="a0"/>
    <w:link w:val="af4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af5">
    <w:name w:val="annotation reference"/>
    <w:basedOn w:val="a0"/>
    <w:uiPriority w:val="99"/>
    <w:semiHidden/>
    <w:qFormat/>
    <w:rPr>
      <w:rFonts w:cs="Times New Roman"/>
      <w:sz w:val="16"/>
    </w:rPr>
  </w:style>
  <w:style w:type="character" w:customStyle="1" w:styleId="af6">
    <w:name w:val="Верхний колонтитул Знак"/>
    <w:basedOn w:val="a0"/>
    <w:link w:val="af7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9"/>
    <w:uiPriority w:val="99"/>
    <w:semiHidden/>
    <w:qFormat/>
    <w:rPr>
      <w:rFonts w:ascii="Times New Roman" w:hAnsi="Times New Roman" w:cs="Times New Roman"/>
    </w:rPr>
  </w:style>
  <w:style w:type="character" w:customStyle="1" w:styleId="afa">
    <w:name w:val="Тема примечания Знак"/>
    <w:basedOn w:val="af8"/>
    <w:link w:val="afb"/>
    <w:uiPriority w:val="99"/>
    <w:semiHidden/>
    <w:qFormat/>
    <w:rPr>
      <w:rFonts w:ascii="Times New Roman" w:hAnsi="Times New Roman" w:cs="Times New Roman"/>
      <w:b/>
    </w:rPr>
  </w:style>
  <w:style w:type="character" w:styleId="afc">
    <w:name w:val="Strong"/>
    <w:basedOn w:val="a0"/>
    <w:uiPriority w:val="99"/>
    <w:qFormat/>
    <w:rPr>
      <w:rFonts w:cs="Times New Roman"/>
      <w:b/>
      <w:bCs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afe">
    <w:name w:val="Заголовок Знак"/>
    <w:basedOn w:val="a0"/>
    <w:link w:val="aff"/>
    <w:uiPriority w:val="39"/>
    <w:qFormat/>
    <w:rPr>
      <w:rFonts w:ascii="Times New Roman" w:hAnsi="Times New Roman" w:cs="Arial"/>
      <w:b/>
      <w:sz w:val="24"/>
      <w:szCs w:val="24"/>
      <w:lang w:val="en-US" w:eastAsia="en-US"/>
    </w:rPr>
  </w:style>
  <w:style w:type="character" w:customStyle="1" w:styleId="FontStyle20">
    <w:name w:val="Font Style20"/>
    <w:qFormat/>
    <w:rPr>
      <w:rFonts w:ascii="Times New Roman" w:eastAsia="Times New Roman" w:hAnsi="Times New Roman" w:cs="Times New Roman"/>
      <w:color w:val="000000"/>
      <w:sz w:val="22"/>
    </w:rPr>
  </w:style>
  <w:style w:type="character" w:customStyle="1" w:styleId="aff0">
    <w:name w:val="Ссылка указателя"/>
    <w:qFormat/>
  </w:style>
  <w:style w:type="paragraph" w:styleId="aff">
    <w:name w:val="Title"/>
    <w:basedOn w:val="a"/>
    <w:next w:val="aff1"/>
    <w:link w:val="afe"/>
    <w:uiPriority w:val="39"/>
    <w:qFormat/>
    <w:pPr>
      <w:widowControl/>
      <w:spacing w:after="240"/>
      <w:jc w:val="center"/>
    </w:pPr>
    <w:rPr>
      <w:rFonts w:cs="Arial"/>
      <w:b/>
      <w:sz w:val="24"/>
      <w:szCs w:val="24"/>
      <w:lang w:val="en-US" w:eastAsia="en-US"/>
    </w:rPr>
  </w:style>
  <w:style w:type="paragraph" w:styleId="aff1">
    <w:name w:val="Body Text"/>
    <w:basedOn w:val="a"/>
    <w:pPr>
      <w:spacing w:after="140" w:line="276" w:lineRule="auto"/>
    </w:pPr>
  </w:style>
  <w:style w:type="paragraph" w:styleId="aff2">
    <w:name w:val="List"/>
    <w:basedOn w:val="aff1"/>
    <w:rPr>
      <w:rFonts w:ascii="PT Astra Serif" w:hAnsi="PT Astra Serif" w:cs="Noto Sans Devanagari"/>
    </w:rPr>
  </w:style>
  <w:style w:type="paragraph" w:styleId="aff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4">
    <w:name w:val="index heading"/>
    <w:basedOn w:val="aff"/>
  </w:style>
  <w:style w:type="paragraph" w:styleId="aff5">
    <w:name w:val="No Spacing"/>
    <w:uiPriority w:val="1"/>
    <w:qFormat/>
  </w:style>
  <w:style w:type="paragraph" w:styleId="a3">
    <w:name w:val="Subtitle"/>
    <w:basedOn w:val="a"/>
    <w:next w:val="a"/>
    <w:link w:val="11"/>
    <w:uiPriority w:val="11"/>
    <w:qFormat/>
    <w:pPr>
      <w:spacing w:before="200" w:after="200"/>
    </w:pPr>
    <w:rPr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6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6">
    <w:name w:val="TOC Heading"/>
    <w:uiPriority w:val="39"/>
    <w:unhideWhenUsed/>
    <w:pPr>
      <w:spacing w:after="200" w:line="276" w:lineRule="auto"/>
    </w:pPr>
  </w:style>
  <w:style w:type="paragraph" w:styleId="aff7">
    <w:name w:val="table of figures"/>
    <w:basedOn w:val="a"/>
    <w:next w:val="a"/>
    <w:uiPriority w:val="99"/>
    <w:unhideWhenUsed/>
    <w:qFormat/>
  </w:style>
  <w:style w:type="paragraph" w:styleId="ab">
    <w:name w:val="Balloon Text"/>
    <w:basedOn w:val="a"/>
    <w:link w:val="aa"/>
    <w:uiPriority w:val="99"/>
    <w:semiHidden/>
    <w:qFormat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c"/>
    <w:uiPriority w:val="99"/>
  </w:style>
  <w:style w:type="paragraph" w:styleId="af1">
    <w:name w:val="endnote text"/>
    <w:basedOn w:val="a"/>
    <w:link w:val="af0"/>
    <w:uiPriority w:val="99"/>
    <w:semiHidden/>
  </w:style>
  <w:style w:type="paragraph" w:customStyle="1" w:styleId="aff8">
    <w:name w:val="Колонтитул"/>
    <w:basedOn w:val="a"/>
    <w:qFormat/>
  </w:style>
  <w:style w:type="paragraph" w:styleId="af4">
    <w:name w:val="footer"/>
    <w:basedOn w:val="a"/>
    <w:link w:val="af3"/>
    <w:uiPriority w:val="99"/>
    <w:pPr>
      <w:tabs>
        <w:tab w:val="center" w:pos="4677"/>
        <w:tab w:val="right" w:pos="9355"/>
      </w:tabs>
    </w:pPr>
  </w:style>
  <w:style w:type="paragraph" w:styleId="af7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paragraph" w:customStyle="1" w:styleId="aff9">
    <w:name w:val="Знак"/>
    <w:basedOn w:val="a"/>
    <w:uiPriority w:val="99"/>
    <w:qFormat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annotation text"/>
    <w:basedOn w:val="a"/>
    <w:link w:val="af8"/>
    <w:uiPriority w:val="99"/>
    <w:semiHidden/>
    <w:qFormat/>
  </w:style>
  <w:style w:type="paragraph" w:styleId="affa">
    <w:name w:val="List Paragraph"/>
    <w:basedOn w:val="a"/>
    <w:uiPriority w:val="24"/>
    <w:qFormat/>
    <w:pPr>
      <w:ind w:left="720"/>
      <w:contextualSpacing/>
    </w:pPr>
  </w:style>
  <w:style w:type="paragraph" w:styleId="afb">
    <w:name w:val="annotation subject"/>
    <w:basedOn w:val="af9"/>
    <w:next w:val="af9"/>
    <w:link w:val="afa"/>
    <w:uiPriority w:val="99"/>
    <w:semiHidden/>
    <w:qFormat/>
    <w:rPr>
      <w:b/>
      <w:bCs/>
    </w:rPr>
  </w:style>
  <w:style w:type="paragraph" w:customStyle="1" w:styleId="12">
    <w:name w:val="Знак1"/>
    <w:basedOn w:val="a"/>
    <w:uiPriority w:val="99"/>
    <w:qFormat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b">
    <w:name w:val="Normal (Web)"/>
    <w:basedOn w:val="a"/>
    <w:uiPriority w:val="99"/>
    <w:qFormat/>
    <w:pPr>
      <w:widowControl/>
      <w:spacing w:beforeAutospacing="1" w:afterAutospacing="1"/>
    </w:pPr>
    <w:rPr>
      <w:rFonts w:ascii="Verdana" w:hAnsi="Verdana"/>
      <w:sz w:val="16"/>
      <w:szCs w:val="16"/>
    </w:rPr>
  </w:style>
  <w:style w:type="paragraph" w:styleId="affc">
    <w:name w:val="Revision"/>
    <w:uiPriority w:val="99"/>
    <w:semiHidden/>
    <w:qFormat/>
    <w:rPr>
      <w:rFonts w:ascii="Times New Roman" w:hAnsi="Times New Roman"/>
      <w:sz w:val="20"/>
      <w:szCs w:val="20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sz w:val="20"/>
      <w:szCs w:val="20"/>
    </w:rPr>
  </w:style>
  <w:style w:type="paragraph" w:styleId="13">
    <w:name w:val="toc 1"/>
    <w:basedOn w:val="a"/>
    <w:next w:val="a"/>
    <w:uiPriority w:val="39"/>
    <w:pPr>
      <w:widowControl/>
      <w:tabs>
        <w:tab w:val="right" w:leader="dot" w:pos="9348"/>
      </w:tabs>
      <w:spacing w:before="120" w:after="120"/>
    </w:pPr>
    <w:rPr>
      <w:b/>
      <w:bCs/>
      <w:caps/>
      <w:sz w:val="24"/>
      <w:szCs w:val="24"/>
    </w:rPr>
  </w:style>
  <w:style w:type="paragraph" w:styleId="31">
    <w:name w:val="toc 3"/>
    <w:basedOn w:val="a"/>
    <w:next w:val="a"/>
    <w:uiPriority w:val="39"/>
    <w:pPr>
      <w:widowControl/>
      <w:ind w:left="480"/>
    </w:pPr>
    <w:rPr>
      <w:i/>
      <w:iCs/>
    </w:rPr>
  </w:style>
  <w:style w:type="paragraph" w:customStyle="1" w:styleId="aligncenter">
    <w:name w:val="align_center"/>
    <w:basedOn w:val="a"/>
    <w:qFormat/>
    <w:pPr>
      <w:widowControl/>
      <w:spacing w:beforeAutospacing="1" w:afterAutospacing="1"/>
    </w:pPr>
    <w:rPr>
      <w:sz w:val="24"/>
      <w:szCs w:val="24"/>
    </w:rPr>
  </w:style>
  <w:style w:type="paragraph" w:customStyle="1" w:styleId="Style7">
    <w:name w:val="Style7"/>
    <w:qFormat/>
    <w:pPr>
      <w:spacing w:line="274" w:lineRule="exact"/>
      <w:jc w:val="both"/>
    </w:pPr>
    <w:rPr>
      <w:rFonts w:ascii="Times New Roman" w:hAnsi="Times New Roman"/>
      <w:sz w:val="24"/>
      <w:szCs w:val="20"/>
      <w:lang w:val="en-US" w:eastAsia="zh-CN"/>
    </w:rPr>
  </w:style>
  <w:style w:type="paragraph" w:customStyle="1" w:styleId="affd">
    <w:name w:val="Содержимое врезки"/>
    <w:basedOn w:val="a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aliases w:val="Заголовок 1 Знак"/>
    <w:basedOn w:val="a1"/>
    <w:link w:val="1"/>
    <w:uiPriority w:val="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aliases w:val="Заголовок 3 Знак"/>
    <w:basedOn w:val="a1"/>
    <w:link w:val="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0">
    <w:name w:val="Plain Table 4"/>
    <w:aliases w:val="Заголовок 4 Знак"/>
    <w:basedOn w:val="a1"/>
    <w:link w:val="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0">
    <w:name w:val="Plain Table 5"/>
    <w:aliases w:val="Заголовок 5 Знак"/>
    <w:basedOn w:val="a1"/>
    <w:link w:val="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e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rPr>
      <w:sz w:val="20"/>
      <w:szCs w:val="20"/>
      <w:lang w:eastAsia="zh-CN" w:bidi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Pr>
      <w:rFonts w:ascii="Liberation Serif" w:eastAsia="Noto Serif CJK SC" w:hAnsi="Liberation Serif" w:cs="Arial Unicode M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3542C-1F37-4433-AFA5-58CF6081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4471</Words>
  <Characters>25489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Информационной политике.RTF</vt:lpstr>
    </vt:vector>
  </TitlesOfParts>
  <Company>РусГидро</Company>
  <LinksUpToDate>false</LinksUpToDate>
  <CharactersWithSpaces>29901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Информационной политике.RTF</dc:title>
  <dc:subject/>
  <dc:creator>Дуров Юрий Геннадиевич</dc:creator>
  <dc:description/>
  <cp:lastModifiedBy>Томашук Оксана Николаевна</cp:lastModifiedBy>
  <cp:revision>2</cp:revision>
  <dcterms:created xsi:type="dcterms:W3CDTF">2026-02-25T23:02:00Z</dcterms:created>
  <dcterms:modified xsi:type="dcterms:W3CDTF">2026-02-25T23:02:00Z</dcterms:modified>
  <dc:language>ru-RU</dc:language>
</cp:coreProperties>
</file>