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5.xml" ContentType="application/vnd.openxmlformats-officedocument.wordprocessingml.head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63"/>
        <w:keepLines/>
        <w:keepNext/>
        <w:shd w:val="clear" w:color="ffffff" w:themeColor="background1" w:fill="ffffff" w:themeFill="background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763"/>
        <w:ind w:left="0" w:right="0" w:firstLine="0"/>
        <w:jc w:val="left"/>
        <w:keepLines/>
        <w:keepNext/>
        <w:shd w:val="clear" w:color="ffffff" w:themeColor="background1" w:fill="ffffff" w:themeFill="background1"/>
        <w:rPr>
          <w:b/>
          <w:bCs/>
          <w:color w:val="000000" w:themeColor="text1"/>
          <w:sz w:val="26"/>
          <w:szCs w:val="26"/>
          <w:highlight w:val="none"/>
        </w:rPr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  <w:highlight w:val="none"/>
        </w:rPr>
      </w:r>
    </w:p>
    <w:p>
      <w:pPr>
        <w:pStyle w:val="763"/>
        <w:ind w:left="0" w:right="0" w:firstLine="0"/>
        <w:jc w:val="left"/>
        <w:keepLines/>
        <w:keepNext/>
        <w:shd w:val="clear" w:color="ffffff" w:themeColor="background1" w:fill="ffffff" w:themeFill="background1"/>
        <w:rPr>
          <w:b/>
          <w:bCs/>
          <w:color w:val="000000" w:themeColor="text1"/>
          <w:sz w:val="26"/>
          <w:szCs w:val="26"/>
          <w:highlight w:val="none"/>
        </w:rPr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  <w:highlight w:val="none"/>
        </w:rPr>
      </w:r>
    </w:p>
    <w:p>
      <w:pPr>
        <w:pStyle w:val="763"/>
        <w:ind w:left="0" w:right="0" w:firstLine="0"/>
        <w:jc w:val="left"/>
        <w:keepLines/>
        <w:keepNext/>
        <w:shd w:val="clear" w:color="ffffff" w:themeColor="background1" w:fill="ffffff" w:themeFill="background1"/>
        <w:rPr>
          <w:b/>
          <w:bCs/>
          <w:color w:val="000000" w:themeColor="text1"/>
          <w:sz w:val="26"/>
          <w:szCs w:val="26"/>
          <w:highlight w:val="none"/>
        </w:rPr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  <w:highlight w:val="none"/>
        </w:rPr>
      </w:r>
    </w:p>
    <w:p>
      <w:pPr>
        <w:pStyle w:val="763"/>
        <w:ind w:left="0" w:right="0" w:firstLine="0"/>
        <w:jc w:val="left"/>
        <w:keepLines/>
        <w:keepNext/>
        <w:shd w:val="clear" w:color="ffffff" w:themeColor="background1" w:fill="ffffff" w:themeFill="background1"/>
        <w:rPr>
          <w:b/>
          <w:bCs/>
          <w:color w:val="000000" w:themeColor="text1"/>
          <w:sz w:val="26"/>
          <w:szCs w:val="26"/>
          <w:highlight w:val="none"/>
        </w:rPr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  <w:highlight w:val="none"/>
        </w:rPr>
      </w:r>
    </w:p>
    <w:p>
      <w:pPr>
        <w:pStyle w:val="763"/>
        <w:ind w:left="0" w:right="0" w:firstLine="0"/>
        <w:jc w:val="left"/>
        <w:keepLines/>
        <w:keepNext/>
        <w:shd w:val="clear" w:color="ffffff" w:themeColor="background1" w:fill="ffffff" w:themeFill="background1"/>
        <w:rPr>
          <w:b/>
          <w:bCs/>
          <w:color w:val="000000" w:themeColor="text1"/>
          <w:sz w:val="26"/>
          <w:szCs w:val="26"/>
          <w:highlight w:val="none"/>
        </w:rPr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  <w:highlight w:val="none"/>
        </w:rPr>
      </w:r>
    </w:p>
    <w:p>
      <w:pPr>
        <w:pStyle w:val="763"/>
        <w:keepLines/>
        <w:keepNext/>
        <w:shd w:val="clear" w:color="ffffff" w:themeColor="background1" w:fill="ffffff" w:themeFill="background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763"/>
        <w:keepLines/>
        <w:keepNext/>
        <w:shd w:val="clear" w:color="ffffff" w:themeColor="background1" w:fill="ffffff" w:themeFill="background1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763"/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763"/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763"/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763"/>
        <w:jc w:val="center"/>
        <w:keepLines/>
        <w:keepNext/>
        <w:rPr>
          <w:rFonts w:eastAsia="Calibri"/>
          <w:b/>
          <w:color w:val="000000" w:themeColor="text1"/>
          <w:sz w:val="28"/>
          <w:szCs w:val="28"/>
        </w:rPr>
      </w:pPr>
      <w:r>
        <w:rPr>
          <w:rFonts w:eastAsia="Calibri"/>
          <w:b/>
          <w:color w:val="000000" w:themeColor="text1"/>
          <w:sz w:val="28"/>
          <w:szCs w:val="28"/>
        </w:rPr>
        <w:t xml:space="preserve">Технические требования на выполнение работ</w:t>
      </w:r>
      <w:r>
        <w:rPr>
          <w:rFonts w:eastAsia="Calibri"/>
          <w:b/>
          <w:color w:val="000000" w:themeColor="text1"/>
          <w:sz w:val="28"/>
          <w:szCs w:val="28"/>
        </w:rPr>
      </w:r>
    </w:p>
    <w:p>
      <w:pPr>
        <w:pStyle w:val="763"/>
        <w:jc w:val="center"/>
        <w:keepLines/>
        <w:keepNext/>
        <w:rPr>
          <w:rFonts w:eastAsia="Calibri"/>
          <w:b/>
          <w:color w:val="000000" w:themeColor="text1"/>
          <w:sz w:val="26"/>
          <w:szCs w:val="26"/>
        </w:rPr>
      </w:pPr>
      <w:r>
        <w:rPr>
          <w:rFonts w:eastAsia="Calibri"/>
          <w:b/>
          <w:color w:val="000000" w:themeColor="text1"/>
          <w:sz w:val="26"/>
          <w:szCs w:val="26"/>
        </w:rPr>
      </w:r>
      <w:r>
        <w:rPr>
          <w:rFonts w:eastAsia="Calibri"/>
          <w:b/>
          <w:color w:val="000000" w:themeColor="text1"/>
          <w:sz w:val="26"/>
          <w:szCs w:val="26"/>
        </w:rPr>
      </w:r>
    </w:p>
    <w:p>
      <w:pPr>
        <w:pStyle w:val="763"/>
        <w:ind w:left="-108" w:right="-108" w:firstLine="0"/>
        <w:jc w:val="center"/>
        <w:spacing w:before="60" w:after="60" w:line="240" w:lineRule="auto"/>
        <w:rPr>
          <w:b/>
          <w:bCs/>
          <w:i w:val="0"/>
          <w:highlight w:val="none"/>
        </w:rPr>
      </w:pPr>
      <w:r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  <w:t xml:space="preserve">«</w:t>
      </w:r>
      <w:r>
        <w:rPr>
          <w:b/>
          <w:bCs/>
          <w:i w:val="0"/>
          <w:iCs w:val="0"/>
          <w:sz w:val="28"/>
          <w:szCs w:val="28"/>
        </w:rPr>
        <w:t xml:space="preserve">ОКПД2 42.12.20.150 Выполнение работ по ремонту ж/д путей и замене шпального бруса путей №4 и №15 Артемовской ТЭЦ, г. Артём</w:t>
      </w:r>
      <w:r>
        <w:rPr>
          <w:rFonts w:eastAsia="Calibri" w:cs="Times New Roman"/>
          <w:b/>
          <w:bCs/>
          <w:i w:val="0"/>
          <w:iCs w:val="0"/>
          <w:color w:val="000000" w:themeColor="text1"/>
          <w:sz w:val="28"/>
          <w:szCs w:val="28"/>
          <w:lang w:eastAsia="ru-RU"/>
        </w:rPr>
        <w:t xml:space="preserve">»</w:t>
      </w:r>
      <w:r>
        <w:rPr>
          <w:b/>
          <w:bCs/>
          <w:i w:val="0"/>
          <w:highlight w:val="none"/>
        </w:rPr>
      </w:r>
    </w:p>
    <w:p>
      <w:pPr>
        <w:pStyle w:val="763"/>
        <w:jc w:val="center"/>
        <w:keepLines/>
        <w:keepNext/>
        <w:rPr>
          <w:rFonts w:eastAsia="Calibri"/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</w:r>
      <w:r>
        <w:rPr>
          <w:rFonts w:eastAsia="Calibri"/>
          <w:color w:val="000000" w:themeColor="text1"/>
          <w:sz w:val="26"/>
          <w:szCs w:val="26"/>
        </w:rPr>
      </w:r>
    </w:p>
    <w:p>
      <w:pPr>
        <w:pStyle w:val="763"/>
        <w:jc w:val="center"/>
        <w:keepLines/>
        <w:keepNext/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eastAsia="Calibri" w:cs="Times New Roman"/>
          <w:b/>
          <w:bCs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  <w:lang w:eastAsia="ru-RU"/>
        </w:rPr>
      </w:r>
    </w:p>
    <w:p>
      <w:pPr>
        <w:pStyle w:val="763"/>
        <w:jc w:val="center"/>
        <w:keepLines/>
        <w:keepNext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763"/>
        <w:jc w:val="center"/>
        <w:rPr>
          <w:b/>
          <w:sz w:val="26"/>
          <w:szCs w:val="26"/>
        </w:rPr>
      </w:pPr>
      <w:r>
        <w:rPr>
          <w:b/>
          <w:bCs/>
          <w:sz w:val="28"/>
          <w:szCs w:val="28"/>
          <w:highlight w:val="white"/>
        </w:rPr>
        <w:t xml:space="preserve">Лот </w:t>
      </w:r>
      <w:r>
        <w:rPr>
          <w:rFonts w:eastAsia="Calibri"/>
          <w:b/>
          <w:bCs/>
          <w:sz w:val="28"/>
          <w:szCs w:val="28"/>
        </w:rPr>
        <w:t xml:space="preserve">№</w:t>
      </w:r>
      <w:r>
        <w:rPr>
          <w:b/>
          <w:bCs/>
          <w:sz w:val="28"/>
          <w:szCs w:val="28"/>
        </w:rPr>
        <w:t xml:space="preserve">11041017-РЕМ ПРОД-2026-ДГК-АрТЭЦ</w:t>
      </w:r>
      <w:r>
        <w:br w:type="page" w:clear="all"/>
      </w:r>
      <w:r>
        <w:rPr>
          <w:b/>
          <w:sz w:val="26"/>
          <w:szCs w:val="26"/>
        </w:rPr>
      </w:r>
    </w:p>
    <w:p>
      <w:pPr>
        <w:pStyle w:val="763"/>
        <w:jc w:val="center"/>
      </w:pPr>
      <w:r>
        <w:rPr>
          <w:b/>
        </w:rPr>
        <w:t xml:space="preserve">СОДЕРЖАНИЕ</w:t>
      </w:r>
      <w:r/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848"/>
            <w:tabs>
              <w:tab w:val="left" w:pos="560" w:leader="none"/>
              <w:tab w:val="clear" w:pos="708" w:leader="none"/>
              <w:tab w:val="right" w:pos="9911" w:leader="dot"/>
            </w:tabs>
          </w:pPr>
          <w:r>
            <w:fldChar w:fldCharType="begin"/>
          </w:r>
          <w:r>
            <w:rPr>
              <w:rStyle w:val="821"/>
              <w:vanish w:val="0"/>
            </w:rPr>
            <w:instrText xml:space="preserve"> TOC \z \o "1-4" \u \h</w:instrText>
          </w:r>
          <w:r>
            <w:rPr>
              <w:rStyle w:val="821"/>
              <w:vanish w:val="0"/>
            </w:rPr>
            <w:fldChar w:fldCharType="separate"/>
          </w:r>
          <w:hyperlink w:tooltip="#_Toc141447041" w:anchor="_Toc141447041" w:history="1">
            <w:r>
              <w:rPr>
                <w:rStyle w:val="821"/>
                <w:vanish w:val="0"/>
              </w:rPr>
              <w:t xml:space="preserve">1.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_Toc141447041 \h</w:instrText>
            </w:r>
            <w:r>
              <w:fldChar w:fldCharType="separate"/>
            </w:r>
            <w:r>
              <w:rPr>
                <w:rStyle w:val="821"/>
              </w:rPr>
              <w:t xml:space="preserve">Общие сведения</w:t>
              <w:tab/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851"/>
            <w:tabs>
              <w:tab w:val="clear" w:pos="708" w:leader="none"/>
              <w:tab w:val="left" w:pos="1120" w:leader="none"/>
              <w:tab w:val="right" w:pos="9911" w:leader="dot"/>
            </w:tabs>
          </w:pPr>
          <w:r/>
          <w:hyperlink w:tooltip="#_Toc141447042" w:anchor="_Toc141447042" w:history="1">
            <w:r>
              <w:rPr>
                <w:rStyle w:val="821"/>
                <w:iCs/>
                <w:vanish w:val="0"/>
              </w:rPr>
              <w:t xml:space="preserve">1.1.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_Toc141447042 \h</w:instrText>
            </w:r>
            <w:r>
              <w:fldChar w:fldCharType="separate"/>
            </w:r>
            <w:r>
              <w:rPr>
                <w:rStyle w:val="821"/>
              </w:rPr>
              <w:t xml:space="preserve">Обозначения и сокращения</w:t>
              <w:tab/>
              <w:t xml:space="preserve">3</w:t>
            </w:r>
            <w:r>
              <w:fldChar w:fldCharType="end"/>
            </w:r>
          </w:hyperlink>
          <w:r/>
          <w:r/>
        </w:p>
        <w:p>
          <w:pPr>
            <w:pStyle w:val="851"/>
            <w:tabs>
              <w:tab w:val="clear" w:pos="708" w:leader="none"/>
              <w:tab w:val="left" w:pos="1120" w:leader="none"/>
              <w:tab w:val="right" w:pos="9911" w:leader="dot"/>
            </w:tabs>
          </w:pPr>
          <w:r/>
          <w:hyperlink w:tooltip="#_Toc141447043" w:anchor="_Toc141447043" w:history="1">
            <w:r>
              <w:rPr>
                <w:rStyle w:val="821"/>
                <w:iCs/>
                <w:vanish w:val="0"/>
              </w:rPr>
              <w:t xml:space="preserve">1.2.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_Toc141447043 \h</w:instrText>
            </w:r>
            <w:r>
              <w:fldChar w:fldCharType="separate"/>
            </w:r>
            <w:r>
              <w:rPr>
                <w:rStyle w:val="821"/>
              </w:rPr>
              <w:t xml:space="preserve">Наименование закупаемой продукции</w:t>
              <w:tab/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851"/>
            <w:tabs>
              <w:tab w:val="clear" w:pos="708" w:leader="none"/>
              <w:tab w:val="left" w:pos="1120" w:leader="none"/>
              <w:tab w:val="right" w:pos="9911" w:leader="dot"/>
            </w:tabs>
          </w:pPr>
          <w:r/>
          <w:hyperlink w:tooltip="#_Toc141447045" w:anchor="_Toc141447045" w:history="1">
            <w:r>
              <w:rPr>
                <w:rStyle w:val="821"/>
                <w:iCs/>
                <w:vanish w:val="0"/>
              </w:rPr>
              <w:t xml:space="preserve">1.3.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_Toc141447045 \h</w:instrText>
            </w:r>
            <w:r>
              <w:fldChar w:fldCharType="separate"/>
            </w:r>
            <w:r>
              <w:rPr>
                <w:rStyle w:val="821"/>
              </w:rPr>
              <w:t xml:space="preserve">Цель выполнения работ</w:t>
              <w:tab/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851"/>
            <w:tabs>
              <w:tab w:val="clear" w:pos="708" w:leader="none"/>
              <w:tab w:val="left" w:pos="1120" w:leader="none"/>
              <w:tab w:val="right" w:pos="9911" w:leader="dot"/>
            </w:tabs>
          </w:pPr>
          <w:r/>
          <w:hyperlink w:tooltip="#_Toc141447046" w:anchor="_Toc141447046" w:history="1">
            <w:r>
              <w:rPr>
                <w:rStyle w:val="821"/>
                <w:iCs/>
                <w:vanish w:val="0"/>
                <w:highlight w:val="white"/>
              </w:rPr>
              <w:t xml:space="preserve">1.4.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821"/>
                <w:highlight w:val="white"/>
              </w:rPr>
              <w:t xml:space="preserve">Существующее положение</w:t>
            </w:r>
            <w:r>
              <w:fldChar w:fldCharType="begin"/>
            </w:r>
            <w:r>
              <w:instrText xml:space="preserve">PAGEREF _Toc141447046 \h</w:instrText>
            </w:r>
            <w:r>
              <w:fldChar w:fldCharType="separate"/>
            </w:r>
            <w:r>
              <w:rPr>
                <w:rStyle w:val="821"/>
              </w:rPr>
              <w:tab/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848"/>
            <w:tabs>
              <w:tab w:val="clear" w:pos="708" w:leader="none"/>
              <w:tab w:val="right" w:pos="9911" w:leader="dot"/>
            </w:tabs>
          </w:pPr>
          <w:r/>
          <w:hyperlink w:tooltip="#_Toc141447047" w:anchor="_Toc141447047" w:history="1">
            <w:r>
              <w:fldChar w:fldCharType="begin"/>
            </w:r>
            <w:r>
              <w:instrText xml:space="preserve">PAGEREF _Toc141447047 \h</w:instrText>
            </w:r>
            <w:r>
              <w:fldChar w:fldCharType="separate"/>
            </w:r>
            <w:r>
              <w:rPr>
                <w:rStyle w:val="821"/>
                <w:vanish w:val="0"/>
              </w:rPr>
              <w:t xml:space="preserve">Таблица 1. Перечень объектов заказчика</w:t>
              <w:tab/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851"/>
            <w:tabs>
              <w:tab w:val="clear" w:pos="708" w:leader="none"/>
              <w:tab w:val="left" w:pos="1120" w:leader="none"/>
              <w:tab w:val="right" w:pos="9911" w:leader="dot"/>
            </w:tabs>
          </w:pPr>
          <w:r/>
          <w:hyperlink w:tooltip="#_Toc141447048" w:anchor="_Toc141447048" w:history="1">
            <w:r>
              <w:rPr>
                <w:rStyle w:val="821"/>
                <w:iCs/>
                <w:vanish w:val="0"/>
              </w:rPr>
              <w:t xml:space="preserve">1.5.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_Toc141447048 \h</w:instrText>
            </w:r>
            <w:r>
              <w:fldChar w:fldCharType="separate"/>
            </w:r>
            <w:r>
              <w:rPr>
                <w:rStyle w:val="821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  <w:t xml:space="preserve">4</w:t>
            </w:r>
            <w:r>
              <w:fldChar w:fldCharType="end"/>
            </w:r>
          </w:hyperlink>
          <w:r/>
          <w:r/>
        </w:p>
        <w:p>
          <w:pPr>
            <w:pStyle w:val="848"/>
            <w:tabs>
              <w:tab w:val="left" w:pos="560" w:leader="none"/>
              <w:tab w:val="clear" w:pos="708" w:leader="none"/>
              <w:tab w:val="right" w:pos="9911" w:leader="dot"/>
            </w:tabs>
          </w:pPr>
          <w:r/>
          <w:hyperlink w:tooltip="#_Toc141447049" w:anchor="_Toc141447049" w:history="1">
            <w:r>
              <w:rPr>
                <w:rStyle w:val="821"/>
                <w:vanish w:val="0"/>
              </w:rPr>
              <w:t xml:space="preserve">2.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821"/>
                <w:iCs/>
              </w:rPr>
              <w:t xml:space="preserve">Требования к продукции</w:t>
            </w:r>
            <w:r>
              <w:fldChar w:fldCharType="begin"/>
            </w:r>
            <w:r>
              <w:instrText xml:space="preserve">PAGEREF _Toc141447049 \h</w:instrText>
            </w:r>
            <w:r>
              <w:fldChar w:fldCharType="separate"/>
            </w:r>
            <w:r>
              <w:rPr>
                <w:rStyle w:val="821"/>
              </w:rPr>
              <w:tab/>
              <w:t xml:space="preserve">5</w:t>
            </w:r>
            <w:r>
              <w:fldChar w:fldCharType="end"/>
            </w:r>
          </w:hyperlink>
          <w:r/>
          <w:r/>
        </w:p>
        <w:p>
          <w:pPr>
            <w:pStyle w:val="851"/>
            <w:tabs>
              <w:tab w:val="clear" w:pos="708" w:leader="none"/>
              <w:tab w:val="left" w:pos="1120" w:leader="none"/>
              <w:tab w:val="right" w:pos="9911" w:leader="dot"/>
            </w:tabs>
          </w:pPr>
          <w:r/>
          <w:hyperlink w:tooltip="#_Toc141447050" w:anchor="_Toc141447050" w:history="1">
            <w:r>
              <w:rPr>
                <w:rStyle w:val="821"/>
                <w:iCs/>
                <w:vanish w:val="0"/>
              </w:rPr>
              <w:t xml:space="preserve">2.1.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_Toc141447050 \h</w:instrText>
            </w:r>
            <w:r>
              <w:fldChar w:fldCharType="separate"/>
            </w:r>
            <w:r>
              <w:rPr>
                <w:rStyle w:val="821"/>
              </w:rPr>
              <w:t xml:space="preserve">Требования к объемам и  выполнения работ</w:t>
              <w:tab/>
              <w:t xml:space="preserve">5</w:t>
            </w:r>
            <w:r>
              <w:fldChar w:fldCharType="end"/>
            </w:r>
          </w:hyperlink>
          <w:r/>
          <w:r/>
        </w:p>
        <w:p>
          <w:pPr>
            <w:pStyle w:val="849"/>
            <w:tabs>
              <w:tab w:val="clear" w:pos="708" w:leader="none"/>
              <w:tab w:val="left" w:pos="1120" w:leader="none"/>
              <w:tab w:val="right" w:pos="9911" w:leader="dot"/>
            </w:tabs>
          </w:pPr>
          <w:r/>
          <w:hyperlink w:tooltip="#_Toc141447051" w:anchor="_Toc141447051" w:history="1">
            <w:r>
              <w:rPr>
                <w:rStyle w:val="821"/>
                <w:vanish w:val="0"/>
              </w:rPr>
              <w:t xml:space="preserve">2.1.1.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_Toc141447051 \h</w:instrText>
            </w:r>
            <w:r>
              <w:fldChar w:fldCharType="separate"/>
            </w:r>
            <w:r>
              <w:rPr>
                <w:rStyle w:val="821"/>
              </w:rPr>
              <w:t xml:space="preserve">Требования к видам и объемам работ</w:t>
              <w:tab/>
              <w:t xml:space="preserve">5</w:t>
            </w:r>
            <w:r>
              <w:fldChar w:fldCharType="end"/>
            </w:r>
          </w:hyperlink>
          <w:r/>
          <w:r/>
        </w:p>
        <w:p>
          <w:pPr>
            <w:pStyle w:val="848"/>
            <w:tabs>
              <w:tab w:val="clear" w:pos="708" w:leader="none"/>
              <w:tab w:val="right" w:pos="9911" w:leader="dot"/>
            </w:tabs>
          </w:pPr>
          <w:r/>
          <w:hyperlink w:tooltip="#_Toc141447052" w:anchor="_Toc141447052" w:history="1">
            <w:r>
              <w:rPr>
                <w:rStyle w:val="821"/>
                <w:vanish w:val="0"/>
              </w:rPr>
              <w:t xml:space="preserve">Таблица 2. Перечень и объем выполняемых </w:t>
            </w:r>
            <w:r>
              <w:fldChar w:fldCharType="begin"/>
            </w:r>
            <w:r>
              <w:instrText xml:space="preserve">PAGEREF _Toc141447052 \h</w:instrText>
            </w:r>
            <w:r>
              <w:fldChar w:fldCharType="separate"/>
            </w:r>
            <w:r>
              <w:rPr>
                <w:rStyle w:val="821"/>
              </w:rPr>
              <w:t xml:space="preserve">работ</w:t>
              <w:tab/>
              <w:t xml:space="preserve">5</w:t>
            </w:r>
            <w:r>
              <w:fldChar w:fldCharType="end"/>
            </w:r>
          </w:hyperlink>
          <w:r/>
          <w:r/>
        </w:p>
        <w:p>
          <w:pPr>
            <w:pStyle w:val="849"/>
            <w:tabs>
              <w:tab w:val="clear" w:pos="708" w:leader="none"/>
              <w:tab w:val="left" w:pos="1120" w:leader="none"/>
              <w:tab w:val="right" w:pos="9911" w:leader="dot"/>
            </w:tabs>
          </w:pPr>
          <w:r/>
          <w:hyperlink w:tooltip="#_Toc141447053" w:anchor="_Toc141447053" w:history="1">
            <w:r>
              <w:rPr>
                <w:rStyle w:val="821"/>
                <w:vanish w:val="0"/>
              </w:rPr>
              <w:t xml:space="preserve">2.1.2.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_Toc141447053 \h</w:instrText>
            </w:r>
            <w:r>
              <w:fldChar w:fldCharType="separate"/>
            </w:r>
            <w:r>
              <w:rPr>
                <w:rStyle w:val="821"/>
              </w:rPr>
              <w:t xml:space="preserve">Требования к срокам выполнения работ</w:t>
              <w:tab/>
              <w:t xml:space="preserve">5</w:t>
            </w:r>
            <w:r>
              <w:fldChar w:fldCharType="end"/>
            </w:r>
          </w:hyperlink>
          <w:r/>
          <w:r/>
        </w:p>
        <w:p>
          <w:pPr>
            <w:pStyle w:val="848"/>
            <w:tabs>
              <w:tab w:val="clear" w:pos="708" w:leader="none"/>
              <w:tab w:val="right" w:pos="9911" w:leader="dot"/>
            </w:tabs>
          </w:pPr>
          <w:r/>
          <w:hyperlink w:tooltip="#_Toc141447054" w:anchor="_Toc141447054" w:history="1">
            <w:r>
              <w:rPr>
                <w:rStyle w:val="821"/>
                <w:vanish w:val="0"/>
              </w:rPr>
              <w:t xml:space="preserve">Таблица 3. Требования по срокам </w:t>
            </w:r>
            <w:r>
              <w:fldChar w:fldCharType="begin"/>
            </w:r>
            <w:r>
              <w:instrText xml:space="preserve">PAGEREF _Toc141447054 \h</w:instrText>
            </w:r>
            <w:r>
              <w:fldChar w:fldCharType="separate"/>
            </w:r>
            <w:r>
              <w:rPr>
                <w:rStyle w:val="821"/>
              </w:rPr>
              <w:t xml:space="preserve">выполнения работ</w:t>
              <w:tab/>
              <w:t xml:space="preserve">5</w:t>
            </w:r>
            <w:r>
              <w:fldChar w:fldCharType="end"/>
            </w:r>
          </w:hyperlink>
          <w:r/>
          <w:r/>
        </w:p>
        <w:p>
          <w:pPr>
            <w:pStyle w:val="851"/>
            <w:tabs>
              <w:tab w:val="clear" w:pos="708" w:leader="none"/>
              <w:tab w:val="left" w:pos="1120" w:leader="none"/>
              <w:tab w:val="right" w:pos="9911" w:leader="dot"/>
            </w:tabs>
          </w:pPr>
          <w:r/>
          <w:hyperlink w:tooltip="#_Toc141447055" w:anchor="_Toc141447055" w:history="1">
            <w:r>
              <w:rPr>
                <w:rStyle w:val="821"/>
                <w:iCs/>
                <w:vanish w:val="0"/>
              </w:rPr>
              <w:t xml:space="preserve">2.2.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821"/>
              </w:rPr>
              <w:t xml:space="preserve">Требования к качеству работ</w:t>
              <w:tab/>
            </w:r>
          </w:hyperlink>
          <w:r>
            <w:t xml:space="preserve">6</w:t>
          </w:r>
          <w:r/>
        </w:p>
        <w:p>
          <w:pPr>
            <w:pStyle w:val="848"/>
            <w:tabs>
              <w:tab w:val="clear" w:pos="708" w:leader="none"/>
              <w:tab w:val="right" w:pos="9911" w:leader="dot"/>
            </w:tabs>
          </w:pPr>
          <w:r/>
          <w:hyperlink w:tooltip="#_Toc141447056" w:anchor="_Toc141447056" w:history="1">
            <w:r>
              <w:rPr>
                <w:rStyle w:val="821"/>
                <w:vanish w:val="0"/>
              </w:rPr>
              <w:t xml:space="preserve">Таблица 4. Требования к качеству </w:t>
            </w:r>
            <w:r>
              <w:rPr>
                <w:rStyle w:val="821"/>
              </w:rPr>
              <w:t xml:space="preserve">работ</w:t>
              <w:tab/>
            </w:r>
          </w:hyperlink>
          <w:r>
            <w:t xml:space="preserve">6</w:t>
          </w:r>
          <w:r/>
        </w:p>
        <w:p>
          <w:pPr>
            <w:pStyle w:val="848"/>
            <w:tabs>
              <w:tab w:val="left" w:pos="560" w:leader="none"/>
              <w:tab w:val="clear" w:pos="708" w:leader="none"/>
              <w:tab w:val="right" w:pos="9911" w:leader="dot"/>
            </w:tabs>
          </w:pPr>
          <w:r/>
          <w:hyperlink w:tooltip="#_Toc141447060" w:anchor="_Toc141447060" w:history="1">
            <w:r>
              <w:rPr>
                <w:rStyle w:val="821"/>
                <w:vanish w:val="0"/>
              </w:rPr>
              <w:t xml:space="preserve">4.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_Toc141447060 \h</w:instrText>
            </w:r>
            <w:r>
              <w:fldChar w:fldCharType="separate"/>
            </w:r>
            <w:r>
              <w:rPr>
                <w:rStyle w:val="821"/>
              </w:rPr>
              <w:t xml:space="preserve">Требования к документации по ценообразованию на этапе заключения (исполнения) договора</w:t>
              <w:tab/>
              <w:t xml:space="preserve">12</w:t>
            </w:r>
            <w:r>
              <w:fldChar w:fldCharType="end"/>
            </w:r>
          </w:hyperlink>
          <w:r/>
          <w:r/>
        </w:p>
        <w:p>
          <w:pPr>
            <w:pStyle w:val="848"/>
            <w:tabs>
              <w:tab w:val="left" w:pos="560" w:leader="none"/>
              <w:tab w:val="clear" w:pos="708" w:leader="none"/>
              <w:tab w:val="right" w:pos="9911" w:leader="dot"/>
            </w:tabs>
          </w:pPr>
          <w:r/>
          <w:hyperlink w:tooltip="#_Toc141447064" w:anchor="_Toc141447064" w:history="1">
            <w:r>
              <w:rPr>
                <w:rStyle w:val="821"/>
                <w:vanish w:val="0"/>
              </w:rPr>
              <w:t xml:space="preserve">5.</w:t>
            </w:r>
            <w:r>
              <w:rPr>
                <w:rStyle w:val="821"/>
                <w:rFonts w:ascii="Calibri" w:hAnsi="Calibri" w:eastAsia="Arial" w:cs="Arial" w:asciiTheme="minorHAnsi" w:hAnsiTheme="minorHAnsi" w:eastAsiaTheme="minorEastAsia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821"/>
                <w:iCs/>
              </w:rPr>
              <w:t xml:space="preserve">Приложения</w:t>
            </w:r>
            <w:r>
              <w:fldChar w:fldCharType="begin"/>
            </w:r>
            <w:r>
              <w:instrText xml:space="preserve">PAGEREF _Toc141447064 \h</w:instrText>
            </w:r>
            <w:r>
              <w:fldChar w:fldCharType="separate"/>
            </w:r>
            <w:r>
              <w:rPr>
                <w:rStyle w:val="821"/>
              </w:rPr>
              <w:tab/>
              <w:t xml:space="preserve">12</w:t>
            </w:r>
            <w:r>
              <w:fldChar w:fldCharType="end"/>
            </w:r>
          </w:hyperlink>
          <w:r>
            <w:rPr>
              <w:rStyle w:val="821"/>
            </w:rPr>
            <w:fldChar w:fldCharType="end"/>
          </w:r>
          <w:r/>
        </w:p>
      </w:sdtContent>
    </w:sdt>
    <w:p>
      <w:pPr>
        <w:pStyle w:val="765"/>
        <w:numPr>
          <w:ilvl w:val="0"/>
          <w:numId w:val="0"/>
        </w:numPr>
        <w:ind w:left="0" w:firstLine="0"/>
        <w:rPr>
          <w:bCs w:val="0"/>
        </w:rPr>
      </w:pPr>
      <w:r>
        <w:rPr>
          <w:bCs w:val="0"/>
        </w:rPr>
      </w:r>
      <w:r>
        <w:rPr>
          <w:bCs w:val="0"/>
        </w:rPr>
      </w:r>
    </w:p>
    <w:p>
      <w:pPr>
        <w:pStyle w:val="763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 w:clear="all"/>
      </w:r>
      <w:r>
        <w:rPr>
          <w:rFonts w:eastAsia="Calibri"/>
          <w:b/>
          <w:i/>
          <w:sz w:val="24"/>
          <w:szCs w:val="24"/>
        </w:rPr>
      </w:r>
    </w:p>
    <w:p>
      <w:pPr>
        <w:pStyle w:val="764"/>
        <w:numPr>
          <w:ilvl w:val="0"/>
          <w:numId w:val="1"/>
        </w:numPr>
        <w:ind w:left="357" w:hanging="357"/>
        <w:jc w:val="center"/>
        <w:keepLines/>
        <w:spacing w:before="120" w:beforeAutospacing="0" w:after="0" w:afterAutospacing="0"/>
        <w:rPr>
          <w:caps/>
        </w:rPr>
      </w:pPr>
      <w:r/>
      <w:bookmarkStart w:id="0" w:name="_Toc54646395"/>
      <w:r/>
      <w:bookmarkStart w:id="1" w:name="_Toc51339692"/>
      <w:r>
        <w:t xml:space="preserve">Общие сведения</w:t>
      </w:r>
      <w:bookmarkEnd w:id="0"/>
      <w:r/>
      <w:bookmarkEnd w:id="1"/>
      <w:r/>
      <w:r>
        <w:rPr>
          <w:caps/>
        </w:rPr>
      </w:r>
    </w:p>
    <w:p>
      <w:pPr>
        <w:pStyle w:val="767"/>
        <w:numPr>
          <w:ilvl w:val="1"/>
          <w:numId w:val="1"/>
        </w:numPr>
        <w:ind w:left="432" w:hanging="432"/>
      </w:pPr>
      <w:r/>
      <w:bookmarkStart w:id="2" w:name="_Toc54646396"/>
      <w:r/>
      <w:bookmarkStart w:id="3" w:name="_Toc46743505"/>
      <w:r>
        <w:t xml:space="preserve">Обозначения и сокращения</w:t>
      </w:r>
      <w:bookmarkEnd w:id="2"/>
      <w:r/>
      <w:bookmarkEnd w:id="3"/>
      <w:r/>
      <w:r/>
    </w:p>
    <w:p>
      <w:pPr>
        <w:pStyle w:val="763"/>
        <w:rPr>
          <w:rStyle w:val="817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817"/>
          <w:b w:val="0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7"/>
      </w:tblGrid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 w:val="0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ГОСТ</w:t>
            </w:r>
            <w:r>
              <w:rPr>
                <w:bCs w:val="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bCs w:val="0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Государственный стандарт;</w:t>
            </w:r>
            <w:r>
              <w:rPr>
                <w:bCs w:val="0"/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 w:val="0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КС-2</w:t>
            </w:r>
            <w:r>
              <w:rPr>
                <w:bCs w:val="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кт о приемке выполненных работ (форма № КС-2);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 w:val="0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КС-3</w:t>
            </w:r>
            <w:r>
              <w:rPr>
                <w:bCs w:val="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правка о стоимости выполненных работ и затрат (форма № КС-3);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 w:val="0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КС-6а</w:t>
            </w:r>
            <w:r>
              <w:rPr>
                <w:bCs w:val="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Журнал учета выполненных работ (форма № КС-6а)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НТД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Нормативно-техническая документация;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МТР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Материально-технические ресурсы;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АО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Акционерное общество;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ППР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Проект производства работ;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ПТБ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равила техники безопасности;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РД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уководящий документ;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РФ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Федерация;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СМР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Строительно-монтажные работы;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СНиП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троительные нормы и правила;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Свод правил;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СРО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Саморегулируемая организация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ТЗ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Техническое задание;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ТТ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</w:rPr>
              <w:t xml:space="preserve">Настоящие т</w:t>
            </w:r>
            <w:r>
              <w:rPr>
                <w:sz w:val="24"/>
                <w:szCs w:val="24"/>
                <w:highlight w:val="white"/>
              </w:rPr>
              <w:t xml:space="preserve">ехнические требования;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ТУ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</w:rPr>
              <w:t xml:space="preserve">Т</w:t>
            </w:r>
            <w:r>
              <w:rPr>
                <w:sz w:val="24"/>
                <w:szCs w:val="24"/>
                <w:highlight w:val="white"/>
              </w:rPr>
              <w:t xml:space="preserve">ехнические условия;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ЛНА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Локальный нормативный акт</w:t>
            </w:r>
            <w:r>
              <w:rPr>
                <w:highlight w:val="white"/>
              </w:rPr>
            </w:r>
          </w:p>
        </w:tc>
      </w:tr>
      <w:tr>
        <w:tblPrEx/>
        <w:trPr>
          <w:cantSplit/>
          <w:trHeight w:val="5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 АТЭЦ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Структурное подразделение «Артёмовская ТЭЦ» АО «ДГК»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63"/>
              <w:jc w:val="both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Cs w:val="0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pdf – portable document format</w:t>
            </w:r>
            <w:r>
              <w:rPr>
                <w:bCs w:val="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63"/>
              <w:jc w:val="both"/>
              <w:widowControl w:val="off"/>
            </w:pPr>
            <w:r>
              <w:rPr>
                <w:sz w:val="24"/>
                <w:szCs w:val="24"/>
                <w:highlight w:val="white"/>
              </w:rPr>
              <w:t xml:space="preserve">формат файла электронного документа;</w:t>
            </w:r>
            <w:r/>
          </w:p>
          <w:p>
            <w:pPr>
              <w:pStyle w:val="763"/>
              <w:jc w:val="both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763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63"/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63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br w:type="page" w:clear="all"/>
      </w:r>
      <w:r>
        <w:rPr>
          <w:sz w:val="24"/>
          <w:szCs w:val="24"/>
        </w:rPr>
      </w:r>
    </w:p>
    <w:p>
      <w:pPr>
        <w:pStyle w:val="767"/>
        <w:numPr>
          <w:ilvl w:val="1"/>
          <w:numId w:val="1"/>
        </w:numPr>
        <w:ind w:left="432" w:hanging="432"/>
        <w:spacing w:before="62" w:beforeAutospacing="0" w:after="62" w:afterAutospacing="0"/>
      </w:pPr>
      <w:r/>
      <w:bookmarkStart w:id="4" w:name="_Toc54646397"/>
      <w:r/>
      <w:bookmarkStart w:id="5" w:name="_Toc46743506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pStyle w:val="763"/>
        <w:jc w:val="both"/>
        <w:spacing w:before="62" w:beforeAutospacing="0" w:after="62" w:afterAutospacing="0"/>
        <w:rPr>
          <w:b w:val="0"/>
          <w:bCs w:val="0"/>
          <w:i/>
          <w:iCs/>
          <w:sz w:val="24"/>
          <w:szCs w:val="24"/>
        </w:rPr>
      </w:pPr>
      <w:r>
        <w:rPr>
          <w:rFonts w:eastAsia="Calibri" w:cs="Times New Roman"/>
          <w:b w:val="0"/>
          <w:bCs w:val="0"/>
          <w:i/>
          <w:iCs/>
          <w:color w:val="000000" w:themeColor="text1"/>
          <w:sz w:val="24"/>
          <w:szCs w:val="24"/>
          <w:lang w:eastAsia="ru-RU"/>
        </w:rPr>
        <w:t xml:space="preserve">«</w:t>
      </w:r>
      <w:r>
        <w:rPr>
          <w:b w:val="0"/>
          <w:bCs w:val="0"/>
          <w:i/>
          <w:iCs/>
          <w:sz w:val="24"/>
          <w:szCs w:val="24"/>
        </w:rPr>
        <w:t xml:space="preserve">ОКПД2 42.12.20.150 Выполнение работ по ремонту ж/д путей и замене шпального бруса путей №4 и №15 Артемовской ТЭЦ, г. Артём</w:t>
      </w:r>
      <w:r>
        <w:rPr>
          <w:rFonts w:eastAsia="Calibri" w:cs="Times New Roman"/>
          <w:b w:val="0"/>
          <w:bCs w:val="0"/>
          <w:i/>
          <w:iCs/>
          <w:color w:val="000000" w:themeColor="text1"/>
          <w:sz w:val="24"/>
          <w:szCs w:val="24"/>
          <w:lang w:eastAsia="ru-RU"/>
        </w:rPr>
        <w:t xml:space="preserve">».</w:t>
      </w:r>
      <w:r>
        <w:rPr>
          <w:b w:val="0"/>
          <w:bCs w:val="0"/>
          <w:i/>
          <w:iCs/>
          <w:sz w:val="24"/>
          <w:szCs w:val="24"/>
        </w:rPr>
      </w:r>
    </w:p>
    <w:p>
      <w:pPr>
        <w:pStyle w:val="763"/>
        <w:jc w:val="both"/>
        <w:spacing w:before="62" w:beforeAutospacing="0" w:after="62" w:afterAutospacing="0"/>
        <w:rPr>
          <w:rFonts w:ascii="Times New Roman" w:hAnsi="Times New Roman" w:eastAsia="Calibri" w:cs="Times New Roman" w:eastAsiaTheme="minorHAnsi"/>
          <w:b w:val="0"/>
          <w:bCs w:val="0"/>
          <w:i/>
          <w:iCs/>
          <w:sz w:val="24"/>
          <w:szCs w:val="24"/>
        </w:rPr>
      </w:pPr>
      <w:r>
        <w:rPr>
          <w:rFonts w:eastAsia="Calibri" w:cs="Times New Roman" w:eastAsiaTheme="minorHAnsi"/>
          <w:b w:val="0"/>
          <w:bCs w:val="0"/>
          <w:i/>
          <w:iCs/>
          <w:sz w:val="24"/>
          <w:szCs w:val="24"/>
        </w:rPr>
      </w:r>
      <w:r>
        <w:rPr>
          <w:rFonts w:ascii="Times New Roman" w:hAnsi="Times New Roman" w:eastAsia="Calibri" w:cs="Times New Roman" w:eastAsiaTheme="minorHAnsi"/>
          <w:b w:val="0"/>
          <w:bCs w:val="0"/>
          <w:i/>
          <w:iCs/>
          <w:sz w:val="24"/>
          <w:szCs w:val="24"/>
        </w:rPr>
      </w:r>
    </w:p>
    <w:p>
      <w:pPr>
        <w:pStyle w:val="767"/>
        <w:numPr>
          <w:ilvl w:val="1"/>
          <w:numId w:val="1"/>
        </w:numPr>
        <w:ind w:left="431" w:hanging="431"/>
        <w:spacing w:before="62" w:beforeAutospacing="0" w:after="62" w:afterAutospacing="0"/>
      </w:pPr>
      <w:r/>
      <w:bookmarkStart w:id="6" w:name="_Toc46743507"/>
      <w:r/>
      <w:bookmarkStart w:id="7" w:name="_Toc54646398"/>
      <w:r>
        <w:t xml:space="preserve">Цель </w:t>
      </w:r>
      <w:bookmarkEnd w:id="6"/>
      <w:r/>
      <w:bookmarkEnd w:id="7"/>
      <w:r>
        <w:t xml:space="preserve">выполнения работ</w:t>
      </w:r>
      <w:r/>
    </w:p>
    <w:p>
      <w:pPr>
        <w:pStyle w:val="763"/>
        <w:numPr>
          <w:ilvl w:val="0"/>
          <w:numId w:val="0"/>
        </w:numPr>
        <w:ind w:left="0" w:firstLine="0"/>
        <w:jc w:val="both"/>
        <w:spacing w:before="62" w:beforeAutospacing="0" w:after="62" w:afterAutospacing="0"/>
        <w:rPr>
          <w:b w:val="0"/>
          <w:bCs/>
          <w:i/>
          <w:iCs/>
          <w:sz w:val="24"/>
          <w:szCs w:val="24"/>
          <w:highlight w:val="yellow"/>
        </w:rPr>
      </w:pPr>
      <w:r>
        <w:rPr>
          <w:b w:val="0"/>
          <w:i/>
          <w:sz w:val="24"/>
          <w:szCs w:val="24"/>
        </w:rPr>
        <w:t xml:space="preserve">Целью выполнения работ является обеспечение надёжной эксплуатации железнодорожных путей Артемовской ТЭЦ.</w:t>
      </w:r>
      <w:r>
        <w:rPr>
          <w:rFonts w:eastAsia="Calibri" w:cs="Times New Roman" w:eastAsiaTheme="minorHAnsi"/>
          <w:i/>
          <w:iCs/>
          <w:sz w:val="24"/>
          <w:szCs w:val="24"/>
          <w:lang w:eastAsia="ru-RU"/>
        </w:rPr>
        <w:t xml:space="preserve"> </w:t>
      </w:r>
      <w:r>
        <w:rPr>
          <w:b w:val="0"/>
          <w:bCs/>
          <w:i/>
          <w:iCs/>
          <w:sz w:val="24"/>
          <w:szCs w:val="24"/>
          <w:highlight w:val="yellow"/>
        </w:rPr>
      </w:r>
    </w:p>
    <w:p>
      <w:pPr>
        <w:pStyle w:val="763"/>
        <w:numPr>
          <w:ilvl w:val="0"/>
          <w:numId w:val="0"/>
        </w:numPr>
        <w:ind w:left="0" w:firstLine="0"/>
        <w:jc w:val="both"/>
        <w:spacing w:before="62" w:beforeAutospacing="0" w:after="62" w:afterAutospacing="0"/>
        <w:rPr>
          <w:b w:val="0"/>
          <w:bCs/>
          <w:i/>
          <w:iCs/>
          <w:sz w:val="24"/>
          <w:szCs w:val="24"/>
          <w:highlight w:val="yellow"/>
        </w:rPr>
      </w:pPr>
      <w:r>
        <w:rPr>
          <w:b w:val="0"/>
          <w:bCs/>
          <w:i/>
          <w:iCs/>
          <w:sz w:val="24"/>
          <w:szCs w:val="24"/>
          <w:highlight w:val="yellow"/>
        </w:rPr>
      </w:r>
      <w:r>
        <w:rPr>
          <w:b w:val="0"/>
          <w:bCs/>
          <w:i/>
          <w:iCs/>
          <w:sz w:val="24"/>
          <w:szCs w:val="24"/>
          <w:highlight w:val="yellow"/>
        </w:rPr>
      </w:r>
    </w:p>
    <w:p>
      <w:pPr>
        <w:pStyle w:val="767"/>
        <w:numPr>
          <w:ilvl w:val="1"/>
          <w:numId w:val="1"/>
        </w:numPr>
        <w:ind w:left="432" w:hanging="432"/>
        <w:spacing w:before="62" w:beforeAutospacing="0" w:after="62" w:afterAutospacing="0"/>
      </w:pPr>
      <w:r/>
      <w:bookmarkStart w:id="8" w:name="undefined_Копия_1"/>
      <w:r/>
      <w:bookmarkStart w:id="9" w:name="undefined"/>
      <w:r/>
      <w:bookmarkEnd w:id="9"/>
      <w:r>
        <w:rPr>
          <w:highlight w:val="white"/>
        </w:rPr>
        <w:t xml:space="preserve">Существующее положение</w:t>
      </w:r>
      <w:bookmarkEnd w:id="8"/>
      <w:r/>
      <w:r/>
    </w:p>
    <w:p>
      <w:pPr>
        <w:pStyle w:val="763"/>
        <w:jc w:val="both"/>
        <w:spacing w:before="62" w:beforeAutospacing="0" w:after="62" w:afterAutospacing="0"/>
      </w:pPr>
      <w:r>
        <w:rPr>
          <w:sz w:val="24"/>
          <w:szCs w:val="24"/>
          <w:highlight w:val="white"/>
        </w:rPr>
        <w:t xml:space="preserve">1.4.1</w:t>
      </w:r>
      <w:r>
        <w:rPr>
          <w:highlight w:val="white"/>
        </w:rPr>
        <w:t xml:space="preserve"> </w:t>
      </w:r>
      <w:r>
        <w:rPr>
          <w:i/>
          <w:sz w:val="24"/>
          <w:szCs w:val="24"/>
          <w:highlight w:val="white"/>
        </w:rPr>
        <w:t xml:space="preserve">Артемовская ТЭЦ – структурное подразделение АО «Дальневост</w:t>
      </w:r>
      <w:r>
        <w:rPr>
          <w:i/>
          <w:sz w:val="24"/>
          <w:szCs w:val="24"/>
          <w:highlight w:val="white"/>
        </w:rPr>
        <w:t xml:space="preserve">очная генерирующая компания» (АО «ДГК»), входящее в Группу РусГидро, действует на территории г. Артёма. Основные виды деятельности – производство электрической и тепловой энергии, транспортировка и реализация тепловой энергии населению и юридическим лицам.</w:t>
      </w:r>
      <w:r/>
    </w:p>
    <w:p>
      <w:pPr>
        <w:pStyle w:val="763"/>
        <w:ind w:firstLine="708"/>
        <w:jc w:val="both"/>
        <w:spacing w:before="62" w:beforeAutospacing="0" w:after="62" w:afterAutospacing="0"/>
        <w:rPr>
          <w:bCs/>
          <w:highlight w:val="white"/>
        </w:rPr>
      </w:pPr>
      <w:r>
        <w:rPr>
          <w:i/>
          <w:sz w:val="24"/>
          <w:szCs w:val="24"/>
        </w:rPr>
        <w:t xml:space="preserve">Артемов</w:t>
      </w:r>
      <w:r>
        <w:rPr>
          <w:i/>
          <w:sz w:val="24"/>
          <w:szCs w:val="24"/>
          <w:highlight w:val="white"/>
        </w:rPr>
        <w:t xml:space="preserve">ская ТЭЦ представляет собой тепловую электростанцию с комбинированной выработкой электроэнергии и тепла. </w:t>
      </w:r>
      <w:r>
        <w:rPr>
          <w:bCs/>
          <w:highlight w:val="white"/>
        </w:rPr>
      </w:r>
    </w:p>
    <w:p>
      <w:pPr>
        <w:pStyle w:val="764"/>
        <w:numPr>
          <w:ilvl w:val="0"/>
          <w:numId w:val="0"/>
        </w:numPr>
        <w:ind w:left="0" w:firstLine="0"/>
        <w:keepLines/>
        <w:spacing w:before="240" w:after="60" w:line="360" w:lineRule="auto"/>
        <w:rPr>
          <w:sz w:val="24"/>
          <w:szCs w:val="24"/>
        </w:rPr>
      </w:pPr>
      <w:r/>
      <w:bookmarkStart w:id="10" w:name="_Toc54646400"/>
      <w:r>
        <w:rPr>
          <w:sz w:val="24"/>
          <w:szCs w:val="24"/>
        </w:rPr>
        <w:t xml:space="preserve">Таблица 1. Перечень объектов заказчика</w:t>
      </w:r>
      <w:bookmarkEnd w:id="10"/>
      <w:r/>
      <w:r>
        <w:rPr>
          <w:sz w:val="24"/>
          <w:szCs w:val="24"/>
        </w:rPr>
      </w:r>
    </w:p>
    <w:tbl>
      <w:tblPr>
        <w:tblW w:w="1002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1250"/>
        <w:gridCol w:w="3738"/>
        <w:gridCol w:w="504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textDirection w:val="lrTb"/>
            <w:noWrap w:val="false"/>
          </w:tcPr>
          <w:p>
            <w:pPr>
              <w:pStyle w:val="763"/>
              <w:ind w:left="-113" w:right="-113" w:firstLine="0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Style w:val="763"/>
              <w:ind w:left="-113" w:right="-113" w:firstLine="0"/>
              <w:jc w:val="center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8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8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6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2"/>
              </w:numPr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38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iCs/>
                <w:sz w:val="24"/>
                <w:szCs w:val="24"/>
                <w:highlight w:val="yellow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 xml:space="preserve">Внутристанционные подъездные железнодорожные пути</w:t>
            </w:r>
            <w:r>
              <w:rPr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i/>
                <w:iCs/>
                <w:sz w:val="24"/>
                <w:szCs w:val="24"/>
                <w:lang w:eastAsia="en-US"/>
              </w:rPr>
              <w:t xml:space="preserve">Артемовской ТЭЦ </w:t>
            </w:r>
            <w:r>
              <w:rPr>
                <w:i/>
                <w:iCs/>
                <w:sz w:val="24"/>
                <w:szCs w:val="24"/>
              </w:rPr>
              <w:t xml:space="preserve">(инв.№ Е2668022)</w:t>
            </w:r>
            <w:r>
              <w:rPr>
                <w:bCs/>
                <w:i/>
                <w:iCs/>
                <w:sz w:val="24"/>
                <w:szCs w:val="24"/>
                <w:highlight w:val="yellow"/>
              </w:rPr>
            </w:r>
          </w:p>
          <w:p>
            <w:pPr>
              <w:pStyle w:val="763"/>
              <w:jc w:val="center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textDirection w:val="lrTb"/>
            <w:noWrap w:val="false"/>
          </w:tcPr>
          <w:p>
            <w:pPr>
              <w:pStyle w:val="763"/>
              <w:contextualSpacing/>
              <w:jc w:val="center"/>
              <w:spacing w:before="0" w:after="0"/>
              <w:shd w:val="clear" w:color="auto" w:fill="ffffff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Приморский край,</w:t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pStyle w:val="763"/>
              <w:contextualSpacing/>
              <w:jc w:val="center"/>
              <w:spacing w:before="0" w:after="0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г. </w:t>
            </w:r>
            <w:r>
              <w:rPr>
                <w:rFonts w:cs="Times New Roman"/>
                <w:i/>
                <w:iCs/>
                <w:sz w:val="24"/>
                <w:szCs w:val="24"/>
              </w:rPr>
              <w:t xml:space="preserve"> Артем, ул. Каширская, 23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</w:tbl>
    <w:p>
      <w:pPr>
        <w:pStyle w:val="767"/>
        <w:numPr>
          <w:ilvl w:val="1"/>
          <w:numId w:val="1"/>
        </w:numPr>
        <w:ind w:left="432" w:hanging="432"/>
        <w:spacing w:before="397" w:beforeAutospacing="0" w:after="60"/>
      </w:pPr>
      <w:r/>
      <w:bookmarkStart w:id="11" w:name="undefined_Копия_2"/>
      <w:r/>
      <w:bookmarkEnd w:id="11"/>
      <w:r>
        <w:rPr>
          <w:highlight w:val="white"/>
        </w:rPr>
        <w:t xml:space="preserve">Информация в отношении исполнения договора, </w:t>
      </w:r>
      <w:bookmarkStart w:id="12" w:name="undefined_Копия_3"/>
      <w:r>
        <w:rPr>
          <w:highlight w:val="white"/>
        </w:rPr>
        <w:t xml:space="preserve">которая должна быть учтена при подготовке заявки </w:t>
      </w:r>
      <w:bookmarkEnd w:id="12"/>
      <w:r>
        <w:rPr>
          <w:highlight w:val="white"/>
        </w:rPr>
        <w:t xml:space="preserve">(в том числе перечень ресурсов, услуг и документов, предоставляемых заказчиком на этапе исполнения договора) </w:t>
      </w:r>
      <w:r/>
    </w:p>
    <w:p>
      <w:pPr>
        <w:pStyle w:val="766"/>
        <w:numPr>
          <w:ilvl w:val="0"/>
          <w:numId w:val="0"/>
        </w:numPr>
        <w:ind w:left="0" w:firstLine="0"/>
      </w:pPr>
      <w:r/>
      <w:bookmarkStart w:id="13" w:name="undefined_Копия_4"/>
      <w:r/>
      <w:bookmarkEnd w:id="13"/>
      <w:r>
        <w:rPr>
          <w:highlight w:val="white"/>
        </w:rPr>
        <w:t xml:space="preserve">1.5.1 Заказчик предоставит Подрядчику:</w:t>
      </w:r>
      <w:bookmarkStart w:id="14" w:name="undefined_Копия_5"/>
      <w:r/>
      <w:r/>
    </w:p>
    <w:p>
      <w:pPr>
        <w:pStyle w:val="852"/>
        <w:numPr>
          <w:ilvl w:val="0"/>
          <w:numId w:val="5"/>
        </w:numPr>
        <w:jc w:val="both"/>
        <w:rPr>
          <w:highlight w:val="white"/>
        </w:rPr>
      </w:pPr>
      <w:r>
        <w:rPr>
          <w:highlight w:val="white"/>
        </w:rPr>
        <w:t xml:space="preserve">Электроэнергию на период выполнения работ Подрядчиком.</w:t>
      </w:r>
      <w:r>
        <w:rPr>
          <w:highlight w:val="white"/>
        </w:rPr>
      </w:r>
    </w:p>
    <w:p>
      <w:pPr>
        <w:pStyle w:val="767"/>
        <w:numPr>
          <w:ilvl w:val="0"/>
          <w:numId w:val="0"/>
        </w:numPr>
        <w:ind w:left="0" w:firstLine="0"/>
      </w:pPr>
      <w:r/>
      <w:r/>
      <w:bookmarkStart w:id="16" w:name="_Toc54646401"/>
      <w:r/>
      <w:bookmarkEnd w:id="16"/>
      <w:r/>
      <w:r/>
    </w:p>
    <w:p>
      <w:pPr>
        <w:pStyle w:val="763"/>
        <w:shd w:val="nil" w:color="auto"/>
        <w:rPr>
          <w:caps/>
        </w:rPr>
      </w:pPr>
      <w:r>
        <w:rPr>
          <w:caps/>
        </w:rPr>
      </w:r>
      <w:r>
        <w:br w:type="page" w:clear="all"/>
      </w:r>
      <w:r>
        <w:rPr>
          <w:caps/>
        </w:rPr>
      </w:r>
    </w:p>
    <w:p>
      <w:pPr>
        <w:pStyle w:val="764"/>
        <w:numPr>
          <w:ilvl w:val="0"/>
          <w:numId w:val="1"/>
        </w:numPr>
        <w:ind w:left="357" w:hanging="357"/>
        <w:jc w:val="center"/>
        <w:keepLines/>
        <w:spacing w:before="120" w:after="0"/>
        <w:rPr>
          <w:iCs/>
          <w:caps/>
        </w:rPr>
      </w:pPr>
      <w:r/>
      <w:bookmarkStart w:id="17" w:name="_Toc54646403"/>
      <w:r/>
      <w:bookmarkStart w:id="18" w:name="_Toc51339693"/>
      <w:r/>
      <w:bookmarkStart w:id="19" w:name="_Toc50125126"/>
      <w:r/>
      <w:bookmarkStart w:id="20" w:name="_Toc54646401_Копия_1"/>
      <w:r/>
      <w:bookmarkEnd w:id="19"/>
      <w:r/>
      <w:bookmarkEnd w:id="20"/>
      <w:r>
        <w:rPr>
          <w:iCs/>
        </w:rPr>
        <w:t xml:space="preserve">Требования к продукции</w:t>
      </w:r>
      <w:bookmarkEnd w:id="17"/>
      <w:r/>
      <w:bookmarkEnd w:id="18"/>
      <w:r/>
      <w:r>
        <w:rPr>
          <w:iCs/>
          <w:caps/>
        </w:rPr>
      </w:r>
    </w:p>
    <w:p>
      <w:pPr>
        <w:pStyle w:val="767"/>
        <w:numPr>
          <w:ilvl w:val="1"/>
          <w:numId w:val="1"/>
        </w:numPr>
        <w:ind w:left="432" w:hanging="432"/>
        <w:spacing w:before="120" w:after="0"/>
      </w:pPr>
      <w:r/>
      <w:bookmarkStart w:id="21" w:name="_Toc54646404"/>
      <w:r>
        <w:t xml:space="preserve">Требования к объемам и срокам </w:t>
      </w:r>
      <w:bookmarkEnd w:id="21"/>
      <w:r>
        <w:t xml:space="preserve">выполнения работ</w:t>
      </w:r>
      <w:r/>
    </w:p>
    <w:p>
      <w:pPr>
        <w:pStyle w:val="766"/>
      </w:pPr>
      <w:r>
        <w:t xml:space="preserve">Требования к видам и объемам выполнения работ</w:t>
      </w:r>
      <w:r/>
    </w:p>
    <w:p>
      <w:pPr>
        <w:pStyle w:val="764"/>
        <w:numPr>
          <w:ilvl w:val="0"/>
          <w:numId w:val="0"/>
        </w:numPr>
        <w:ind w:left="0" w:firstLine="0"/>
        <w:keepLines/>
        <w:spacing w:before="198" w:beforeAutospacing="0" w:after="60" w:line="360" w:lineRule="auto"/>
        <w:rPr>
          <w:sz w:val="24"/>
          <w:szCs w:val="24"/>
        </w:rPr>
      </w:pPr>
      <w:r/>
      <w:bookmarkStart w:id="22" w:name="_Toc54646406"/>
      <w:r/>
      <w:bookmarkStart w:id="23" w:name="_Toc51339695"/>
      <w:r>
        <w:rPr>
          <w:sz w:val="24"/>
          <w:szCs w:val="24"/>
        </w:rPr>
        <w:t xml:space="preserve">Таблица 2. Перечень </w:t>
      </w:r>
      <w:bookmarkEnd w:id="23"/>
      <w:r>
        <w:rPr>
          <w:sz w:val="24"/>
          <w:szCs w:val="24"/>
        </w:rPr>
        <w:t xml:space="preserve">и объем </w:t>
      </w:r>
      <w:bookmarkEnd w:id="22"/>
      <w:r>
        <w:rPr>
          <w:sz w:val="24"/>
          <w:szCs w:val="24"/>
        </w:rPr>
        <w:t xml:space="preserve">работ</w:t>
      </w:r>
      <w:r>
        <w:rPr>
          <w:sz w:val="24"/>
          <w:szCs w:val="24"/>
        </w:rPr>
      </w:r>
    </w:p>
    <w:tbl>
      <w:tblPr>
        <w:tblW w:w="9921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67"/>
        <w:gridCol w:w="5243"/>
        <w:gridCol w:w="1418"/>
        <w:gridCol w:w="269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763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Style w:val="763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textDirection w:val="lrTb"/>
            <w:noWrap w:val="false"/>
          </w:tcPr>
          <w:p>
            <w:pPr>
              <w:pStyle w:val="763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763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vAlign w:val="center"/>
            <w:textDirection w:val="lrTb"/>
            <w:noWrap w:val="false"/>
          </w:tcPr>
          <w:p>
            <w:pPr>
              <w:pStyle w:val="763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3"/>
              </w:numPr>
              <w:ind w:left="439" w:hanging="360"/>
              <w:jc w:val="center"/>
              <w:widowControl w:val="off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Разборка пути звеньями рельсошпальной решетки, шпалы: железобетонные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км пути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0,4027</w:t>
            </w:r>
            <w:r>
              <w:rPr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3"/>
              </w:numPr>
              <w:ind w:left="439" w:hanging="360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Разборка на базе звеньев рельсошпальной решетки на железобетонных шпалах, скрепление КБ, число шпал на 1 км: 1840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км пути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0,4027</w:t>
            </w:r>
            <w:r>
              <w:rPr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3"/>
              </w:numPr>
              <w:ind w:left="439" w:hanging="360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Укладка пути отдельными элементами на железобетонных шпалах тип рельсов: Р65, длина рельсов 12,5 м, на 1 км число шпал 1840 (замена 70% шпал на новые)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км пути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0,4027</w:t>
            </w:r>
            <w:r>
              <w:rPr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3"/>
              </w:numPr>
              <w:ind w:left="439" w:hanging="360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Балластировка пути и стрелочных переводов на железобетонных шпалах, балласт: щебеночный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м3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589</w:t>
            </w:r>
            <w:r>
              <w:rPr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3"/>
              </w:numPr>
              <w:ind w:left="439" w:hanging="360"/>
              <w:jc w:val="center"/>
              <w:widowControl w:val="off"/>
            </w:pPr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Отделочные работы и окончательная выправка пути с применением машины выправочно-подбивочно-рихтовочной производительностью 2200-2400 шпал/час, шпалы: железобетонные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км пути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2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position w:val="0"/>
                <w:sz w:val="22"/>
                <w:szCs w:val="22"/>
                <w:u w:val="none"/>
                <w:vertAlign w:val="baseline"/>
              </w:rPr>
              <w:t xml:space="preserve">0,4027</w:t>
            </w:r>
            <w:r>
              <w:rPr>
                <w:bCs/>
                <w:i/>
                <w:sz w:val="22"/>
                <w:szCs w:val="22"/>
              </w:rPr>
            </w:r>
          </w:p>
        </w:tc>
      </w:tr>
    </w:tbl>
    <w:p>
      <w:pPr>
        <w:pStyle w:val="764"/>
        <w:numPr>
          <w:ilvl w:val="0"/>
          <w:numId w:val="0"/>
        </w:numPr>
        <w:ind w:left="5038" w:firstLine="0"/>
        <w:rPr>
          <w:highlight w:val="none"/>
        </w:rPr>
      </w:pPr>
      <w:r/>
      <w:r>
        <w:rPr>
          <w:highlight w:val="none"/>
        </w:rPr>
      </w:r>
    </w:p>
    <w:p>
      <w:pPr>
        <w:pStyle w:val="766"/>
        <w:spacing w:before="283" w:beforeAutospacing="0" w:after="62" w:afterAutospacing="0"/>
        <w:rPr>
          <w:highlight w:val="none"/>
        </w:rPr>
      </w:pPr>
      <w:r/>
      <w:bookmarkStart w:id="24" w:name="_Toc54646407"/>
      <w:r/>
      <w:bookmarkStart w:id="25" w:name="_Toc51339696"/>
      <w:r>
        <w:t xml:space="preserve">Требования </w:t>
      </w:r>
      <w:bookmarkEnd w:id="25"/>
      <w:r>
        <w:t xml:space="preserve">к срокам </w:t>
      </w:r>
      <w:bookmarkEnd w:id="24"/>
      <w:r>
        <w:t xml:space="preserve">выполнения работ</w:t>
      </w:r>
      <w:r>
        <w:rPr>
          <w:highlight w:val="none"/>
        </w:rPr>
      </w:r>
    </w:p>
    <w:p>
      <w:pPr>
        <w:pStyle w:val="764"/>
        <w:numPr>
          <w:ilvl w:val="0"/>
          <w:numId w:val="0"/>
        </w:numPr>
        <w:ind w:left="0" w:firstLine="0"/>
        <w:keepLines/>
        <w:spacing w:before="198" w:beforeAutospacing="0" w:after="60"/>
        <w:rPr>
          <w:sz w:val="24"/>
          <w:szCs w:val="24"/>
          <w:highlight w:val="none"/>
        </w:rPr>
      </w:pPr>
      <w:r/>
      <w:bookmarkStart w:id="26" w:name="_Toc50125127"/>
      <w:r/>
      <w:bookmarkStart w:id="27" w:name="_Toc51339697"/>
      <w:r/>
      <w:bookmarkStart w:id="28" w:name="_Toc54646408"/>
      <w:r/>
      <w:bookmarkStart w:id="29" w:name="_Toc50125126_Копия_1"/>
      <w:r/>
      <w:bookmarkEnd w:id="29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Таблица 3. </w:t>
      </w:r>
      <w:bookmarkStart w:id="30" w:name="_Hlk50465284"/>
      <w:r>
        <w:rPr>
          <w:sz w:val="24"/>
          <w:szCs w:val="24"/>
        </w:rPr>
        <w:t xml:space="preserve">Требования по срокам </w:t>
      </w:r>
      <w:bookmarkEnd w:id="26"/>
      <w:r/>
      <w:bookmarkEnd w:id="27"/>
      <w:r/>
      <w:bookmarkEnd w:id="28"/>
      <w:r/>
      <w:bookmarkEnd w:id="30"/>
      <w:r>
        <w:rPr>
          <w:sz w:val="24"/>
          <w:szCs w:val="24"/>
        </w:rPr>
        <w:t xml:space="preserve">выполнения работ</w:t>
      </w:r>
      <w:r>
        <w:rPr>
          <w:sz w:val="24"/>
          <w:szCs w:val="24"/>
          <w:highlight w:val="none"/>
        </w:rPr>
      </w:r>
    </w:p>
    <w:tbl>
      <w:tblPr>
        <w:tblW w:w="9921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5243"/>
        <w:gridCol w:w="1842"/>
        <w:gridCol w:w="21"/>
        <w:gridCol w:w="2105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vAlign w:val="center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</w:t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</w:t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pStyle w:val="854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854"/>
              <w:jc w:val="center"/>
              <w:keepNext w:val="0"/>
              <w:spacing w:before="40" w:after="40"/>
              <w:widowControl w:val="off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10"/>
              </w:numPr>
              <w:ind w:left="439" w:hanging="360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2"/>
                <w:szCs w:val="22"/>
                <w:u w:val="none"/>
              </w:rPr>
              <w:t xml:space="preserve">Разборка пути звеньями рельсошпальной решетки, шпалы: железобетонные.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63" w:type="dxa"/>
            <w:vAlign w:val="center"/>
            <w:vMerge w:val="restart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highlight w:val="non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с даты, следующей за датой заключения договора</w:t>
            </w:r>
            <w:r>
              <w:rPr>
                <w:highlight w:val="none"/>
              </w:rPr>
            </w:r>
          </w:p>
          <w:p>
            <w:pPr>
              <w:pStyle w:val="763"/>
              <w:jc w:val="center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pStyle w:val="763"/>
              <w:jc w:val="center"/>
              <w:widowControl w:val="off"/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5" w:type="dxa"/>
            <w:vAlign w:val="center"/>
            <w:vMerge w:val="restart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31 декабря 2026</w:t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pStyle w:val="763"/>
              <w:jc w:val="center"/>
              <w:widowControl w:val="off"/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10"/>
              </w:numPr>
              <w:ind w:left="439" w:hanging="360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2"/>
                <w:szCs w:val="22"/>
                <w:u w:val="none"/>
              </w:rPr>
              <w:t xml:space="preserve">Разборка на базе звеньев рельсошпальной решетки на железобетонных шпалах, скрепление КБ, число шпал на 1 км: 1840.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63" w:type="dxa"/>
            <w:vAlign w:val="center"/>
            <w:vMerge w:val="continue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5" w:type="dxa"/>
            <w:vAlign w:val="center"/>
            <w:vMerge w:val="continue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10"/>
              </w:numPr>
              <w:ind w:left="439" w:hanging="360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2"/>
                <w:szCs w:val="22"/>
                <w:u w:val="none"/>
              </w:rPr>
              <w:t xml:space="preserve">Укладка пути отдельными элементами на железобетонных шпалах тип рельсов: Р65, длина рельсов 12,5 м, на 1 км число шпал 1840 (замена 70% шпал на новые).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63" w:type="dxa"/>
            <w:vAlign w:val="center"/>
            <w:vMerge w:val="continue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5" w:type="dxa"/>
            <w:vAlign w:val="center"/>
            <w:vMerge w:val="continue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10"/>
              </w:numPr>
              <w:ind w:left="439" w:hanging="360"/>
              <w:jc w:val="center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2"/>
                <w:szCs w:val="22"/>
                <w:u w:val="none"/>
              </w:rPr>
              <w:t xml:space="preserve">Балластировка пути и стрелочных переводов на железобетонных шпалах, балласт: щебеночный.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63" w:type="dxa"/>
            <w:vAlign w:val="center"/>
            <w:vMerge w:val="continue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5" w:type="dxa"/>
            <w:vAlign w:val="center"/>
            <w:vMerge w:val="continue"/>
            <w:textDirection w:val="lrTb"/>
            <w:noWrap w:val="false"/>
          </w:tcPr>
          <w:p>
            <w:pPr>
              <w:pStyle w:val="763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pPr>
            <w:r>
              <w:rPr>
                <w:rFonts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2"/>
                <w:szCs w:val="22"/>
                <w:lang w:val="ru-RU" w:eastAsia="ru-RU" w:bidi="ar-SA"/>
                <w14:ligatures w14:val="none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10"/>
              </w:numPr>
              <w:ind w:left="439" w:hanging="360"/>
              <w:jc w:val="center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3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2"/>
                <w:szCs w:val="22"/>
                <w:u w:val="none"/>
              </w:rPr>
              <w:t xml:space="preserve">Отделочные работы и окончательная выправка пути с применением машины выправочно-подбивочно-рихтовочной производительностью 2200-2400 шпал/час, шпалы: железобетонные.</w:t>
            </w:r>
            <w:r>
              <w:rPr>
                <w:bCs/>
                <w:i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63" w:type="dxa"/>
            <w:vAlign w:val="center"/>
            <w:vMerge w:val="continue"/>
            <w:textDirection w:val="lrTb"/>
            <w:noWrap w:val="false"/>
          </w:tcPr>
          <w:p>
            <w:pPr>
              <w:pStyle w:val="763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5" w:type="dxa"/>
            <w:vAlign w:val="center"/>
            <w:vMerge w:val="continue"/>
            <w:textDirection w:val="lrTb"/>
            <w:noWrap w:val="false"/>
          </w:tcPr>
          <w:p>
            <w:pPr>
              <w:pStyle w:val="763"/>
              <w:widowControl w:val="off"/>
            </w:pPr>
            <w:r/>
            <w:r/>
          </w:p>
        </w:tc>
      </w:tr>
    </w:tbl>
    <w:p>
      <w:pPr>
        <w:sectPr>
          <w:headerReference w:type="default" r:id="rId9"/>
          <w:headerReference w:type="even" r:id="rId10"/>
          <w:footnotePr/>
          <w:endnotePr/>
          <w:type w:val="nextPage"/>
          <w:pgSz w:w="11906" w:h="16838" w:orient="portrait"/>
          <w:pgMar w:top="1134" w:right="851" w:bottom="709" w:left="1134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767"/>
        <w:numPr>
          <w:ilvl w:val="1"/>
          <w:numId w:val="1"/>
        </w:numPr>
        <w:ind w:left="432" w:hanging="432"/>
      </w:pPr>
      <w:r/>
      <w:bookmarkStart w:id="31" w:name="_Toc54646410"/>
      <w:r>
        <w:t xml:space="preserve">Требования к качеству работ</w:t>
      </w:r>
      <w:r/>
    </w:p>
    <w:p>
      <w:pPr>
        <w:pStyle w:val="764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32" w:name="_Toc51339698"/>
      <w:r>
        <w:rPr>
          <w:sz w:val="24"/>
          <w:szCs w:val="24"/>
        </w:rPr>
        <w:t xml:space="preserve">Таблица 4. Требования к </w:t>
      </w:r>
      <w:bookmarkEnd w:id="32"/>
      <w:r>
        <w:rPr>
          <w:sz w:val="24"/>
          <w:szCs w:val="24"/>
        </w:rPr>
        <w:t xml:space="preserve">качеству </w:t>
      </w:r>
      <w:bookmarkEnd w:id="31"/>
      <w:r>
        <w:rPr>
          <w:sz w:val="24"/>
          <w:szCs w:val="24"/>
        </w:rPr>
        <w:t xml:space="preserve">работ</w:t>
      </w:r>
      <w:r>
        <w:rPr>
          <w:sz w:val="24"/>
          <w:szCs w:val="24"/>
        </w:rPr>
      </w:r>
    </w:p>
    <w:tbl>
      <w:tblPr>
        <w:tblStyle w:val="1004"/>
        <w:tblW w:w="14913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05"/>
        <w:gridCol w:w="3063"/>
        <w:gridCol w:w="6256"/>
        <w:gridCol w:w="1721"/>
        <w:gridCol w:w="2968"/>
      </w:tblGrid>
      <w:tr>
        <w:tblPrEx/>
        <w:trPr/>
        <w:tc>
          <w:tcPr>
            <w:tcW w:w="905" w:type="dxa"/>
            <w:vAlign w:val="center"/>
            <w:vMerge w:val="restart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 w:bidi="ar-SA"/>
              </w:rPr>
              <w:t xml:space="preserve">№ </w:t>
            </w:r>
            <w:r>
              <w:rPr>
                <w:b/>
                <w:bCs/>
                <w:sz w:val="20"/>
                <w:szCs w:val="20"/>
                <w:lang w:val="ru-RU" w:bidi="ar-SA"/>
              </w:rPr>
              <w:t xml:space="preserve">п/п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063" w:type="dxa"/>
            <w:vAlign w:val="center"/>
            <w:vMerge w:val="restart"/>
            <w:textDirection w:val="lrTb"/>
            <w:noWrap w:val="false"/>
          </w:tcPr>
          <w:p>
            <w:pPr>
              <w:pStyle w:val="763"/>
              <w:jc w:val="center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 w:bidi="ar-SA"/>
              </w:rPr>
              <w:t xml:space="preserve">Наименование параметра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6256" w:type="dxa"/>
            <w:vAlign w:val="center"/>
            <w:vMerge w:val="restart"/>
            <w:textDirection w:val="lrTb"/>
            <w:noWrap w:val="false"/>
          </w:tcPr>
          <w:p>
            <w:pPr>
              <w:pStyle w:val="763"/>
              <w:jc w:val="center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 w:bidi="ar-SA"/>
              </w:rPr>
              <w:t xml:space="preserve">Требование заказчика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4689" w:type="dxa"/>
            <w:vAlign w:val="center"/>
            <w:textDirection w:val="lrTb"/>
            <w:noWrap w:val="false"/>
          </w:tcPr>
          <w:p>
            <w:pPr>
              <w:pStyle w:val="763"/>
              <w:jc w:val="center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905" w:type="dxa"/>
            <w:vAlign w:val="center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063" w:type="dxa"/>
            <w:vAlign w:val="center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6256" w:type="dxa"/>
            <w:vAlign w:val="center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721" w:type="dxa"/>
            <w:vAlign w:val="center"/>
            <w:textDirection w:val="lrTb"/>
            <w:noWrap w:val="false"/>
          </w:tcPr>
          <w:p>
            <w:pPr>
              <w:pStyle w:val="763"/>
              <w:jc w:val="center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968" w:type="dxa"/>
            <w:vAlign w:val="center"/>
            <w:textDirection w:val="lrTb"/>
            <w:noWrap w:val="false"/>
          </w:tcPr>
          <w:p>
            <w:pPr>
              <w:pStyle w:val="763"/>
              <w:jc w:val="center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20"/>
        </w:trPr>
        <w:tc>
          <w:tcPr>
            <w:tcW w:w="905" w:type="dxa"/>
            <w:textDirection w:val="lrTb"/>
            <w:noWrap w:val="false"/>
          </w:tcPr>
          <w:p>
            <w:pPr>
              <w:pStyle w:val="763"/>
              <w:jc w:val="center"/>
              <w:spacing w:before="60" w:after="6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63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256" w:type="dxa"/>
            <w:textDirection w:val="lrTb"/>
            <w:noWrap w:val="false"/>
          </w:tcPr>
          <w:p>
            <w:pPr>
              <w:pStyle w:val="763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21" w:type="dxa"/>
            <w:textDirection w:val="lrTb"/>
            <w:noWrap w:val="false"/>
          </w:tcPr>
          <w:p>
            <w:pPr>
              <w:pStyle w:val="763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968" w:type="dxa"/>
            <w:textDirection w:val="lrTb"/>
            <w:noWrap w:val="false"/>
          </w:tcPr>
          <w:p>
            <w:pPr>
              <w:pStyle w:val="763"/>
              <w:jc w:val="center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4"/>
              </w:numPr>
              <w:contextualSpacing/>
              <w:jc w:val="center"/>
              <w:spacing w:before="60" w:after="6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319" w:type="dxa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Требования к выполнению работ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21" w:type="dxa"/>
            <w:vMerge w:val="restart"/>
            <w:textDirection w:val="lrTb"/>
            <w:noWrap w:val="false"/>
          </w:tcPr>
          <w:p>
            <w:pPr>
              <w:pStyle w:val="763"/>
              <w:jc w:val="center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bidi="ar-SA"/>
              </w:rPr>
              <w:t xml:space="preserve">Согласие с требованием</w:t>
            </w:r>
            <w:r>
              <w:rPr>
                <w:sz w:val="22"/>
                <w:szCs w:val="22"/>
              </w:rPr>
            </w:r>
          </w:p>
          <w:p>
            <w:pPr>
              <w:pStyle w:val="763"/>
              <w:jc w:val="center"/>
              <w:spacing w:before="0"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restart"/>
            <w:textDirection w:val="lrTb"/>
            <w:noWrap w:val="false"/>
          </w:tcPr>
          <w:p>
            <w:pPr>
              <w:pStyle w:val="763"/>
              <w:jc w:val="center"/>
              <w:spacing w:before="0" w:after="0"/>
              <w:widowControl w:val="off"/>
              <w:rPr>
                <w:highlight w:val="none"/>
              </w:rPr>
            </w:pPr>
            <w:r/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1"/>
                <w:numId w:val="4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</w:r>
            <w:r>
              <w:rPr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9319" w:type="dxa"/>
            <w:textDirection w:val="lrTb"/>
            <w:noWrap w:val="false"/>
          </w:tcPr>
          <w:p>
            <w:pPr>
              <w:pStyle w:val="763"/>
              <w:jc w:val="left"/>
              <w:spacing w:before="60" w:after="6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Общие требования к выполнению работ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shd w:val="clear" w:color="ffffff" w:fill="ffffff"/>
            <w:tcW w:w="3063" w:type="dxa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lang w:val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6256" w:type="dxa"/>
            <w:textDirection w:val="lrTb"/>
            <w:noWrap w:val="false"/>
          </w:tcPr>
          <w:p>
            <w:pPr>
              <w:pStyle w:val="852"/>
              <w:ind w:left="0" w:firstLine="206"/>
              <w:jc w:val="both"/>
              <w:widowControl w:val="off"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sz w:val="22"/>
                <w:szCs w:val="22"/>
              </w:rPr>
            </w:r>
          </w:p>
          <w:p>
            <w:pPr>
              <w:pStyle w:val="852"/>
              <w:numPr>
                <w:ilvl w:val="0"/>
                <w:numId w:val="14"/>
              </w:numPr>
              <w:contextualSpacing/>
              <w:ind w:left="0" w:firstLine="142"/>
              <w:jc w:val="both"/>
              <w:spacing w:before="0" w:after="0"/>
              <w:widowControl w:val="off"/>
              <w:tabs>
                <w:tab w:val="left" w:pos="425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Правила организации технического обслуживания и ремонта объектов электроэнергетики (приказ МинЭнерго России от 25.10.2017 №1013);</w:t>
            </w:r>
            <w:r>
              <w:rPr>
                <w:sz w:val="22"/>
                <w:szCs w:val="22"/>
              </w:rPr>
            </w:r>
          </w:p>
          <w:p>
            <w:pPr>
              <w:pStyle w:val="852"/>
              <w:numPr>
                <w:ilvl w:val="0"/>
                <w:numId w:val="14"/>
              </w:numPr>
              <w:contextualSpacing w:val="0"/>
              <w:ind w:left="0" w:firstLine="142"/>
              <w:jc w:val="both"/>
              <w:spacing w:before="0" w:after="0"/>
              <w:widowControl w:val="off"/>
              <w:tabs>
                <w:tab w:val="left" w:pos="425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Методические указания по организации технического обслуживания и ремонта основного и вспомогательного оборудования, зданий и сооружений тепловых электростанций (приказ АО «ДГК» от 12.10.2022 №587);</w:t>
            </w:r>
            <w:r>
              <w:rPr>
                <w:sz w:val="22"/>
                <w:szCs w:val="22"/>
              </w:rPr>
            </w:r>
          </w:p>
          <w:p>
            <w:pPr>
              <w:pStyle w:val="852"/>
              <w:numPr>
                <w:ilvl w:val="0"/>
                <w:numId w:val="14"/>
              </w:numPr>
              <w:contextualSpacing w:val="0"/>
              <w:ind w:left="0" w:firstLine="142"/>
              <w:jc w:val="both"/>
              <w:spacing w:before="0" w:after="0"/>
              <w:widowControl w:val="off"/>
              <w:tabs>
                <w:tab w:val="left" w:pos="425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Правила технической эксплуатации электрических станций и сетей Российской Федерации. (утв. приказом Минэнерго РФ от 04.10.2022 №1070);</w:t>
            </w:r>
            <w:r>
              <w:rPr>
                <w:sz w:val="22"/>
                <w:szCs w:val="22"/>
              </w:rPr>
            </w:r>
          </w:p>
          <w:p>
            <w:pPr>
              <w:pStyle w:val="852"/>
              <w:numPr>
                <w:ilvl w:val="0"/>
                <w:numId w:val="15"/>
              </w:numPr>
              <w:ind w:left="0" w:firstLine="142"/>
              <w:jc w:val="both"/>
              <w:widowControl w:val="off"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СТО 17330282.27.100.006-2008 Ремонт и техобслуживание оборудования, зданий и сооружений электрических станций и сетей. Условия выполнения работ подрядными организациями. Нормы и требования;</w:t>
            </w:r>
            <w:r>
              <w:rPr>
                <w:sz w:val="22"/>
                <w:szCs w:val="22"/>
              </w:rPr>
            </w:r>
          </w:p>
          <w:p>
            <w:pPr>
              <w:pStyle w:val="852"/>
              <w:numPr>
                <w:ilvl w:val="0"/>
                <w:numId w:val="16"/>
              </w:numPr>
              <w:ind w:left="0" w:firstLine="142"/>
              <w:jc w:val="both"/>
              <w:widowControl w:val="off"/>
              <w:tabs>
                <w:tab w:val="left" w:pos="425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 №19)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(Приложение №5 к ТТ)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</w:p>
          <w:p>
            <w:pPr>
              <w:pStyle w:val="852"/>
              <w:numPr>
                <w:ilvl w:val="0"/>
                <w:numId w:val="15"/>
              </w:numPr>
              <w:contextualSpacing/>
              <w:ind w:left="0" w:firstLine="142"/>
              <w:jc w:val="both"/>
              <w:spacing w:before="0" w:after="0"/>
              <w:widowControl w:val="off"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bCs/>
                <w:i/>
                <w:color w:val="auto"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  <w:t xml:space="preserve">СП 48.13330.2019. Свод правил. Организация строительства. СНиП 12-01-2004 (утв. и введен в действие Приказом Минстроя России от 24.12.2019 N 861/пр) (ред. от 28.03.2022)</w:t>
            </w:r>
            <w:r>
              <w:rPr>
                <w:bCs/>
                <w:i/>
                <w:iCs/>
                <w:color w:val="auto"/>
                <w:sz w:val="22"/>
                <w:szCs w:val="22"/>
              </w:rPr>
              <w:t xml:space="preserve">;</w:t>
            </w:r>
            <w:r>
              <w:rPr>
                <w:bCs/>
                <w:i/>
                <w:color w:val="auto"/>
                <w:sz w:val="22"/>
                <w:szCs w:val="22"/>
              </w:rPr>
            </w:r>
          </w:p>
          <w:p>
            <w:pPr>
              <w:pStyle w:val="852"/>
              <w:numPr>
                <w:ilvl w:val="0"/>
                <w:numId w:val="15"/>
              </w:numPr>
              <w:contextualSpacing w:val="0"/>
              <w:ind w:left="0" w:firstLine="142"/>
              <w:jc w:val="both"/>
              <w:spacing w:before="0" w:after="0"/>
              <w:widowControl w:val="off"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СП 68.13330.2017 «Приемка в эксплуатацию законченных строительством объектов» ред. от 10.12.2019;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852"/>
              <w:numPr>
                <w:ilvl w:val="0"/>
                <w:numId w:val="18"/>
              </w:numPr>
              <w:contextualSpacing/>
              <w:ind w:left="0" w:right="0" w:firstLine="709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992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Технические условия на работы по ремонту и планово-предупредительной выправке пути, утверждённые МПС РФ № ЦПТ-53 от 30.09.2003, в редакции распоряжения ОАО "РЖД" № 2538р от 25.11.2011</w:t>
            </w: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r>
          </w:p>
          <w:p>
            <w:pPr>
              <w:pStyle w:val="852"/>
              <w:numPr>
                <w:ilvl w:val="0"/>
                <w:numId w:val="18"/>
              </w:numPr>
              <w:contextualSpacing w:val="0"/>
              <w:ind w:left="0" w:right="0" w:firstLine="709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992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</w:rPr>
              <w:t xml:space="preserve">Памятка по контролю качества ремонтов пути и приемки отремонтированных участков пути. Утверждена ЦП ОАО «РЖД» 30.09.2004 № 003ц-04;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r>
          </w:p>
          <w:p>
            <w:pPr>
              <w:pStyle w:val="852"/>
              <w:numPr>
                <w:ilvl w:val="0"/>
                <w:numId w:val="18"/>
              </w:numPr>
              <w:contextualSpacing w:val="0"/>
              <w:ind w:left="0" w:right="0" w:firstLine="709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992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</w:rPr>
              <w:t xml:space="preserve">Распоряжение «Об этапах капитального ремонта пути и искусственных сооружений путевого хозяйства ОАО «РЖД». Утверждено ОАО «РЖД» 31.10.2007 № 2072р;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r>
          </w:p>
          <w:p>
            <w:pPr>
              <w:pStyle w:val="852"/>
              <w:numPr>
                <w:ilvl w:val="0"/>
                <w:numId w:val="18"/>
              </w:numPr>
              <w:contextualSpacing w:val="0"/>
              <w:ind w:left="0" w:right="0" w:firstLine="709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992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</w:rPr>
              <w:t xml:space="preserve">Распоряжение «Реестр отдельных видов работ, выполняемых при реконструкции и ремонтах объектов железнодорожного пути» Утверждено ОАО «РЖД» 30.01.2009 №182р;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r>
          </w:p>
          <w:p>
            <w:pPr>
              <w:pStyle w:val="852"/>
              <w:numPr>
                <w:ilvl w:val="0"/>
                <w:numId w:val="18"/>
              </w:numPr>
              <w:contextualSpacing w:val="0"/>
              <w:ind w:left="0" w:right="0" w:firstLine="709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992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</w:rPr>
              <w:t xml:space="preserve">Распоряжение «О мерах по дальнейшему повышению качества ремонтно-путевых работ». Утверждено ОАО «РЖД» 18.05.2009 №1019р;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r>
          </w:p>
          <w:p>
            <w:pPr>
              <w:pStyle w:val="852"/>
              <w:numPr>
                <w:ilvl w:val="0"/>
                <w:numId w:val="18"/>
              </w:numPr>
              <w:contextualSpacing w:val="0"/>
              <w:ind w:left="0" w:right="0" w:firstLine="709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992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</w:rPr>
              <w:t xml:space="preserve">Технические указания по устройству и эксплуатации железнодорожного пути в кривых радиусом 850 м и менее, утверждённые ОАО «РЖД» 01.02.2011 ЦПТ 11/140;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r>
          </w:p>
          <w:p>
            <w:pPr>
              <w:pStyle w:val="852"/>
              <w:numPr>
                <w:ilvl w:val="0"/>
                <w:numId w:val="18"/>
              </w:numPr>
              <w:contextualSpacing w:val="0"/>
              <w:ind w:left="0" w:right="0" w:firstLine="709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992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</w:rPr>
              <w:t xml:space="preserve">Технические условия на работы по реконструкции (модернизации) и ремонту железнодорожного пути, утверждённые распоряжением ОАО «РЖД" № 75р от 18.01.2013, редакция от 17.07.2017;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r>
          </w:p>
          <w:p>
            <w:pPr>
              <w:pStyle w:val="852"/>
              <w:numPr>
                <w:ilvl w:val="0"/>
                <w:numId w:val="18"/>
              </w:numPr>
              <w:contextualSpacing w:val="0"/>
              <w:ind w:left="0" w:right="0" w:firstLine="709"/>
              <w:jc w:val="both"/>
              <w:spacing w:before="0" w:after="0" w:line="240" w:lineRule="auto"/>
              <w:widowControl w:val="off"/>
              <w:tabs>
                <w:tab w:val="clear" w:pos="708" w:leader="none"/>
                <w:tab w:val="left" w:pos="992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Технические условия на щебёночно-гравийно-песчаные смеси для защитных слоёв подбалластного основания железных дорог, </w:t>
            </w: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</w:rPr>
              <w:t xml:space="preserve">утверждённые </w:t>
            </w: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распоряжением ОАО «РЖД» от 20.12.2012 №2640р</w:t>
            </w: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r>
          </w:p>
          <w:p>
            <w:pPr>
              <w:pStyle w:val="852"/>
              <w:numPr>
                <w:ilvl w:val="0"/>
                <w:numId w:val="15"/>
              </w:numPr>
              <w:contextualSpacing/>
              <w:ind w:left="0" w:firstLine="142"/>
              <w:jc w:val="both"/>
              <w:spacing w:before="0" w:after="0"/>
              <w:widowControl w:val="off"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bCs/>
                <w:i/>
                <w:iCs/>
                <w:color w:val="auto"/>
                <w:sz w:val="22"/>
                <w:szCs w:val="22"/>
              </w:rPr>
              <w:t xml:space="preserve">Регламент взаимоотно</w:t>
            </w:r>
            <w:r>
              <w:rPr>
                <w:bCs/>
                <w:i/>
                <w:iCs/>
                <w:sz w:val="22"/>
                <w:szCs w:val="22"/>
              </w:rPr>
              <w:t xml:space="preserve">шений между «Заказчи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ком» и «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Подрядчиком» при возникновении финансовой ответственности Подрядных организаций за качество и сроки проведения ремонта, наладки, модернизации и реконструкции оборудования, передаточных устройств и ЗиС структурных подразделений АО «ДГК» (Приложение №5 к ТТ)</w:t>
            </w:r>
            <w:r>
              <w:rPr>
                <w:bCs/>
                <w:i/>
                <w:iCs/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</w:p>
          <w:p>
            <w:pPr>
              <w:pStyle w:val="852"/>
              <w:numPr>
                <w:ilvl w:val="0"/>
                <w:numId w:val="15"/>
              </w:numPr>
              <w:contextualSpacing w:val="0"/>
              <w:ind w:left="0" w:firstLine="142"/>
              <w:jc w:val="both"/>
              <w:spacing w:before="0" w:after="0"/>
              <w:widowControl w:val="off"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Положение «Об ор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«ДГК»» №21-003-2019 (приказ АО «ДГК» от 29.11.2019 №555) 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(Приложение №5 к ТТ)</w:t>
            </w:r>
            <w:r>
              <w:rPr>
                <w:bCs/>
                <w:i/>
                <w:iCs/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</w:rPr>
            </w:r>
          </w:p>
          <w:p>
            <w:pPr>
              <w:pStyle w:val="852"/>
              <w:numPr>
                <w:ilvl w:val="0"/>
                <w:numId w:val="17"/>
              </w:numPr>
              <w:ind w:left="0" w:firstLine="142"/>
              <w:jc w:val="both"/>
              <w:widowControl w:val="off"/>
              <w:tabs>
                <w:tab w:val="left" w:pos="182" w:leader="none"/>
                <w:tab w:val="left" w:pos="413" w:leader="none"/>
                <w:tab w:val="clear" w:pos="708" w:leader="none"/>
              </w:tabs>
              <w:rPr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 xml:space="preserve">Технические условия, технологические карты, производственные инструкции и проекты производства работ</w:t>
            </w:r>
            <w:r>
              <w:rPr>
                <w:i/>
                <w:iCs/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pStyle w:val="852"/>
              <w:ind w:left="0" w:firstLine="0"/>
              <w:jc w:val="both"/>
              <w:widowControl w:val="off"/>
              <w:tabs>
                <w:tab w:val="left" w:pos="256" w:leader="none"/>
                <w:tab w:val="clear" w:pos="708" w:leader="none"/>
              </w:tabs>
              <w:rPr>
                <w:rFonts w:eastAsia="Times New Roman"/>
                <w:bCs/>
                <w:sz w:val="22"/>
                <w:szCs w:val="22"/>
                <w:highlight w:val="none"/>
              </w:rPr>
            </w:pPr>
            <w:r>
              <w:rPr>
                <w:i/>
                <w:iCs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>
              <w:rPr>
                <w:rFonts w:eastAsia="Times New Roman"/>
                <w:bCs/>
                <w:sz w:val="22"/>
                <w:szCs w:val="22"/>
                <w:highlight w:val="none"/>
              </w:rPr>
            </w:r>
          </w:p>
          <w:p>
            <w:pPr>
              <w:pStyle w:val="763"/>
              <w:jc w:val="left"/>
              <w:widowControl w:val="off"/>
            </w:pPr>
            <w:r/>
            <w:r/>
          </w:p>
        </w:tc>
        <w:tc>
          <w:tcPr>
            <w:shd w:val="clear" w:color="ffffff" w:fill="ffffff"/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shd w:val="clear" w:color="ffffff" w:fill="ffffff"/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shd w:val="clear" w:color="auto" w:fill="auto"/>
            <w:tcW w:w="3063" w:type="dxa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Объемы выполняемых работ</w:t>
            </w:r>
            <w:r>
              <w:rPr>
                <w:sz w:val="24"/>
                <w:szCs w:val="24"/>
              </w:rPr>
            </w:r>
          </w:p>
          <w:p>
            <w:pPr>
              <w:pStyle w:val="763"/>
              <w:jc w:val="left"/>
              <w:spacing w:before="0" w:after="0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6256" w:type="dxa"/>
            <w:textDirection w:val="lrTb"/>
            <w:noWrap w:val="false"/>
          </w:tcPr>
          <w:p>
            <w:pPr>
              <w:pStyle w:val="763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strike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2"/>
                <w:szCs w:val="22"/>
                <w:u w:val="none"/>
              </w:rPr>
              <w:t xml:space="preserve">1.Разборка пути звеньями рельсошпальной решетки, шпалы: железобетонные.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strike w:val="0"/>
                <w:color w:val="000000"/>
                <w:sz w:val="22"/>
                <w:szCs w:val="22"/>
                <w:highlight w:val="none"/>
                <w:u w:val="none"/>
              </w:rPr>
            </w:r>
          </w:p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2"/>
                <w:szCs w:val="22"/>
                <w:u w:val="none"/>
              </w:rPr>
              <w:t xml:space="preserve">2.Разборка на базе звеньев рельсошпальной решетки на железобетонных шпалах, скрепление КБ.</w:t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pStyle w:val="763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strike w:val="0"/>
                <w:color w:val="000000"/>
                <w:sz w:val="22"/>
                <w:szCs w:val="22"/>
                <w:u w:val="none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2"/>
                <w:szCs w:val="22"/>
                <w:u w:val="none"/>
              </w:rPr>
              <w:t xml:space="preserve">3.Укладка пути отдельными элементами на железобетонных шпалах.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strike w:val="0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763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/>
                <w:i/>
                <w:strike w:val="0"/>
                <w:color w:val="000000"/>
                <w:sz w:val="22"/>
                <w:szCs w:val="22"/>
                <w:u w:val="none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2"/>
                <w:szCs w:val="22"/>
                <w:u w:val="none"/>
              </w:rPr>
              <w:t xml:space="preserve">4. Балластировка пути и стрелочных переводов на железобетонных шпалах, балласт: щебеночный.</w:t>
            </w:r>
            <w:r>
              <w:rPr>
                <w:rFonts w:ascii="Times New Roman" w:hAnsi="Times New Roman" w:eastAsia="Times New Roman" w:cs="Times New Roman"/>
                <w:b w:val="0"/>
                <w:bCs/>
                <w:i/>
                <w:strike w:val="0"/>
                <w:color w:val="000000"/>
                <w:sz w:val="22"/>
                <w:szCs w:val="22"/>
                <w:u w:val="none"/>
              </w:rPr>
            </w:r>
          </w:p>
          <w:p>
            <w:pPr>
              <w:pStyle w:val="763"/>
              <w:jc w:val="left"/>
              <w:widowControl w:val="off"/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i/>
                <w:iCs/>
                <w:strike w:val="0"/>
                <w:color w:val="000000"/>
                <w:sz w:val="22"/>
                <w:szCs w:val="22"/>
                <w:u w:val="none"/>
              </w:rPr>
              <w:t xml:space="preserve">4.Отделочные работы и окончательная выправка пути с применением машины выправочно-подбивочно-рихтовочной.</w:t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pStyle w:val="763"/>
              <w:jc w:val="both"/>
              <w:keepLines/>
              <w:keepNext/>
              <w:spacing w:before="0" w:after="0"/>
              <w:widowControl w:val="off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shd w:val="clear" w:color="auto" w:fill="auto"/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>
          <w:trHeight w:val="208"/>
        </w:trPr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1"/>
                <w:numId w:val="4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9319" w:type="dxa"/>
            <w:textDirection w:val="lrTb"/>
            <w:noWrap w:val="false"/>
          </w:tcPr>
          <w:p>
            <w:pPr>
              <w:pStyle w:val="763"/>
              <w:jc w:val="left"/>
              <w:spacing w:before="60"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Требования к организации работ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Требования к организации процесса выполнения работ</w:t>
            </w:r>
            <w:r>
              <w:rPr>
                <w:lang w:val="ru-RU" w:bidi="ar-SA"/>
              </w:rPr>
            </w:r>
          </w:p>
        </w:tc>
        <w:tc>
          <w:tcPr>
            <w:tcW w:w="6256" w:type="dxa"/>
            <w:textDirection w:val="lrTb"/>
            <w:noWrap w:val="false"/>
          </w:tcPr>
          <w:p>
            <w:pPr>
              <w:pStyle w:val="7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Комплекс организационно–технических мероприятий, выполняемый при подготовке к ремонтным работам, должен обеспечивать планомерное и качественное выполнение ремонта в установленные сроки.</w:t>
            </w:r>
            <w:r>
              <w:rPr>
                <w:lang w:val="ru-RU" w:bidi="ar-SA"/>
              </w:rPr>
            </w:r>
          </w:p>
          <w:p>
            <w:pPr>
              <w:pStyle w:val="7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/>
                <w:iCs/>
                <w:sz w:val="22"/>
                <w:szCs w:val="22"/>
                <w:highlight w:val="white"/>
                <w14:ligatures w14:val="none"/>
              </w:rPr>
            </w:pPr>
            <w:r>
              <w:rPr>
                <w:bCs/>
                <w:i/>
                <w:iCs/>
                <w:sz w:val="22"/>
                <w:highlight w:val="white"/>
                <w:lang w:val="ru-RU" w:bidi="ar-SA"/>
              </w:rPr>
              <w:t xml:space="preserve">До начала выполнения работ Подрядчик:</w:t>
            </w:r>
            <w:r>
              <w:rPr>
                <w:i/>
                <w:iCs/>
                <w:sz w:val="22"/>
                <w:szCs w:val="22"/>
                <w:highlight w:val="white"/>
                <w14:ligatures w14:val="none"/>
              </w:rPr>
            </w:r>
          </w:p>
          <w:p>
            <w:pPr>
              <w:pStyle w:val="852"/>
              <w:numPr>
                <w:ilvl w:val="0"/>
                <w:numId w:val="11"/>
              </w:numPr>
              <w:contextualSpacing/>
              <w:ind w:left="0" w:right="0" w:firstLine="0"/>
              <w:jc w:val="both"/>
              <w:spacing w:before="6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bCs/>
                <w:i/>
                <w:sz w:val="22"/>
                <w:szCs w:val="22"/>
                <w:highlight w:val="white"/>
                <w14:ligatures w14:val="none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п</w:t>
            </w: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редоставляет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      </w:r>
            <w:r>
              <w:rPr>
                <w:bCs/>
                <w:i/>
                <w:sz w:val="22"/>
                <w:szCs w:val="22"/>
                <w:highlight w:val="white"/>
                <w14:ligatures w14:val="none"/>
              </w:rPr>
            </w:r>
          </w:p>
          <w:p>
            <w:pPr>
              <w:pStyle w:val="852"/>
              <w:numPr>
                <w:ilvl w:val="0"/>
                <w:numId w:val="12"/>
              </w:numPr>
              <w:contextualSpacing/>
              <w:ind w:left="0" w:right="0" w:firstLine="0"/>
              <w:jc w:val="both"/>
              <w:spacing w:before="0" w:beforeAutospacing="0" w:after="0"/>
              <w:widowControl w:val="off"/>
              <w:tabs>
                <w:tab w:val="left" w:pos="283" w:leader="none"/>
                <w:tab w:val="clear" w:pos="708" w:leader="none"/>
              </w:tabs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п</w:t>
            </w: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редоставляет контакты и должность представителя Подрячика, ответственного за соблюдение норм и правил в области охраны труда, электробезопасности, пожарной и промышленной безопасности.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  <w:p>
            <w:pPr>
              <w:pStyle w:val="852"/>
              <w:numPr>
                <w:ilvl w:val="0"/>
                <w:numId w:val="9"/>
              </w:numPr>
              <w:contextualSpacing/>
              <w:ind w:left="0" w:right="0" w:firstLine="0"/>
              <w:jc w:val="both"/>
              <w:spacing w:before="0" w:beforeAutospacing="0" w:after="0" w:afterAutospacing="0"/>
              <w:widowControl w:val="off"/>
              <w:tabs>
                <w:tab w:val="left" w:pos="283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  <w:lang w:val="ru-RU" w:bidi="ar-SA"/>
              </w:rPr>
              <w:t xml:space="preserve">проверяет оказание требований допуска ремонтного и командированного персонала.</w:t>
            </w:r>
            <w:r>
              <w:rPr>
                <w:lang w:val="ru-RU" w:bidi="ar-SA"/>
              </w:rPr>
            </w:r>
          </w:p>
          <w:p>
            <w:pPr>
              <w:pStyle w:val="763"/>
              <w:ind w:firstLine="456"/>
              <w:jc w:val="both"/>
              <w:spacing w:before="0" w:beforeAutospacing="0" w:after="0" w:afterAutospacing="0"/>
              <w:widowControl w:val="off"/>
              <w:rPr>
                <w:rFonts w:eastAsia="Calibri"/>
                <w:bCs/>
                <w:i/>
                <w:sz w:val="22"/>
                <w:szCs w:val="22"/>
                <w:highlight w:val="none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  <w:lang w:val="ru-RU" w:bidi="ar-SA"/>
              </w:rPr>
              <w:t xml:space="preserve">Руководители работ Подрядчика, участвующие при выполнении работ совместно с представителями Заказчика, осуществляют входной контроль качес</w:t>
            </w:r>
            <w:r>
              <w:rPr>
                <w:rFonts w:eastAsia="Calibri"/>
                <w:bCs/>
                <w:i/>
                <w:iCs/>
                <w:sz w:val="22"/>
                <w:szCs w:val="24"/>
                <w:highlight w:val="white"/>
                <w:lang w:val="ru-RU" w:bidi="ar-SA"/>
              </w:rPr>
              <w:t xml:space="preserve">тва применяемых материалов, проводят оперативный контроль качества выполняемых ремонтных работ, проверяют соблюдение технологической дисциплины (оказание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rFonts w:eastAsia="Calibri"/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>
          <w:trHeight w:val="676"/>
        </w:trPr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63"/>
              <w:jc w:val="left"/>
              <w:spacing w:before="60" w:after="62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b w:val="0"/>
                <w:bCs w:val="0"/>
                <w:i/>
                <w:sz w:val="22"/>
                <w:szCs w:val="22"/>
              </w:rPr>
            </w:pPr>
            <w:r>
              <w:rPr>
                <w:b w:val="0"/>
                <w:bCs w:val="0"/>
                <w:i/>
                <w:iCs/>
                <w:sz w:val="22"/>
                <w:szCs w:val="22"/>
                <w:lang w:val="ru-RU" w:bidi="ar-SA"/>
              </w:rPr>
              <w:t xml:space="preserve">Требования к способам выполнения работ</w:t>
            </w:r>
            <w:r>
              <w:rPr>
                <w:b w:val="0"/>
                <w:bCs w:val="0"/>
                <w:i/>
                <w:sz w:val="22"/>
                <w:szCs w:val="22"/>
              </w:rPr>
            </w:r>
          </w:p>
        </w:tc>
        <w:tc>
          <w:tcPr>
            <w:tcW w:w="6256" w:type="dxa"/>
            <w:textDirection w:val="lrTb"/>
            <w:noWrap w:val="false"/>
          </w:tcPr>
          <w:p>
            <w:pPr>
              <w:pStyle w:val="763"/>
              <w:jc w:val="both"/>
              <w:spacing w:before="60" w:after="62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i/>
                <w:iCs/>
                <w:sz w:val="22"/>
                <w:szCs w:val="22"/>
                <w:highlight w:val="white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При выполнении работ Подрядчик осуществляет выезды на объект Заказчика.</w:t>
            </w:r>
            <w:r>
              <w:rPr>
                <w:bCs/>
                <w:i/>
                <w:iCs/>
                <w:sz w:val="22"/>
                <w:szCs w:val="22"/>
                <w:highlight w:val="white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63"/>
              <w:ind w:left="0" w:right="0" w:firstLine="0"/>
              <w:jc w:val="both"/>
              <w:spacing w:before="0" w:beforeAutospacing="0" w:after="0" w:afterAutospacing="0"/>
              <w:widowControl w:val="off"/>
              <w:rPr>
                <w:highlight w:val="white"/>
              </w:rPr>
            </w:pPr>
            <w:r>
              <w:rPr>
                <w:rFonts w:eastAsia="Calibri"/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highlight w:val="white"/>
              </w:rPr>
            </w:r>
          </w:p>
        </w:tc>
        <w:tc>
          <w:tcPr>
            <w:tcW w:w="6256" w:type="dxa"/>
            <w:textDirection w:val="lrTb"/>
            <w:noWrap w:val="false"/>
          </w:tcPr>
          <w:p>
            <w:pPr>
              <w:pStyle w:val="763"/>
              <w:ind w:firstLine="456"/>
              <w:jc w:val="both"/>
              <w:spacing w:before="0" w:beforeAutospacing="0" w:after="0" w:afterAutospacing="0"/>
              <w:widowControl w:val="off"/>
              <w:rPr>
                <w:rFonts w:eastAsia="Calibri"/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  <w:lang w:val="ru-RU" w:bidi="ar-SA"/>
              </w:rPr>
              <w:t xml:space="preserve">Перед началом выполнения работ, но не позднее, чем за 10 дней до начала, Подрядчик обязан оформить допуск (передать Заказчику списки лиц персонала, перечень оборудования) для выполнения работ на территории объекта.</w:t>
            </w:r>
            <w:r>
              <w:rPr>
                <w:rFonts w:eastAsia="Calibri"/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763"/>
              <w:ind w:firstLine="456"/>
              <w:jc w:val="both"/>
              <w:spacing w:before="0" w:beforeAutospacing="0" w:after="0" w:afterAutospacing="0"/>
              <w:widowControl w:val="off"/>
              <w:rPr>
                <w:highlight w:val="none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lang w:val="ru-RU" w:bidi="ar-SA"/>
              </w:rPr>
              <w:t xml:space="preserve">Допуск персонала Подрядчика для оказания услуг осуществляется в соответствии с:</w:t>
            </w:r>
            <w:r>
              <w:rPr>
                <w:highlight w:val="none"/>
              </w:rPr>
            </w:r>
          </w:p>
          <w:p>
            <w:pPr>
              <w:pStyle w:val="852"/>
              <w:numPr>
                <w:ilvl w:val="0"/>
                <w:numId w:val="6"/>
              </w:numPr>
              <w:contextualSpacing/>
              <w:ind w:left="0" w:right="0" w:firstLine="142"/>
              <w:jc w:val="both"/>
              <w:spacing w:before="0" w:beforeAutospacing="0" w:after="0" w:afterAutospacing="0"/>
              <w:widowControl w:val="off"/>
              <w:tabs>
                <w:tab w:val="left" w:pos="406" w:leader="none"/>
                <w:tab w:val="left" w:pos="425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lang w:val="ru-RU" w:bidi="ar-SA"/>
              </w:rPr>
              <w:t xml:space="preserve">Положением о допуске персонала подрядных организаций к выполнению работ на объектах АО «ДГК» №22.1-504-2025 (утверждено приказом АО «ДГК» №П-ДГК/795 от 25.09.2025) (Приложение №5 к ТТ);</w:t>
            </w:r>
            <w:r>
              <w:rPr>
                <w:highlight w:val="none"/>
              </w:rPr>
            </w:r>
          </w:p>
          <w:p>
            <w:pPr>
              <w:pStyle w:val="852"/>
              <w:numPr>
                <w:ilvl w:val="0"/>
                <w:numId w:val="6"/>
              </w:numPr>
              <w:contextualSpacing/>
              <w:ind w:left="0" w:right="0" w:firstLine="142"/>
              <w:jc w:val="both"/>
              <w:spacing w:before="0" w:beforeAutospacing="0" w:after="0" w:afterAutospacing="0"/>
              <w:widowControl w:val="off"/>
              <w:tabs>
                <w:tab w:val="left" w:pos="406" w:leader="none"/>
                <w:tab w:val="left" w:pos="425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rFonts w:eastAsia="Calibri"/>
                <w:bCs/>
                <w:i/>
                <w:iCs/>
                <w:sz w:val="22"/>
                <w:szCs w:val="24"/>
                <w:lang w:val="ru-RU" w:bidi="ar-SA"/>
              </w:rPr>
              <w:t xml:space="preserve">Инструкцией о пропускном и внутриобъектовом режимах на СП «Артёмовская ТЭЦ» (Приложение №5 к ТТ).</w:t>
            </w:r>
            <w:r>
              <w:rPr>
                <w:highlight w:val="none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1"/>
                <w:numId w:val="4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9319" w:type="dxa"/>
            <w:textDirection w:val="lrTb"/>
            <w:noWrap w:val="false"/>
          </w:tcPr>
          <w:p>
            <w:pPr>
              <w:pStyle w:val="7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lang w:val="ru-RU" w:bidi="ar-SA"/>
              </w:rPr>
            </w:pPr>
            <w:r>
              <w:rPr>
                <w:b/>
                <w:sz w:val="22"/>
                <w:szCs w:val="22"/>
                <w:lang w:val="ru-RU" w:bidi="ar-SA"/>
              </w:rPr>
              <w:t xml:space="preserve">Требования к используемым материалам, контролю качества работ и материалов</w:t>
            </w:r>
            <w:r>
              <w:rPr>
                <w:lang w:val="ru-RU" w:bidi="ar-SA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>
          <w:trHeight w:val="1028"/>
        </w:trPr>
        <w:tc>
          <w:tcPr>
            <w:tcW w:w="905" w:type="dxa"/>
            <w:vAlign w:val="center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Требования к используемым материально – техническим ресурсам</w:t>
            </w:r>
            <w:r>
              <w:rPr>
                <w:bCs/>
              </w:rPr>
            </w:r>
          </w:p>
        </w:tc>
        <w:tc>
          <w:tcPr>
            <w:tcW w:w="6256" w:type="dxa"/>
            <w:textDirection w:val="lrTb"/>
            <w:noWrap w:val="false"/>
          </w:tcPr>
          <w:p>
            <w:pPr>
              <w:pStyle w:val="763"/>
              <w:ind w:left="0" w:right="0" w:firstLine="283"/>
              <w:jc w:val="both"/>
              <w:spacing w:before="62" w:beforeAutospacing="0" w:after="0"/>
              <w:widowControl w:val="off"/>
              <w:rPr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Материалы, необходимые для выполнения работ приобретаются Подрядчиком, согласно Приложению № 3 к ТТ</w:t>
            </w:r>
            <w:r>
              <w:rPr>
                <w:bCs/>
                <w:i/>
                <w:iCs/>
                <w:sz w:val="22"/>
                <w:szCs w:val="22"/>
              </w:rPr>
            </w:r>
          </w:p>
          <w:p>
            <w:pPr>
              <w:pStyle w:val="763"/>
              <w:ind w:left="0" w:right="0" w:firstLine="283"/>
              <w:jc w:val="both"/>
              <w:spacing w:before="62" w:beforeAutospacing="0" w:after="0"/>
              <w:widowControl w:val="off"/>
              <w:rPr>
                <w:bCs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Материалы, приобретаемые Подрядчиком, согласно Приложению № 3 к ТТ, должны быть новыми и ранее не использованными, без повреждений.</w:t>
            </w:r>
            <w:r>
              <w:rPr>
                <w:bCs/>
                <w:i/>
                <w:iCs/>
                <w:sz w:val="22"/>
                <w:szCs w:val="22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>
          <w:trHeight w:val="1028"/>
        </w:trPr>
        <w:tc>
          <w:tcPr>
            <w:tcBorders>
              <w:top w:val="none" w:color="000000" w:sz="4" w:space="0"/>
            </w:tcBorders>
            <w:tcW w:w="905" w:type="dxa"/>
            <w:vAlign w:val="center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</w:tcBorders>
            <w:tcW w:w="3063" w:type="dxa"/>
            <w:textDirection w:val="lrTb"/>
            <w:noWrap w:val="false"/>
          </w:tcPr>
          <w:p>
            <w:pPr>
              <w:pStyle w:val="7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color w:val="auto"/>
                <w:sz w:val="22"/>
                <w:szCs w:val="22"/>
                <w:lang w:val="ru-RU" w:eastAsia="ru-RU" w:bidi="ar-SA"/>
              </w:rPr>
              <w:t xml:space="preserve">Контроль качества используемых материалов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2"/>
                <w:szCs w:val="22"/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</w:tcBorders>
            <w:tcW w:w="6256" w:type="dxa"/>
            <w:textDirection w:val="lrTb"/>
            <w:noWrap w:val="false"/>
          </w:tcPr>
          <w:p>
            <w:pPr>
              <w:pStyle w:val="763"/>
              <w:ind w:left="0" w:right="0" w:firstLine="283"/>
              <w:jc w:val="both"/>
              <w:spacing w:before="62" w:beforeAutospacing="0" w:after="0"/>
              <w:widowControl w:val="off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Руководители работ Подрядчика совместно с представителями Заказчика, осуществляют входной контроль качества применяемых материалов и запасных частей.</w:t>
            </w:r>
            <w:r>
              <w:rPr>
                <w:bCs/>
                <w:i/>
                <w:iCs/>
                <w:sz w:val="22"/>
                <w:szCs w:val="22"/>
              </w:rPr>
            </w:r>
          </w:p>
          <w:p>
            <w:pPr>
              <w:pStyle w:val="763"/>
              <w:ind w:left="0" w:right="0" w:firstLine="283"/>
              <w:jc w:val="both"/>
              <w:spacing w:before="62" w:beforeAutospacing="0" w:after="0"/>
              <w:widowControl w:val="off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Материалы Подрядчика должны иметь сертификаты, паспорта и другие документы, подтверждающие их качество.</w:t>
            </w:r>
            <w:r>
              <w:rPr>
                <w:bCs/>
                <w:i/>
                <w:iCs/>
                <w:sz w:val="22"/>
                <w:szCs w:val="22"/>
              </w:rPr>
            </w:r>
          </w:p>
          <w:p>
            <w:pPr>
              <w:pStyle w:val="763"/>
              <w:ind w:left="0" w:right="0" w:firstLine="283"/>
              <w:jc w:val="both"/>
              <w:spacing w:before="62" w:beforeAutospacing="0" w:after="0"/>
              <w:widowControl w:val="off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При осуществлении Подрядчиком входного контроля качества материально-технических ресурсов, поступивших на место производства работ, обязательно нал</w:t>
            </w:r>
            <w:r>
              <w:rPr>
                <w:bCs/>
                <w:i/>
                <w:iCs/>
                <w:sz w:val="22"/>
                <w:szCs w:val="22"/>
              </w:rPr>
              <w:t xml:space="preserve">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</w:t>
            </w:r>
            <w:r>
              <w:rPr>
                <w:bCs/>
                <w:i/>
                <w:iCs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</w:tcBorders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Borders>
              <w:top w:val="none" w:color="000000" w:sz="4" w:space="0"/>
            </w:tcBorders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>
          <w:trHeight w:val="461"/>
        </w:trPr>
        <w:tc>
          <w:tcPr>
            <w:tcW w:w="905" w:type="dxa"/>
            <w:vAlign w:val="center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6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Контроль качества выполняемых работ</w:t>
            </w:r>
            <w:r>
              <w:rPr>
                <w:bCs/>
              </w:rPr>
            </w:r>
          </w:p>
        </w:tc>
        <w:tc>
          <w:tcPr>
            <w:tcW w:w="6256" w:type="dxa"/>
            <w:textDirection w:val="lrTb"/>
            <w:noWrap w:val="false"/>
          </w:tcPr>
          <w:p>
            <w:pPr>
              <w:pStyle w:val="763"/>
              <w:ind w:left="0" w:right="0" w:firstLine="283"/>
              <w:jc w:val="both"/>
              <w:spacing w:before="0" w:after="0" w:afterAutospacing="0"/>
              <w:widowControl w:val="off"/>
              <w:rPr>
                <w:lang w:val="ru-RU" w:bidi="ar-SA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</w:t>
            </w:r>
            <w:r>
              <w:rPr>
                <w:i/>
                <w:sz w:val="22"/>
                <w:szCs w:val="22"/>
                <w:lang w:val="ru-RU" w:bidi="ar-SA"/>
              </w:rPr>
              <w:t xml:space="preserve">о соблюдении требований правил, технических условий, ГОСТ, ПУЭ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</w:t>
            </w:r>
            <w:r>
              <w:rPr>
                <w:lang w:val="ru-RU" w:bidi="ar-SA"/>
              </w:rPr>
            </w:r>
          </w:p>
          <w:p>
            <w:pPr>
              <w:pStyle w:val="763"/>
              <w:ind w:left="0" w:right="0" w:firstLine="283"/>
              <w:jc w:val="both"/>
              <w:spacing w:before="0" w:after="0" w:afterAutospacing="0"/>
              <w:widowControl w:val="off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Руководители работ Подрядчика, участвующие в выполнении работ сов</w:t>
            </w:r>
            <w:r>
              <w:rPr>
                <w:i/>
                <w:sz w:val="22"/>
                <w:szCs w:val="22"/>
                <w:lang w:val="ru-RU" w:bidi="ar-SA"/>
              </w:rPr>
              <w:t xml:space="preserve">местно с представителями Заказчика, проводят оперативный контроль качества выполняемых работ, проверяют соблюдение технологической дисциплины (соблюдение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763"/>
              <w:ind w:left="0" w:right="0" w:firstLine="283"/>
              <w:jc w:val="both"/>
              <w:spacing w:before="0" w:after="0" w:afterAutospacing="0"/>
              <w:widowControl w:val="off"/>
              <w:rPr>
                <w:lang w:val="ru-RU" w:bidi="ar-SA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Требования к контролю качества работ подробно указаны в проекте договора подряда.</w:t>
            </w:r>
            <w:r>
              <w:rPr>
                <w:lang w:val="ru-RU" w:bidi="ar-SA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1"/>
                <w:numId w:val="4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9319" w:type="dxa"/>
            <w:textDirection w:val="lrTb"/>
            <w:noWrap w:val="false"/>
          </w:tcPr>
          <w:p>
            <w:pPr>
              <w:pStyle w:val="7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  <w:lang w:val="ru-RU" w:bidi="ar-SA"/>
              </w:rPr>
              <w:t xml:space="preserve">Требования к персоналу Подрядчика</w:t>
            </w:r>
            <w:r>
              <w:rPr>
                <w:highlight w:val="white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763"/>
              <w:jc w:val="center"/>
              <w:spacing w:before="60" w:after="60"/>
              <w:widowControl w:val="off"/>
              <w:rPr>
                <w:lang w:val="ru-RU" w:bidi="ar-SA"/>
              </w:rPr>
            </w:pPr>
            <w:r>
              <w:rPr>
                <w:i/>
                <w:iCs/>
                <w:sz w:val="20"/>
                <w:szCs w:val="20"/>
                <w:lang w:val="ru-RU" w:bidi="ar-SA"/>
              </w:rPr>
              <w:t xml:space="preserve">1.4.1.</w:t>
            </w:r>
            <w:r>
              <w:rPr>
                <w:lang w:val="ru-RU" w:bidi="ar-SA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6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rFonts w:eastAsia="Calibri"/>
                <w:bCs/>
                <w:highlight w:val="white"/>
              </w:rPr>
            </w:pPr>
            <w:r>
              <w:rPr>
                <w:rFonts w:eastAsia="Calibri"/>
                <w:i/>
                <w:sz w:val="22"/>
                <w:szCs w:val="22"/>
                <w:highlight w:val="white"/>
                <w:lang w:val="ru-RU" w:bidi="ar-SA"/>
              </w:rPr>
              <w:t xml:space="preserve">Квалификация персонала Подрядчика привлекаемого к выполнению работ</w:t>
            </w:r>
            <w:r>
              <w:rPr>
                <w:rFonts w:eastAsia="Calibri"/>
                <w:bCs/>
                <w:highlight w:val="white"/>
              </w:rPr>
            </w:r>
          </w:p>
        </w:tc>
        <w:tc>
          <w:tcPr>
            <w:tcW w:w="6256" w:type="dxa"/>
            <w:textDirection w:val="lrTb"/>
            <w:noWrap w:val="false"/>
          </w:tcPr>
          <w:p>
            <w:pPr>
              <w:pStyle w:val="763"/>
              <w:ind w:firstLine="352"/>
              <w:jc w:val="both"/>
              <w:spacing w:before="0" w:beforeAutospacing="0" w:after="0" w:afterAutospacing="0"/>
              <w:widowControl w:val="off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Подрядчик должен :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763"/>
              <w:ind w:firstLine="352"/>
              <w:jc w:val="both"/>
              <w:spacing w:before="0" w:beforeAutospacing="0" w:after="0" w:afterAutospacing="0"/>
              <w:widowControl w:val="off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    • </w:t>
            </w: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подряда);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763"/>
              <w:ind w:firstLine="352"/>
              <w:jc w:val="both"/>
              <w:spacing w:before="0" w:beforeAutospacing="0" w:after="0" w:afterAutospacing="0"/>
              <w:widowControl w:val="off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    • </w:t>
            </w: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располагать квалифицированной командой ИТР, способной до начала </w:t>
            </w: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бригадой, и достаточным количеством аттестованного персонала, организованного </w:t>
            </w: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по принципу комплексных специализированных бригад (оформленных в соответствии с Гражданским Кодексом Российской Федерации или привлекаемых по трудовым либо гражданско-правовым договорам, либо планируемых к привлечению, в том числе по договорам субподряда).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763"/>
              <w:ind w:firstLine="352"/>
              <w:jc w:val="both"/>
              <w:spacing w:before="0" w:beforeAutospacing="0" w:after="0" w:afterAutospacing="0"/>
              <w:widowControl w:val="off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До начала проведения работ в рамках исполнения договора после его заключения подрядчик предоставляет: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763"/>
              <w:ind w:firstLine="352"/>
              <w:jc w:val="both"/>
              <w:spacing w:before="0" w:beforeAutospacing="0" w:after="0" w:afterAutospacing="0"/>
              <w:widowControl w:val="off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    • </w:t>
            </w: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список персонала</w:t>
            </w: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(грузоподъемных, работ с электро - и пневмоинструментом) (возможно совмещение специальностей);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  <w:p>
            <w:pPr>
              <w:pStyle w:val="763"/>
              <w:ind w:firstLine="352"/>
              <w:jc w:val="both"/>
              <w:spacing w:before="0" w:beforeAutospacing="0" w:after="0" w:afterAutospacing="0"/>
              <w:widowControl w:val="off"/>
              <w:rPr>
                <w:bCs/>
                <w:i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Во время проведения работ команда ИТР Подрядчика должна поддерживать на должном уровне систему управ</w:t>
            </w: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bidi="ar-SA"/>
              </w:rPr>
              <w:t xml:space="preserve">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 и т.д.).</w:t>
            </w:r>
            <w:r>
              <w:rPr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1"/>
                <w:numId w:val="4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9319" w:type="dxa"/>
            <w:textDirection w:val="lrTb"/>
            <w:noWrap w:val="false"/>
          </w:tcPr>
          <w:p>
            <w:pPr>
              <w:pStyle w:val="763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rStyle w:val="817"/>
                <w:bCs/>
                <w:i w:val="0"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Требования к безопасности услуг и охране труда</w:t>
            </w:r>
            <w:r>
              <w:rPr>
                <w:rStyle w:val="817"/>
                <w:bCs/>
                <w:i w:val="0"/>
                <w:sz w:val="20"/>
                <w:szCs w:val="20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63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/>
              <w:widowControl w:val="off"/>
              <w:rPr>
                <w:highlight w:val="white"/>
              </w:rPr>
              <w:outlineLvl w:val="2"/>
            </w:pPr>
            <w:r/>
            <w:bookmarkStart w:id="33" w:name="undefined_Копия_6"/>
            <w:r/>
            <w:bookmarkEnd w:id="14"/>
            <w:r>
              <w:rPr>
                <w:rFonts w:eastAsia="Calibri"/>
                <w:i/>
                <w:sz w:val="22"/>
                <w:szCs w:val="22"/>
                <w:highlight w:val="white"/>
                <w:lang w:val="ru-RU" w:bidi="ar-SA"/>
              </w:rPr>
              <w:t xml:space="preserve">Требования к безопасности выполняемых услуг</w:t>
            </w:r>
            <w:bookmarkEnd w:id="33"/>
            <w:r/>
            <w:r>
              <w:rPr>
                <w:highlight w:val="white"/>
              </w:rPr>
            </w:r>
          </w:p>
        </w:tc>
        <w:tc>
          <w:tcPr>
            <w:tcW w:w="6256" w:type="dxa"/>
            <w:textDirection w:val="lrTb"/>
            <w:noWrap w:val="false"/>
          </w:tcPr>
          <w:p>
            <w:pPr>
              <w:pStyle w:val="763"/>
              <w:ind w:left="0" w:right="0" w:firstLine="283"/>
              <w:jc w:val="both"/>
              <w:spacing w:before="0" w:beforeAutospacing="0" w:after="0" w:afterAutospacing="0"/>
              <w:widowControl w:val="off"/>
              <w:tabs>
                <w:tab w:val="left" w:pos="567" w:leader="none"/>
                <w:tab w:val="clear" w:pos="708" w:leader="none"/>
                <w:tab w:val="left" w:pos="3685" w:leader="none"/>
              </w:tabs>
              <w:rPr>
                <w:highlight w:val="none"/>
                <w14:ligatures w14:val="none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Провести инструктаж персонала, задействованного при выполнении работ на территории Заказчика, об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еспечить соблюдение (в том числе указанным персоналом)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highlight w:val="none"/>
                <w14:ligatures w14:val="none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63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/>
              <w:widowControl w:val="off"/>
              <w:rPr>
                <w:rFonts w:eastAsia="Calibri"/>
                <w:bCs/>
                <w:sz w:val="22"/>
                <w:szCs w:val="22"/>
                <w:highlight w:val="white"/>
              </w:rPr>
              <w:outlineLvl w:val="2"/>
            </w:pPr>
            <w:r/>
            <w:bookmarkStart w:id="34" w:name="undefined_Копия_7"/>
            <w:r/>
            <w:bookmarkEnd w:id="34"/>
            <w:r>
              <w:rPr>
                <w:rFonts w:eastAsia="Calibri"/>
                <w:i/>
                <w:sz w:val="22"/>
                <w:szCs w:val="22"/>
                <w:highlight w:val="white"/>
                <w:lang w:val="ru-RU" w:bidi="ar-SA"/>
              </w:rPr>
              <w:t xml:space="preserve">Соблюдение требований пожарной безопасности</w:t>
            </w:r>
            <w:bookmarkStart w:id="35" w:name="undefined_Копия_8"/>
            <w:r/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6256" w:type="dxa"/>
            <w:textDirection w:val="lrTb"/>
            <w:noWrap w:val="false"/>
          </w:tcPr>
          <w:p>
            <w:pPr>
              <w:pStyle w:val="763"/>
              <w:ind w:firstLine="283"/>
              <w:jc w:val="both"/>
              <w:spacing w:before="0" w:beforeAutospacing="0" w:after="0" w:afterAutospacing="0" w:line="228" w:lineRule="auto"/>
              <w:widowControl w:val="off"/>
              <w:tabs>
                <w:tab w:val="left" w:pos="567" w:leader="none"/>
                <w:tab w:val="clear" w:pos="708" w:leader="none"/>
              </w:tabs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i/>
              </w:rPr>
            </w:r>
          </w:p>
          <w:p>
            <w:pPr>
              <w:pStyle w:val="852"/>
              <w:numPr>
                <w:ilvl w:val="0"/>
                <w:numId w:val="7"/>
              </w:numPr>
              <w:contextualSpacing/>
              <w:ind w:left="0" w:right="0" w:firstLine="0"/>
              <w:jc w:val="both"/>
              <w:spacing w:before="0" w:beforeAutospacing="0" w:after="0" w:afterAutospacing="0" w:line="228" w:lineRule="auto"/>
              <w:shd w:val="clear" w:color="auto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bCs/>
                <w:i/>
              </w:rPr>
            </w:pPr>
            <w:r>
              <w:rPr>
                <w:i/>
                <w:iCs/>
                <w:sz w:val="24"/>
                <w:szCs w:val="24"/>
                <w:lang w:val="ru-RU" w:bidi="ar-SA"/>
              </w:rPr>
              <w:t xml:space="preserve">Правила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bCs/>
                <w:i/>
              </w:rPr>
            </w:r>
          </w:p>
          <w:p>
            <w:pPr>
              <w:pStyle w:val="852"/>
              <w:numPr>
                <w:ilvl w:val="0"/>
                <w:numId w:val="7"/>
              </w:numPr>
              <w:contextualSpacing/>
              <w:ind w:left="0" w:right="0" w:firstLine="0"/>
              <w:jc w:val="both"/>
              <w:spacing w:before="0" w:beforeAutospacing="0" w:after="0" w:afterAutospacing="0" w:line="228" w:lineRule="auto"/>
              <w:shd w:val="clear" w:color="auto" w:fill="ffffff"/>
              <w:widowControl w:val="off"/>
              <w:tabs>
                <w:tab w:val="left" w:pos="283" w:leader="none"/>
                <w:tab w:val="clear" w:pos="708" w:leader="none"/>
              </w:tabs>
              <w:rPr>
                <w:bCs/>
                <w:i/>
              </w:rPr>
            </w:pPr>
            <w:r>
              <w:rPr>
                <w:i/>
                <w:iCs/>
                <w:sz w:val="24"/>
                <w:szCs w:val="24"/>
                <w:lang w:val="ru-RU" w:bidi="ar-SA"/>
              </w:rPr>
              <w:t xml:space="preserve">Технический регламент о требованиях пожарной безопасности. №123-ФЗ от 22.07.2008;</w:t>
            </w:r>
            <w:r>
              <w:rPr>
                <w:bCs/>
                <w:i/>
              </w:rPr>
            </w:r>
          </w:p>
          <w:p>
            <w:pPr>
              <w:pStyle w:val="852"/>
              <w:numPr>
                <w:ilvl w:val="0"/>
                <w:numId w:val="7"/>
              </w:numPr>
              <w:contextualSpacing/>
              <w:ind w:left="0" w:right="0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bCs/>
                <w:i/>
              </w:rPr>
            </w:pPr>
            <w:r>
              <w:rPr>
                <w:i/>
                <w:iCs/>
                <w:sz w:val="24"/>
                <w:szCs w:val="24"/>
                <w:lang w:val="ru-RU" w:bidi="ar-SA"/>
              </w:rPr>
              <w:t xml:space="preserve">ГОСТ 12.1.004-91 Система стандартов безопасности труда. Пожарная безопасность. Общие требования.</w:t>
            </w:r>
            <w:r>
              <w:rPr>
                <w:bCs/>
                <w:i/>
              </w:rPr>
            </w:r>
          </w:p>
          <w:p>
            <w:pPr>
              <w:pStyle w:val="763"/>
              <w:ind w:left="0" w:right="0" w:firstLine="283"/>
              <w:jc w:val="both"/>
              <w:spacing w:before="0" w:beforeAutospacing="0" w:after="0" w:afterAutospacing="0" w:line="228" w:lineRule="auto"/>
              <w:widowControl w:val="off"/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i/>
              </w:rPr>
            </w:r>
          </w:p>
          <w:p>
            <w:pPr>
              <w:pStyle w:val="763"/>
              <w:contextualSpacing/>
              <w:ind w:left="0" w:right="0" w:firstLine="283"/>
              <w:jc w:val="both"/>
              <w:spacing w:before="0" w:beforeAutospacing="0" w:after="0" w:afterAutospacing="0" w:line="228" w:lineRule="auto"/>
              <w:widowControl w:val="off"/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Персональную ответственность за обеспечение пожарной безопасности несёт руководитель Подрядчика или лицо, его замещающее.</w:t>
            </w:r>
            <w:r>
              <w:rPr>
                <w:i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63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/>
              <w:widowControl w:val="off"/>
              <w:rPr>
                <w:rFonts w:eastAsia="Calibri"/>
                <w:bCs/>
                <w:sz w:val="22"/>
                <w:szCs w:val="22"/>
                <w:highlight w:val="white"/>
              </w:rPr>
              <w:outlineLvl w:val="2"/>
            </w:pPr>
            <w:r/>
            <w:bookmarkStart w:id="36" w:name="undefined_Копия_9"/>
            <w:r/>
            <w:bookmarkEnd w:id="35"/>
            <w:r>
              <w:rPr>
                <w:rFonts w:eastAsia="Calibri"/>
                <w:i/>
                <w:sz w:val="22"/>
                <w:szCs w:val="22"/>
                <w:highlight w:val="white"/>
                <w:lang w:val="ru-RU" w:bidi="ar-SA"/>
              </w:rPr>
              <w:t xml:space="preserve">Соблюдение требований к охране окружающей среды</w:t>
            </w:r>
            <w:bookmarkEnd w:id="36"/>
            <w:r/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6256" w:type="dxa"/>
            <w:textDirection w:val="lrTb"/>
            <w:noWrap w:val="false"/>
          </w:tcPr>
          <w:p>
            <w:pPr>
              <w:pStyle w:val="763"/>
              <w:jc w:val="both"/>
              <w:spacing w:before="0" w:beforeAutospacing="0" w:after="0" w:afterAutospacing="0" w:line="228" w:lineRule="auto"/>
              <w:widowControl w:val="off"/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При выполнении всех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i/>
              </w:rPr>
            </w:r>
          </w:p>
          <w:p>
            <w:pPr>
              <w:pStyle w:val="763"/>
              <w:ind w:left="0" w:right="0" w:firstLine="0"/>
              <w:jc w:val="both"/>
              <w:spacing w:before="0" w:beforeAutospacing="0" w:after="0" w:afterAutospacing="0" w:line="228" w:lineRule="auto"/>
              <w:widowControl w:val="off"/>
              <w:rPr>
                <w:i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О</w:t>
            </w: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тходы, строительный мусор должны складироваться </w:t>
            </w:r>
            <w:r>
              <w:rPr>
                <w:rFonts w:eastAsia="Times New Roman" w:cs="Times New Roman"/>
                <w:bCs/>
                <w:i/>
                <w:iCs/>
                <w:sz w:val="22"/>
                <w:szCs w:val="22"/>
                <w:lang w:val="ru-RU" w:eastAsia="ru-RU" w:bidi="ar-SA"/>
              </w:rPr>
              <w:t xml:space="preserve">на территории Артемовской ТЭЦ в местах, указанных Заказчиком,</w:t>
            </w: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 для дальнейшей утилизации.</w:t>
            </w:r>
            <w:r>
              <w:rPr>
                <w:i/>
              </w:rPr>
            </w:r>
          </w:p>
          <w:p>
            <w:pPr>
              <w:pStyle w:val="763"/>
              <w:contextualSpacing/>
              <w:ind w:left="0" w:right="37" w:firstLine="0"/>
              <w:jc w:val="both"/>
              <w:spacing w:before="0" w:beforeAutospacing="0" w:after="0" w:afterAutospacing="0" w:line="228" w:lineRule="auto"/>
              <w:widowControl w:val="off"/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Мероприятия и услуги по охране окружающей среды вести в соответствии:</w:t>
            </w:r>
            <w:r>
              <w:rPr>
                <w:i/>
              </w:rPr>
            </w:r>
          </w:p>
          <w:p>
            <w:pPr>
              <w:pStyle w:val="852"/>
              <w:numPr>
                <w:ilvl w:val="0"/>
                <w:numId w:val="8"/>
              </w:numPr>
              <w:contextualSpacing/>
              <w:ind w:left="0" w:right="37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Федеральный закон от 10.01.2002 № 7-ФЗ «Об охране окружающей среды» (ред. от 08.08.2024);</w:t>
            </w:r>
            <w:r>
              <w:rPr>
                <w:i/>
              </w:rPr>
            </w:r>
          </w:p>
          <w:p>
            <w:pPr>
              <w:pStyle w:val="852"/>
              <w:numPr>
                <w:ilvl w:val="0"/>
                <w:numId w:val="8"/>
              </w:numPr>
              <w:contextualSpacing/>
              <w:ind w:left="0" w:right="37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Федеральный закон от 04.05.1999 № 96-ФЗ «Об охране атмосферного воздуха» (ред. от 08.08.2024);</w:t>
            </w:r>
            <w:r>
              <w:rPr>
                <w:i/>
              </w:rPr>
            </w:r>
          </w:p>
          <w:p>
            <w:pPr>
              <w:pStyle w:val="852"/>
              <w:numPr>
                <w:ilvl w:val="0"/>
                <w:numId w:val="8"/>
              </w:numPr>
              <w:contextualSpacing/>
              <w:ind w:left="0" w:right="37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283" w:leader="none"/>
                <w:tab w:val="clear" w:pos="708" w:leader="none"/>
              </w:tabs>
              <w:rPr>
                <w:i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Водный кодекс Российской Федерации от 03.06.2006 № 74-ФЗ (ред. от 08.08.2024)</w:t>
            </w:r>
            <w:r>
              <w:rPr>
                <w:i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>
          <w:trHeight w:val="178"/>
        </w:trPr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2"/>
                <w:numId w:val="4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3063" w:type="dxa"/>
            <w:textDirection w:val="lrTb"/>
            <w:noWrap w:val="false"/>
          </w:tcPr>
          <w:p>
            <w:pPr>
              <w:pStyle w:val="763"/>
              <w:numPr>
                <w:ilvl w:val="0"/>
                <w:numId w:val="0"/>
              </w:numPr>
              <w:ind w:left="0" w:firstLine="0"/>
              <w:jc w:val="left"/>
              <w:spacing w:before="0" w:beforeAutospacing="0" w:after="0" w:afterAutospacing="0"/>
              <w:widowControl w:val="off"/>
              <w:rPr>
                <w:rFonts w:eastAsia="Calibri"/>
                <w:bCs/>
                <w:sz w:val="22"/>
                <w:szCs w:val="22"/>
                <w:highlight w:val="white"/>
              </w:rPr>
              <w:outlineLvl w:val="2"/>
            </w:pPr>
            <w:r>
              <w:rPr>
                <w:rFonts w:eastAsia="Calibri"/>
                <w:i/>
                <w:sz w:val="22"/>
                <w:szCs w:val="22"/>
                <w:highlight w:val="white"/>
                <w:lang w:val="ru-RU" w:bidi="ar-SA"/>
              </w:rPr>
              <w:t xml:space="preserve">Соблюдение требований охраны труда</w:t>
            </w:r>
            <w:r>
              <w:rPr>
                <w:rFonts w:eastAsia="Calibri"/>
                <w:bCs/>
                <w:sz w:val="22"/>
                <w:szCs w:val="22"/>
                <w:highlight w:val="white"/>
              </w:rPr>
            </w:r>
          </w:p>
        </w:tc>
        <w:tc>
          <w:tcPr>
            <w:tcW w:w="6256" w:type="dxa"/>
            <w:textDirection w:val="lrTb"/>
            <w:noWrap w:val="false"/>
          </w:tcPr>
          <w:p>
            <w:pPr>
              <w:pStyle w:val="763"/>
              <w:ind w:left="0" w:right="0" w:firstLine="283"/>
              <w:jc w:val="both"/>
              <w:spacing w:before="0" w:beforeAutospacing="0" w:after="0" w:afterAutospacing="0" w:line="228" w:lineRule="auto"/>
              <w:widowControl w:val="off"/>
              <w:rPr>
                <w:bCs/>
                <w:i/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Контроль по соблюдению требований охраны труда осуществляется Подрядчиком и Заказчиком.</w:t>
            </w:r>
            <w:r>
              <w:rPr>
                <w:bCs/>
                <w:i/>
                <w:sz w:val="22"/>
                <w:szCs w:val="22"/>
                <w:highlight w:val="white"/>
              </w:rPr>
            </w:r>
          </w:p>
          <w:p>
            <w:pPr>
              <w:pStyle w:val="763"/>
              <w:ind w:left="0" w:right="0" w:firstLine="283"/>
              <w:jc w:val="both"/>
              <w:spacing w:before="0" w:beforeAutospacing="0" w:after="0" w:afterAutospacing="0" w:line="228" w:lineRule="auto"/>
              <w:widowControl w:val="off"/>
              <w:rPr>
                <w:lang w:val="ru-RU" w:bidi="ar-SA"/>
              </w:rPr>
            </w:pP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Заказчик обязуется назначить куратора и обеспечить допуск персонала Подрядчика к месту проведения ремонтных услуг</w:t>
            </w:r>
            <w:r>
              <w:rPr>
                <w:lang w:val="ru-RU" w:bidi="ar-SA"/>
              </w:rPr>
              <w:t xml:space="preserve">, </w:t>
            </w: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о</w:t>
            </w:r>
            <w:r>
              <w:rPr>
                <w:i/>
                <w:iCs/>
                <w:sz w:val="22"/>
                <w:szCs w:val="22"/>
                <w:highlight w:val="white"/>
                <w:lang w:val="ru-RU" w:bidi="ar-SA"/>
              </w:rPr>
              <w:t xml:space="preserve">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  <w:r>
              <w:rPr>
                <w:lang w:val="ru-RU" w:bidi="ar-SA"/>
              </w:rPr>
            </w:r>
          </w:p>
          <w:p>
            <w:pPr>
              <w:pStyle w:val="763"/>
              <w:ind w:left="0" w:right="0" w:firstLine="283"/>
              <w:jc w:val="both"/>
              <w:spacing w:before="0" w:beforeAutospacing="0" w:after="0" w:afterAutospacing="0"/>
              <w:widowControl w:val="off"/>
            </w:pPr>
            <w:r>
              <w:rPr>
                <w:i/>
                <w:sz w:val="22"/>
                <w:szCs w:val="22"/>
                <w:lang w:eastAsia="en-US"/>
              </w:rPr>
              <w:t xml:space="preserve">Применяемые при работах механизмы и грузоподъемны</w:t>
            </w:r>
            <w:r>
              <w:rPr>
                <w:i/>
                <w:sz w:val="22"/>
                <w:szCs w:val="22"/>
                <w:lang w:eastAsia="en-US"/>
              </w:rPr>
              <w:t xml:space="preserve">е машины (в соответствии с разрабатываемым Подрядчиком ППР), приспособления и инструмент должны быть испытаны и эксплуатироваться в соответствии с требованиями стандартов безопасности труда, правил Ростехнадзора, а также инструкций заводов – изготовителей.</w:t>
            </w:r>
            <w:r/>
          </w:p>
          <w:p>
            <w:pPr>
              <w:pStyle w:val="763"/>
              <w:ind w:left="0" w:right="0" w:firstLine="283"/>
              <w:jc w:val="both"/>
              <w:spacing w:before="0" w:beforeAutospacing="0" w:after="0" w:afterAutospacing="0"/>
              <w:widowControl w:val="off"/>
            </w:pPr>
            <w:r>
              <w:rPr>
                <w:i/>
                <w:sz w:val="22"/>
                <w:szCs w:val="22"/>
                <w:lang w:eastAsia="en-US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  <w:r/>
          </w:p>
          <w:p>
            <w:pPr>
              <w:pStyle w:val="763"/>
              <w:ind w:firstLine="283"/>
              <w:jc w:val="both"/>
              <w:spacing w:before="0" w:beforeAutospacing="0" w:after="0" w:afterAutospacing="0" w:line="228" w:lineRule="auto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/>
          </w:p>
          <w:p>
            <w:pPr>
              <w:pStyle w:val="763"/>
              <w:numPr>
                <w:ilvl w:val="0"/>
                <w:numId w:val="1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bCs/>
                <w:i/>
                <w:sz w:val="22"/>
                <w:szCs w:val="22"/>
              </w:rPr>
            </w:pP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Правила по охране труда при эксплуатации объектов инфраструктуры железнодорожного транспорта</w:t>
            </w: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</w:rPr>
              <w:t xml:space="preserve">, утв. Приказом Министерства труда и социальной защиты РФ о</w:t>
            </w: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т 25.09.2020 N 652н</w:t>
            </w:r>
            <w:r>
              <w:rPr>
                <w:rFonts w:eastAsia="Times New Roman" w:cs="Times New Roman"/>
                <w:b w:val="0"/>
                <w:bCs w:val="0"/>
                <w:i/>
                <w:iCs/>
                <w:color w:val="000000" w:themeColor="text1"/>
                <w:sz w:val="22"/>
                <w:szCs w:val="22"/>
              </w:rPr>
              <w:t xml:space="preserve">;</w:t>
            </w:r>
            <w:r>
              <w:rPr>
                <w:bCs/>
                <w:i/>
                <w:sz w:val="22"/>
                <w:szCs w:val="22"/>
              </w:rPr>
            </w:r>
          </w:p>
          <w:p>
            <w:pPr>
              <w:pStyle w:val="763"/>
              <w:numPr>
                <w:ilvl w:val="0"/>
                <w:numId w:val="1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08" w:leader="none"/>
              </w:tabs>
            </w:pPr>
            <w:r>
              <w:rPr>
                <w:i/>
                <w:iCs/>
                <w:sz w:val="22"/>
                <w:szCs w:val="22"/>
              </w:rPr>
              <w:t xml:space="preserve">Правила по охране труда при строительстве, реконструкции и ремонте (утверждены приказом Министерства труда от 11.12.2020 № 883н);</w:t>
            </w:r>
            <w:r/>
          </w:p>
          <w:p>
            <w:pPr>
              <w:pStyle w:val="763"/>
              <w:numPr>
                <w:ilvl w:val="0"/>
                <w:numId w:val="1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08" w:leader="none"/>
              </w:tabs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Правила по охране труда при работе с инструментом и приспособлениями (утверждены приказом Министерства труда от 27.11.2020 № 835н);</w:t>
            </w:r>
            <w:r/>
          </w:p>
          <w:p>
            <w:pPr>
              <w:pStyle w:val="763"/>
              <w:numPr>
                <w:ilvl w:val="0"/>
                <w:numId w:val="1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08" w:leader="none"/>
              </w:tabs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Правила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/>
          </w:p>
          <w:p>
            <w:pPr>
              <w:pStyle w:val="763"/>
              <w:numPr>
                <w:ilvl w:val="0"/>
                <w:numId w:val="1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08" w:leader="none"/>
              </w:tabs>
            </w:pPr>
            <w:r>
              <w:rPr>
                <w:i/>
                <w:sz w:val="22"/>
                <w:szCs w:val="22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 №887н)</w:t>
            </w:r>
            <w:r>
              <w:rPr>
                <w:i/>
                <w:iCs/>
                <w:sz w:val="22"/>
                <w:szCs w:val="22"/>
              </w:rPr>
              <w:t xml:space="preserve">;</w:t>
            </w:r>
            <w:r/>
          </w:p>
          <w:p>
            <w:pPr>
              <w:pStyle w:val="763"/>
              <w:numPr>
                <w:ilvl w:val="0"/>
                <w:numId w:val="1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08" w:leader="none"/>
              </w:tabs>
            </w:pPr>
            <w:r>
              <w:rPr>
                <w:i/>
                <w:sz w:val="22"/>
                <w:szCs w:val="22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 №753н);</w:t>
            </w:r>
            <w:r/>
          </w:p>
          <w:p>
            <w:pPr>
              <w:pStyle w:val="763"/>
              <w:numPr>
                <w:ilvl w:val="0"/>
                <w:numId w:val="19"/>
              </w:numPr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425" w:leader="none"/>
                <w:tab w:val="clear" w:pos="708" w:leader="none"/>
              </w:tabs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Правила по охране труда при эксплуатации электроустановок, утвержденные Приказом Министерства труда и социальной защиты РФ от 15.12.2020 №903н;</w:t>
            </w:r>
            <w:r/>
          </w:p>
          <w:p>
            <w:pPr>
              <w:pStyle w:val="763"/>
              <w:numPr>
                <w:ilvl w:val="0"/>
                <w:numId w:val="19"/>
              </w:numPr>
              <w:contextualSpacing/>
              <w:ind w:left="62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</w:pPr>
            <w:r>
              <w:rPr>
                <w:i/>
                <w:iCs/>
                <w:sz w:val="22"/>
                <w:szCs w:val="22"/>
              </w:rPr>
              <w:t xml:space="preserve">П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 №461).</w:t>
            </w:r>
            <w:r/>
          </w:p>
          <w:p>
            <w:pPr>
              <w:pStyle w:val="852"/>
              <w:contextualSpacing/>
              <w:ind w:left="0" w:firstLine="0"/>
              <w:jc w:val="both"/>
              <w:spacing w:before="0" w:beforeAutospacing="0" w:after="0" w:afterAutospacing="0" w:line="228" w:lineRule="auto"/>
              <w:widowControl w:val="off"/>
              <w:tabs>
                <w:tab w:val="left" w:pos="256" w:leader="none"/>
                <w:tab w:val="clear" w:pos="708" w:leader="none"/>
              </w:tabs>
            </w:pPr>
            <w:r>
              <w:rPr>
                <w:i/>
                <w:sz w:val="22"/>
                <w:szCs w:val="22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.</w:t>
            </w:r>
            <w:r/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4"/>
              </w:numPr>
              <w:contextualSpacing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9319" w:type="dxa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ru-RU" w:bidi="ar-SA"/>
              </w:rPr>
              <w:t xml:space="preserve">Требования к результатам работ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vAlign w:val="center"/>
            <w:textDirection w:val="lrTb"/>
            <w:noWrap w:val="false"/>
          </w:tcPr>
          <w:p>
            <w:pPr>
              <w:pStyle w:val="852"/>
              <w:numPr>
                <w:ilvl w:val="1"/>
                <w:numId w:val="4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9319" w:type="dxa"/>
            <w:vAlign w:val="center"/>
            <w:textDirection w:val="lrTb"/>
            <w:noWrap w:val="false"/>
          </w:tcPr>
          <w:p>
            <w:pPr>
              <w:pStyle w:val="763"/>
              <w:jc w:val="both"/>
              <w:spacing w:before="60"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Общие требования к результатам услуг</w:t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763"/>
              <w:ind w:left="0" w:right="72" w:firstLine="0"/>
              <w:jc w:val="both"/>
              <w:spacing w:before="0" w:after="0"/>
              <w:widowControl w:val="off"/>
              <w:tabs>
                <w:tab w:val="left" w:pos="567" w:leader="none"/>
                <w:tab w:val="clear" w:pos="708" w:leader="none"/>
                <w:tab w:val="left" w:pos="1134" w:leader="none"/>
              </w:tabs>
              <w:rPr>
                <w:highlight w:val="none"/>
              </w:rPr>
            </w:pPr>
            <w:r>
              <w:rPr>
                <w:bCs/>
                <w:i/>
                <w:iCs/>
                <w:sz w:val="22"/>
                <w:szCs w:val="22"/>
                <w:highlight w:val="white"/>
              </w:rPr>
              <w:t xml:space="preserve">Состояние железнодорожных путей после ремонта должно соответствовать требованиям нормативно-технической документации в течение гарантийного срока.</w:t>
            </w:r>
            <w:r>
              <w:rPr>
                <w:highlight w:val="none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763"/>
              <w:ind w:left="0" w:right="72" w:firstLine="0"/>
              <w:jc w:val="left"/>
              <w:spacing w:before="0" w:after="0"/>
              <w:widowControl w:val="off"/>
              <w:tabs>
                <w:tab w:val="left" w:pos="567" w:leader="none"/>
                <w:tab w:val="clear" w:pos="708" w:leader="none"/>
                <w:tab w:val="left" w:pos="1134" w:leader="none"/>
              </w:tabs>
              <w:rPr>
                <w:rFonts w:ascii="Times New Roman" w:hAnsi="Times New Roman" w:eastAsia="Calibri" w:cs="Times New Roman"/>
                <w:i/>
                <w:iCs/>
                <w:sz w:val="22"/>
                <w:szCs w:val="22"/>
                <w:highlight w:val="none"/>
                <w14:ligatures w14:val="none"/>
              </w:rPr>
            </w:pPr>
            <w:r>
              <w:rPr>
                <w:rFonts w:eastAsia="Calibri" w:cs="Times New Roman"/>
                <w:i/>
                <w:iCs/>
                <w:sz w:val="22"/>
                <w:szCs w:val="22"/>
                <w:lang w:val="ru-RU" w:bidi="ar-SA"/>
              </w:rPr>
              <w:t xml:space="preserve">2.2.</w:t>
            </w:r>
            <w:bookmarkStart w:id="37" w:name="_Ref54002960"/>
            <w:r/>
            <w:bookmarkEnd w:id="37"/>
            <w:r/>
            <w:r>
              <w:rPr>
                <w:rFonts w:ascii="Times New Roman" w:hAnsi="Times New Roman" w:eastAsia="Calibri" w:cs="Times New Roman"/>
                <w:i/>
                <w:iCs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gridSpan w:val="2"/>
            <w:tcW w:w="9319" w:type="dxa"/>
            <w:textDirection w:val="lrTb"/>
            <w:noWrap w:val="false"/>
          </w:tcPr>
          <w:p>
            <w:pPr>
              <w:pStyle w:val="763"/>
              <w:jc w:val="both"/>
              <w:spacing w:before="0" w:after="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Требования к оформлению документации</w:t>
            </w:r>
            <w:r>
              <w:rPr>
                <w:i/>
                <w:iCs/>
                <w:sz w:val="20"/>
                <w:szCs w:val="20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Подрядчик одновременно с передачей актов приемки выполненных работ по форме КС-2 обязан оформить и передать Заказчику исполнительную и сдаточную документацию в следующем составе, но не ограничиваясь: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счета-фактуры на материалы, закупаемые Подрядчиком по текущим ценам для использования в процессе ремонта;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исполнительные чертежи или схемы;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фото/видео материалы (при необходимости);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табель учета рабочего времени Подрядчика;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общий журнал работ;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специальные журналы работ (соответствующие видам выполняемых работ);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акт освидетельствования скрытых работ;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акт предремонтного обследования объекта;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ведомость (опись) объёма ремонтно-строительных работ;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акт готовности здания, сооружения к производству работ;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акт приёмки из ремонта здания, сооружения;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другие документы по усмотрению Сторон с учетом специфики Работ.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Исполнительная документация должна быть оформлена в соответствии с: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Приказом Министерства строительства и ЖКХ №344 от 16.05.2023 «Состав и порядок ведения исполнительной документации при строительстве, реконструкции, капитальном ремонте объектов капитального строительства»;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    • – </w:t>
            </w:r>
            <w:r>
              <w:rPr>
                <w:rFonts w:eastAsia="Calibri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АО «ДГК»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4"/>
              </w:numPr>
              <w:contextualSpacing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9319" w:type="dxa"/>
            <w:vAlign w:val="center"/>
            <w:textDirection w:val="lrTb"/>
            <w:noWrap w:val="false"/>
          </w:tcPr>
          <w:p>
            <w:pPr>
              <w:pStyle w:val="763"/>
              <w:jc w:val="left"/>
              <w:spacing w:before="4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услуг (помимо указанных в других разделах ТТ)</w:t>
            </w:r>
            <w:r>
              <w:rPr>
                <w:b/>
                <w:sz w:val="20"/>
                <w:szCs w:val="20"/>
                <w:highlight w:val="non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rPr>
                <w:bCs/>
                <w:i/>
                <w:iCs/>
                <w:sz w:val="22"/>
                <w:szCs w:val="22"/>
                <w:highlight w:val="none"/>
              </w:rPr>
            </w:pPr>
            <w:r>
              <w:rPr>
                <w:i/>
                <w:sz w:val="22"/>
                <w:szCs w:val="22"/>
                <w:lang w:val="ru-RU" w:bidi="ar-SA"/>
              </w:rPr>
              <w:t xml:space="preserve">Подробно указаны в проекте договора подряда.</w:t>
            </w:r>
            <w:r>
              <w:rPr>
                <w:bCs/>
                <w:i/>
                <w:iCs/>
                <w:sz w:val="22"/>
                <w:szCs w:val="22"/>
                <w:highlight w:val="none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/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4"/>
              </w:numPr>
              <w:contextualSpacing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9319" w:type="dxa"/>
            <w:vAlign w:val="center"/>
            <w:textDirection w:val="lrTb"/>
            <w:noWrap w:val="false"/>
          </w:tcPr>
          <w:p>
            <w:pPr>
              <w:pStyle w:val="763"/>
              <w:jc w:val="both"/>
              <w:spacing w:before="20" w:after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0"/>
                <w:szCs w:val="20"/>
                <w:highlight w:val="none"/>
              </w:rPr>
            </w:r>
          </w:p>
          <w:p>
            <w:pPr>
              <w:pStyle w:val="763"/>
              <w:ind w:firstLine="0"/>
              <w:jc w:val="both"/>
              <w:spacing w:before="0" w:after="0"/>
              <w:widowControl w:val="off"/>
              <w:rPr>
                <w:sz w:val="24"/>
                <w:highlight w:val="none"/>
              </w:rPr>
            </w:pPr>
            <w:r>
              <w:rPr>
                <w:i/>
                <w:iCs/>
                <w:sz w:val="22"/>
                <w:szCs w:val="22"/>
                <w:lang w:val="ru-RU" w:bidi="ar-SA"/>
              </w:rPr>
              <w:t xml:space="preserve">Подрядчик обязан выполнить работы в соответствии с техническими требованиями качественно, в полном объеме, на высоком профессиональном уровне.</w:t>
            </w:r>
            <w:r>
              <w:rPr>
                <w:sz w:val="24"/>
                <w:highlight w:val="none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>
          <w:trHeight w:val="320"/>
        </w:trPr>
        <w:tc>
          <w:tcPr>
            <w:tcW w:w="905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4"/>
              </w:numPr>
              <w:contextualSpacing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W w:w="9319" w:type="dxa"/>
            <w:vAlign w:val="center"/>
            <w:textDirection w:val="lrTb"/>
            <w:noWrap w:val="false"/>
          </w:tcPr>
          <w:p>
            <w:pPr>
              <w:pStyle w:val="763"/>
              <w:jc w:val="left"/>
              <w:keepNext/>
              <w:spacing w:before="60" w:after="0" w:afterAutospacing="0"/>
              <w:widowControl w:val="off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lang w:val="ru-RU" w:bidi="ar-SA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0"/>
                <w:szCs w:val="20"/>
                <w:highlight w:val="none"/>
              </w:rPr>
            </w:r>
          </w:p>
          <w:p>
            <w:pPr>
              <w:pStyle w:val="763"/>
              <w:jc w:val="both"/>
              <w:spacing w:before="0" w:after="0"/>
              <w:widowControl w:val="off"/>
              <w:tabs>
                <w:tab w:val="left" w:pos="142" w:leader="none"/>
                <w:tab w:val="left" w:pos="283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Подрядчик (субподрядчик) должен представить по реквизитам Заказчика: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pStyle w:val="852"/>
              <w:numPr>
                <w:ilvl w:val="0"/>
                <w:numId w:val="13"/>
              </w:numPr>
              <w:contextualSpacing/>
              <w:jc w:val="both"/>
              <w:spacing w:before="0" w:after="0"/>
              <w:widowControl w:val="off"/>
              <w:tabs>
                <w:tab w:val="left" w:pos="142" w:leader="none"/>
                <w:tab w:val="left" w:pos="283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bCs/>
                <w:i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2"/>
                <w:szCs w:val="22"/>
                <w:lang w:val="ru-RU" w:bidi="ar-SA"/>
              </w:rPr>
              <w:t xml:space="preserve">Документы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, подтверждающие квалификацию персонала, которые планируется привлечь к выполнению работ.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pStyle w:val="852"/>
              <w:numPr>
                <w:ilvl w:val="0"/>
                <w:numId w:val="13"/>
              </w:numPr>
              <w:contextualSpacing/>
              <w:jc w:val="both"/>
              <w:spacing w:before="0" w:after="0"/>
              <w:widowControl w:val="off"/>
              <w:tabs>
                <w:tab w:val="left" w:pos="142" w:leader="none"/>
                <w:tab w:val="left" w:pos="283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bCs/>
                <w:i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2"/>
                <w:szCs w:val="22"/>
                <w:highlight w:val="white"/>
                <w:lang w:val="ru-RU" w:bidi="ar-SA"/>
              </w:rPr>
              <w:t xml:space="preserve">Документы, подтверждающие наличие необходимых МТР, которые планируется задействовать в процессе выполнения работ.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W w:w="1721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W w:w="2968" w:type="dxa"/>
            <w:vMerge w:val="continue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>
          <w:trHeight w:val="320"/>
        </w:trPr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4"/>
              </w:numPr>
              <w:contextualSpacing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9319" w:type="dxa"/>
            <w:vAlign w:val="center"/>
            <w:textDirection w:val="lrTb"/>
            <w:noWrap w:val="false"/>
          </w:tcPr>
          <w:p>
            <w:pPr>
              <w:pStyle w:val="763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sz w:val="20"/>
                <w:szCs w:val="20"/>
                <w:lang w:val="ru-RU" w:eastAsia="ru-RU" w:bidi="ar-SA"/>
              </w:rPr>
              <w:t xml:space="preserve">Требования к победителю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val="ru-RU" w:eastAsia="ru-RU" w:bidi="ar-SA"/>
              </w:rPr>
            </w:r>
          </w:p>
        </w:tc>
        <w:tc>
          <w:tcPr>
            <w:tcBorders>
              <w:top w:val="none" w:color="000000" w:sz="4" w:space="0"/>
            </w:tcBorders>
            <w:tcW w:w="1721" w:type="dxa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tcBorders>
              <w:top w:val="none" w:color="000000" w:sz="4" w:space="0"/>
            </w:tcBorders>
            <w:tcW w:w="2968" w:type="dxa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  <w:tr>
        <w:tblPrEx/>
        <w:trPr>
          <w:trHeight w:val="320"/>
        </w:trPr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0"/>
              </w:numPr>
              <w:contextualSpacing/>
              <w:ind w:left="360" w:firstLine="0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</w:tcBorders>
            <w:tcW w:w="14008" w:type="dxa"/>
            <w:vAlign w:val="center"/>
            <w:textDirection w:val="lrTb"/>
            <w:noWrap w:val="false"/>
          </w:tcPr>
          <w:p>
            <w:pPr>
              <w:pStyle w:val="763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ru-RU" w:eastAsia="ru-RU" w:bidi="ar-SA"/>
              </w:rPr>
              <w:t xml:space="preserve">Участник, признанный победителем закупочной процедуры, в течение 5 (пяти) рабочих дней после размещения протокола подведения итогов закупки на сайте www.zakupki.gov.ru (до заключения договора), должен предоставить в адрес Заказчика на электронный адрес </w:t>
            </w:r>
            <w:hyperlink r:id="rId15" w:tooltip="mailto:Gazetdinova-NR@dgk.ru" w:history="1">
              <w:r>
                <w:rPr>
                  <w:rStyle w:val="813"/>
                  <w:rFonts w:eastAsia="Times New Roman" w:cs="Times New Roman"/>
                  <w:b w:val="0"/>
                  <w:bCs w:val="0"/>
                  <w:color w:val="auto"/>
                  <w:sz w:val="20"/>
                  <w:szCs w:val="20"/>
                  <w:lang w:val="ru-RU" w:eastAsia="ru-RU" w:bidi="ar-SA"/>
                </w:rPr>
                <w:t xml:space="preserve">Gazetdinova-NR@dgk.ru</w:t>
              </w:r>
            </w:hyperlink>
            <w:r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ru-RU" w:eastAsia="ru-RU" w:bidi="ar-SA"/>
              </w:rPr>
              <w:t xml:space="preserve"> дополнительные документы.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0"/>
                <w:szCs w:val="20"/>
                <w:lang w:val="ru-RU" w:eastAsia="ru-RU" w:bidi="ar-SA"/>
              </w:rPr>
            </w:r>
          </w:p>
          <w:p>
            <w:pPr>
              <w:pStyle w:val="763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ru-RU" w:eastAsia="ru-RU" w:bidi="ar-SA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eastAsia="Times New Roman" w:cs="Times New Roman"/>
                <w:b w:val="0"/>
                <w:bCs w:val="0"/>
                <w:color w:val="auto"/>
                <w:sz w:val="20"/>
                <w:szCs w:val="20"/>
                <w:lang w:val="ru-RU" w:eastAsia="ru-RU" w:bidi="ar-SA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0"/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320"/>
        </w:trPr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0"/>
              </w:numPr>
              <w:contextualSpacing/>
              <w:ind w:left="360" w:firstLine="0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9319" w:type="dxa"/>
            <w:vAlign w:val="center"/>
            <w:textDirection w:val="lrTb"/>
            <w:noWrap w:val="false"/>
          </w:tcPr>
          <w:p>
            <w:pPr>
              <w:pStyle w:val="763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и МТР победителя: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white"/>
                <w:u w:val="single"/>
              </w:rPr>
            </w:r>
          </w:p>
          <w:p>
            <w:pPr>
              <w:pStyle w:val="763"/>
              <w:ind w:left="0" w:right="141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en-US" w:bidi="ar-SA"/>
              </w:rPr>
              <w:t xml:space="preserve">1. Согласно требования п.92 Постановления правительства Российской федерации от 24.12.2021 г.№2464 «О порядке обучения по охране труда и проверки знаний требований охраны труда»: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14:ligatures w14:val="none"/>
              </w:rPr>
            </w:r>
          </w:p>
          <w:p>
            <w:pPr>
              <w:pStyle w:val="763"/>
              <w:ind w:left="0" w:right="141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en-US" w:bidi="ar-SA"/>
              </w:rPr>
              <w:t xml:space="preserve">           </w:t>
            </w:r>
            <w:r>
              <w:rPr>
                <w:rFonts w:eastAsia="Times New Roman" w:cs="Times New Roman"/>
                <w:sz w:val="20"/>
                <w:szCs w:val="20"/>
                <w:lang w:val="ru-RU" w:eastAsia="en-US" w:bidi="ar-SA"/>
              </w:rPr>
              <w:t xml:space="preserve">и</w:t>
            </w:r>
            <w:r>
              <w:rPr>
                <w:rFonts w:eastAsia="Times New Roman" w:cs="Times New Roman"/>
                <w:sz w:val="20"/>
                <w:szCs w:val="20"/>
                <w:lang w:val="ru-RU" w:eastAsia="en-US" w:bidi="ru-RU"/>
              </w:rPr>
              <w:t xml:space="preserve">меть в наличие не менее</w:t>
            </w:r>
            <w:r>
              <w:rPr>
                <w:rFonts w:eastAsia="Times New Roman" w:cs="Times New Roman"/>
                <w:sz w:val="20"/>
                <w:szCs w:val="20"/>
                <w:lang w:val="ru-RU" w:eastAsia="en-US" w:bidi="ar-SA"/>
              </w:rPr>
              <w:t xml:space="preserve"> 3-х человек (руководитель, производитель работ и всех членов бригады) прошедших проверку знани</w:t>
            </w:r>
            <w:r>
              <w:rPr>
                <w:rFonts w:eastAsia="Times New Roman" w:cs="Times New Roman"/>
                <w:sz w:val="20"/>
                <w:szCs w:val="20"/>
                <w:highlight w:val="white"/>
                <w:lang w:val="ru-RU" w:eastAsia="en-US" w:bidi="ar-SA"/>
              </w:rPr>
              <w:t xml:space="preserve">й требова</w:t>
            </w:r>
            <w:r>
              <w:rPr>
                <w:rFonts w:eastAsia="Times New Roman" w:cs="Times New Roman"/>
                <w:sz w:val="20"/>
                <w:szCs w:val="20"/>
                <w:lang w:val="ru-RU" w:eastAsia="en-US" w:bidi="ar-SA"/>
              </w:rPr>
              <w:t xml:space="preserve">ний охраны труда.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14:ligatures w14:val="none"/>
              </w:rPr>
            </w:r>
          </w:p>
          <w:p>
            <w:pPr>
              <w:pStyle w:val="763"/>
              <w:ind w:left="0" w:right="141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  <w:p>
            <w:pPr>
              <w:pStyle w:val="763"/>
              <w:ind w:left="0" w:right="0" w:firstLine="0"/>
              <w:jc w:val="left"/>
              <w:spacing w:before="0" w:after="0" w:line="240" w:lineRule="auto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2. Согласно требований п. 2.2.8 и приложения 10 Методических указаний по содержанию и ремонту железнодорожных путей предприятий и строек Минэнерго СССР (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РД 34.23.509-90)</w:t>
            </w:r>
            <w:r>
              <w:rPr>
                <w:rFonts w:eastAsia="Times New Roman" w:cs="Times New Roman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  для  выполнения работ по ремонту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 ж/д путей и замене шпального бруса путей №4 и №15 Артемовской ТЭЦ</w:t>
            </w:r>
            <w:r>
              <w:rPr>
                <w:rFonts w:eastAsia="Times New Roman" w:cs="Times New Roman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 Победитель должен иметь :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52"/>
              <w:numPr>
                <w:ilvl w:val="0"/>
                <w:numId w:val="20"/>
              </w:numPr>
              <w:contextualSpacing/>
              <w:jc w:val="both"/>
              <w:spacing w:before="0" w:after="0" w:line="240" w:lineRule="auto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путевой шаблон для измерения параметров колеи и стрелочных переводов - не менее 1 единицы;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52"/>
              <w:numPr>
                <w:ilvl w:val="0"/>
                <w:numId w:val="20"/>
              </w:numPr>
              <w:contextualSpacing w:val="0"/>
              <w:jc w:val="both"/>
              <w:spacing w:before="0" w:after="0" w:line="240" w:lineRule="auto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шаблон универсальный для измерения стыковых зазоров, износа и дефектов рельсов  - не менее 1 единицы;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52"/>
              <w:numPr>
                <w:ilvl w:val="0"/>
                <w:numId w:val="20"/>
              </w:numPr>
              <w:contextualSpacing w:val="0"/>
              <w:jc w:val="both"/>
              <w:spacing w:before="0" w:after="0" w:line="240" w:lineRule="auto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домкрат путевой - не менее 4-х единиц;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52"/>
              <w:numPr>
                <w:ilvl w:val="0"/>
                <w:numId w:val="20"/>
              </w:numPr>
              <w:contextualSpacing w:val="0"/>
              <w:jc w:val="both"/>
              <w:spacing w:before="0" w:after="0" w:line="240" w:lineRule="auto"/>
              <w:widowControl w:val="off"/>
              <w:rPr>
                <w:highlight w:val="none"/>
                <w:shd w:val="clear" w:color="auto" w:fill="auto"/>
              </w:rPr>
            </w:pPr>
            <w:r>
              <w:rPr>
                <w:rFonts w:eastAsia="Times New Roman" w:cs="Times New Roman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шпалоподбойка- не менее 2-х единиц;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852"/>
              <w:numPr>
                <w:ilvl w:val="0"/>
                <w:numId w:val="20"/>
              </w:numPr>
              <w:contextualSpacing w:val="0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shd w:val="clear" w:color="auto" w:fill="auto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рихтовщик путевой гидравлический - не менее 2-х единиц;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shd w:val="clear" w:color="auto" w:fill="auto"/>
                <w:lang w:val="ru-RU" w:eastAsia="en-US" w:bidi="ar-SA"/>
              </w:rPr>
            </w:r>
          </w:p>
          <w:p>
            <w:pPr>
              <w:pStyle w:val="852"/>
              <w:numPr>
                <w:ilvl w:val="0"/>
                <w:numId w:val="20"/>
              </w:numPr>
              <w:contextualSpacing w:val="0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shd w:val="clear" w:color="auto" w:fill="auto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auto"/>
                <w:lang w:val="ru-RU" w:eastAsia="en-US" w:bidi="ar-SA"/>
              </w:rPr>
              <w:t xml:space="preserve">путевая тележка - не менее 1 единицы.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shd w:val="clear" w:color="auto" w:fill="auto"/>
                <w:lang w:val="ru-RU" w:eastAsia="en-US" w:bidi="ar-SA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4689" w:type="dxa"/>
            <w:textDirection w:val="lrTb"/>
            <w:noWrap w:val="false"/>
          </w:tcPr>
          <w:p>
            <w:pPr>
              <w:pStyle w:val="763"/>
              <w:ind w:left="142" w:right="141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eastAsia="Times New Roman" w:cs="Times New Roman"/>
                <w:sz w:val="20"/>
                <w:szCs w:val="20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63"/>
              <w:ind w:left="0" w:right="141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eastAsia="Times New Roman" w:cs="Times New Roman"/>
                <w:sz w:val="20"/>
                <w:szCs w:val="20"/>
                <w:highlight w:val="white"/>
                <w:lang w:val="ru-RU" w:eastAsia="en-US" w:bidi="ar-SA"/>
              </w:rPr>
              <w:t xml:space="preserve">1.</w:t>
            </w:r>
            <w:r>
              <w:rPr>
                <w:rFonts w:eastAsia="Times New Roman" w:cs="Times New Roman"/>
                <w:sz w:val="20"/>
                <w:szCs w:val="20"/>
                <w:lang w:val="ru-RU" w:eastAsia="en-US" w:bidi="ar-SA"/>
              </w:rPr>
              <w:t xml:space="preserve">Копиями документов проверки знаний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  <w:p>
            <w:pPr>
              <w:pStyle w:val="763"/>
              <w:ind w:left="0" w:right="141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763"/>
              <w:ind w:left="0" w:right="141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pStyle w:val="875"/>
              <w:ind w:left="0" w:right="0" w:firstLine="0"/>
              <w:jc w:val="left"/>
              <w:spacing w:before="0" w:after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  <w:u w:val="single"/>
              </w:rPr>
            </w:pPr>
            <w:r>
              <w:rPr>
                <w:rFonts w:cs="Times New Roman"/>
                <w:sz w:val="20"/>
                <w:szCs w:val="20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u w:val="single"/>
              </w:rPr>
            </w:r>
          </w:p>
          <w:p>
            <w:pPr>
              <w:pStyle w:val="763"/>
              <w:jc w:val="both"/>
              <w:spacing w:before="0" w:after="0" w:line="240" w:lineRule="auto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sz w:val="20"/>
                <w:szCs w:val="20"/>
                <w:lang w:val="ru-RU" w:eastAsia="en-US" w:bidi="ar-SA"/>
              </w:rPr>
              <w:t xml:space="preserve">2.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ru-RU" w:eastAsia="en-US" w:bidi="ar-SA"/>
              </w:rPr>
              <w:t xml:space="preserve">Подтверждается копиями договоров аренды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ru-RU" w:eastAsia="en-US" w:bidi="ar-SA"/>
              </w:rPr>
              <w:t xml:space="preserve">(в случае владения по договору аренды) и/или копиями иных документов, подтверждающих законное право владения   (в случае владения на ином основании), либо гарантийное письмо от Победителя о владении МТР, паспортами и действующими свидетельствами о поверке.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pStyle w:val="875"/>
              <w:ind w:left="0" w:right="0" w:firstLine="0"/>
              <w:jc w:val="left"/>
              <w:spacing w:before="0" w:after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  <w:u w:val="single"/>
              </w:rPr>
            </w:pPr>
            <w:r>
              <w:rPr>
                <w:rFonts w:cs="Times New Roman"/>
                <w:sz w:val="20"/>
                <w:szCs w:val="20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u w:val="single"/>
              </w:rPr>
            </w:r>
          </w:p>
          <w:p>
            <w:pPr>
              <w:pStyle w:val="763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  <w:p>
            <w:pPr>
              <w:pStyle w:val="763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  <w:p>
            <w:pPr>
              <w:pStyle w:val="763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431"/>
        </w:trPr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852"/>
              <w:numPr>
                <w:ilvl w:val="0"/>
                <w:numId w:val="0"/>
              </w:numPr>
              <w:contextualSpacing/>
              <w:ind w:left="360" w:firstLine="0"/>
              <w:jc w:val="center"/>
              <w:spacing w:before="60" w:after="60"/>
              <w:widowControl w:val="o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9319" w:type="dxa"/>
            <w:vAlign w:val="center"/>
            <w:textDirection w:val="lrTb"/>
            <w:noWrap w:val="false"/>
          </w:tcPr>
          <w:p>
            <w:pPr>
              <w:pStyle w:val="763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sz w:val="20"/>
                <w:szCs w:val="20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val="ru-RU" w:eastAsia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4689" w:type="dxa"/>
            <w:textDirection w:val="lrTb"/>
            <w:noWrap w:val="false"/>
          </w:tcPr>
          <w:p>
            <w:pPr>
              <w:pStyle w:val="763"/>
              <w:jc w:val="left"/>
              <w:spacing w:before="0" w:after="0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</w:tr>
    </w:tbl>
    <w:p>
      <w:pPr>
        <w:sectPr>
          <w:headerReference w:type="default" r:id="rId11"/>
          <w:headerReference w:type="first" r:id="rId12"/>
          <w:footnotePr/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764"/>
        <w:numPr>
          <w:ilvl w:val="0"/>
          <w:numId w:val="1"/>
        </w:numPr>
        <w:ind w:left="357" w:hanging="357"/>
        <w:jc w:val="center"/>
        <w:keepLines/>
        <w:spacing w:before="120" w:after="0"/>
      </w:pPr>
      <w:r>
        <w:t xml:space="preserve">Требования к документации по ценообразованию на этапе закупки</w:t>
      </w:r>
      <w:r/>
    </w:p>
    <w:p>
      <w:pPr>
        <w:pStyle w:val="767"/>
        <w:numPr>
          <w:ilvl w:val="1"/>
          <w:numId w:val="1"/>
        </w:numPr>
        <w:ind w:left="0" w:right="0" w:firstLine="709"/>
        <w:jc w:val="both"/>
        <w:spacing w:line="276" w:lineRule="auto"/>
        <w:rPr>
          <w:b w:val="0"/>
        </w:rPr>
      </w:pPr>
      <w:r>
        <w:rPr>
          <w:b w:val="0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коэффициента).</w:t>
      </w:r>
      <w:r>
        <w:rPr>
          <w:b w:val="0"/>
        </w:rPr>
      </w:r>
    </w:p>
    <w:p>
      <w:pPr>
        <w:pStyle w:val="852"/>
        <w:ind w:left="0" w:right="0" w:firstLine="709"/>
        <w:jc w:val="both"/>
        <w:spacing w:line="276" w:lineRule="auto"/>
        <w:shd w:val="clear" w:color="auto" w:fill="ffffff"/>
        <w:tabs>
          <w:tab w:val="clear" w:pos="708" w:leader="none"/>
          <w:tab w:val="left" w:pos="709" w:leader="none"/>
        </w:tabs>
        <w:rPr>
          <w:highlight w:val="none"/>
        </w:rPr>
      </w:pPr>
      <w:r>
        <w:rPr>
          <w:bCs/>
        </w:rPr>
        <w:t xml:space="preserve">Понижающий коэффициент начисляется в локальной смете единым индексом в итогах (после начисления лимитированных затрат до начисления НДС).</w:t>
      </w:r>
      <w:r>
        <w:rPr>
          <w:highlight w:val="none"/>
        </w:rPr>
      </w:r>
    </w:p>
    <w:p>
      <w:pPr>
        <w:pStyle w:val="763"/>
        <w:ind w:left="0" w:right="0" w:firstLine="709"/>
        <w:jc w:val="both"/>
        <w:spacing w:line="276" w:lineRule="auto"/>
      </w:pPr>
      <w:r>
        <w:rPr>
          <w:rFonts w:eastAsia="Calibri"/>
          <w:sz w:val="24"/>
          <w:szCs w:val="24"/>
          <w:highlight w:val="white"/>
        </w:rPr>
        <w:t xml:space="preserve">Порядок расчета понижающего коэффициента определяется по формуле: </w:t>
      </w:r>
      <w:r/>
    </w:p>
    <w:p>
      <w:pPr>
        <w:pStyle w:val="763"/>
        <w:ind w:left="0" w:right="0" w:firstLine="709"/>
        <w:jc w:val="both"/>
        <w:spacing w:line="276" w:lineRule="auto"/>
      </w:pPr>
      <w:r>
        <w:rPr>
          <w:rFonts w:eastAsia="Calibri"/>
          <w:sz w:val="24"/>
          <w:szCs w:val="24"/>
          <w:highlight w:val="white"/>
        </w:rPr>
        <w:t xml:space="preserve">P=N*k,</w:t>
      </w:r>
      <w:r/>
    </w:p>
    <w:p>
      <w:pPr>
        <w:pStyle w:val="763"/>
        <w:ind w:left="0" w:right="0" w:firstLine="709"/>
        <w:jc w:val="both"/>
        <w:spacing w:line="276" w:lineRule="auto"/>
      </w:pPr>
      <w:r>
        <w:rPr>
          <w:rFonts w:eastAsia="Calibri"/>
          <w:sz w:val="24"/>
          <w:szCs w:val="24"/>
          <w:highlight w:val="white"/>
        </w:rPr>
        <w:t xml:space="preserve">где     P – стоимость предложения участника;</w:t>
      </w:r>
      <w:r/>
    </w:p>
    <w:p>
      <w:pPr>
        <w:pStyle w:val="763"/>
        <w:ind w:left="0" w:right="0" w:firstLine="709"/>
        <w:jc w:val="both"/>
        <w:spacing w:line="276" w:lineRule="auto"/>
      </w:pPr>
      <w:r>
        <w:rPr>
          <w:rFonts w:eastAsia="Calibri"/>
          <w:sz w:val="24"/>
          <w:szCs w:val="24"/>
          <w:highlight w:val="white"/>
        </w:rPr>
        <w:t xml:space="preserve">N – начальная (максимальная) цена договора, определенная в соответствии со сметной документацией Заказчика, приведенной в приложении №4. к ТТ;</w:t>
      </w:r>
      <w:r/>
    </w:p>
    <w:p>
      <w:pPr>
        <w:pStyle w:val="763"/>
        <w:ind w:left="0" w:right="0" w:firstLine="709"/>
        <w:jc w:val="both"/>
        <w:spacing w:line="276" w:lineRule="auto"/>
        <w:rPr>
          <w:rFonts w:eastAsia="Calibri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k – понижающий коэффициент, заявленный участником в коммерческом предложении (точность понижающего коэффициента указывается до 7 знаков после запятой).</w:t>
      </w:r>
      <w:r>
        <w:rPr>
          <w:rFonts w:eastAsia="Calibri"/>
          <w:highlight w:val="white"/>
        </w:rPr>
      </w:r>
    </w:p>
    <w:p>
      <w:pPr>
        <w:pStyle w:val="852"/>
        <w:ind w:left="0" w:right="0" w:firstLine="709"/>
        <w:jc w:val="both"/>
        <w:spacing w:line="276" w:lineRule="auto"/>
        <w:shd w:val="clear" w:color="auto" w:fill="ffffff"/>
        <w:tabs>
          <w:tab w:val="clear" w:pos="708" w:leader="none"/>
          <w:tab w:val="left" w:pos="709" w:leader="none"/>
        </w:tabs>
        <w:rPr>
          <w:highlight w:val="none"/>
        </w:rPr>
      </w:pPr>
      <w:r>
        <w:rPr>
          <w:bCs/>
        </w:rPr>
        <w:t xml:space="preserve">3.1.1. Внесение изменений в сметную документацию заказчика, кроме применения понижающего коэффициента в соответствии с п. 3.1., не допускается.</w:t>
      </w:r>
      <w:r>
        <w:rPr>
          <w:highlight w:val="none"/>
        </w:rPr>
      </w:r>
    </w:p>
    <w:p>
      <w:pPr>
        <w:pStyle w:val="852"/>
        <w:ind w:left="0" w:right="0" w:firstLine="709"/>
        <w:jc w:val="both"/>
        <w:spacing w:line="276" w:lineRule="auto"/>
        <w:shd w:val="clear" w:color="auto" w:fill="ffffff"/>
        <w:tabs>
          <w:tab w:val="clear" w:pos="708" w:leader="none"/>
          <w:tab w:val="left" w:pos="709" w:leader="none"/>
        </w:tabs>
      </w:pPr>
      <w:r>
        <w:t xml:space="preserve">3.2.</w:t>
        <w:tab/>
        <w:t xml:space="preserve">Дополнительные документы по ценообразованию (сметная документация) в состав заявки Участника не включаются.</w:t>
      </w:r>
      <w:r/>
    </w:p>
    <w:p>
      <w:pPr>
        <w:pStyle w:val="852"/>
        <w:ind w:left="0" w:right="0" w:firstLine="709"/>
        <w:jc w:val="both"/>
        <w:spacing w:line="276" w:lineRule="auto"/>
        <w:shd w:val="clear" w:color="auto" w:fill="ffffff"/>
        <w:tabs>
          <w:tab w:val="clear" w:pos="708" w:leader="none"/>
          <w:tab w:val="left" w:pos="709" w:leader="none"/>
        </w:tabs>
      </w:pPr>
      <w:r>
        <w:t xml:space="preserve">3.3.</w:t>
        <w:tab/>
        <w:t xml:space="preserve"> Закупка проводится путем предлож</w:t>
      </w:r>
      <w:r>
        <w:t xml:space="preserve">ения понижающего коэффициента к сметной документации Заказчика,  приведенной в приложении №4 к ТТ. Победителем будет определен участник с минимальным понижающим коэффициентом или участник, предложивший наилучшие условия (при запросе предложений/конкурсе)..</w:t>
      </w:r>
      <w:r/>
    </w:p>
    <w:p>
      <w:pPr>
        <w:pStyle w:val="764"/>
        <w:numPr>
          <w:ilvl w:val="0"/>
          <w:numId w:val="1"/>
        </w:numPr>
        <w:ind w:left="357" w:hanging="357"/>
        <w:jc w:val="center"/>
        <w:keepLines/>
      </w:pPr>
      <w:r>
        <w:t xml:space="preserve">Требования к документации по ценообразованию на этапе заключения (исполнения) договора</w:t>
      </w:r>
      <w:r/>
    </w:p>
    <w:p>
      <w:pPr>
        <w:pStyle w:val="763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3"/>
        <w:ind w:left="0" w:right="0" w:firstLine="737"/>
        <w:jc w:val="both"/>
        <w:spacing w:line="240" w:lineRule="auto"/>
        <w:widowControl/>
        <w:tabs>
          <w:tab w:val="clear" w:pos="708" w:leader="none"/>
          <w:tab w:val="left" w:pos="735" w:leader="none"/>
        </w:tabs>
      </w:pPr>
      <w:r>
        <w:rPr>
          <w:b w:val="0"/>
          <w:bCs w:val="0"/>
          <w:sz w:val="24"/>
          <w:szCs w:val="24"/>
          <w:highlight w:val="white"/>
        </w:rPr>
        <w:t xml:space="preserve">4.1. </w:t>
      </w:r>
      <w:r>
        <w:rPr>
          <w:sz w:val="24"/>
          <w:szCs w:val="24"/>
          <w:highlight w:val="white"/>
        </w:rPr>
        <w:t xml:space="preserve">Требования к составлению сметной документации (при заключении договора):</w:t>
      </w:r>
      <w:r/>
    </w:p>
    <w:p>
      <w:pPr>
        <w:pStyle w:val="763"/>
        <w:ind w:left="0" w:right="0" w:firstLine="737"/>
        <w:jc w:val="both"/>
        <w:spacing w:line="240" w:lineRule="auto"/>
        <w:widowControl/>
        <w:tabs>
          <w:tab w:val="clear" w:pos="708" w:leader="none"/>
          <w:tab w:val="left" w:pos="735" w:leader="none"/>
        </w:tabs>
      </w:pPr>
      <w:r>
        <w:rPr>
          <w:bCs/>
          <w:sz w:val="24"/>
          <w:szCs w:val="24"/>
        </w:rPr>
        <w:t xml:space="preserve">4.1.1. Сметная документация разработана заказчиком в рамках определения начальной (максимальной) </w:t>
      </w:r>
      <w:r>
        <w:rPr>
          <w:bCs/>
          <w:sz w:val="24"/>
          <w:szCs w:val="24"/>
        </w:rPr>
        <w:t xml:space="preserve">цены договора в соответствии с требованиями, указанными в Приложении №1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</w:t>
      </w:r>
      <w:r/>
    </w:p>
    <w:p>
      <w:pPr>
        <w:pStyle w:val="767"/>
        <w:numPr>
          <w:ilvl w:val="0"/>
          <w:numId w:val="0"/>
        </w:numPr>
        <w:ind w:left="0" w:right="0" w:firstLine="709"/>
        <w:jc w:val="both"/>
        <w:keepNext/>
        <w:spacing w:before="120" w:beforeAutospacing="0" w:after="60" w:afterAutospacing="0" w:line="240" w:lineRule="auto"/>
        <w:widowControl/>
        <w:tabs>
          <w:tab w:val="left" w:pos="510" w:leader="none"/>
          <w:tab w:val="left" w:pos="630" w:leader="none"/>
          <w:tab w:val="clear" w:pos="708" w:leader="none"/>
          <w:tab w:val="left" w:pos="960" w:leader="none"/>
          <w:tab w:val="left" w:pos="1020" w:leader="none"/>
          <w:tab w:val="left" w:pos="1545" w:leader="none"/>
          <w:tab w:val="left" w:pos="1935" w:leader="none"/>
        </w:tabs>
      </w:pPr>
      <w:r>
        <w:rPr>
          <w:b w:val="0"/>
          <w:bCs w:val="0"/>
        </w:rPr>
        <w:t xml:space="preserve">4.2. </w:t>
      </w:r>
      <w:r>
        <w:rPr>
          <w:b w:val="0"/>
          <w:bCs w:val="0"/>
          <w:highlight w:val="white"/>
        </w:rPr>
        <w:t xml:space="preserve">Требования к составлению сметной документации на этапе исполнения договора:</w:t>
      </w:r>
      <w:r/>
    </w:p>
    <w:p>
      <w:pPr>
        <w:pStyle w:val="766"/>
        <w:numPr>
          <w:ilvl w:val="0"/>
          <w:numId w:val="0"/>
        </w:numPr>
        <w:ind w:left="0" w:right="0" w:firstLine="709"/>
        <w:jc w:val="both"/>
        <w:keepNext/>
        <w:spacing w:before="120" w:beforeAutospacing="0" w:after="60" w:afterAutospacing="0" w:line="240" w:lineRule="auto"/>
        <w:widowControl/>
        <w:tabs>
          <w:tab w:val="left" w:pos="630" w:leader="none"/>
          <w:tab w:val="clear" w:pos="708" w:leader="none"/>
          <w:tab w:val="left" w:pos="735" w:leader="none"/>
        </w:tabs>
      </w:pPr>
      <w:r>
        <w:rPr>
          <w:b w:val="0"/>
          <w:bCs w:val="0"/>
        </w:rPr>
        <w:t xml:space="preserve">4.2.1. </w:t>
      </w:r>
      <w:r>
        <w:rPr>
          <w:b w:val="0"/>
          <w:bCs w:val="0"/>
          <w:highlight w:val="white"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№1 к ТТ.</w:t>
      </w:r>
      <w:r/>
    </w:p>
    <w:p>
      <w:pPr>
        <w:pStyle w:val="852"/>
        <w:ind w:left="0" w:firstLine="0"/>
        <w:shd w:val="clear" w:color="auto" w:fill="ffffff"/>
        <w:tabs>
          <w:tab w:val="clear" w:pos="708" w:leader="none"/>
          <w:tab w:val="left" w:pos="709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764"/>
        <w:numPr>
          <w:ilvl w:val="0"/>
          <w:numId w:val="22"/>
        </w:numPr>
        <w:ind w:left="0" w:firstLine="0"/>
        <w:jc w:val="center"/>
        <w:keepLines/>
        <w:spacing w:before="0" w:beforeAutospacing="0" w:after="60"/>
        <w:tabs>
          <w:tab w:val="left" w:pos="426" w:leader="none"/>
          <w:tab w:val="clear" w:pos="708" w:leader="none"/>
        </w:tabs>
        <w:rPr>
          <w:iCs/>
          <w:caps/>
        </w:rPr>
      </w:pPr>
      <w:r/>
      <w:bookmarkStart w:id="38" w:name="_Toc54646413"/>
      <w:r/>
      <w:bookmarkStart w:id="39" w:name="_GoBack"/>
      <w:r/>
      <w:bookmarkEnd w:id="39"/>
      <w:r>
        <w:rPr>
          <w:iCs/>
        </w:rPr>
        <w:t xml:space="preserve">Приложения</w:t>
      </w:r>
      <w:bookmarkEnd w:id="38"/>
      <w:r/>
      <w:r>
        <w:rPr>
          <w:iCs/>
          <w:caps/>
        </w:rPr>
      </w:r>
    </w:p>
    <w:p>
      <w:pPr>
        <w:pStyle w:val="763"/>
        <w:ind w:left="0" w:right="0" w:firstLine="0"/>
        <w:jc w:val="both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№1 – Требования к оформлению и составлению документации по ценообразованию.</w:t>
      </w:r>
      <w:r>
        <w:rPr>
          <w:sz w:val="24"/>
          <w:szCs w:val="24"/>
          <w:highlight w:val="none"/>
        </w:rPr>
      </w:r>
    </w:p>
    <w:p>
      <w:pPr>
        <w:pStyle w:val="763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№2 – Ведомость объемов работ .</w:t>
      </w:r>
      <w:r>
        <w:rPr>
          <w:sz w:val="24"/>
          <w:szCs w:val="24"/>
          <w:highlight w:val="none"/>
        </w:rPr>
      </w:r>
    </w:p>
    <w:p>
      <w:pPr>
        <w:pStyle w:val="763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№3 </w:t>
      </w:r>
      <w:r>
        <w:rPr>
          <w:b/>
          <w:sz w:val="24"/>
          <w:szCs w:val="24"/>
        </w:rPr>
        <w:t xml:space="preserve">–</w:t>
      </w:r>
      <w:r>
        <w:rPr>
          <w:sz w:val="24"/>
          <w:szCs w:val="24"/>
        </w:rPr>
        <w:t xml:space="preserve"> Ведомость материалов Подрядчика </w:t>
      </w:r>
      <w:r>
        <w:rPr>
          <w:sz w:val="24"/>
          <w:szCs w:val="24"/>
          <w:highlight w:val="none"/>
        </w:rPr>
      </w:r>
    </w:p>
    <w:p>
      <w:pPr>
        <w:pStyle w:val="763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№4 – Локальный сметный расчет.</w:t>
      </w:r>
      <w:r>
        <w:rPr>
          <w:sz w:val="24"/>
          <w:szCs w:val="24"/>
          <w:highlight w:val="none"/>
        </w:rPr>
      </w:r>
    </w:p>
    <w:p>
      <w:pPr>
        <w:pStyle w:val="763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№5 – Локальные нормативные акты Заказчика.</w:t>
      </w:r>
      <w:r>
        <w:rPr>
          <w:sz w:val="24"/>
          <w:szCs w:val="24"/>
          <w:highlight w:val="none"/>
        </w:rPr>
      </w:r>
    </w:p>
    <w:p>
      <w:pPr>
        <w:pStyle w:val="763"/>
        <w:ind w:left="0" w:right="0" w:firstLine="0"/>
        <w:spacing w:before="0" w:after="62" w:afterAutospacing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sectPr>
      <w:headerReference w:type="default" r:id="rId13"/>
      <w:headerReference w:type="first" r:id="rId14"/>
      <w:footnotePr/>
      <w:endnotePr/>
      <w:type w:val="nextPage"/>
      <w:pgSz w:w="11906" w:h="16838" w:orient="portrait"/>
      <w:pgMar w:top="850" w:right="850" w:bottom="1638" w:left="1134" w:header="68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 (???????? ?????">
    <w:panose1 w:val="02020603050405020304"/>
  </w:font>
  <w:font w:name="calibri light (Заголовки)">
    <w:panose1 w:val="020F0502020204030204"/>
  </w:font>
  <w:font w:name="Courier New">
    <w:panose1 w:val="02070309020205020404"/>
  </w:font>
  <w:font w:name="OpenSymbol">
    <w:panose1 w:val="05010000000000000000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847"/>
                            <w:rPr>
                              <w:rStyle w:val="812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12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12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12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12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12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12"/>
                            </w:rPr>
                          </w:r>
                        </w:p>
                      </w:txbxContent>
                    </wps:txbx>
                    <wps:bodyPr lIns="36360" tIns="-20880" rIns="36360" bIns="-2088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847"/>
                      <w:rPr>
                        <w:rStyle w:val="812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12"/>
                        <w:color w:val="000000"/>
                      </w:rPr>
                      <w:fldChar w:fldCharType="begin"/>
                    </w:r>
                    <w:r>
                      <w:rPr>
                        <w:rStyle w:val="812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12"/>
                        <w:color w:val="000000"/>
                      </w:rPr>
                      <w:fldChar w:fldCharType="separate"/>
                    </w:r>
                    <w:r>
                      <w:rPr>
                        <w:rStyle w:val="812"/>
                        <w:color w:val="000000"/>
                      </w:rPr>
                      <w:t xml:space="preserve">0</w:t>
                    </w:r>
                    <w:r>
                      <w:rPr>
                        <w:rStyle w:val="812"/>
                        <w:color w:val="000000"/>
                      </w:rPr>
                      <w:fldChar w:fldCharType="end"/>
                    </w:r>
                    <w:r>
                      <w:rPr>
                        <w:rStyle w:val="812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15</w:t>
    </w:r>
    <w:r>
      <w:fldChar w:fldCharType="end"/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3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3"/>
      <w:rPr>
        <w:sz w:val="36"/>
        <w:szCs w:val="28"/>
      </w:rPr>
    </w:pPr>
    <w:r>
      <w:rPr>
        <w:sz w:val="36"/>
        <w:szCs w:val="28"/>
      </w:rPr>
    </w:r>
    <w:r>
      <w:rPr>
        <w:sz w:val="36"/>
        <w:szCs w:val="28"/>
      </w:rPr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  <w:tabs>
          <w:tab w:val="num" w:pos="0" w:leader="none"/>
        </w:tabs>
      </w:pPr>
      <w:rPr>
        <w:b w:val="0"/>
        <w:bCs/>
        <w:i w:val="0"/>
        <w:iCs/>
        <w:sz w:val="24"/>
        <w:szCs w:val="24"/>
      </w:rPr>
    </w:lvl>
    <w:lvl w:ilvl="2">
      <w:start w:val="1"/>
      <w:numFmt w:val="decimal"/>
      <w:pStyle w:val="766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2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 w:cs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 w:cs="Symbol"/>
      </w:rPr>
    </w:lvl>
    <w:lvl w:ilvl="5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 w:cs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 w:cs="Symbol"/>
      </w:rPr>
    </w:lvl>
    <w:lvl w:ilvl="8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 w:cs="Symbol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  <w:tabs>
          <w:tab w:val="num" w:pos="0" w:leader="none"/>
        </w:tabs>
      </w:pPr>
      <w:rPr>
        <w:b w:val="0"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0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3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764">
    <w:name w:val="Heading 1"/>
    <w:basedOn w:val="766"/>
    <w:next w:val="763"/>
    <w:link w:val="807"/>
    <w:qFormat/>
    <w:pPr>
      <w:numPr>
        <w:ilvl w:val="0"/>
        <w:numId w:val="0"/>
      </w:numPr>
      <w:outlineLvl w:val="0"/>
    </w:pPr>
    <w:rPr>
      <w:sz w:val="28"/>
      <w:szCs w:val="28"/>
    </w:rPr>
  </w:style>
  <w:style w:type="paragraph" w:styleId="765">
    <w:name w:val="Heading 2"/>
    <w:basedOn w:val="767"/>
    <w:next w:val="763"/>
    <w:link w:val="808"/>
    <w:qFormat/>
    <w:pPr>
      <w:outlineLvl w:val="1"/>
    </w:pPr>
  </w:style>
  <w:style w:type="paragraph" w:styleId="766">
    <w:name w:val="Heading 3"/>
    <w:basedOn w:val="763"/>
    <w:next w:val="763"/>
    <w:link w:val="809"/>
    <w:qFormat/>
    <w:pPr>
      <w:numPr>
        <w:ilvl w:val="2"/>
        <w:numId w:val="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67">
    <w:name w:val="Heading 4"/>
    <w:basedOn w:val="766"/>
    <w:next w:val="763"/>
    <w:link w:val="810"/>
    <w:qFormat/>
    <w:pPr>
      <w:numPr>
        <w:ilvl w:val="0"/>
        <w:numId w:val="0"/>
      </w:numPr>
      <w:ind w:left="432" w:firstLine="0"/>
      <w:outlineLvl w:val="3"/>
    </w:pPr>
    <w:rPr>
      <w:bCs/>
    </w:rPr>
  </w:style>
  <w:style w:type="paragraph" w:styleId="768">
    <w:name w:val="Heading 5"/>
    <w:basedOn w:val="763"/>
    <w:next w:val="763"/>
    <w:link w:val="7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9">
    <w:name w:val="Heading 6"/>
    <w:basedOn w:val="763"/>
    <w:next w:val="763"/>
    <w:link w:val="7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0">
    <w:name w:val="Heading 7"/>
    <w:basedOn w:val="763"/>
    <w:next w:val="763"/>
    <w:link w:val="7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1">
    <w:name w:val="Heading 8"/>
    <w:basedOn w:val="763"/>
    <w:next w:val="763"/>
    <w:link w:val="79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2">
    <w:name w:val="Heading 9"/>
    <w:basedOn w:val="763"/>
    <w:next w:val="763"/>
    <w:link w:val="7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3">
    <w:name w:val="Heading 5 Char"/>
    <w:basedOn w:val="78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74">
    <w:name w:val="Heading 6 Char"/>
    <w:basedOn w:val="78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75">
    <w:name w:val="Heading 7 Char"/>
    <w:basedOn w:val="78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76">
    <w:name w:val="Heading 8 Char"/>
    <w:basedOn w:val="78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77">
    <w:name w:val="Heading 9 Char"/>
    <w:basedOn w:val="78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78">
    <w:name w:val="Title Char"/>
    <w:basedOn w:val="784"/>
    <w:uiPriority w:val="10"/>
    <w:qFormat/>
    <w:rPr>
      <w:sz w:val="48"/>
      <w:szCs w:val="48"/>
    </w:rPr>
  </w:style>
  <w:style w:type="character" w:styleId="779">
    <w:name w:val="Subtitle Char"/>
    <w:basedOn w:val="784"/>
    <w:uiPriority w:val="11"/>
    <w:qFormat/>
    <w:rPr>
      <w:sz w:val="24"/>
      <w:szCs w:val="24"/>
    </w:rPr>
  </w:style>
  <w:style w:type="character" w:styleId="780">
    <w:name w:val="Quote Char"/>
    <w:link w:val="833"/>
    <w:uiPriority w:val="29"/>
    <w:qFormat/>
    <w:rPr>
      <w:i/>
    </w:rPr>
  </w:style>
  <w:style w:type="character" w:styleId="781">
    <w:name w:val="Intense Quote Char"/>
    <w:link w:val="834"/>
    <w:uiPriority w:val="30"/>
    <w:qFormat/>
    <w:rPr>
      <w:i/>
    </w:rPr>
  </w:style>
  <w:style w:type="character" w:styleId="782">
    <w:name w:val="Footnote Text Char"/>
    <w:uiPriority w:val="99"/>
    <w:qFormat/>
    <w:rPr>
      <w:sz w:val="18"/>
    </w:rPr>
  </w:style>
  <w:style w:type="character" w:styleId="783">
    <w:name w:val="Endnote Text Char"/>
    <w:uiPriority w:val="99"/>
    <w:qFormat/>
    <w:rPr>
      <w:sz w:val="20"/>
    </w:rPr>
  </w:style>
  <w:style w:type="character" w:styleId="784" w:default="1">
    <w:name w:val="Default Paragraph Font"/>
    <w:uiPriority w:val="1"/>
    <w:semiHidden/>
    <w:unhideWhenUsed/>
    <w:qFormat/>
  </w:style>
  <w:style w:type="character" w:styleId="785" w:customStyle="1">
    <w:name w:val="Heading 1 Char"/>
    <w:basedOn w:val="784"/>
    <w:uiPriority w:val="9"/>
    <w:qFormat/>
    <w:rPr>
      <w:rFonts w:ascii="Arial" w:hAnsi="Arial" w:eastAsia="Arial" w:cs="Arial"/>
      <w:sz w:val="40"/>
      <w:szCs w:val="40"/>
    </w:rPr>
  </w:style>
  <w:style w:type="character" w:styleId="786" w:customStyle="1">
    <w:name w:val="Heading 2 Char"/>
    <w:basedOn w:val="784"/>
    <w:uiPriority w:val="9"/>
    <w:qFormat/>
    <w:rPr>
      <w:rFonts w:ascii="Arial" w:hAnsi="Arial" w:eastAsia="Arial" w:cs="Arial"/>
      <w:sz w:val="34"/>
    </w:rPr>
  </w:style>
  <w:style w:type="character" w:styleId="787" w:customStyle="1">
    <w:name w:val="Heading 3 Char"/>
    <w:basedOn w:val="784"/>
    <w:uiPriority w:val="9"/>
    <w:qFormat/>
    <w:rPr>
      <w:rFonts w:ascii="Arial" w:hAnsi="Arial" w:eastAsia="Arial" w:cs="Arial"/>
      <w:sz w:val="30"/>
      <w:szCs w:val="30"/>
    </w:rPr>
  </w:style>
  <w:style w:type="character" w:styleId="788" w:customStyle="1">
    <w:name w:val="Heading 4 Char"/>
    <w:basedOn w:val="78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9" w:customStyle="1">
    <w:name w:val="Заголовок 5 Знак"/>
    <w:basedOn w:val="78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0" w:customStyle="1">
    <w:name w:val="Заголовок 6 Знак"/>
    <w:basedOn w:val="78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1" w:customStyle="1">
    <w:name w:val="Заголовок 7 Знак"/>
    <w:basedOn w:val="78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2" w:customStyle="1">
    <w:name w:val="Заголовок 8 Знак"/>
    <w:basedOn w:val="78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3" w:customStyle="1">
    <w:name w:val="Заголовок 9 Знак"/>
    <w:basedOn w:val="78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4" w:customStyle="1">
    <w:name w:val="Название Знак"/>
    <w:basedOn w:val="784"/>
    <w:uiPriority w:val="10"/>
    <w:qFormat/>
    <w:rPr>
      <w:sz w:val="48"/>
      <w:szCs w:val="48"/>
    </w:rPr>
  </w:style>
  <w:style w:type="character" w:styleId="795" w:customStyle="1">
    <w:name w:val="Подзаголовок Знак"/>
    <w:basedOn w:val="784"/>
    <w:uiPriority w:val="11"/>
    <w:qFormat/>
    <w:rPr>
      <w:sz w:val="24"/>
      <w:szCs w:val="24"/>
    </w:rPr>
  </w:style>
  <w:style w:type="character" w:styleId="796" w:customStyle="1">
    <w:name w:val="Цитата 2 Знак"/>
    <w:link w:val="833"/>
    <w:uiPriority w:val="29"/>
    <w:qFormat/>
    <w:rPr>
      <w:i/>
    </w:rPr>
  </w:style>
  <w:style w:type="character" w:styleId="797" w:customStyle="1">
    <w:name w:val="Выделенная цитата Знак"/>
    <w:link w:val="834"/>
    <w:uiPriority w:val="30"/>
    <w:qFormat/>
    <w:rPr>
      <w:i/>
    </w:rPr>
  </w:style>
  <w:style w:type="character" w:styleId="798" w:customStyle="1">
    <w:name w:val="Header Char"/>
    <w:basedOn w:val="784"/>
    <w:uiPriority w:val="99"/>
    <w:qFormat/>
  </w:style>
  <w:style w:type="character" w:styleId="799" w:customStyle="1">
    <w:name w:val="Footer Char"/>
    <w:basedOn w:val="784"/>
    <w:uiPriority w:val="99"/>
    <w:qFormat/>
  </w:style>
  <w:style w:type="character" w:styleId="800" w:customStyle="1">
    <w:name w:val="Caption Char"/>
    <w:uiPriority w:val="99"/>
    <w:qFormat/>
  </w:style>
  <w:style w:type="character" w:styleId="801" w:customStyle="1">
    <w:name w:val="Текст сноски Знак"/>
    <w:uiPriority w:val="99"/>
    <w:qFormat/>
    <w:rPr>
      <w:sz w:val="18"/>
    </w:rPr>
  </w:style>
  <w:style w:type="character" w:styleId="802">
    <w:name w:val="Символ сноски"/>
    <w:uiPriority w:val="99"/>
    <w:unhideWhenUsed/>
    <w:qFormat/>
    <w:rPr>
      <w:vertAlign w:val="superscript"/>
    </w:rPr>
  </w:style>
  <w:style w:type="character" w:styleId="803">
    <w:name w:val="footnote reference"/>
    <w:rPr>
      <w:vertAlign w:val="superscript"/>
    </w:rPr>
  </w:style>
  <w:style w:type="character" w:styleId="804" w:customStyle="1">
    <w:name w:val="Текст концевой сноски Знак"/>
    <w:uiPriority w:val="99"/>
    <w:qFormat/>
    <w:rPr>
      <w:sz w:val="20"/>
    </w:rPr>
  </w:style>
  <w:style w:type="character" w:styleId="80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06">
    <w:name w:val="endnote reference"/>
    <w:rPr>
      <w:vertAlign w:val="superscript"/>
    </w:rPr>
  </w:style>
  <w:style w:type="character" w:styleId="807" w:customStyle="1">
    <w:name w:val="Заголовок 1 Знак"/>
    <w:basedOn w:val="784"/>
    <w:qFormat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808" w:customStyle="1">
    <w:name w:val="Заголовок 2 Знак"/>
    <w:basedOn w:val="784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09" w:customStyle="1">
    <w:name w:val="Заголовок 3 Знак"/>
    <w:basedOn w:val="784"/>
    <w:qFormat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810" w:customStyle="1">
    <w:name w:val="Заголовок 4 Знак"/>
    <w:basedOn w:val="784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11" w:customStyle="1">
    <w:name w:val="Верхний колонтитул Знак"/>
    <w:basedOn w:val="78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2">
    <w:name w:val="page number"/>
    <w:basedOn w:val="784"/>
    <w:qFormat/>
  </w:style>
  <w:style w:type="character" w:styleId="813">
    <w:name w:val="Hyperlink"/>
    <w:uiPriority w:val="99"/>
    <w:rPr>
      <w:color w:val="0000ff"/>
      <w:u w:val="single"/>
    </w:rPr>
  </w:style>
  <w:style w:type="character" w:styleId="814">
    <w:name w:val="annotation reference"/>
    <w:uiPriority w:val="99"/>
    <w:semiHidden/>
    <w:qFormat/>
    <w:rPr>
      <w:sz w:val="16"/>
      <w:szCs w:val="16"/>
    </w:rPr>
  </w:style>
  <w:style w:type="character" w:styleId="815" w:customStyle="1">
    <w:name w:val="Текст примечания Знак"/>
    <w:basedOn w:val="784"/>
    <w:link w:val="850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16" w:customStyle="1">
    <w:name w:val="Абзац списка Знак"/>
    <w:link w:val="852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817" w:customStyle="1">
    <w:name w:val="комментарий"/>
    <w:qFormat/>
    <w:rPr>
      <w:b/>
      <w:i/>
      <w:shd w:val="clear" w:color="auto" w:fill="ffff99"/>
    </w:rPr>
  </w:style>
  <w:style w:type="character" w:styleId="818" w:customStyle="1">
    <w:name w:val="Нижний колонтитул Знак"/>
    <w:basedOn w:val="784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19" w:customStyle="1">
    <w:name w:val="Тема примечания Знак"/>
    <w:basedOn w:val="815"/>
    <w:link w:val="857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820" w:customStyle="1">
    <w:name w:val="Текст выноски Знак"/>
    <w:basedOn w:val="784"/>
    <w:link w:val="859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821">
    <w:name w:val="Ссылка указателя"/>
    <w:qFormat/>
  </w:style>
  <w:style w:type="character" w:styleId="822">
    <w:name w:val="Основной текст Знак"/>
    <w:qFormat/>
    <w:rPr>
      <w:rFonts w:ascii="Times New Roman" w:hAnsi="Times New Roman" w:eastAsia="Times New Roman"/>
    </w:rPr>
  </w:style>
  <w:style w:type="character" w:styleId="823">
    <w:name w:val="Знак примечания"/>
    <w:qFormat/>
    <w:rPr>
      <w:sz w:val="16"/>
      <w:szCs w:val="16"/>
    </w:rPr>
  </w:style>
  <w:style w:type="character" w:styleId="824">
    <w:name w:val="Основной шрифт абзаца"/>
    <w:qFormat/>
  </w:style>
  <w:style w:type="character" w:styleId="825">
    <w:name w:val="Маркеры"/>
    <w:qFormat/>
    <w:rPr>
      <w:rFonts w:ascii="OpenSymbol" w:hAnsi="OpenSymbol" w:eastAsia="OpenSymbol" w:cs="OpenSymbol"/>
    </w:rPr>
  </w:style>
  <w:style w:type="paragraph" w:styleId="826" w:customStyle="1">
    <w:name w:val="Заголовок"/>
    <w:next w:val="827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</w:pPr>
    <w:rPr>
      <w:rFonts w:ascii="Arial" w:hAnsi="Arial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u w:val="none"/>
      <w:vertAlign w:val="baseline"/>
      <w:lang w:val="ru-RU" w:eastAsia="ru-RU" w:bidi="ar-SA"/>
      <w14:ligatures w14:val="none"/>
    </w:rPr>
  </w:style>
  <w:style w:type="paragraph" w:styleId="827">
    <w:name w:val="Body Text"/>
    <w:basedOn w:val="763"/>
    <w:pPr>
      <w:spacing w:before="0" w:after="140" w:line="276" w:lineRule="auto"/>
    </w:pPr>
  </w:style>
  <w:style w:type="paragraph" w:styleId="828">
    <w:name w:val="List"/>
    <w:basedOn w:val="827"/>
    <w:rPr>
      <w:rFonts w:cs="Arial Unicode MS"/>
    </w:rPr>
  </w:style>
  <w:style w:type="paragraph" w:styleId="829">
    <w:name w:val="Caption"/>
    <w:basedOn w:val="763"/>
    <w:next w:val="763"/>
    <w:link w:val="80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830">
    <w:name w:val="Указатель"/>
    <w:basedOn w:val="763"/>
    <w:qFormat/>
    <w:pPr>
      <w:suppressLineNumbers/>
    </w:pPr>
    <w:rPr>
      <w:rFonts w:cs="Arial Unicode MS"/>
    </w:rPr>
  </w:style>
  <w:style w:type="paragraph" w:styleId="831">
    <w:name w:val="Title"/>
    <w:basedOn w:val="763"/>
    <w:next w:val="763"/>
    <w:link w:val="79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32">
    <w:name w:val="Subtitle"/>
    <w:basedOn w:val="763"/>
    <w:next w:val="763"/>
    <w:link w:val="795"/>
    <w:uiPriority w:val="11"/>
    <w:qFormat/>
    <w:pPr>
      <w:spacing w:before="200" w:after="200"/>
    </w:pPr>
    <w:rPr>
      <w:sz w:val="24"/>
      <w:szCs w:val="24"/>
    </w:rPr>
  </w:style>
  <w:style w:type="paragraph" w:styleId="833">
    <w:name w:val="Quote"/>
    <w:basedOn w:val="763"/>
    <w:next w:val="763"/>
    <w:link w:val="796"/>
    <w:uiPriority w:val="29"/>
    <w:qFormat/>
    <w:pPr>
      <w:ind w:left="720" w:right="720" w:firstLine="0"/>
    </w:pPr>
    <w:rPr>
      <w:i/>
    </w:rPr>
  </w:style>
  <w:style w:type="paragraph" w:styleId="834">
    <w:name w:val="Intense Quote"/>
    <w:basedOn w:val="763"/>
    <w:next w:val="763"/>
    <w:link w:val="797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35">
    <w:name w:val="footnote text"/>
    <w:basedOn w:val="763"/>
    <w:link w:val="801"/>
    <w:uiPriority w:val="99"/>
    <w:semiHidden/>
    <w:unhideWhenUsed/>
    <w:pPr>
      <w:spacing w:before="0" w:after="40"/>
    </w:pPr>
    <w:rPr>
      <w:sz w:val="18"/>
    </w:rPr>
  </w:style>
  <w:style w:type="paragraph" w:styleId="836">
    <w:name w:val="endnote text"/>
    <w:basedOn w:val="763"/>
    <w:link w:val="804"/>
    <w:uiPriority w:val="99"/>
    <w:semiHidden/>
    <w:unhideWhenUsed/>
    <w:rPr>
      <w:sz w:val="20"/>
    </w:rPr>
  </w:style>
  <w:style w:type="paragraph" w:styleId="837">
    <w:name w:val="toc 2"/>
    <w:basedOn w:val="763"/>
    <w:next w:val="763"/>
    <w:uiPriority w:val="39"/>
    <w:unhideWhenUsed/>
    <w:pPr>
      <w:ind w:left="283" w:firstLine="0"/>
      <w:spacing w:before="0" w:after="57"/>
    </w:pPr>
  </w:style>
  <w:style w:type="paragraph" w:styleId="838">
    <w:name w:val="toc 5"/>
    <w:basedOn w:val="763"/>
    <w:next w:val="763"/>
    <w:uiPriority w:val="39"/>
    <w:unhideWhenUsed/>
    <w:pPr>
      <w:ind w:left="1134" w:firstLine="0"/>
      <w:spacing w:before="0" w:after="57"/>
    </w:pPr>
  </w:style>
  <w:style w:type="paragraph" w:styleId="839">
    <w:name w:val="toc 6"/>
    <w:basedOn w:val="763"/>
    <w:next w:val="763"/>
    <w:uiPriority w:val="39"/>
    <w:unhideWhenUsed/>
    <w:pPr>
      <w:ind w:left="1417" w:firstLine="0"/>
      <w:spacing w:before="0" w:after="57"/>
    </w:pPr>
  </w:style>
  <w:style w:type="paragraph" w:styleId="840">
    <w:name w:val="toc 7"/>
    <w:basedOn w:val="763"/>
    <w:next w:val="763"/>
    <w:uiPriority w:val="39"/>
    <w:unhideWhenUsed/>
    <w:pPr>
      <w:ind w:left="1701" w:firstLine="0"/>
      <w:spacing w:before="0" w:after="57"/>
    </w:pPr>
  </w:style>
  <w:style w:type="paragraph" w:styleId="841">
    <w:name w:val="toc 8"/>
    <w:basedOn w:val="763"/>
    <w:next w:val="763"/>
    <w:uiPriority w:val="39"/>
    <w:unhideWhenUsed/>
    <w:pPr>
      <w:ind w:left="1984" w:firstLine="0"/>
      <w:spacing w:before="0" w:after="57"/>
    </w:pPr>
  </w:style>
  <w:style w:type="paragraph" w:styleId="842">
    <w:name w:val="toc 9"/>
    <w:basedOn w:val="763"/>
    <w:next w:val="763"/>
    <w:uiPriority w:val="39"/>
    <w:unhideWhenUsed/>
    <w:pPr>
      <w:ind w:left="2268" w:firstLine="0"/>
      <w:spacing w:before="0" w:after="57"/>
    </w:pPr>
  </w:style>
  <w:style w:type="paragraph" w:styleId="843">
    <w:name w:val="Index Heading"/>
    <w:basedOn w:val="826"/>
  </w:style>
  <w:style w:type="paragraph" w:styleId="844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45">
    <w:name w:val="table of figures"/>
    <w:basedOn w:val="763"/>
    <w:next w:val="763"/>
    <w:uiPriority w:val="99"/>
    <w:unhideWhenUsed/>
    <w:qFormat/>
  </w:style>
  <w:style w:type="paragraph" w:styleId="846">
    <w:name w:val="Колонтитул"/>
    <w:basedOn w:val="763"/>
    <w:qFormat/>
  </w:style>
  <w:style w:type="paragraph" w:styleId="847">
    <w:name w:val="Header"/>
    <w:basedOn w:val="763"/>
    <w:link w:val="811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48">
    <w:name w:val="toc 1"/>
    <w:basedOn w:val="763"/>
    <w:next w:val="763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849">
    <w:name w:val="toc 3"/>
    <w:basedOn w:val="763"/>
    <w:next w:val="763"/>
    <w:uiPriority w:val="39"/>
    <w:pPr>
      <w:ind w:left="280" w:firstLine="0"/>
    </w:pPr>
    <w:rPr>
      <w:rFonts w:cs="Calibri" w:cstheme="minorHAnsi"/>
      <w:sz w:val="20"/>
      <w:szCs w:val="20"/>
    </w:rPr>
  </w:style>
  <w:style w:type="paragraph" w:styleId="850">
    <w:name w:val="annotation text"/>
    <w:basedOn w:val="763"/>
    <w:link w:val="815"/>
    <w:qFormat/>
    <w:rPr>
      <w:sz w:val="20"/>
      <w:szCs w:val="20"/>
    </w:rPr>
  </w:style>
  <w:style w:type="paragraph" w:styleId="851">
    <w:name w:val="toc 4"/>
    <w:basedOn w:val="763"/>
    <w:next w:val="763"/>
    <w:uiPriority w:val="39"/>
    <w:pPr>
      <w:ind w:left="560" w:firstLine="0"/>
    </w:pPr>
    <w:rPr>
      <w:rFonts w:cs="Calibri" w:cstheme="minorHAnsi"/>
      <w:sz w:val="20"/>
      <w:szCs w:val="20"/>
    </w:rPr>
  </w:style>
  <w:style w:type="paragraph" w:styleId="852">
    <w:name w:val="List Paragraph"/>
    <w:basedOn w:val="763"/>
    <w:link w:val="816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853" w:customStyle="1">
    <w:name w:val="Таблица"/>
    <w:basedOn w:val="76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854" w:customStyle="1">
    <w:name w:val="Таблица шапка"/>
    <w:basedOn w:val="763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855">
    <w:name w:val="No Spacing"/>
    <w:uiPriority w:val="1"/>
    <w:qFormat/>
    <w:pPr>
      <w:jc w:val="left"/>
      <w:spacing w:before="0" w:beforeAutospacing="0" w:after="0" w:afterAutospacing="0" w:line="240" w:lineRule="auto"/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856">
    <w:name w:val="Footer"/>
    <w:basedOn w:val="763"/>
    <w:link w:val="818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57">
    <w:name w:val="annotation subject"/>
    <w:basedOn w:val="850"/>
    <w:next w:val="850"/>
    <w:link w:val="819"/>
    <w:uiPriority w:val="99"/>
    <w:semiHidden/>
    <w:unhideWhenUsed/>
    <w:qFormat/>
    <w:rPr>
      <w:b/>
      <w:bCs/>
    </w:rPr>
  </w:style>
  <w:style w:type="paragraph" w:styleId="858">
    <w:name w:val="Revision"/>
    <w:uiPriority w:val="99"/>
    <w:semiHidden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859">
    <w:name w:val="Balloon Text"/>
    <w:basedOn w:val="763"/>
    <w:link w:val="82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860" w:customStyle="1">
    <w:name w:val="Абзац списка,Table-Normal,RSHB_Table-Normal,Заголовок_3,Подпись рисунка,Алроса_маркер (Уровень 4),Маркер,ПАРАГРАФ,Абзац списка2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160" w:afterAutospacing="0" w:line="259" w:lineRule="auto"/>
      <w:shd w:val="nil"/>
      <w:widowControl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861" w:customStyle="1">
    <w:name w:val="Абзац списка"/>
    <w:link w:val="789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862" w:customStyle="1">
    <w:name w:val="Основной текст (2)"/>
    <w:qFormat/>
    <w:pPr>
      <w:ind w:left="0" w:right="0" w:hanging="2000"/>
      <w:jc w:val="both"/>
      <w:keepLines w:val="0"/>
      <w:keepNext w:val="0"/>
      <w:pageBreakBefore w:val="0"/>
      <w:spacing w:before="240" w:beforeAutospacing="0" w:after="300" w:afterAutospacing="0" w:line="0" w:lineRule="atLeast"/>
      <w:shd w:val="clear" w:color="auto" w:fill="ffffff"/>
      <w:widowControl w:val="off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u w:val="none"/>
      <w:vertAlign w:val="baseline"/>
      <w:lang w:val="ru-RU" w:eastAsia="ru-RU" w:bidi="ar-SA"/>
      <w14:ligatures w14:val="none"/>
    </w:rPr>
  </w:style>
  <w:style w:type="paragraph" w:styleId="863">
    <w:name w:val="Содержимое врезки"/>
    <w:basedOn w:val="763"/>
    <w:qFormat/>
  </w:style>
  <w:style w:type="paragraph" w:styleId="864">
    <w:name w:val="Абзац списка,Table-Normal,RSHB_Table-Normal,Заголовок_3,Подпись рисунка,Алроса_маркер (Уровень 4),Маркер,ПАРАГРАФ,Абзац списка2,Bullet List,FooterText,numbered,Абзац основного текста,Текстовая"/>
    <w:qFormat/>
    <w:pPr>
      <w:contextualSpacing/>
      <w:ind w:left="720" w:firstLine="0"/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sz w:val="24"/>
      <w:szCs w:val="24"/>
      <w:u w:val="none"/>
      <w:lang w:val="ru-RU" w:eastAsia="ru-RU" w:bidi="ar-SA"/>
    </w:rPr>
  </w:style>
  <w:style w:type="paragraph" w:styleId="865">
    <w:name w:val="Абзац списка;Table-Normal;RSHB_Table-Normal"/>
    <w:qFormat/>
    <w:pPr>
      <w:contextualSpacing/>
      <w:ind w:left="720" w:firstLine="0"/>
      <w:jc w:val="left"/>
      <w:spacing w:before="0" w:beforeAutospacing="0" w:after="160" w:afterAutospacing="0" w:line="252" w:lineRule="auto"/>
      <w:widowControl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sz w:val="22"/>
      <w:szCs w:val="22"/>
      <w:u w:val="none"/>
      <w:lang w:val="ru-RU" w:eastAsia="en-US" w:bidi="ar-SA"/>
    </w:rPr>
  </w:style>
  <w:style w:type="paragraph" w:styleId="866">
    <w:name w:val="Знак Знак Знак2 Знак1 Знак Знак Знак Знак"/>
    <w:basedOn w:val="763"/>
    <w:qFormat/>
    <w:pPr>
      <w:spacing w:beforeAutospacing="1" w:afterAutospacing="1" w:line="240" w:lineRule="exact"/>
    </w:pPr>
    <w:rPr>
      <w:rFonts w:ascii="Tahoma" w:hAnsi="Tahoma" w:eastAsia="Times New Roman"/>
      <w:sz w:val="20"/>
      <w:szCs w:val="20"/>
      <w:lang w:val="en-US"/>
    </w:rPr>
  </w:style>
  <w:style w:type="paragraph" w:styleId="867">
    <w:name w:val="Маркированный список 4"/>
    <w:basedOn w:val="763"/>
    <w:qFormat/>
    <w:pPr>
      <w:spacing w:before="0" w:after="0" w:line="240" w:lineRule="exact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868">
    <w:name w:val="Текст выноски"/>
    <w:basedOn w:val="763"/>
    <w:qFormat/>
    <w:pPr>
      <w:spacing w:before="0" w:after="0" w:line="240" w:lineRule="exact"/>
    </w:pPr>
    <w:rPr>
      <w:rFonts w:ascii="Tahoma" w:hAnsi="Tahoma" w:cs="Tahoma"/>
      <w:sz w:val="16"/>
      <w:szCs w:val="16"/>
    </w:rPr>
  </w:style>
  <w:style w:type="paragraph" w:styleId="869">
    <w:name w:val="Рецензия"/>
    <w:qFormat/>
    <w:pPr>
      <w:jc w:val="left"/>
      <w:spacing w:before="0" w:after="0" w:line="259" w:lineRule="auto"/>
      <w:widowControl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870">
    <w:name w:val="Тема примечания"/>
    <w:qFormat/>
    <w:pPr>
      <w:jc w:val="left"/>
      <w:spacing w:before="0" w:beforeAutospacing="0" w:after="160" w:afterAutospacing="0" w:line="240" w:lineRule="exact"/>
      <w:widowControl/>
    </w:pPr>
    <w:rPr>
      <w:rFonts w:ascii="Calibri" w:hAnsi="Calibri" w:eastAsia="Calibri" w:cs="Arial" w:asciiTheme="minorHAnsi" w:hAnsiTheme="minorHAnsi" w:eastAsiaTheme="minorHAnsi" w:cstheme="minorBidi"/>
      <w:b/>
      <w:bCs/>
      <w:color w:val="auto"/>
      <w:sz w:val="20"/>
      <w:szCs w:val="20"/>
      <w:lang w:val="ru-RU" w:eastAsia="en-US" w:bidi="ar-SA"/>
    </w:rPr>
  </w:style>
  <w:style w:type="paragraph" w:styleId="871">
    <w:name w:val="Текст примечания"/>
    <w:basedOn w:val="763"/>
    <w:qFormat/>
    <w:pPr>
      <w:spacing w:line="240" w:lineRule="exact"/>
    </w:pPr>
    <w:rPr>
      <w:sz w:val="20"/>
      <w:szCs w:val="20"/>
    </w:rPr>
  </w:style>
  <w:style w:type="paragraph" w:styleId="872">
    <w:name w:val="Без интервала"/>
    <w:qFormat/>
    <w:pPr>
      <w:jc w:val="left"/>
      <w:spacing w:before="0" w:after="0" w:line="259" w:lineRule="auto"/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873">
    <w:name w:val="Содержимое таблицы"/>
    <w:basedOn w:val="763"/>
    <w:qFormat/>
    <w:pPr>
      <w:widowControl w:val="off"/>
      <w:suppressLineNumbers/>
    </w:pPr>
  </w:style>
  <w:style w:type="paragraph" w:styleId="874">
    <w:name w:val="Заголовок таблицы"/>
    <w:basedOn w:val="873"/>
    <w:qFormat/>
    <w:pPr>
      <w:jc w:val="center"/>
      <w:suppressLineNumbers/>
    </w:pPr>
    <w:rPr>
      <w:b/>
      <w:bCs/>
    </w:rPr>
  </w:style>
  <w:style w:type="paragraph" w:styleId="875">
    <w:name w:val="[РГ] Текст"/>
    <w:qFormat/>
    <w:pPr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u w:val="none"/>
      <w:vertAlign w:val="baseline"/>
      <w:lang w:val="ru-RU" w:eastAsia="en-US" w:bidi="ar-SA"/>
      <w14:ligatures w14:val="none"/>
    </w:rPr>
  </w:style>
  <w:style w:type="numbering" w:styleId="876" w:default="1">
    <w:name w:val="No List"/>
    <w:uiPriority w:val="99"/>
    <w:semiHidden/>
    <w:unhideWhenUsed/>
    <w:qFormat/>
  </w:style>
  <w:style w:type="numbering" w:styleId="877">
    <w:name w:val="23449391441"/>
    <w:qFormat/>
  </w:style>
  <w:style w:type="table" w:styleId="878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79" w:customStyle="1">
    <w:name w:val="Table Grid Light"/>
    <w:basedOn w:val="87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80" w:customStyle="1">
    <w:name w:val="Plain Table 1"/>
    <w:basedOn w:val="87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81" w:customStyle="1">
    <w:name w:val="Plain Table 2"/>
    <w:basedOn w:val="87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82" w:customStyle="1">
    <w:name w:val="Plain Table 3"/>
    <w:basedOn w:val="87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3" w:customStyle="1">
    <w:name w:val="Plain Table 4"/>
    <w:basedOn w:val="87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Plain Table 5"/>
    <w:basedOn w:val="87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1 Light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Grid Table 1 Light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Grid Table 1 Light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Grid Table 1 Light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Grid Table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2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2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2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3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3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3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4"/>
    <w:basedOn w:val="87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7" w:customStyle="1">
    <w:name w:val="Grid Table 4 - Accent 1"/>
    <w:basedOn w:val="87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sz="4" w:space="0"/>
        </w:tcBorders>
      </w:tcPr>
    </w:tblStylePr>
  </w:style>
  <w:style w:type="table" w:styleId="908" w:customStyle="1">
    <w:name w:val="Grid Table 4 - Accent 2"/>
    <w:basedOn w:val="87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909" w:customStyle="1">
    <w:name w:val="Grid Table 4 - Accent 3"/>
    <w:basedOn w:val="87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910" w:customStyle="1">
    <w:name w:val="Grid Table 4 - Accent 4"/>
    <w:basedOn w:val="87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911" w:customStyle="1">
    <w:name w:val="Grid Table 4 - Accent 5"/>
    <w:basedOn w:val="87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12" w:customStyle="1">
    <w:name w:val="Grid Table 4 - Accent 6"/>
    <w:basedOn w:val="87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13" w:customStyle="1">
    <w:name w:val="Grid Table 5 Dark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917" w:customStyle="1">
    <w:name w:val="Grid Table 5 Dark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918" w:customStyle="1">
    <w:name w:val="Grid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919" w:customStyle="1">
    <w:name w:val="Grid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920" w:customStyle="1">
    <w:name w:val="Grid Table 6 Colorful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21" w:customStyle="1">
    <w:name w:val="Grid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22" w:customStyle="1">
    <w:name w:val="Grid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23" w:customStyle="1">
    <w:name w:val="Grid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24" w:customStyle="1">
    <w:name w:val="Grid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25" w:customStyle="1">
    <w:name w:val="Grid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26" w:customStyle="1">
    <w:name w:val="Grid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27" w:customStyle="1">
    <w:name w:val="Grid Table 7 Colorful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"/>
    <w:basedOn w:val="87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1"/>
    <w:basedOn w:val="87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2"/>
    <w:basedOn w:val="87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3"/>
    <w:basedOn w:val="87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1 Light - Accent 4"/>
    <w:basedOn w:val="87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1 Light - Accent 5"/>
    <w:basedOn w:val="87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1 Light - Accent 6"/>
    <w:basedOn w:val="87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942" w:customStyle="1">
    <w:name w:val="List Table 2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943" w:customStyle="1">
    <w:name w:val="List Table 2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944" w:customStyle="1">
    <w:name w:val="List Table 2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945" w:customStyle="1">
    <w:name w:val="List Table 2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946" w:customStyle="1">
    <w:name w:val="List Table 2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947" w:customStyle="1">
    <w:name w:val="List Table 2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948" w:customStyle="1">
    <w:name w:val="List Table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3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3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3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4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4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4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5 Dark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3" w:customStyle="1">
    <w:name w:val="List Table 5 Dark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4" w:customStyle="1">
    <w:name w:val="List Table 5 Dark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5" w:customStyle="1">
    <w:name w:val="List Table 5 Dark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6" w:customStyle="1">
    <w:name w:val="List Table 5 Dark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7" w:customStyle="1">
    <w:name w:val="List Table 5 Dark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8" w:customStyle="1">
    <w:name w:val="List Table 5 Dark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9" w:customStyle="1">
    <w:name w:val="List Table 6 Colorful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970" w:customStyle="1">
    <w:name w:val="List Table 6 Colorful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71" w:customStyle="1">
    <w:name w:val="List Table 6 Colorful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972" w:customStyle="1">
    <w:name w:val="List Table 6 Colorful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973" w:customStyle="1">
    <w:name w:val="List Table 6 Colorful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974" w:customStyle="1">
    <w:name w:val="List Table 6 Colorful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975" w:customStyle="1">
    <w:name w:val="List Table 6 Colorful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976" w:customStyle="1">
    <w:name w:val="List Table 7 Colorful"/>
    <w:basedOn w:val="87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7 Colorful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7 Colorful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7 Colorful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7 Colorful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7 Colorful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7 Colorful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ned - Accent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84" w:customStyle="1">
    <w:name w:val="Lined - Accent 1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85" w:customStyle="1">
    <w:name w:val="Lined - Accent 2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86" w:customStyle="1">
    <w:name w:val="Lined - Accent 3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87" w:customStyle="1">
    <w:name w:val="Lined - Accent 4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88" w:customStyle="1">
    <w:name w:val="Lined - Accent 5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89" w:customStyle="1">
    <w:name w:val="Lined - Accent 6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90" w:customStyle="1">
    <w:name w:val="Bordered &amp; Lined - Accent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91" w:customStyle="1">
    <w:name w:val="Bordered &amp; Lined - Accent 1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92" w:customStyle="1">
    <w:name w:val="Bordered &amp; Lined - Accent 2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93" w:customStyle="1">
    <w:name w:val="Bordered &amp; Lined - Accent 3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94" w:customStyle="1">
    <w:name w:val="Bordered &amp; Lined - Accent 4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95" w:customStyle="1">
    <w:name w:val="Bordered &amp; Lined - Accent 5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96" w:customStyle="1">
    <w:name w:val="Bordered &amp; Lined - Accent 6"/>
    <w:basedOn w:val="87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97" w:customStyle="1">
    <w:name w:val="Bordered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98" w:customStyle="1">
    <w:name w:val="Bordered - Accent 1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99" w:customStyle="1">
    <w:name w:val="Bordered - Accent 2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1000" w:customStyle="1">
    <w:name w:val="Bordered - Accent 3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1001" w:customStyle="1">
    <w:name w:val="Bordered - Accent 4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1002" w:customStyle="1">
    <w:name w:val="Bordered - Accent 5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1003" w:customStyle="1">
    <w:name w:val="Bordered - Accent 6"/>
    <w:basedOn w:val="8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1004">
    <w:name w:val="Table Grid"/>
    <w:basedOn w:val="878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05" w:customStyle="1">
    <w:name w:val="Сетка таблицы2"/>
    <w:basedOn w:val="878"/>
    <w:pPr>
      <w:ind w:right="0"/>
      <w:jc w:val="left"/>
      <w:spacing w:before="0" w:after="0" w:line="240" w:lineRule="auto"/>
    </w:pPr>
    <w:rPr>
      <w:b w:val="0"/>
      <w:bCs w:val="0"/>
      <w:i w:val="0"/>
      <w:caps w:val="0"/>
      <w:smallCaps w:val="0"/>
      <w:color w:val="auto"/>
      <w:spacing w:val="0"/>
      <w:sz w:val="20"/>
      <w:szCs w:val="20"/>
      <w:lang w:val="ru-RU" w:eastAsia="ru-RU" w:bidi="ar-SA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vAlign w:val="top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yperlink" Target="mailto:Gazetdinova-NR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Крищенко Павел Иванович</dc:creator>
  <dc:description/>
  <dc:language>ru-RU</dc:language>
  <cp:revision>154</cp:revision>
  <dcterms:created xsi:type="dcterms:W3CDTF">2023-01-31T01:55:00Z</dcterms:created>
  <dcterms:modified xsi:type="dcterms:W3CDTF">2026-06-24T06:52:16Z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