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custom.xml" ContentType="application/vnd.openxmlformats-officedocument.custom-properties+xml"/>
  <Override PartName="/docProps/app.xml" ContentType="application/vnd.openxmlformats-officedocument.extended-properties+xml"/>
  <Override PartName="/word/footer10.xml" ContentType="application/vnd.openxmlformats-officedocument.wordprocessingml.footer+xml"/>
  <Override PartName="/word/footer2.xml" ContentType="application/vnd.openxmlformats-officedocument.wordprocessingml.footer+xml"/>
  <Override PartName="/word/header12.xml" ContentType="application/vnd.openxmlformats-officedocument.wordprocessingml.header+xml"/>
  <Override PartName="/word/settings.xml" ContentType="application/vnd.openxmlformats-officedocument.wordprocessingml.settings+xml"/>
  <Override PartName="/word/header9.xml" ContentType="application/vnd.openxmlformats-officedocument.wordprocessingml.header+xml"/>
  <Override PartName="/word/header11.xml" ContentType="application/vnd.openxmlformats-officedocument.wordprocessingml.header+xml"/>
  <Override PartName="/word/header8.xml" ContentType="application/vnd.openxmlformats-officedocument.wordprocessingml.header+xml"/>
  <Override PartName="/word/header10.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15.xml" ContentType="application/vnd.openxmlformats-officedocument.wordprocessingml.footer+xml"/>
  <Override PartName="/word/numbering.xml" ContentType="application/vnd.openxmlformats-officedocument.wordprocessingml.numbering+xml"/>
  <Override PartName="/word/header2.xml" ContentType="application/vnd.openxmlformats-officedocument.wordprocessingml.header+xml"/>
  <Override PartName="/word/footer17.xml" ContentType="application/vnd.openxmlformats-officedocument.wordprocessingml.footer+xml"/>
  <Override PartName="/word/footer9.xml" ContentType="application/vnd.openxmlformats-officedocument.wordprocessingml.footer+xml"/>
  <Override PartName="/word/footer13.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embeddings/oleObject1.docx" ContentType="application/vnd.openxmlformats-officedocument.wordprocessingml.document"/>
  <Override PartName="/word/embeddings/oleObject2.docx" ContentType="application/vnd.openxmlformats-officedocument.wordprocessingml.document"/>
  <Override PartName="/word/embeddings/oleObject3.docx" ContentType="application/vnd.openxmlformats-officedocument.wordprocessingml.document"/>
  <Override PartName="/word/embeddings/oleObject4.xlsx" ContentType="application/vnd.openxmlformats-officedocument.spreadsheetml.sheet"/>
  <Override PartName="/word/embeddings/oleObject5.docx" ContentType="application/vnd.openxmlformats-officedocument.wordprocessingml.document"/>
  <Override PartName="/word/header14.xml" ContentType="application/vnd.openxmlformats-officedocument.wordprocessingml.header+xml"/>
  <Override PartName="/word/media/image1.wmf" ContentType="image/x-wmf"/>
  <Override PartName="/word/media/image2.wmf" ContentType="image/x-wmf"/>
  <Override PartName="/word/media/image3.wmf" ContentType="image/x-wmf"/>
  <Override PartName="/word/media/image4.wmf" ContentType="image/x-wmf"/>
  <Override PartName="/word/media/image5.wmf" ContentType="image/x-wmf"/>
  <Override PartName="/word/header15.xml" ContentType="application/vnd.openxmlformats-officedocument.wordprocessingml.header+xml"/>
  <Override PartName="/word/header13.xml" ContentType="application/vnd.openxmlformats-officedocument.wordprocessingml.header+xml"/>
  <Override PartName="/word/header3.xml" ContentType="application/vnd.openxmlformats-officedocument.wordprocessingml.header+xml"/>
  <Override PartName="/word/footnotes.xml" ContentType="application/vnd.openxmlformats-officedocument.wordprocessingml.footnotes+xml"/>
  <Override PartName="/word/theme/theme1.xml" ContentType="application/vnd.openxmlformats-officedocument.theme+xml"/>
  <Override PartName="/word/footer12.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_rels/document.xml.rels" ContentType="application/vnd.openxmlformats-package.relationships+xml"/>
  <Override PartName="/word/footer8.xml" ContentType="application/vnd.openxmlformats-officedocument.wordprocessingml.footer+xml"/>
  <Override PartName="/word/footer16.xml" ContentType="application/vnd.openxmlformats-officedocument.wordprocessingml.footer+xml"/>
  <Override PartName="/word/fontTable.xml" ContentType="application/vnd.openxmlformats-officedocument.wordprocessingml.fontTable+xml"/>
  <Override PartName="/word/footer14.xml" ContentType="application/vnd.openxmlformats-officedocument.wordprocessingml.footer+xml"/>
  <Override PartName="/word/footer6.xml" ContentType="application/vnd.openxmlformats-officedocument.wordprocessingml.footer+xml"/>
  <Override PartName="/word/styles.xml" ContentType="application/vnd.openxmlformats-officedocument.wordprocessingml.styles+xml"/>
  <Override PartName="/word/footer1.xml" ContentType="application/vnd.openxmlformats-officedocument.wordprocessingml.footer+xml"/>
  <Override PartName="/word/footer3.xml" ContentType="application/vnd.openxmlformats-officedocument.wordprocessingml.footer+xml"/>
  <Override PartName="/word/footer11.xml" ContentType="application/vnd.openxmlformats-officedocument.wordprocessingml.footer+xml"/>
  <Override PartName="/word/document.xml" ContentType="application/vnd.openxmlformats-officedocument.wordprocessingml.document.main+xml"/>
  <Override PartName="/word/header6.xml" ContentType="application/vnd.openxmlformats-officedocument.wordprocessingml.header+xml"/>
  <Override PartName="/word/header5.xml" ContentType="application/vnd.openxmlformats-officedocument.wordprocessingml.header+xml"/>
  <Override PartName="/customXml/_rels/item1.xml.rels" ContentType="application/vnd.openxmlformats-package.relationships+xml"/>
  <Override PartName="/customXml/item1.xml" ContentType="application/xml"/>
  <Override PartName="/customXml/itemProps1.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Style23"/>
        <w:keepNext w:val="true"/>
        <w:spacing w:before="120" w:after="0"/>
        <w:ind w:left="4536"/>
        <w:rPr/>
      </w:pPr>
      <w:r>
        <w:rPr/>
        <w:t>«УТВЕРЖДАЮ»</w:t>
      </w:r>
    </w:p>
    <w:p>
      <w:pPr>
        <w:pStyle w:val="Normal"/>
        <w:keepNext w:val="true"/>
        <w:keepLines/>
        <w:spacing w:lineRule="auto" w:line="240"/>
        <w:ind w:hanging="0" w:left="4536"/>
        <w:jc w:val="both"/>
        <w:rPr>
          <w:szCs w:val="28"/>
        </w:rPr>
      </w:pPr>
      <w:r>
        <w:rPr>
          <w:sz w:val="26"/>
          <w:szCs w:val="26"/>
        </w:rPr>
        <w:t>Председатель закупочной комиссии 1-го уровня – Заместитель Генерального директора по управлению ресурсами АО «ДГК»</w:t>
      </w:r>
    </w:p>
    <w:p>
      <w:pPr>
        <w:pStyle w:val="Normal"/>
        <w:keepNext w:val="true"/>
        <w:keepLines/>
        <w:spacing w:lineRule="auto" w:line="240"/>
        <w:ind w:hanging="0" w:left="4536"/>
        <w:jc w:val="right"/>
        <w:rPr>
          <w:sz w:val="24"/>
          <w:szCs w:val="24"/>
          <w:highlight w:val="none"/>
        </w:rPr>
      </w:pPr>
      <w:r>
        <w:rPr>
          <w:sz w:val="24"/>
          <w:szCs w:val="24"/>
        </w:rPr>
      </w:r>
    </w:p>
    <w:p>
      <w:pPr>
        <w:pStyle w:val="Normal"/>
        <w:keepNext w:val="true"/>
        <w:keepLines/>
        <w:spacing w:lineRule="auto" w:line="240"/>
        <w:ind w:hanging="0" w:left="4536"/>
        <w:jc w:val="right"/>
        <w:rPr>
          <w:sz w:val="24"/>
          <w:szCs w:val="24"/>
          <w:highlight w:val="none"/>
        </w:rPr>
      </w:pPr>
      <w:r>
        <w:rPr>
          <w:sz w:val="26"/>
          <w:szCs w:val="26"/>
        </w:rPr>
        <w:t>________________Д.А. Богонатов</w:t>
      </w:r>
    </w:p>
    <w:p>
      <w:pPr>
        <w:pStyle w:val="Normal"/>
        <w:keepNext w:val="true"/>
        <w:keepLines/>
        <w:spacing w:lineRule="auto" w:line="240"/>
        <w:ind w:hanging="0" w:left="4536"/>
        <w:jc w:val="center"/>
        <w:rPr>
          <w:szCs w:val="28"/>
        </w:rPr>
      </w:pPr>
      <w:r>
        <w:rPr>
          <w:sz w:val="26"/>
          <w:szCs w:val="26"/>
        </w:rPr>
        <w:t xml:space="preserve">                 </w:t>
      </w:r>
      <w:r>
        <w:rPr>
          <w:sz w:val="26"/>
          <w:szCs w:val="26"/>
        </w:rPr>
        <w:t xml:space="preserve">«___»_______________ 2026г </w:t>
      </w:r>
    </w:p>
    <w:p>
      <w:pPr>
        <w:pStyle w:val="Style23"/>
        <w:rPr/>
      </w:pPr>
      <w:r>
        <w:rPr/>
      </w:r>
    </w:p>
    <w:p>
      <w:pPr>
        <w:pStyle w:val="Style23"/>
        <w:rPr/>
      </w:pPr>
      <w:r>
        <w:rPr/>
      </w:r>
    </w:p>
    <w:p>
      <w:pPr>
        <w:pStyle w:val="Style23"/>
        <w:rPr/>
      </w:pPr>
      <w:r>
        <w:rPr/>
      </w:r>
    </w:p>
    <w:p>
      <w:pPr>
        <w:pStyle w:val="Style23"/>
        <w:rPr/>
      </w:pPr>
      <w:r>
        <w:rPr/>
      </w:r>
    </w:p>
    <w:p>
      <w:pPr>
        <w:pStyle w:val="Style23"/>
        <w:rPr/>
      </w:pPr>
      <w:r>
        <w:rPr/>
      </w:r>
    </w:p>
    <w:p>
      <w:pPr>
        <w:pStyle w:val="Style23"/>
        <w:keepNext w:val="true"/>
        <w:numPr>
          <w:ilvl w:val="0"/>
          <w:numId w:val="0"/>
        </w:numPr>
        <w:ind w:hanging="0" w:left="0"/>
        <w:jc w:val="center"/>
        <w:outlineLvl w:val="2"/>
        <w:rPr>
          <w:b/>
          <w:bCs/>
          <w:caps/>
        </w:rPr>
      </w:pPr>
      <w:r>
        <w:rPr>
          <w:b/>
          <w:bCs/>
          <w:caps/>
        </w:rPr>
        <w:t>Документация о закупке</w:t>
      </w:r>
    </w:p>
    <w:p>
      <w:pPr>
        <w:pStyle w:val="Style23"/>
        <w:keepNext w:val="true"/>
        <w:spacing w:before="240" w:after="0"/>
        <w:jc w:val="center"/>
        <w:rPr>
          <w:sz w:val="28"/>
          <w:szCs w:val="28"/>
        </w:rPr>
      </w:pPr>
      <w:r>
        <w:rPr>
          <w:sz w:val="28"/>
          <w:szCs w:val="28"/>
        </w:rPr>
        <w:t>Конкурс в электронной форме,</w:t>
        <w:br/>
        <w:t>на право заключения договора на «ОКПД2 80.10.12.000 Оказание услуг охраны не категорированных объектов в г.Артем, г.Владивосток, г.Партизанск, не подлежащих государственным видам охраны».</w:t>
      </w:r>
    </w:p>
    <w:p>
      <w:pPr>
        <w:sectPr>
          <w:footerReference w:type="default" r:id="rId2"/>
          <w:type w:val="nextPage"/>
          <w:pgSz w:w="11906" w:h="16838"/>
          <w:pgMar w:left="1134" w:right="850" w:gutter="0" w:header="0" w:top="851" w:footer="567" w:bottom="851"/>
          <w:pgNumType w:fmt="decimal"/>
          <w:formProt w:val="false"/>
          <w:textDirection w:val="lrTb"/>
          <w:docGrid w:type="default" w:linePitch="360" w:charSpace="0"/>
        </w:sectPr>
        <w:pStyle w:val="Style23"/>
        <w:keepNext w:val="true"/>
        <w:spacing w:before="240" w:after="0"/>
        <w:jc w:val="center"/>
        <w:rPr>
          <w:sz w:val="28"/>
          <w:szCs w:val="28"/>
        </w:rPr>
      </w:pPr>
      <w:r>
        <w:rPr>
          <w:sz w:val="28"/>
          <w:szCs w:val="28"/>
        </w:rPr>
        <w:t>(Лот №41013016-ЭКСП БЕЗ-2027-ДГК)</w:t>
      </w:r>
    </w:p>
    <w:p>
      <w:pPr>
        <w:pStyle w:val="Style22"/>
        <w:numPr>
          <w:ilvl w:val="0"/>
          <w:numId w:val="0"/>
        </w:numPr>
        <w:ind w:hanging="0" w:left="0"/>
        <w:outlineLvl w:val="2"/>
        <w:rPr/>
      </w:pPr>
      <w:r>
        <w:rPr/>
        <w:t>Содержание</w:t>
      </w:r>
    </w:p>
    <w:sdt>
      <w:sdtPr>
        <w:docPartObj>
          <w:docPartGallery w:val="Table of Contents"/>
          <w:docPartUnique w:val="true"/>
        </w:docPartObj>
      </w:sdtPr>
      <w:sdtContent>
        <w:p>
          <w:pPr>
            <w:pStyle w:val="TOC1"/>
            <w:rPr>
              <w:rFonts w:ascii="Calibri" w:hAnsi="Calibri" w:eastAsia="Arial" w:asciiTheme="minorHAnsi" w:eastAsiaTheme="minorEastAsia" w:hAnsiTheme="minorHAnsi"/>
              <w:b w:val="false"/>
              <w:caps w:val="false"/>
              <w:smallCaps w:val="false"/>
              <w:sz w:val="24"/>
              <w:szCs w:val="24"/>
              <w:lang w:eastAsia="ru-RU"/>
              <w14:ligatures w14:val="standardContextual"/>
            </w:rPr>
          </w:pPr>
          <w:r>
            <w:fldChar w:fldCharType="begin"/>
          </w:r>
          <w:r>
            <w:rPr>
              <w:webHidden/>
              <w:rStyle w:val="Style13"/>
              <w:vanish w:val="false"/>
            </w:rPr>
            <w:instrText xml:space="preserve"> TOC \z \u \t "[РГ] Перечисление,5,[РГ] Подпункт,4,[РГ] Пункт,3,[РГ] Подраздел,2,[РГ] Раздел,1,[РГ] Раздел,1,[РГ] Раздел,1,[РГ] Раздел,1,[РГ] Раздел,1,[РГ] Раздел,1,[РГ] Раздел,1,[РГ] Раздел,1,[РГ] Подраздел,2,[РГ] Подраздел,2,[РГ] Подраздел,2,[РГ] Подраздел,2,[РГ] Подраздел,2,[РГ] Подраздел,2,[РГ] Подраздел,2,[РГ] Пункт,3,[РГ] Пункт,3,[РГ] Пункт,3,[РГ] Пункт,3,[РГ] Пункт,3,[РГ] Пункт,3,[РГ] Подпункт,4,[РГ] Подпункт,4,[РГ] Подпункт,4,[РГ] Подпункт,4,[РГ] Подпункт,4,[РГ] Подпункт,4,[РГ] Перечисление,5,[РГ] Перечисление,5,[РГ] Перечисление,5,[РГ] Перечисление,5,[РГ] Перечисление,5,[РГ] Перечисление,5" \h</w:instrText>
          </w:r>
          <w:r>
            <w:rPr>
              <w:webHidden/>
              <w:rStyle w:val="Style13"/>
              <w:vanish w:val="false"/>
            </w:rPr>
            <w:fldChar w:fldCharType="separate"/>
          </w:r>
          <w:hyperlink w:anchor="_Toc230928825" w:tgtFrame="#_Toc230928825">
            <w:r>
              <w:rPr>
                <w:webHidden/>
              </w:rPr>
              <w:fldChar w:fldCharType="begin"/>
            </w:r>
            <w:r>
              <w:rPr>
                <w:webHidden/>
              </w:rPr>
              <w:instrText xml:space="preserve">PAGEREF _Toc230928825 \h</w:instrText>
            </w:r>
            <w:r>
              <w:rPr>
                <w:webHidden/>
              </w:rPr>
              <w:fldChar w:fldCharType="separate"/>
            </w:r>
            <w:r>
              <w:rPr>
                <w:webHidden/>
                <w:rStyle w:val="Style13"/>
                <w:vanish w:val="false"/>
              </w:rPr>
              <w:t>Сокращения</w:t>
              <w:tab/>
              <w:t>6</w:t>
            </w:r>
            <w:r>
              <w:rPr>
                <w:webHidden/>
              </w:rPr>
              <w:fldChar w:fldCharType="end"/>
            </w:r>
          </w:hyperlink>
        </w:p>
        <w:p>
          <w:pPr>
            <w:pStyle w:val="TOC1"/>
            <w:rPr>
              <w:rFonts w:ascii="Calibri" w:hAnsi="Calibri" w:eastAsia="Arial" w:asciiTheme="minorHAnsi" w:eastAsiaTheme="minorEastAsia" w:hAnsiTheme="minorHAnsi"/>
              <w:b w:val="false"/>
              <w:caps w:val="false"/>
              <w:smallCaps w:val="false"/>
              <w:sz w:val="24"/>
              <w:szCs w:val="24"/>
              <w:lang w:eastAsia="ru-RU"/>
              <w14:ligatures w14:val="standardContextual"/>
            </w:rPr>
          </w:pPr>
          <w:hyperlink w:anchor="_Toc230928826" w:tgtFrame="#_Toc230928826">
            <w:r>
              <w:rPr>
                <w:webHidden/>
              </w:rPr>
              <w:fldChar w:fldCharType="begin"/>
            </w:r>
            <w:r>
              <w:rPr>
                <w:webHidden/>
              </w:rPr>
              <w:instrText xml:space="preserve">PAGEREF _Toc230928826 \h</w:instrText>
            </w:r>
            <w:r>
              <w:rPr>
                <w:webHidden/>
              </w:rPr>
              <w:fldChar w:fldCharType="separate"/>
            </w:r>
            <w:r>
              <w:rPr>
                <w:webHidden/>
                <w:rStyle w:val="Style13"/>
                <w:vanish w:val="false"/>
              </w:rPr>
              <w:t>Термины и определения</w:t>
              <w:tab/>
              <w:t>8</w:t>
            </w:r>
            <w:r>
              <w:rPr>
                <w:webHidden/>
              </w:rPr>
              <w:fldChar w:fldCharType="end"/>
            </w:r>
          </w:hyperlink>
        </w:p>
        <w:p>
          <w:pPr>
            <w:pStyle w:val="TOC1"/>
            <w:rPr>
              <w:rFonts w:ascii="Calibri" w:hAnsi="Calibri" w:eastAsia="Arial" w:asciiTheme="minorHAnsi" w:eastAsiaTheme="minorEastAsia" w:hAnsiTheme="minorHAnsi"/>
              <w:b w:val="false"/>
              <w:caps w:val="false"/>
              <w:smallCaps w:val="false"/>
              <w:sz w:val="24"/>
              <w:szCs w:val="24"/>
              <w:lang w:eastAsia="ru-RU"/>
              <w14:ligatures w14:val="standardContextual"/>
            </w:rPr>
          </w:pPr>
          <w:hyperlink w:anchor="_Toc230928827" w:tgtFrame="#_Toc230928827">
            <w:r>
              <w:rPr>
                <w:webHidden/>
                <w:rStyle w:val="Style13"/>
                <w:vanish w:val="false"/>
              </w:rPr>
              <w:t>1.</w:t>
            </w:r>
            <w:r>
              <w:rPr>
                <w:rStyle w:val="Style13"/>
                <w:rFonts w:eastAsia="Arial" w:ascii="Calibri" w:hAnsi="Calibri" w:asciiTheme="minorHAnsi" w:eastAsiaTheme="minorEastAsia" w:hAnsiTheme="minorHAnsi"/>
                <w:b w:val="false"/>
                <w:caps w:val="false"/>
                <w:smallCaps w:val="false"/>
                <w:sz w:val="24"/>
                <w:szCs w:val="24"/>
                <w:lang w:eastAsia="ru-RU"/>
                <w14:ligatures w14:val="standardContextual"/>
              </w:rPr>
              <w:tab/>
            </w:r>
            <w:r>
              <w:rPr>
                <w:webHidden/>
              </w:rPr>
              <w:fldChar w:fldCharType="begin"/>
            </w:r>
            <w:r>
              <w:rPr>
                <w:webHidden/>
              </w:rPr>
              <w:instrText xml:space="preserve">PAGEREF _Toc230928827 \h</w:instrText>
            </w:r>
            <w:r>
              <w:rPr>
                <w:webHidden/>
              </w:rPr>
              <w:fldChar w:fldCharType="separate"/>
            </w:r>
            <w:r>
              <w:rPr>
                <w:rStyle w:val="Style13"/>
              </w:rPr>
              <w:t>Основные сведения о закупке</w:t>
              <w:tab/>
              <w:t>12</w:t>
            </w:r>
            <w:r>
              <w:rPr>
                <w:webHidden/>
              </w:rPr>
              <w:fldChar w:fldCharType="end"/>
            </w:r>
          </w:hyperlink>
        </w:p>
        <w:p>
          <w:pPr>
            <w:pStyle w:val="TOC2"/>
            <w:rPr>
              <w:rFonts w:ascii="Calibri" w:hAnsi="Calibri" w:eastAsia="Arial" w:asciiTheme="minorHAnsi" w:eastAsiaTheme="minorEastAsia" w:hAnsiTheme="minorHAnsi"/>
              <w:sz w:val="24"/>
              <w:szCs w:val="24"/>
              <w:lang w:eastAsia="ru-RU"/>
              <w14:ligatures w14:val="standardContextual"/>
            </w:rPr>
          </w:pPr>
          <w:hyperlink w:anchor="_Toc230928828" w:tgtFrame="#_Toc230928828">
            <w:r>
              <w:rPr>
                <w:webHidden/>
                <w:rStyle w:val="Style13"/>
                <w:vanish w:val="false"/>
              </w:rPr>
              <w:t>1.1</w:t>
            </w:r>
            <w:r>
              <w:rPr>
                <w:rStyle w:val="Style13"/>
                <w:rFonts w:eastAsia="Arial" w:ascii="Calibri" w:hAnsi="Calibri" w:asciiTheme="minorHAnsi" w:eastAsiaTheme="minorEastAsia" w:hAnsiTheme="minorHAnsi"/>
                <w:sz w:val="24"/>
                <w:szCs w:val="24"/>
                <w:lang w:eastAsia="ru-RU"/>
                <w14:ligatures w14:val="standardContextual"/>
              </w:rPr>
              <w:tab/>
            </w:r>
            <w:r>
              <w:rPr>
                <w:webHidden/>
              </w:rPr>
              <w:fldChar w:fldCharType="begin"/>
            </w:r>
            <w:r>
              <w:rPr>
                <w:webHidden/>
              </w:rPr>
              <w:instrText xml:space="preserve">PAGEREF _Toc230928828 \h</w:instrText>
            </w:r>
            <w:r>
              <w:rPr>
                <w:webHidden/>
              </w:rPr>
              <w:fldChar w:fldCharType="separate"/>
            </w:r>
            <w:r>
              <w:rPr>
                <w:rStyle w:val="Style13"/>
              </w:rPr>
              <w:t>Статус настоящего раздела</w:t>
              <w:tab/>
              <w:t>12</w:t>
            </w:r>
            <w:r>
              <w:rPr>
                <w:webHidden/>
              </w:rPr>
              <w:fldChar w:fldCharType="end"/>
            </w:r>
          </w:hyperlink>
        </w:p>
        <w:p>
          <w:pPr>
            <w:pStyle w:val="TOC2"/>
            <w:rPr>
              <w:rFonts w:ascii="Calibri" w:hAnsi="Calibri" w:eastAsia="Arial" w:asciiTheme="minorHAnsi" w:eastAsiaTheme="minorEastAsia" w:hAnsiTheme="minorHAnsi"/>
              <w:sz w:val="24"/>
              <w:szCs w:val="24"/>
              <w:lang w:eastAsia="ru-RU"/>
              <w14:ligatures w14:val="standardContextual"/>
            </w:rPr>
          </w:pPr>
          <w:hyperlink w:anchor="_Toc230928829" w:tgtFrame="#_Toc230928829">
            <w:r>
              <w:rPr>
                <w:webHidden/>
                <w:rStyle w:val="Style13"/>
                <w:vanish w:val="false"/>
              </w:rPr>
              <w:t>1.2</w:t>
            </w:r>
            <w:r>
              <w:rPr>
                <w:rStyle w:val="Style13"/>
                <w:rFonts w:eastAsia="Arial" w:ascii="Calibri" w:hAnsi="Calibri" w:asciiTheme="minorHAnsi" w:eastAsiaTheme="minorEastAsia" w:hAnsiTheme="minorHAnsi"/>
                <w:sz w:val="24"/>
                <w:szCs w:val="24"/>
                <w:lang w:eastAsia="ru-RU"/>
                <w14:ligatures w14:val="standardContextual"/>
              </w:rPr>
              <w:tab/>
            </w:r>
            <w:r>
              <w:rPr>
                <w:webHidden/>
              </w:rPr>
              <w:fldChar w:fldCharType="begin"/>
            </w:r>
            <w:r>
              <w:rPr>
                <w:webHidden/>
              </w:rPr>
              <w:instrText xml:space="preserve">PAGEREF _Toc230928829 \h</w:instrText>
            </w:r>
            <w:r>
              <w:rPr>
                <w:webHidden/>
              </w:rPr>
              <w:fldChar w:fldCharType="separate"/>
            </w:r>
            <w:r>
              <w:rPr>
                <w:rStyle w:val="Style13"/>
              </w:rPr>
              <w:t>Информация о проводимой закупке</w:t>
              <w:tab/>
              <w:t>12</w:t>
            </w:r>
            <w:r>
              <w:rPr>
                <w:webHidden/>
              </w:rPr>
              <w:fldChar w:fldCharType="end"/>
            </w:r>
          </w:hyperlink>
        </w:p>
        <w:p>
          <w:pPr>
            <w:pStyle w:val="TOC1"/>
            <w:rPr>
              <w:rFonts w:ascii="Calibri" w:hAnsi="Calibri" w:eastAsia="Arial" w:asciiTheme="minorHAnsi" w:eastAsiaTheme="minorEastAsia" w:hAnsiTheme="minorHAnsi"/>
              <w:b w:val="false"/>
              <w:caps w:val="false"/>
              <w:smallCaps w:val="false"/>
              <w:sz w:val="24"/>
              <w:szCs w:val="24"/>
              <w:lang w:eastAsia="ru-RU"/>
              <w14:ligatures w14:val="standardContextual"/>
            </w:rPr>
          </w:pPr>
          <w:hyperlink w:anchor="_Toc230928830" w:tgtFrame="#_Toc230928830">
            <w:r>
              <w:rPr>
                <w:webHidden/>
                <w:rStyle w:val="Style13"/>
                <w:vanish w:val="false"/>
              </w:rPr>
              <w:t>2.</w:t>
            </w:r>
            <w:r>
              <w:rPr>
                <w:rStyle w:val="Style13"/>
                <w:rFonts w:eastAsia="Arial" w:ascii="Calibri" w:hAnsi="Calibri" w:asciiTheme="minorHAnsi" w:eastAsiaTheme="minorEastAsia" w:hAnsiTheme="minorHAnsi"/>
                <w:b w:val="false"/>
                <w:caps w:val="false"/>
                <w:smallCaps w:val="false"/>
                <w:sz w:val="24"/>
                <w:szCs w:val="24"/>
                <w:lang w:eastAsia="ru-RU"/>
                <w14:ligatures w14:val="standardContextual"/>
              </w:rPr>
              <w:tab/>
            </w:r>
            <w:r>
              <w:rPr>
                <w:webHidden/>
              </w:rPr>
              <w:fldChar w:fldCharType="begin"/>
            </w:r>
            <w:r>
              <w:rPr>
                <w:webHidden/>
              </w:rPr>
              <w:instrText xml:space="preserve">PAGEREF _Toc230928830 \h</w:instrText>
            </w:r>
            <w:r>
              <w:rPr>
                <w:webHidden/>
              </w:rPr>
              <w:fldChar w:fldCharType="separate"/>
            </w:r>
            <w:r>
              <w:rPr>
                <w:rStyle w:val="Style13"/>
              </w:rPr>
              <w:t>Общие положения</w:t>
              <w:tab/>
              <w:t>24</w:t>
            </w:r>
            <w:r>
              <w:rPr>
                <w:webHidden/>
              </w:rPr>
              <w:fldChar w:fldCharType="end"/>
            </w:r>
          </w:hyperlink>
        </w:p>
        <w:p>
          <w:pPr>
            <w:pStyle w:val="TOC2"/>
            <w:rPr>
              <w:rFonts w:ascii="Calibri" w:hAnsi="Calibri" w:eastAsia="Arial" w:asciiTheme="minorHAnsi" w:eastAsiaTheme="minorEastAsia" w:hAnsiTheme="minorHAnsi"/>
              <w:sz w:val="24"/>
              <w:szCs w:val="24"/>
              <w:lang w:eastAsia="ru-RU"/>
              <w14:ligatures w14:val="standardContextual"/>
            </w:rPr>
          </w:pPr>
          <w:hyperlink w:anchor="_Toc230928831" w:tgtFrame="#_Toc230928831">
            <w:r>
              <w:rPr>
                <w:webHidden/>
                <w:rStyle w:val="Style13"/>
                <w:vanish w:val="false"/>
              </w:rPr>
              <w:t>2.1</w:t>
            </w:r>
            <w:r>
              <w:rPr>
                <w:rStyle w:val="Style13"/>
                <w:rFonts w:eastAsia="Arial" w:ascii="Calibri" w:hAnsi="Calibri" w:asciiTheme="minorHAnsi" w:eastAsiaTheme="minorEastAsia" w:hAnsiTheme="minorHAnsi"/>
                <w:sz w:val="24"/>
                <w:szCs w:val="24"/>
                <w:lang w:eastAsia="ru-RU"/>
                <w14:ligatures w14:val="standardContextual"/>
              </w:rPr>
              <w:tab/>
            </w:r>
            <w:r>
              <w:rPr>
                <w:webHidden/>
              </w:rPr>
              <w:fldChar w:fldCharType="begin"/>
            </w:r>
            <w:r>
              <w:rPr>
                <w:webHidden/>
              </w:rPr>
              <w:instrText xml:space="preserve">PAGEREF _Toc230928831 \h</w:instrText>
            </w:r>
            <w:r>
              <w:rPr>
                <w:webHidden/>
              </w:rPr>
              <w:fldChar w:fldCharType="separate"/>
            </w:r>
            <w:r>
              <w:rPr>
                <w:rStyle w:val="Style13"/>
              </w:rPr>
              <w:t>Общие сведения о закупке</w:t>
              <w:tab/>
              <w:t>24</w:t>
            </w:r>
            <w:r>
              <w:rPr>
                <w:webHidden/>
              </w:rPr>
              <w:fldChar w:fldCharType="end"/>
            </w:r>
          </w:hyperlink>
        </w:p>
        <w:p>
          <w:pPr>
            <w:pStyle w:val="TOC2"/>
            <w:rPr>
              <w:rFonts w:ascii="Calibri" w:hAnsi="Calibri" w:eastAsia="Arial" w:asciiTheme="minorHAnsi" w:eastAsiaTheme="minorEastAsia" w:hAnsiTheme="minorHAnsi"/>
              <w:sz w:val="24"/>
              <w:szCs w:val="24"/>
              <w:lang w:eastAsia="ru-RU"/>
              <w14:ligatures w14:val="standardContextual"/>
            </w:rPr>
          </w:pPr>
          <w:hyperlink w:anchor="_Toc230928832" w:tgtFrame="#_Toc230928832">
            <w:r>
              <w:rPr>
                <w:webHidden/>
                <w:rStyle w:val="Style13"/>
                <w:vanish w:val="false"/>
              </w:rPr>
              <w:t>2.2</w:t>
            </w:r>
            <w:r>
              <w:rPr>
                <w:rStyle w:val="Style13"/>
                <w:rFonts w:eastAsia="Arial" w:ascii="Calibri" w:hAnsi="Calibri" w:asciiTheme="minorHAnsi" w:eastAsiaTheme="minorEastAsia" w:hAnsiTheme="minorHAnsi"/>
                <w:sz w:val="24"/>
                <w:szCs w:val="24"/>
                <w:lang w:eastAsia="ru-RU"/>
                <w14:ligatures w14:val="standardContextual"/>
              </w:rPr>
              <w:tab/>
            </w:r>
            <w:r>
              <w:rPr>
                <w:webHidden/>
              </w:rPr>
              <w:fldChar w:fldCharType="begin"/>
            </w:r>
            <w:r>
              <w:rPr>
                <w:webHidden/>
              </w:rPr>
              <w:instrText xml:space="preserve">PAGEREF _Toc230928832 \h</w:instrText>
            </w:r>
            <w:r>
              <w:rPr>
                <w:webHidden/>
              </w:rPr>
              <w:fldChar w:fldCharType="separate"/>
            </w:r>
            <w:r>
              <w:rPr>
                <w:rStyle w:val="Style13"/>
              </w:rPr>
              <w:t>Правовой статус документов</w:t>
              <w:tab/>
              <w:t>24</w:t>
            </w:r>
            <w:r>
              <w:rPr>
                <w:webHidden/>
              </w:rPr>
              <w:fldChar w:fldCharType="end"/>
            </w:r>
          </w:hyperlink>
        </w:p>
        <w:p>
          <w:pPr>
            <w:pStyle w:val="TOC2"/>
            <w:rPr>
              <w:rFonts w:ascii="Calibri" w:hAnsi="Calibri" w:eastAsia="Arial" w:asciiTheme="minorHAnsi" w:eastAsiaTheme="minorEastAsia" w:hAnsiTheme="minorHAnsi"/>
              <w:sz w:val="24"/>
              <w:szCs w:val="24"/>
              <w:lang w:eastAsia="ru-RU"/>
              <w14:ligatures w14:val="standardContextual"/>
            </w:rPr>
          </w:pPr>
          <w:hyperlink w:anchor="_Toc230928833" w:tgtFrame="#_Toc230928833">
            <w:r>
              <w:rPr>
                <w:webHidden/>
                <w:rStyle w:val="Style13"/>
                <w:vanish w:val="false"/>
              </w:rPr>
              <w:t>2.3</w:t>
            </w:r>
            <w:r>
              <w:rPr>
                <w:rStyle w:val="Style13"/>
                <w:rFonts w:eastAsia="Arial" w:ascii="Calibri" w:hAnsi="Calibri" w:asciiTheme="minorHAnsi" w:eastAsiaTheme="minorEastAsia" w:hAnsiTheme="minorHAnsi"/>
                <w:sz w:val="24"/>
                <w:szCs w:val="24"/>
                <w:lang w:eastAsia="ru-RU"/>
                <w14:ligatures w14:val="standardContextual"/>
              </w:rPr>
              <w:tab/>
            </w:r>
            <w:r>
              <w:rPr>
                <w:webHidden/>
              </w:rPr>
              <w:fldChar w:fldCharType="begin"/>
            </w:r>
            <w:r>
              <w:rPr>
                <w:webHidden/>
              </w:rPr>
              <w:instrText xml:space="preserve">PAGEREF _Toc230928833 \h</w:instrText>
            </w:r>
            <w:r>
              <w:rPr>
                <w:webHidden/>
              </w:rPr>
              <w:fldChar w:fldCharType="separate"/>
            </w:r>
            <w:r>
              <w:rPr>
                <w:rStyle w:val="Style13"/>
              </w:rPr>
              <w:t>Обжалование</w:t>
              <w:tab/>
              <w:t>25</w:t>
            </w:r>
            <w:r>
              <w:rPr>
                <w:webHidden/>
              </w:rPr>
              <w:fldChar w:fldCharType="end"/>
            </w:r>
          </w:hyperlink>
        </w:p>
        <w:p>
          <w:pPr>
            <w:pStyle w:val="TOC2"/>
            <w:rPr>
              <w:rFonts w:ascii="Calibri" w:hAnsi="Calibri" w:eastAsia="Arial" w:asciiTheme="minorHAnsi" w:eastAsiaTheme="minorEastAsia" w:hAnsiTheme="minorHAnsi"/>
              <w:sz w:val="24"/>
              <w:szCs w:val="24"/>
              <w:lang w:eastAsia="ru-RU"/>
              <w14:ligatures w14:val="standardContextual"/>
            </w:rPr>
          </w:pPr>
          <w:hyperlink w:anchor="_Toc230928834" w:tgtFrame="#_Toc230928834">
            <w:r>
              <w:rPr>
                <w:webHidden/>
                <w:rStyle w:val="Style13"/>
                <w:vanish w:val="false"/>
              </w:rPr>
              <w:t>2.4</w:t>
            </w:r>
            <w:r>
              <w:rPr>
                <w:rStyle w:val="Style13"/>
                <w:rFonts w:eastAsia="Arial" w:ascii="Calibri" w:hAnsi="Calibri" w:asciiTheme="minorHAnsi" w:eastAsiaTheme="minorEastAsia" w:hAnsiTheme="minorHAnsi"/>
                <w:sz w:val="24"/>
                <w:szCs w:val="24"/>
                <w:lang w:eastAsia="ru-RU"/>
                <w14:ligatures w14:val="standardContextual"/>
              </w:rPr>
              <w:tab/>
            </w:r>
            <w:r>
              <w:rPr>
                <w:webHidden/>
              </w:rPr>
              <w:fldChar w:fldCharType="begin"/>
            </w:r>
            <w:r>
              <w:rPr>
                <w:webHidden/>
              </w:rPr>
              <w:instrText xml:space="preserve">PAGEREF _Toc230928834 \h</w:instrText>
            </w:r>
            <w:r>
              <w:rPr>
                <w:webHidden/>
              </w:rPr>
              <w:fldChar w:fldCharType="separate"/>
            </w:r>
            <w:r>
              <w:rPr>
                <w:rStyle w:val="Style13"/>
              </w:rPr>
              <w:t>Особые положения при проведении закупки с использованием ЭП</w:t>
              <w:tab/>
              <w:t>26</w:t>
            </w:r>
            <w:r>
              <w:rPr>
                <w:webHidden/>
              </w:rPr>
              <w:fldChar w:fldCharType="end"/>
            </w:r>
          </w:hyperlink>
        </w:p>
        <w:p>
          <w:pPr>
            <w:pStyle w:val="TOC2"/>
            <w:rPr>
              <w:rFonts w:ascii="Calibri" w:hAnsi="Calibri" w:eastAsia="Arial" w:asciiTheme="minorHAnsi" w:eastAsiaTheme="minorEastAsia" w:hAnsiTheme="minorHAnsi"/>
              <w:sz w:val="24"/>
              <w:szCs w:val="24"/>
              <w:lang w:eastAsia="ru-RU"/>
              <w14:ligatures w14:val="standardContextual"/>
            </w:rPr>
          </w:pPr>
          <w:hyperlink w:anchor="_Toc230928835" w:tgtFrame="#_Toc230928835">
            <w:r>
              <w:rPr>
                <w:webHidden/>
                <w:rStyle w:val="Style13"/>
                <w:vanish w:val="false"/>
              </w:rPr>
              <w:t>2.5</w:t>
            </w:r>
            <w:r>
              <w:rPr>
                <w:rStyle w:val="Style13"/>
                <w:rFonts w:eastAsia="Arial" w:ascii="Calibri" w:hAnsi="Calibri" w:asciiTheme="minorHAnsi" w:eastAsiaTheme="minorEastAsia" w:hAnsiTheme="minorHAnsi"/>
                <w:sz w:val="24"/>
                <w:szCs w:val="24"/>
                <w:lang w:eastAsia="ru-RU"/>
                <w14:ligatures w14:val="standardContextual"/>
              </w:rPr>
              <w:tab/>
            </w:r>
            <w:r>
              <w:rPr>
                <w:webHidden/>
              </w:rPr>
              <w:fldChar w:fldCharType="begin"/>
            </w:r>
            <w:r>
              <w:rPr>
                <w:webHidden/>
              </w:rPr>
              <w:instrText xml:space="preserve">PAGEREF _Toc230928835 \h</w:instrText>
            </w:r>
            <w:r>
              <w:rPr>
                <w:webHidden/>
              </w:rPr>
              <w:fldChar w:fldCharType="separate"/>
            </w:r>
            <w:r>
              <w:rPr>
                <w:rStyle w:val="Style13"/>
              </w:rPr>
              <w:t>Прочие положения</w:t>
              <w:tab/>
              <w:t>26</w:t>
            </w:r>
            <w:r>
              <w:rPr>
                <w:webHidden/>
              </w:rPr>
              <w:fldChar w:fldCharType="end"/>
            </w:r>
          </w:hyperlink>
        </w:p>
        <w:p>
          <w:pPr>
            <w:pStyle w:val="TOC1"/>
            <w:rPr>
              <w:rFonts w:ascii="Calibri" w:hAnsi="Calibri" w:eastAsia="Arial" w:asciiTheme="minorHAnsi" w:eastAsiaTheme="minorEastAsia" w:hAnsiTheme="minorHAnsi"/>
              <w:b w:val="false"/>
              <w:caps w:val="false"/>
              <w:smallCaps w:val="false"/>
              <w:sz w:val="24"/>
              <w:szCs w:val="24"/>
              <w:lang w:eastAsia="ru-RU"/>
              <w14:ligatures w14:val="standardContextual"/>
            </w:rPr>
          </w:pPr>
          <w:hyperlink w:anchor="_Toc230928836" w:tgtFrame="#_Toc230928836">
            <w:r>
              <w:rPr>
                <w:webHidden/>
                <w:rStyle w:val="Style13"/>
                <w:vanish w:val="false"/>
              </w:rPr>
              <w:t>3.</w:t>
            </w:r>
            <w:r>
              <w:rPr>
                <w:rStyle w:val="Style13"/>
                <w:rFonts w:eastAsia="Arial" w:ascii="Calibri" w:hAnsi="Calibri" w:asciiTheme="minorHAnsi" w:eastAsiaTheme="minorEastAsia" w:hAnsiTheme="minorHAnsi"/>
                <w:b w:val="false"/>
                <w:caps w:val="false"/>
                <w:smallCaps w:val="false"/>
                <w:sz w:val="24"/>
                <w:szCs w:val="24"/>
                <w:lang w:eastAsia="ru-RU"/>
                <w14:ligatures w14:val="standardContextual"/>
              </w:rPr>
              <w:tab/>
            </w:r>
            <w:r>
              <w:rPr>
                <w:webHidden/>
              </w:rPr>
              <w:fldChar w:fldCharType="begin"/>
            </w:r>
            <w:r>
              <w:rPr>
                <w:webHidden/>
              </w:rPr>
              <w:instrText xml:space="preserve">PAGEREF _Toc230928836 \h</w:instrText>
            </w:r>
            <w:r>
              <w:rPr>
                <w:webHidden/>
              </w:rPr>
              <w:fldChar w:fldCharType="separate"/>
            </w:r>
            <w:r>
              <w:rPr>
                <w:rStyle w:val="Style13"/>
              </w:rPr>
              <w:t>Требования к Участникам</w:t>
              <w:tab/>
              <w:t>28</w:t>
            </w:r>
            <w:r>
              <w:rPr>
                <w:webHidden/>
              </w:rPr>
              <w:fldChar w:fldCharType="end"/>
            </w:r>
          </w:hyperlink>
        </w:p>
        <w:p>
          <w:pPr>
            <w:pStyle w:val="TOC2"/>
            <w:rPr>
              <w:rFonts w:ascii="Calibri" w:hAnsi="Calibri" w:eastAsia="Arial" w:asciiTheme="minorHAnsi" w:eastAsiaTheme="minorEastAsia" w:hAnsiTheme="minorHAnsi"/>
              <w:sz w:val="24"/>
              <w:szCs w:val="24"/>
              <w:lang w:eastAsia="ru-RU"/>
              <w14:ligatures w14:val="standardContextual"/>
            </w:rPr>
          </w:pPr>
          <w:hyperlink w:anchor="_Toc230928837" w:tgtFrame="#_Toc230928837">
            <w:r>
              <w:rPr>
                <w:webHidden/>
                <w:rStyle w:val="Style13"/>
                <w:vanish w:val="false"/>
              </w:rPr>
              <w:t>3.1</w:t>
            </w:r>
            <w:r>
              <w:rPr>
                <w:rStyle w:val="Style13"/>
                <w:rFonts w:eastAsia="Arial" w:ascii="Calibri" w:hAnsi="Calibri" w:asciiTheme="minorHAnsi" w:eastAsiaTheme="minorEastAsia" w:hAnsiTheme="minorHAnsi"/>
                <w:sz w:val="24"/>
                <w:szCs w:val="24"/>
                <w:lang w:eastAsia="ru-RU"/>
                <w14:ligatures w14:val="standardContextual"/>
              </w:rPr>
              <w:tab/>
            </w:r>
            <w:r>
              <w:rPr>
                <w:webHidden/>
              </w:rPr>
              <w:fldChar w:fldCharType="begin"/>
            </w:r>
            <w:r>
              <w:rPr>
                <w:webHidden/>
              </w:rPr>
              <w:instrText xml:space="preserve">PAGEREF _Toc230928837 \h</w:instrText>
            </w:r>
            <w:r>
              <w:rPr>
                <w:webHidden/>
              </w:rPr>
              <w:fldChar w:fldCharType="separate"/>
            </w:r>
            <w:r>
              <w:rPr>
                <w:rStyle w:val="Style13"/>
              </w:rPr>
              <w:t>Общие требования к Участникам</w:t>
              <w:tab/>
              <w:t>28</w:t>
            </w:r>
            <w:r>
              <w:rPr>
                <w:webHidden/>
              </w:rPr>
              <w:fldChar w:fldCharType="end"/>
            </w:r>
          </w:hyperlink>
        </w:p>
        <w:p>
          <w:pPr>
            <w:pStyle w:val="TOC2"/>
            <w:rPr>
              <w:rFonts w:ascii="Calibri" w:hAnsi="Calibri" w:eastAsia="Arial" w:asciiTheme="minorHAnsi" w:eastAsiaTheme="minorEastAsia" w:hAnsiTheme="minorHAnsi"/>
              <w:sz w:val="24"/>
              <w:szCs w:val="24"/>
              <w:lang w:eastAsia="ru-RU"/>
              <w14:ligatures w14:val="standardContextual"/>
            </w:rPr>
          </w:pPr>
          <w:hyperlink w:anchor="_Toc230928838" w:tgtFrame="#_Toc230928838">
            <w:r>
              <w:rPr>
                <w:webHidden/>
                <w:rStyle w:val="Style13"/>
                <w:vanish w:val="false"/>
              </w:rPr>
              <w:t>3.2</w:t>
            </w:r>
            <w:r>
              <w:rPr>
                <w:rStyle w:val="Style13"/>
                <w:rFonts w:eastAsia="Arial" w:ascii="Calibri" w:hAnsi="Calibri" w:asciiTheme="minorHAnsi" w:eastAsiaTheme="minorEastAsia" w:hAnsiTheme="minorHAnsi"/>
                <w:sz w:val="24"/>
                <w:szCs w:val="24"/>
                <w:lang w:eastAsia="ru-RU"/>
                <w14:ligatures w14:val="standardContextual"/>
              </w:rPr>
              <w:tab/>
            </w:r>
            <w:r>
              <w:rPr>
                <w:webHidden/>
              </w:rPr>
              <w:fldChar w:fldCharType="begin"/>
            </w:r>
            <w:r>
              <w:rPr>
                <w:webHidden/>
              </w:rPr>
              <w:instrText xml:space="preserve">PAGEREF _Toc230928838 \h</w:instrText>
            </w:r>
            <w:r>
              <w:rPr>
                <w:webHidden/>
              </w:rPr>
              <w:fldChar w:fldCharType="separate"/>
            </w:r>
            <w:r>
              <w:rPr>
                <w:rStyle w:val="Style13"/>
              </w:rPr>
              <w:t>Коллективные участники</w:t>
              <w:tab/>
              <w:t>28</w:t>
            </w:r>
            <w:r>
              <w:rPr>
                <w:webHidden/>
              </w:rPr>
              <w:fldChar w:fldCharType="end"/>
            </w:r>
          </w:hyperlink>
        </w:p>
        <w:p>
          <w:pPr>
            <w:pStyle w:val="TOC2"/>
            <w:rPr>
              <w:rFonts w:ascii="Calibri" w:hAnsi="Calibri" w:eastAsia="Arial" w:asciiTheme="minorHAnsi" w:eastAsiaTheme="minorEastAsia" w:hAnsiTheme="minorHAnsi"/>
              <w:sz w:val="24"/>
              <w:szCs w:val="24"/>
              <w:lang w:eastAsia="ru-RU"/>
              <w14:ligatures w14:val="standardContextual"/>
            </w:rPr>
          </w:pPr>
          <w:hyperlink w:anchor="_Toc230928839" w:tgtFrame="#_Toc230928839">
            <w:r>
              <w:rPr>
                <w:webHidden/>
                <w:rStyle w:val="Style13"/>
                <w:vanish w:val="false"/>
              </w:rPr>
              <w:t>3.3</w:t>
            </w:r>
            <w:r>
              <w:rPr>
                <w:rStyle w:val="Style13"/>
                <w:rFonts w:eastAsia="Arial" w:ascii="Calibri" w:hAnsi="Calibri" w:asciiTheme="minorHAnsi" w:eastAsiaTheme="minorEastAsia" w:hAnsiTheme="minorHAnsi"/>
                <w:sz w:val="24"/>
                <w:szCs w:val="24"/>
                <w:lang w:eastAsia="ru-RU"/>
                <w14:ligatures w14:val="standardContextual"/>
              </w:rPr>
              <w:tab/>
            </w:r>
            <w:r>
              <w:rPr>
                <w:webHidden/>
              </w:rPr>
              <w:fldChar w:fldCharType="begin"/>
            </w:r>
            <w:r>
              <w:rPr>
                <w:webHidden/>
              </w:rPr>
              <w:instrText xml:space="preserve">PAGEREF _Toc230928839 \h</w:instrText>
            </w:r>
            <w:r>
              <w:rPr>
                <w:webHidden/>
              </w:rPr>
              <w:fldChar w:fldCharType="separate"/>
            </w:r>
            <w:r>
              <w:rPr>
                <w:rStyle w:val="Style13"/>
              </w:rPr>
              <w:t>Генеральные подрядчики</w:t>
              <w:tab/>
              <w:t>30</w:t>
            </w:r>
            <w:r>
              <w:rPr>
                <w:webHidden/>
              </w:rPr>
              <w:fldChar w:fldCharType="end"/>
            </w:r>
          </w:hyperlink>
        </w:p>
        <w:p>
          <w:pPr>
            <w:pStyle w:val="TOC2"/>
            <w:rPr>
              <w:rFonts w:ascii="Calibri" w:hAnsi="Calibri" w:eastAsia="Arial" w:asciiTheme="minorHAnsi" w:eastAsiaTheme="minorEastAsia" w:hAnsiTheme="minorHAnsi"/>
              <w:sz w:val="24"/>
              <w:szCs w:val="24"/>
              <w:lang w:eastAsia="ru-RU"/>
              <w14:ligatures w14:val="standardContextual"/>
            </w:rPr>
          </w:pPr>
          <w:hyperlink w:anchor="_Toc230928840" w:tgtFrame="#_Toc230928840">
            <w:r>
              <w:rPr>
                <w:webHidden/>
                <w:rStyle w:val="Style13"/>
                <w:vanish w:val="false"/>
              </w:rPr>
              <w:t>3.4</w:t>
            </w:r>
            <w:r>
              <w:rPr>
                <w:rStyle w:val="Style13"/>
                <w:rFonts w:eastAsia="Arial" w:ascii="Calibri" w:hAnsi="Calibri" w:asciiTheme="minorHAnsi" w:eastAsiaTheme="minorEastAsia" w:hAnsiTheme="minorHAnsi"/>
                <w:sz w:val="24"/>
                <w:szCs w:val="24"/>
                <w:lang w:eastAsia="ru-RU"/>
                <w14:ligatures w14:val="standardContextual"/>
              </w:rPr>
              <w:tab/>
            </w:r>
            <w:r>
              <w:rPr>
                <w:webHidden/>
              </w:rPr>
              <w:fldChar w:fldCharType="begin"/>
            </w:r>
            <w:r>
              <w:rPr>
                <w:webHidden/>
              </w:rPr>
              <w:instrText xml:space="preserve">PAGEREF _Toc230928840 \h</w:instrText>
            </w:r>
            <w:r>
              <w:rPr>
                <w:webHidden/>
              </w:rPr>
              <w:fldChar w:fldCharType="separate"/>
            </w:r>
            <w:r>
              <w:rPr>
                <w:rStyle w:val="Style13"/>
              </w:rPr>
              <w:t>Привлечение субподрядчиков (соисполнителей) из числа субъектов МСП</w:t>
              <w:tab/>
              <w:t>32</w:t>
            </w:r>
            <w:r>
              <w:rPr>
                <w:webHidden/>
              </w:rPr>
              <w:fldChar w:fldCharType="end"/>
            </w:r>
          </w:hyperlink>
        </w:p>
        <w:p>
          <w:pPr>
            <w:pStyle w:val="TOC1"/>
            <w:rPr>
              <w:rFonts w:ascii="Calibri" w:hAnsi="Calibri" w:eastAsia="Arial" w:asciiTheme="minorHAnsi" w:eastAsiaTheme="minorEastAsia" w:hAnsiTheme="minorHAnsi"/>
              <w:b w:val="false"/>
              <w:caps w:val="false"/>
              <w:smallCaps w:val="false"/>
              <w:sz w:val="24"/>
              <w:szCs w:val="24"/>
              <w:lang w:eastAsia="ru-RU"/>
              <w14:ligatures w14:val="standardContextual"/>
            </w:rPr>
          </w:pPr>
          <w:hyperlink w:anchor="_Toc230928841" w:tgtFrame="#_Toc230928841">
            <w:r>
              <w:rPr>
                <w:webHidden/>
                <w:rStyle w:val="Style13"/>
                <w:vanish w:val="false"/>
              </w:rPr>
              <w:t>4.</w:t>
            </w:r>
            <w:r>
              <w:rPr>
                <w:rStyle w:val="Style13"/>
                <w:rFonts w:eastAsia="Arial" w:ascii="Calibri" w:hAnsi="Calibri" w:asciiTheme="minorHAnsi" w:eastAsiaTheme="minorEastAsia" w:hAnsiTheme="minorHAnsi"/>
                <w:b w:val="false"/>
                <w:caps w:val="false"/>
                <w:smallCaps w:val="false"/>
                <w:sz w:val="24"/>
                <w:szCs w:val="24"/>
                <w:lang w:eastAsia="ru-RU"/>
                <w14:ligatures w14:val="standardContextual"/>
              </w:rPr>
              <w:tab/>
            </w:r>
            <w:r>
              <w:rPr>
                <w:webHidden/>
              </w:rPr>
              <w:fldChar w:fldCharType="begin"/>
            </w:r>
            <w:r>
              <w:rPr>
                <w:webHidden/>
              </w:rPr>
              <w:instrText xml:space="preserve">PAGEREF _Toc230928841 \h</w:instrText>
            </w:r>
            <w:r>
              <w:rPr>
                <w:webHidden/>
              </w:rPr>
              <w:fldChar w:fldCharType="separate"/>
            </w:r>
            <w:r>
              <w:rPr>
                <w:rStyle w:val="Style13"/>
              </w:rPr>
              <w:t>Порядок проведения закупки</w:t>
              <w:tab/>
              <w:t>33</w:t>
            </w:r>
            <w:r>
              <w:rPr>
                <w:webHidden/>
              </w:rPr>
              <w:fldChar w:fldCharType="end"/>
            </w:r>
          </w:hyperlink>
        </w:p>
        <w:p>
          <w:pPr>
            <w:pStyle w:val="TOC2"/>
            <w:rPr>
              <w:rFonts w:ascii="Calibri" w:hAnsi="Calibri" w:eastAsia="Arial" w:asciiTheme="minorHAnsi" w:eastAsiaTheme="minorEastAsia" w:hAnsiTheme="minorHAnsi"/>
              <w:sz w:val="24"/>
              <w:szCs w:val="24"/>
              <w:lang w:eastAsia="ru-RU"/>
              <w14:ligatures w14:val="standardContextual"/>
            </w:rPr>
          </w:pPr>
          <w:hyperlink w:anchor="_Toc230928842" w:tgtFrame="#_Toc230928842">
            <w:r>
              <w:rPr>
                <w:webHidden/>
                <w:rStyle w:val="Style13"/>
                <w:vanish w:val="false"/>
              </w:rPr>
              <w:t>4.1</w:t>
            </w:r>
            <w:r>
              <w:rPr>
                <w:rStyle w:val="Style13"/>
                <w:rFonts w:eastAsia="Arial" w:ascii="Calibri" w:hAnsi="Calibri" w:asciiTheme="minorHAnsi" w:eastAsiaTheme="minorEastAsia" w:hAnsiTheme="minorHAnsi"/>
                <w:sz w:val="24"/>
                <w:szCs w:val="24"/>
                <w:lang w:eastAsia="ru-RU"/>
                <w14:ligatures w14:val="standardContextual"/>
              </w:rPr>
              <w:tab/>
            </w:r>
            <w:r>
              <w:rPr>
                <w:webHidden/>
              </w:rPr>
              <w:fldChar w:fldCharType="begin"/>
            </w:r>
            <w:r>
              <w:rPr>
                <w:webHidden/>
              </w:rPr>
              <w:instrText xml:space="preserve">PAGEREF _Toc230928842 \h</w:instrText>
            </w:r>
            <w:r>
              <w:rPr>
                <w:webHidden/>
              </w:rPr>
              <w:fldChar w:fldCharType="separate"/>
            </w:r>
            <w:r>
              <w:rPr>
                <w:rStyle w:val="Style13"/>
              </w:rPr>
              <w:t>Общий порядок проведения закупки</w:t>
              <w:tab/>
              <w:t>33</w:t>
            </w:r>
            <w:r>
              <w:rPr>
                <w:webHidden/>
              </w:rPr>
              <w:fldChar w:fldCharType="end"/>
            </w:r>
          </w:hyperlink>
        </w:p>
        <w:p>
          <w:pPr>
            <w:pStyle w:val="TOC2"/>
            <w:rPr>
              <w:rFonts w:ascii="Calibri" w:hAnsi="Calibri" w:eastAsia="Arial" w:asciiTheme="minorHAnsi" w:eastAsiaTheme="minorEastAsia" w:hAnsiTheme="minorHAnsi"/>
              <w:sz w:val="24"/>
              <w:szCs w:val="24"/>
              <w:lang w:eastAsia="ru-RU"/>
              <w14:ligatures w14:val="standardContextual"/>
            </w:rPr>
          </w:pPr>
          <w:hyperlink w:anchor="_Toc230928843" w:tgtFrame="#_Toc230928843">
            <w:r>
              <w:rPr>
                <w:webHidden/>
                <w:rStyle w:val="Style13"/>
                <w:vanish w:val="false"/>
              </w:rPr>
              <w:t>4.2</w:t>
            </w:r>
            <w:r>
              <w:rPr>
                <w:rStyle w:val="Style13"/>
                <w:rFonts w:eastAsia="Arial" w:ascii="Calibri" w:hAnsi="Calibri" w:asciiTheme="minorHAnsi" w:eastAsiaTheme="minorEastAsia" w:hAnsiTheme="minorHAnsi"/>
                <w:sz w:val="24"/>
                <w:szCs w:val="24"/>
                <w:lang w:eastAsia="ru-RU"/>
                <w14:ligatures w14:val="standardContextual"/>
              </w:rPr>
              <w:tab/>
            </w:r>
            <w:r>
              <w:rPr>
                <w:webHidden/>
              </w:rPr>
              <w:fldChar w:fldCharType="begin"/>
            </w:r>
            <w:r>
              <w:rPr>
                <w:webHidden/>
              </w:rPr>
              <w:instrText xml:space="preserve">PAGEREF _Toc230928843 \h</w:instrText>
            </w:r>
            <w:r>
              <w:rPr>
                <w:webHidden/>
              </w:rPr>
              <w:fldChar w:fldCharType="separate"/>
            </w:r>
            <w:r>
              <w:rPr>
                <w:rStyle w:val="Style13"/>
              </w:rPr>
              <w:t>Официальное размещение Извещения и Документации о закупке</w:t>
              <w:tab/>
              <w:t>35</w:t>
            </w:r>
            <w:r>
              <w:rPr>
                <w:webHidden/>
              </w:rPr>
              <w:fldChar w:fldCharType="end"/>
            </w:r>
          </w:hyperlink>
        </w:p>
        <w:p>
          <w:pPr>
            <w:pStyle w:val="TOC2"/>
            <w:rPr>
              <w:rFonts w:ascii="Calibri" w:hAnsi="Calibri" w:eastAsia="Arial" w:asciiTheme="minorHAnsi" w:eastAsiaTheme="minorEastAsia" w:hAnsiTheme="minorHAnsi"/>
              <w:sz w:val="24"/>
              <w:szCs w:val="24"/>
              <w:lang w:eastAsia="ru-RU"/>
              <w14:ligatures w14:val="standardContextual"/>
            </w:rPr>
          </w:pPr>
          <w:hyperlink w:anchor="_Toc230928844" w:tgtFrame="#_Toc230928844">
            <w:r>
              <w:rPr>
                <w:webHidden/>
                <w:rStyle w:val="Style13"/>
                <w:vanish w:val="false"/>
              </w:rPr>
              <w:t>4.3</w:t>
            </w:r>
            <w:r>
              <w:rPr>
                <w:rStyle w:val="Style13"/>
                <w:rFonts w:eastAsia="Arial" w:ascii="Calibri" w:hAnsi="Calibri" w:asciiTheme="minorHAnsi" w:eastAsiaTheme="minorEastAsia" w:hAnsiTheme="minorHAnsi"/>
                <w:sz w:val="24"/>
                <w:szCs w:val="24"/>
                <w:lang w:eastAsia="ru-RU"/>
                <w14:ligatures w14:val="standardContextual"/>
              </w:rPr>
              <w:tab/>
            </w:r>
            <w:r>
              <w:rPr>
                <w:webHidden/>
              </w:rPr>
              <w:fldChar w:fldCharType="begin"/>
            </w:r>
            <w:r>
              <w:rPr>
                <w:webHidden/>
              </w:rPr>
              <w:instrText xml:space="preserve">PAGEREF _Toc230928844 \h</w:instrText>
            </w:r>
            <w:r>
              <w:rPr>
                <w:webHidden/>
              </w:rPr>
              <w:fldChar w:fldCharType="separate"/>
            </w:r>
            <w:r>
              <w:rPr>
                <w:rStyle w:val="Style13"/>
              </w:rPr>
              <w:t>Подготовка заявки</w:t>
              <w:tab/>
              <w:t>35</w:t>
            </w:r>
            <w:r>
              <w:rPr>
                <w:webHidden/>
              </w:rPr>
              <w:fldChar w:fldCharType="end"/>
            </w:r>
          </w:hyperlink>
        </w:p>
        <w:p>
          <w:pPr>
            <w:pStyle w:val="TOC2"/>
            <w:rPr>
              <w:rFonts w:ascii="Calibri" w:hAnsi="Calibri" w:eastAsia="Arial" w:asciiTheme="minorHAnsi" w:eastAsiaTheme="minorEastAsia" w:hAnsiTheme="minorHAnsi"/>
              <w:sz w:val="24"/>
              <w:szCs w:val="24"/>
              <w:lang w:eastAsia="ru-RU"/>
              <w14:ligatures w14:val="standardContextual"/>
            </w:rPr>
          </w:pPr>
          <w:hyperlink w:anchor="_Toc230928845" w:tgtFrame="#_Toc230928845">
            <w:r>
              <w:rPr>
                <w:webHidden/>
                <w:rStyle w:val="Style13"/>
                <w:vanish w:val="false"/>
              </w:rPr>
              <w:t>4.4</w:t>
            </w:r>
            <w:r>
              <w:rPr>
                <w:rStyle w:val="Style13"/>
                <w:rFonts w:eastAsia="Arial" w:ascii="Calibri" w:hAnsi="Calibri" w:asciiTheme="minorHAnsi" w:eastAsiaTheme="minorEastAsia" w:hAnsiTheme="minorHAnsi"/>
                <w:sz w:val="24"/>
                <w:szCs w:val="24"/>
                <w:lang w:eastAsia="ru-RU"/>
                <w14:ligatures w14:val="standardContextual"/>
              </w:rPr>
              <w:tab/>
            </w:r>
            <w:r>
              <w:rPr>
                <w:webHidden/>
              </w:rPr>
              <w:fldChar w:fldCharType="begin"/>
            </w:r>
            <w:r>
              <w:rPr>
                <w:webHidden/>
              </w:rPr>
              <w:instrText xml:space="preserve">PAGEREF _Toc230928845 \h</w:instrText>
            </w:r>
            <w:r>
              <w:rPr>
                <w:webHidden/>
              </w:rPr>
              <w:fldChar w:fldCharType="separate"/>
            </w:r>
            <w:r>
              <w:rPr>
                <w:rStyle w:val="Style13"/>
              </w:rPr>
              <w:t>Разъяснение Документации о закупке</w:t>
              <w:tab/>
              <w:t>38</w:t>
            </w:r>
            <w:r>
              <w:rPr>
                <w:webHidden/>
              </w:rPr>
              <w:fldChar w:fldCharType="end"/>
            </w:r>
          </w:hyperlink>
        </w:p>
        <w:p>
          <w:pPr>
            <w:pStyle w:val="TOC2"/>
            <w:rPr>
              <w:rFonts w:ascii="Calibri" w:hAnsi="Calibri" w:eastAsia="Arial" w:asciiTheme="minorHAnsi" w:eastAsiaTheme="minorEastAsia" w:hAnsiTheme="minorHAnsi"/>
              <w:sz w:val="24"/>
              <w:szCs w:val="24"/>
              <w:lang w:eastAsia="ru-RU"/>
              <w14:ligatures w14:val="standardContextual"/>
            </w:rPr>
          </w:pPr>
          <w:hyperlink w:anchor="_Toc230928846" w:tgtFrame="#_Toc230928846">
            <w:r>
              <w:rPr>
                <w:webHidden/>
                <w:rStyle w:val="Style13"/>
                <w:vanish w:val="false"/>
              </w:rPr>
              <w:t>4.5</w:t>
            </w:r>
            <w:r>
              <w:rPr>
                <w:rStyle w:val="Style13"/>
                <w:rFonts w:eastAsia="Arial" w:ascii="Calibri" w:hAnsi="Calibri" w:asciiTheme="minorHAnsi" w:eastAsiaTheme="minorEastAsia" w:hAnsiTheme="minorHAnsi"/>
                <w:sz w:val="24"/>
                <w:szCs w:val="24"/>
                <w:lang w:eastAsia="ru-RU"/>
                <w14:ligatures w14:val="standardContextual"/>
              </w:rPr>
              <w:tab/>
            </w:r>
            <w:r>
              <w:rPr>
                <w:webHidden/>
              </w:rPr>
              <w:fldChar w:fldCharType="begin"/>
            </w:r>
            <w:r>
              <w:rPr>
                <w:webHidden/>
              </w:rPr>
              <w:instrText xml:space="preserve">PAGEREF _Toc230928846 \h</w:instrText>
            </w:r>
            <w:r>
              <w:rPr>
                <w:webHidden/>
              </w:rPr>
              <w:fldChar w:fldCharType="separate"/>
            </w:r>
            <w:r>
              <w:rPr>
                <w:rStyle w:val="Style13"/>
              </w:rPr>
              <w:t>Изменения Извещения и (или) Документации о закупке</w:t>
              <w:tab/>
              <w:t>39</w:t>
            </w:r>
            <w:r>
              <w:rPr>
                <w:webHidden/>
              </w:rPr>
              <w:fldChar w:fldCharType="end"/>
            </w:r>
          </w:hyperlink>
        </w:p>
        <w:p>
          <w:pPr>
            <w:pStyle w:val="TOC2"/>
            <w:rPr>
              <w:rFonts w:ascii="Calibri" w:hAnsi="Calibri" w:eastAsia="Arial" w:asciiTheme="minorHAnsi" w:eastAsiaTheme="minorEastAsia" w:hAnsiTheme="minorHAnsi"/>
              <w:sz w:val="24"/>
              <w:szCs w:val="24"/>
              <w:lang w:eastAsia="ru-RU"/>
              <w14:ligatures w14:val="standardContextual"/>
            </w:rPr>
          </w:pPr>
          <w:hyperlink w:anchor="_Toc230928847" w:tgtFrame="#_Toc230928847">
            <w:r>
              <w:rPr>
                <w:webHidden/>
                <w:rStyle w:val="Style13"/>
                <w:vanish w:val="false"/>
              </w:rPr>
              <w:t>4.6</w:t>
            </w:r>
            <w:r>
              <w:rPr>
                <w:rStyle w:val="Style13"/>
                <w:rFonts w:eastAsia="Arial" w:ascii="Calibri" w:hAnsi="Calibri" w:asciiTheme="minorHAnsi" w:eastAsiaTheme="minorEastAsia" w:hAnsiTheme="minorHAnsi"/>
                <w:sz w:val="24"/>
                <w:szCs w:val="24"/>
                <w:lang w:eastAsia="ru-RU"/>
                <w14:ligatures w14:val="standardContextual"/>
              </w:rPr>
              <w:tab/>
            </w:r>
            <w:r>
              <w:rPr>
                <w:webHidden/>
              </w:rPr>
              <w:fldChar w:fldCharType="begin"/>
            </w:r>
            <w:r>
              <w:rPr>
                <w:webHidden/>
              </w:rPr>
              <w:instrText xml:space="preserve">PAGEREF _Toc230928847 \h</w:instrText>
            </w:r>
            <w:r>
              <w:rPr>
                <w:webHidden/>
              </w:rPr>
              <w:fldChar w:fldCharType="separate"/>
            </w:r>
            <w:r>
              <w:rPr>
                <w:rStyle w:val="Style13"/>
              </w:rPr>
              <w:t>Подача заявок и их прием</w:t>
              <w:tab/>
              <w:t>39</w:t>
            </w:r>
            <w:r>
              <w:rPr>
                <w:webHidden/>
              </w:rPr>
              <w:fldChar w:fldCharType="end"/>
            </w:r>
          </w:hyperlink>
        </w:p>
        <w:p>
          <w:pPr>
            <w:pStyle w:val="TOC2"/>
            <w:rPr>
              <w:rFonts w:ascii="Calibri" w:hAnsi="Calibri" w:eastAsia="Arial" w:asciiTheme="minorHAnsi" w:eastAsiaTheme="minorEastAsia" w:hAnsiTheme="minorHAnsi"/>
              <w:sz w:val="24"/>
              <w:szCs w:val="24"/>
              <w:lang w:eastAsia="ru-RU"/>
              <w14:ligatures w14:val="standardContextual"/>
            </w:rPr>
          </w:pPr>
          <w:hyperlink w:anchor="_Toc230928848" w:tgtFrame="#_Toc230928848">
            <w:r>
              <w:rPr>
                <w:webHidden/>
                <w:rStyle w:val="Style13"/>
                <w:vanish w:val="false"/>
              </w:rPr>
              <w:t>4.7</w:t>
            </w:r>
            <w:r>
              <w:rPr>
                <w:rStyle w:val="Style13"/>
                <w:rFonts w:eastAsia="Arial" w:ascii="Calibri" w:hAnsi="Calibri" w:asciiTheme="minorHAnsi" w:eastAsiaTheme="minorEastAsia" w:hAnsiTheme="minorHAnsi"/>
                <w:sz w:val="24"/>
                <w:szCs w:val="24"/>
                <w:lang w:eastAsia="ru-RU"/>
                <w14:ligatures w14:val="standardContextual"/>
              </w:rPr>
              <w:tab/>
            </w:r>
            <w:r>
              <w:rPr>
                <w:webHidden/>
              </w:rPr>
              <w:fldChar w:fldCharType="begin"/>
            </w:r>
            <w:r>
              <w:rPr>
                <w:webHidden/>
              </w:rPr>
              <w:instrText xml:space="preserve">PAGEREF _Toc230928848 \h</w:instrText>
            </w:r>
            <w:r>
              <w:rPr>
                <w:webHidden/>
              </w:rPr>
              <w:fldChar w:fldCharType="separate"/>
            </w:r>
            <w:r>
              <w:rPr>
                <w:rStyle w:val="Style13"/>
              </w:rPr>
              <w:t>Изменение и отзыв заявок</w:t>
              <w:tab/>
              <w:t>40</w:t>
            </w:r>
            <w:r>
              <w:rPr>
                <w:webHidden/>
              </w:rPr>
              <w:fldChar w:fldCharType="end"/>
            </w:r>
          </w:hyperlink>
        </w:p>
        <w:p>
          <w:pPr>
            <w:pStyle w:val="TOC2"/>
            <w:rPr>
              <w:rFonts w:ascii="Calibri" w:hAnsi="Calibri" w:eastAsia="Arial" w:asciiTheme="minorHAnsi" w:eastAsiaTheme="minorEastAsia" w:hAnsiTheme="minorHAnsi"/>
              <w:sz w:val="24"/>
              <w:szCs w:val="24"/>
              <w:lang w:eastAsia="ru-RU"/>
              <w14:ligatures w14:val="standardContextual"/>
            </w:rPr>
          </w:pPr>
          <w:hyperlink w:anchor="_Toc230928849" w:tgtFrame="#_Toc230928849">
            <w:r>
              <w:rPr>
                <w:webHidden/>
                <w:rStyle w:val="Style13"/>
                <w:vanish w:val="false"/>
              </w:rPr>
              <w:t>4.8</w:t>
            </w:r>
            <w:r>
              <w:rPr>
                <w:rStyle w:val="Style13"/>
                <w:rFonts w:eastAsia="Arial" w:ascii="Calibri" w:hAnsi="Calibri" w:asciiTheme="minorHAnsi" w:eastAsiaTheme="minorEastAsia" w:hAnsiTheme="minorHAnsi"/>
                <w:sz w:val="24"/>
                <w:szCs w:val="24"/>
                <w:lang w:eastAsia="ru-RU"/>
                <w14:ligatures w14:val="standardContextual"/>
              </w:rPr>
              <w:tab/>
            </w:r>
            <w:r>
              <w:rPr>
                <w:webHidden/>
              </w:rPr>
              <w:fldChar w:fldCharType="begin"/>
            </w:r>
            <w:r>
              <w:rPr>
                <w:webHidden/>
              </w:rPr>
              <w:instrText xml:space="preserve">PAGEREF _Toc230928849 \h</w:instrText>
            </w:r>
            <w:r>
              <w:rPr>
                <w:webHidden/>
              </w:rPr>
              <w:fldChar w:fldCharType="separate"/>
            </w:r>
            <w:r>
              <w:rPr>
                <w:rStyle w:val="Style13"/>
              </w:rPr>
              <w:t>Открытие доступа к заявкам</w:t>
              <w:tab/>
              <w:t>40</w:t>
            </w:r>
            <w:r>
              <w:rPr>
                <w:webHidden/>
              </w:rPr>
              <w:fldChar w:fldCharType="end"/>
            </w:r>
          </w:hyperlink>
        </w:p>
        <w:p>
          <w:pPr>
            <w:pStyle w:val="TOC2"/>
            <w:rPr>
              <w:rFonts w:ascii="Calibri" w:hAnsi="Calibri" w:eastAsia="Arial" w:asciiTheme="minorHAnsi" w:eastAsiaTheme="minorEastAsia" w:hAnsiTheme="minorHAnsi"/>
              <w:sz w:val="24"/>
              <w:szCs w:val="24"/>
              <w:lang w:eastAsia="ru-RU"/>
              <w14:ligatures w14:val="standardContextual"/>
            </w:rPr>
          </w:pPr>
          <w:hyperlink w:anchor="_Toc230928850" w:tgtFrame="#_Toc230928850">
            <w:r>
              <w:rPr>
                <w:webHidden/>
                <w:rStyle w:val="Style13"/>
                <w:vanish w:val="false"/>
              </w:rPr>
              <w:t>4.9</w:t>
            </w:r>
            <w:r>
              <w:rPr>
                <w:rStyle w:val="Style13"/>
                <w:rFonts w:eastAsia="Arial" w:ascii="Calibri" w:hAnsi="Calibri" w:asciiTheme="minorHAnsi" w:eastAsiaTheme="minorEastAsia" w:hAnsiTheme="minorHAnsi"/>
                <w:sz w:val="24"/>
                <w:szCs w:val="24"/>
                <w:lang w:eastAsia="ru-RU"/>
                <w14:ligatures w14:val="standardContextual"/>
              </w:rPr>
              <w:tab/>
            </w:r>
            <w:r>
              <w:rPr>
                <w:webHidden/>
              </w:rPr>
              <w:fldChar w:fldCharType="begin"/>
            </w:r>
            <w:r>
              <w:rPr>
                <w:webHidden/>
              </w:rPr>
              <w:instrText xml:space="preserve">PAGEREF _Toc230928850 \h</w:instrText>
            </w:r>
            <w:r>
              <w:rPr>
                <w:webHidden/>
              </w:rPr>
              <w:fldChar w:fldCharType="separate"/>
            </w:r>
            <w:r>
              <w:rPr>
                <w:rStyle w:val="Style13"/>
              </w:rPr>
              <w:t>Рассмотрение заявок (отборочная стадия), в том числе (при необходимости) проведение аккредитации</w:t>
              <w:tab/>
              <w:t>41</w:t>
            </w:r>
            <w:r>
              <w:rPr>
                <w:webHidden/>
              </w:rPr>
              <w:fldChar w:fldCharType="end"/>
            </w:r>
          </w:hyperlink>
        </w:p>
        <w:p>
          <w:pPr>
            <w:pStyle w:val="TOC2"/>
            <w:rPr>
              <w:rFonts w:ascii="Calibri" w:hAnsi="Calibri" w:eastAsia="Arial" w:asciiTheme="minorHAnsi" w:eastAsiaTheme="minorEastAsia" w:hAnsiTheme="minorHAnsi"/>
              <w:sz w:val="24"/>
              <w:szCs w:val="24"/>
              <w:lang w:eastAsia="ru-RU"/>
              <w14:ligatures w14:val="standardContextual"/>
            </w:rPr>
          </w:pPr>
          <w:hyperlink w:anchor="_Toc230928851" w:tgtFrame="#_Toc230928851">
            <w:r>
              <w:rPr>
                <w:webHidden/>
                <w:rStyle w:val="Style13"/>
                <w:vanish w:val="false"/>
              </w:rPr>
              <w:t>4.10</w:t>
            </w:r>
            <w:r>
              <w:rPr>
                <w:rStyle w:val="Style13"/>
                <w:rFonts w:eastAsia="Arial" w:ascii="Calibri" w:hAnsi="Calibri" w:asciiTheme="minorHAnsi" w:eastAsiaTheme="minorEastAsia" w:hAnsiTheme="minorHAnsi"/>
                <w:sz w:val="24"/>
                <w:szCs w:val="24"/>
                <w:lang w:eastAsia="ru-RU"/>
                <w14:ligatures w14:val="standardContextual"/>
              </w:rPr>
              <w:tab/>
            </w:r>
            <w:r>
              <w:rPr>
                <w:webHidden/>
              </w:rPr>
              <w:fldChar w:fldCharType="begin"/>
            </w:r>
            <w:r>
              <w:rPr>
                <w:webHidden/>
              </w:rPr>
              <w:instrText xml:space="preserve">PAGEREF _Toc230928851 \h</w:instrText>
            </w:r>
            <w:r>
              <w:rPr>
                <w:webHidden/>
              </w:rPr>
              <w:fldChar w:fldCharType="separate"/>
            </w:r>
            <w:r>
              <w:rPr>
                <w:rStyle w:val="Style13"/>
              </w:rPr>
              <w:t>Дополнительные запросы разъяснений заявок</w:t>
              <w:tab/>
              <w:t>43</w:t>
            </w:r>
            <w:r>
              <w:rPr>
                <w:webHidden/>
              </w:rPr>
              <w:fldChar w:fldCharType="end"/>
            </w:r>
          </w:hyperlink>
        </w:p>
        <w:p>
          <w:pPr>
            <w:pStyle w:val="TOC2"/>
            <w:rPr>
              <w:rFonts w:ascii="Calibri" w:hAnsi="Calibri" w:eastAsia="Arial" w:asciiTheme="minorHAnsi" w:eastAsiaTheme="minorEastAsia" w:hAnsiTheme="minorHAnsi"/>
              <w:sz w:val="24"/>
              <w:szCs w:val="24"/>
              <w:lang w:eastAsia="ru-RU"/>
              <w14:ligatures w14:val="standardContextual"/>
            </w:rPr>
          </w:pPr>
          <w:hyperlink w:anchor="_Toc230928852" w:tgtFrame="#_Toc230928852">
            <w:r>
              <w:rPr>
                <w:webHidden/>
                <w:rStyle w:val="Style13"/>
                <w:vanish w:val="false"/>
              </w:rPr>
              <w:t>4.11</w:t>
            </w:r>
            <w:r>
              <w:rPr>
                <w:rStyle w:val="Style13"/>
                <w:rFonts w:eastAsia="Arial" w:ascii="Calibri" w:hAnsi="Calibri" w:asciiTheme="minorHAnsi" w:eastAsiaTheme="minorEastAsia" w:hAnsiTheme="minorHAnsi"/>
                <w:sz w:val="24"/>
                <w:szCs w:val="24"/>
                <w:lang w:eastAsia="ru-RU"/>
                <w14:ligatures w14:val="standardContextual"/>
              </w:rPr>
              <w:tab/>
            </w:r>
            <w:r>
              <w:rPr>
                <w:webHidden/>
              </w:rPr>
              <w:fldChar w:fldCharType="begin"/>
            </w:r>
            <w:r>
              <w:rPr>
                <w:webHidden/>
              </w:rPr>
              <w:instrText xml:space="preserve">PAGEREF _Toc230928852 \h</w:instrText>
            </w:r>
            <w:r>
              <w:rPr>
                <w:webHidden/>
              </w:rPr>
              <w:fldChar w:fldCharType="separate"/>
            </w:r>
            <w:r>
              <w:rPr>
                <w:rStyle w:val="Style13"/>
              </w:rPr>
              <w:t>Переторжка</w:t>
              <w:tab/>
              <w:t>45</w:t>
            </w:r>
            <w:r>
              <w:rPr>
                <w:webHidden/>
              </w:rPr>
              <w:fldChar w:fldCharType="end"/>
            </w:r>
          </w:hyperlink>
        </w:p>
        <w:p>
          <w:pPr>
            <w:pStyle w:val="TOC2"/>
            <w:rPr>
              <w:rFonts w:ascii="Calibri" w:hAnsi="Calibri" w:eastAsia="Arial" w:asciiTheme="minorHAnsi" w:eastAsiaTheme="minorEastAsia" w:hAnsiTheme="minorHAnsi"/>
              <w:sz w:val="24"/>
              <w:szCs w:val="24"/>
              <w:lang w:eastAsia="ru-RU"/>
              <w14:ligatures w14:val="standardContextual"/>
            </w:rPr>
          </w:pPr>
          <w:hyperlink w:anchor="_Toc230928853" w:tgtFrame="#_Toc230928853">
            <w:r>
              <w:rPr>
                <w:webHidden/>
                <w:rStyle w:val="Style13"/>
                <w:vanish w:val="false"/>
              </w:rPr>
              <w:t>4.12</w:t>
            </w:r>
            <w:r>
              <w:rPr>
                <w:rStyle w:val="Style13"/>
                <w:rFonts w:eastAsia="Arial" w:ascii="Calibri" w:hAnsi="Calibri" w:asciiTheme="minorHAnsi" w:eastAsiaTheme="minorEastAsia" w:hAnsiTheme="minorHAnsi"/>
                <w:sz w:val="24"/>
                <w:szCs w:val="24"/>
                <w:lang w:eastAsia="ru-RU"/>
                <w14:ligatures w14:val="standardContextual"/>
              </w:rPr>
              <w:tab/>
            </w:r>
            <w:r>
              <w:rPr>
                <w:webHidden/>
              </w:rPr>
              <w:fldChar w:fldCharType="begin"/>
            </w:r>
            <w:r>
              <w:rPr>
                <w:webHidden/>
              </w:rPr>
              <w:instrText xml:space="preserve">PAGEREF _Toc230928853 \h</w:instrText>
            </w:r>
            <w:r>
              <w:rPr>
                <w:webHidden/>
              </w:rPr>
              <w:fldChar w:fldCharType="separate"/>
            </w:r>
            <w:r>
              <w:rPr>
                <w:rStyle w:val="Style13"/>
              </w:rPr>
              <w:t>Оценка и сопоставление заявок</w:t>
              <w:tab/>
              <w:t>47</w:t>
            </w:r>
            <w:r>
              <w:rPr>
                <w:webHidden/>
              </w:rPr>
              <w:fldChar w:fldCharType="end"/>
            </w:r>
          </w:hyperlink>
        </w:p>
        <w:p>
          <w:pPr>
            <w:pStyle w:val="TOC2"/>
            <w:rPr>
              <w:rFonts w:ascii="Calibri" w:hAnsi="Calibri" w:eastAsia="Arial" w:asciiTheme="minorHAnsi" w:eastAsiaTheme="minorEastAsia" w:hAnsiTheme="minorHAnsi"/>
              <w:sz w:val="24"/>
              <w:szCs w:val="24"/>
              <w:lang w:eastAsia="ru-RU"/>
              <w14:ligatures w14:val="standardContextual"/>
            </w:rPr>
          </w:pPr>
          <w:hyperlink w:anchor="_Toc230928854" w:tgtFrame="#_Toc230928854">
            <w:r>
              <w:rPr>
                <w:webHidden/>
                <w:rStyle w:val="Style13"/>
                <w:vanish w:val="false"/>
              </w:rPr>
              <w:t>4.13</w:t>
            </w:r>
            <w:r>
              <w:rPr>
                <w:rStyle w:val="Style13"/>
                <w:rFonts w:eastAsia="Arial" w:ascii="Calibri" w:hAnsi="Calibri" w:asciiTheme="minorHAnsi" w:eastAsiaTheme="minorEastAsia" w:hAnsiTheme="minorHAnsi"/>
                <w:sz w:val="24"/>
                <w:szCs w:val="24"/>
                <w:lang w:eastAsia="ru-RU"/>
                <w14:ligatures w14:val="standardContextual"/>
              </w:rPr>
              <w:tab/>
            </w:r>
            <w:r>
              <w:rPr>
                <w:webHidden/>
              </w:rPr>
              <w:fldChar w:fldCharType="begin"/>
            </w:r>
            <w:r>
              <w:rPr>
                <w:webHidden/>
              </w:rPr>
              <w:instrText xml:space="preserve">PAGEREF _Toc230928854 \h</w:instrText>
            </w:r>
            <w:r>
              <w:rPr>
                <w:webHidden/>
              </w:rPr>
              <w:fldChar w:fldCharType="separate"/>
            </w:r>
            <w:r>
              <w:rPr>
                <w:rStyle w:val="Style13"/>
              </w:rPr>
              <w:t>Применение законодательства о национальном режиме</w:t>
              <w:tab/>
              <w:t>48</w:t>
            </w:r>
            <w:r>
              <w:rPr>
                <w:webHidden/>
              </w:rPr>
              <w:fldChar w:fldCharType="end"/>
            </w:r>
          </w:hyperlink>
        </w:p>
        <w:p>
          <w:pPr>
            <w:pStyle w:val="TOC2"/>
            <w:rPr>
              <w:rFonts w:ascii="Calibri" w:hAnsi="Calibri" w:eastAsia="Arial" w:asciiTheme="minorHAnsi" w:eastAsiaTheme="minorEastAsia" w:hAnsiTheme="minorHAnsi"/>
              <w:sz w:val="24"/>
              <w:szCs w:val="24"/>
              <w:lang w:eastAsia="ru-RU"/>
              <w14:ligatures w14:val="standardContextual"/>
            </w:rPr>
          </w:pPr>
          <w:hyperlink w:anchor="_Toc230928855" w:tgtFrame="#_Toc230928855">
            <w:r>
              <w:rPr>
                <w:webHidden/>
                <w:rStyle w:val="Style13"/>
                <w:vanish w:val="false"/>
              </w:rPr>
              <w:t>4.14</w:t>
            </w:r>
            <w:r>
              <w:rPr>
                <w:rStyle w:val="Style13"/>
                <w:rFonts w:eastAsia="Arial" w:ascii="Calibri" w:hAnsi="Calibri" w:asciiTheme="minorHAnsi" w:eastAsiaTheme="minorEastAsia" w:hAnsiTheme="minorHAnsi"/>
                <w:sz w:val="24"/>
                <w:szCs w:val="24"/>
                <w:lang w:eastAsia="ru-RU"/>
                <w14:ligatures w14:val="standardContextual"/>
              </w:rPr>
              <w:tab/>
            </w:r>
            <w:r>
              <w:rPr>
                <w:webHidden/>
              </w:rPr>
              <w:fldChar w:fldCharType="begin"/>
            </w:r>
            <w:r>
              <w:rPr>
                <w:webHidden/>
              </w:rPr>
              <w:instrText xml:space="preserve">PAGEREF _Toc230928855 \h</w:instrText>
            </w:r>
            <w:r>
              <w:rPr>
                <w:webHidden/>
              </w:rPr>
              <w:fldChar w:fldCharType="separate"/>
            </w:r>
            <w:r>
              <w:rPr>
                <w:rStyle w:val="Style13"/>
              </w:rPr>
              <w:t>Подведение итогов закупки (определение Победителя)</w:t>
              <w:tab/>
              <w:t>50</w:t>
            </w:r>
            <w:r>
              <w:rPr>
                <w:webHidden/>
              </w:rPr>
              <w:fldChar w:fldCharType="end"/>
            </w:r>
          </w:hyperlink>
        </w:p>
        <w:p>
          <w:pPr>
            <w:pStyle w:val="TOC2"/>
            <w:rPr>
              <w:rFonts w:ascii="Calibri" w:hAnsi="Calibri" w:eastAsia="Arial" w:asciiTheme="minorHAnsi" w:eastAsiaTheme="minorEastAsia" w:hAnsiTheme="minorHAnsi"/>
              <w:sz w:val="24"/>
              <w:szCs w:val="24"/>
              <w:lang w:eastAsia="ru-RU"/>
              <w14:ligatures w14:val="standardContextual"/>
            </w:rPr>
          </w:pPr>
          <w:hyperlink w:anchor="_Toc230928856" w:tgtFrame="#_Toc230928856">
            <w:r>
              <w:rPr>
                <w:webHidden/>
                <w:rStyle w:val="Style13"/>
                <w:vanish w:val="false"/>
              </w:rPr>
              <w:t>4.15</w:t>
            </w:r>
            <w:r>
              <w:rPr>
                <w:rStyle w:val="Style13"/>
                <w:rFonts w:eastAsia="Arial" w:ascii="Calibri" w:hAnsi="Calibri" w:asciiTheme="minorHAnsi" w:eastAsiaTheme="minorEastAsia" w:hAnsiTheme="minorHAnsi"/>
                <w:sz w:val="24"/>
                <w:szCs w:val="24"/>
                <w:lang w:eastAsia="ru-RU"/>
                <w14:ligatures w14:val="standardContextual"/>
              </w:rPr>
              <w:tab/>
            </w:r>
            <w:r>
              <w:rPr>
                <w:webHidden/>
              </w:rPr>
              <w:fldChar w:fldCharType="begin"/>
            </w:r>
            <w:r>
              <w:rPr>
                <w:webHidden/>
              </w:rPr>
              <w:instrText xml:space="preserve">PAGEREF _Toc230928856 \h</w:instrText>
            </w:r>
            <w:r>
              <w:rPr>
                <w:webHidden/>
              </w:rPr>
              <w:fldChar w:fldCharType="separate"/>
            </w:r>
            <w:r>
              <w:rPr>
                <w:rStyle w:val="Style13"/>
              </w:rPr>
              <w:t>Признание закупки несостоявшейся</w:t>
              <w:tab/>
              <w:t>51</w:t>
            </w:r>
            <w:r>
              <w:rPr>
                <w:webHidden/>
              </w:rPr>
              <w:fldChar w:fldCharType="end"/>
            </w:r>
          </w:hyperlink>
        </w:p>
        <w:p>
          <w:pPr>
            <w:pStyle w:val="TOC2"/>
            <w:rPr>
              <w:rFonts w:ascii="Calibri" w:hAnsi="Calibri" w:eastAsia="Arial" w:asciiTheme="minorHAnsi" w:eastAsiaTheme="minorEastAsia" w:hAnsiTheme="minorHAnsi"/>
              <w:sz w:val="24"/>
              <w:szCs w:val="24"/>
              <w:lang w:eastAsia="ru-RU"/>
              <w14:ligatures w14:val="standardContextual"/>
            </w:rPr>
          </w:pPr>
          <w:hyperlink w:anchor="_Toc230928857" w:tgtFrame="#_Toc230928857">
            <w:r>
              <w:rPr>
                <w:webHidden/>
                <w:rStyle w:val="Style13"/>
                <w:vanish w:val="false"/>
              </w:rPr>
              <w:t>4.16</w:t>
            </w:r>
            <w:r>
              <w:rPr>
                <w:rStyle w:val="Style13"/>
                <w:rFonts w:eastAsia="Arial" w:ascii="Calibri" w:hAnsi="Calibri" w:asciiTheme="minorHAnsi" w:eastAsiaTheme="minorEastAsia" w:hAnsiTheme="minorHAnsi"/>
                <w:sz w:val="24"/>
                <w:szCs w:val="24"/>
                <w:lang w:eastAsia="ru-RU"/>
                <w14:ligatures w14:val="standardContextual"/>
              </w:rPr>
              <w:tab/>
            </w:r>
            <w:r>
              <w:rPr>
                <w:webHidden/>
              </w:rPr>
              <w:fldChar w:fldCharType="begin"/>
            </w:r>
            <w:r>
              <w:rPr>
                <w:webHidden/>
              </w:rPr>
              <w:instrText xml:space="preserve">PAGEREF _Toc230928857 \h</w:instrText>
            </w:r>
            <w:r>
              <w:rPr>
                <w:webHidden/>
              </w:rPr>
              <w:fldChar w:fldCharType="separate"/>
            </w:r>
            <w:r>
              <w:rPr>
                <w:rStyle w:val="Style13"/>
              </w:rPr>
              <w:t>Отказ от проведения закупки (отмена закупки)</w:t>
              <w:tab/>
              <w:t>53</w:t>
            </w:r>
            <w:r>
              <w:rPr>
                <w:webHidden/>
              </w:rPr>
              <w:fldChar w:fldCharType="end"/>
            </w:r>
          </w:hyperlink>
        </w:p>
        <w:p>
          <w:pPr>
            <w:pStyle w:val="TOC2"/>
            <w:rPr>
              <w:rFonts w:ascii="Calibri" w:hAnsi="Calibri" w:eastAsia="Arial" w:asciiTheme="minorHAnsi" w:eastAsiaTheme="minorEastAsia" w:hAnsiTheme="minorHAnsi"/>
              <w:sz w:val="24"/>
              <w:szCs w:val="24"/>
              <w:lang w:eastAsia="ru-RU"/>
              <w14:ligatures w14:val="standardContextual"/>
            </w:rPr>
          </w:pPr>
          <w:hyperlink w:anchor="_Toc230928858" w:tgtFrame="#_Toc230928858">
            <w:r>
              <w:rPr>
                <w:webHidden/>
                <w:rStyle w:val="Style13"/>
                <w:vanish w:val="false"/>
              </w:rPr>
              <w:t>4.17</w:t>
            </w:r>
            <w:r>
              <w:rPr>
                <w:rStyle w:val="Style13"/>
                <w:rFonts w:eastAsia="Arial" w:ascii="Calibri" w:hAnsi="Calibri" w:asciiTheme="minorHAnsi" w:eastAsiaTheme="minorEastAsia" w:hAnsiTheme="minorHAnsi"/>
                <w:sz w:val="24"/>
                <w:szCs w:val="24"/>
                <w:lang w:eastAsia="ru-RU"/>
                <w14:ligatures w14:val="standardContextual"/>
              </w:rPr>
              <w:tab/>
            </w:r>
            <w:r>
              <w:rPr>
                <w:webHidden/>
              </w:rPr>
              <w:fldChar w:fldCharType="begin"/>
            </w:r>
            <w:r>
              <w:rPr>
                <w:webHidden/>
              </w:rPr>
              <w:instrText xml:space="preserve">PAGEREF _Toc230928858 \h</w:instrText>
            </w:r>
            <w:r>
              <w:rPr>
                <w:webHidden/>
              </w:rPr>
              <w:fldChar w:fldCharType="separate"/>
            </w:r>
            <w:r>
              <w:rPr>
                <w:rStyle w:val="Style13"/>
              </w:rPr>
              <w:t>Особенности проведения закупки с необходимостью обеспечения заявки</w:t>
              <w:tab/>
              <w:t>53</w:t>
            </w:r>
            <w:r>
              <w:rPr>
                <w:webHidden/>
              </w:rPr>
              <w:fldChar w:fldCharType="end"/>
            </w:r>
          </w:hyperlink>
        </w:p>
        <w:p>
          <w:pPr>
            <w:pStyle w:val="TOC2"/>
            <w:rPr>
              <w:rFonts w:ascii="Calibri" w:hAnsi="Calibri" w:eastAsia="Arial" w:asciiTheme="minorHAnsi" w:eastAsiaTheme="minorEastAsia" w:hAnsiTheme="minorHAnsi"/>
              <w:sz w:val="24"/>
              <w:szCs w:val="24"/>
              <w:lang w:eastAsia="ru-RU"/>
              <w14:ligatures w14:val="standardContextual"/>
            </w:rPr>
          </w:pPr>
          <w:hyperlink w:anchor="_Toc230928859" w:tgtFrame="#_Toc230928859">
            <w:r>
              <w:rPr>
                <w:webHidden/>
                <w:rStyle w:val="Style13"/>
                <w:vanish w:val="false"/>
              </w:rPr>
              <w:t>4.18</w:t>
            </w:r>
            <w:r>
              <w:rPr>
                <w:rStyle w:val="Style13"/>
                <w:rFonts w:eastAsia="Arial" w:ascii="Calibri" w:hAnsi="Calibri" w:asciiTheme="minorHAnsi" w:eastAsiaTheme="minorEastAsia" w:hAnsiTheme="minorHAnsi"/>
                <w:sz w:val="24"/>
                <w:szCs w:val="24"/>
                <w:lang w:eastAsia="ru-RU"/>
                <w14:ligatures w14:val="standardContextual"/>
              </w:rPr>
              <w:tab/>
            </w:r>
            <w:r>
              <w:rPr>
                <w:webHidden/>
              </w:rPr>
              <w:fldChar w:fldCharType="begin"/>
            </w:r>
            <w:r>
              <w:rPr>
                <w:webHidden/>
              </w:rPr>
              <w:instrText xml:space="preserve">PAGEREF _Toc230928859 \h</w:instrText>
            </w:r>
            <w:r>
              <w:rPr>
                <w:webHidden/>
              </w:rPr>
              <w:fldChar w:fldCharType="separate"/>
            </w:r>
            <w:r>
              <w:rPr>
                <w:rStyle w:val="Style13"/>
              </w:rPr>
              <w:t>Особенности проведения многолотовой закупки</w:t>
              <w:tab/>
              <w:t>56</w:t>
            </w:r>
            <w:r>
              <w:rPr>
                <w:webHidden/>
              </w:rPr>
              <w:fldChar w:fldCharType="end"/>
            </w:r>
          </w:hyperlink>
        </w:p>
        <w:p>
          <w:pPr>
            <w:pStyle w:val="TOC2"/>
            <w:rPr>
              <w:rFonts w:ascii="Calibri" w:hAnsi="Calibri" w:eastAsia="Arial" w:asciiTheme="minorHAnsi" w:eastAsiaTheme="minorEastAsia" w:hAnsiTheme="minorHAnsi"/>
              <w:sz w:val="24"/>
              <w:szCs w:val="24"/>
              <w:lang w:eastAsia="ru-RU"/>
              <w14:ligatures w14:val="standardContextual"/>
            </w:rPr>
          </w:pPr>
          <w:hyperlink w:anchor="_Toc230928860" w:tgtFrame="#_Toc230928860">
            <w:r>
              <w:rPr>
                <w:webHidden/>
                <w:rStyle w:val="Style13"/>
                <w:vanish w:val="false"/>
              </w:rPr>
              <w:t>4.19</w:t>
            </w:r>
            <w:r>
              <w:rPr>
                <w:rStyle w:val="Style13"/>
                <w:rFonts w:eastAsia="Arial" w:ascii="Calibri" w:hAnsi="Calibri" w:asciiTheme="minorHAnsi" w:eastAsiaTheme="minorEastAsia" w:hAnsiTheme="minorHAnsi"/>
                <w:sz w:val="24"/>
                <w:szCs w:val="24"/>
                <w:lang w:eastAsia="ru-RU"/>
                <w14:ligatures w14:val="standardContextual"/>
              </w:rPr>
              <w:tab/>
            </w:r>
            <w:r>
              <w:rPr>
                <w:webHidden/>
              </w:rPr>
              <w:fldChar w:fldCharType="begin"/>
            </w:r>
            <w:r>
              <w:rPr>
                <w:webHidden/>
              </w:rPr>
              <w:instrText xml:space="preserve">PAGEREF _Toc230928860 \h</w:instrText>
            </w:r>
            <w:r>
              <w:rPr>
                <w:webHidden/>
              </w:rPr>
              <w:fldChar w:fldCharType="separate"/>
            </w:r>
            <w:r>
              <w:rPr>
                <w:rStyle w:val="Style13"/>
              </w:rPr>
              <w:t>Особенности проведения закупки с возможностью подачи альтернативных предложений</w:t>
              <w:tab/>
              <w:t>57</w:t>
            </w:r>
            <w:r>
              <w:rPr>
                <w:webHidden/>
              </w:rPr>
              <w:fldChar w:fldCharType="end"/>
            </w:r>
          </w:hyperlink>
        </w:p>
        <w:p>
          <w:pPr>
            <w:pStyle w:val="TOC1"/>
            <w:rPr>
              <w:rFonts w:ascii="Calibri" w:hAnsi="Calibri" w:eastAsia="Arial" w:asciiTheme="minorHAnsi" w:eastAsiaTheme="minorEastAsia" w:hAnsiTheme="minorHAnsi"/>
              <w:b w:val="false"/>
              <w:caps w:val="false"/>
              <w:smallCaps w:val="false"/>
              <w:sz w:val="24"/>
              <w:szCs w:val="24"/>
              <w:lang w:eastAsia="ru-RU"/>
              <w14:ligatures w14:val="standardContextual"/>
            </w:rPr>
          </w:pPr>
          <w:hyperlink w:anchor="_Toc230928861" w:tgtFrame="#_Toc230928861">
            <w:r>
              <w:rPr>
                <w:webHidden/>
                <w:rStyle w:val="Style13"/>
                <w:vanish w:val="false"/>
              </w:rPr>
              <w:t>5.</w:t>
            </w:r>
            <w:r>
              <w:rPr>
                <w:rStyle w:val="Style13"/>
                <w:rFonts w:eastAsia="Arial" w:ascii="Calibri" w:hAnsi="Calibri" w:asciiTheme="minorHAnsi" w:eastAsiaTheme="minorEastAsia" w:hAnsiTheme="minorHAnsi"/>
                <w:b w:val="false"/>
                <w:caps w:val="false"/>
                <w:smallCaps w:val="false"/>
                <w:sz w:val="24"/>
                <w:szCs w:val="24"/>
                <w:lang w:eastAsia="ru-RU"/>
                <w14:ligatures w14:val="standardContextual"/>
              </w:rPr>
              <w:tab/>
            </w:r>
            <w:r>
              <w:rPr>
                <w:webHidden/>
              </w:rPr>
              <w:fldChar w:fldCharType="begin"/>
            </w:r>
            <w:r>
              <w:rPr>
                <w:webHidden/>
              </w:rPr>
              <w:instrText xml:space="preserve">PAGEREF _Toc230928861 \h</w:instrText>
            </w:r>
            <w:r>
              <w:rPr>
                <w:webHidden/>
              </w:rPr>
              <w:fldChar w:fldCharType="separate"/>
            </w:r>
            <w:r>
              <w:rPr>
                <w:rStyle w:val="Style13"/>
              </w:rPr>
              <w:t>Порядок заключения Договора</w:t>
              <w:tab/>
              <w:t>58</w:t>
            </w:r>
            <w:r>
              <w:rPr>
                <w:webHidden/>
              </w:rPr>
              <w:fldChar w:fldCharType="end"/>
            </w:r>
          </w:hyperlink>
        </w:p>
        <w:p>
          <w:pPr>
            <w:pStyle w:val="TOC2"/>
            <w:rPr>
              <w:rFonts w:ascii="Calibri" w:hAnsi="Calibri" w:eastAsia="Arial" w:asciiTheme="minorHAnsi" w:eastAsiaTheme="minorEastAsia" w:hAnsiTheme="minorHAnsi"/>
              <w:sz w:val="24"/>
              <w:szCs w:val="24"/>
              <w:lang w:eastAsia="ru-RU"/>
              <w14:ligatures w14:val="standardContextual"/>
            </w:rPr>
          </w:pPr>
          <w:hyperlink w:anchor="_Toc230928862" w:tgtFrame="#_Toc230928862">
            <w:r>
              <w:rPr>
                <w:webHidden/>
                <w:rStyle w:val="Style13"/>
                <w:vanish w:val="false"/>
              </w:rPr>
              <w:t>5.1</w:t>
            </w:r>
            <w:r>
              <w:rPr>
                <w:rStyle w:val="Style13"/>
                <w:rFonts w:eastAsia="Arial" w:ascii="Calibri" w:hAnsi="Calibri" w:asciiTheme="minorHAnsi" w:eastAsiaTheme="minorEastAsia" w:hAnsiTheme="minorHAnsi"/>
                <w:sz w:val="24"/>
                <w:szCs w:val="24"/>
                <w:lang w:eastAsia="ru-RU"/>
                <w14:ligatures w14:val="standardContextual"/>
              </w:rPr>
              <w:tab/>
            </w:r>
            <w:r>
              <w:rPr>
                <w:webHidden/>
              </w:rPr>
              <w:fldChar w:fldCharType="begin"/>
            </w:r>
            <w:r>
              <w:rPr>
                <w:webHidden/>
              </w:rPr>
              <w:instrText xml:space="preserve">PAGEREF _Toc230928862 \h</w:instrText>
            </w:r>
            <w:r>
              <w:rPr>
                <w:webHidden/>
              </w:rPr>
              <w:fldChar w:fldCharType="separate"/>
            </w:r>
            <w:r>
              <w:rPr>
                <w:rStyle w:val="Style13"/>
              </w:rPr>
              <w:t>Общие положения</w:t>
              <w:tab/>
              <w:t>58</w:t>
            </w:r>
            <w:r>
              <w:rPr>
                <w:webHidden/>
              </w:rPr>
              <w:fldChar w:fldCharType="end"/>
            </w:r>
          </w:hyperlink>
        </w:p>
        <w:p>
          <w:pPr>
            <w:pStyle w:val="TOC2"/>
            <w:rPr>
              <w:rFonts w:ascii="Calibri" w:hAnsi="Calibri" w:eastAsia="Arial" w:asciiTheme="minorHAnsi" w:eastAsiaTheme="minorEastAsia" w:hAnsiTheme="minorHAnsi"/>
              <w:sz w:val="24"/>
              <w:szCs w:val="24"/>
              <w:lang w:eastAsia="ru-RU"/>
              <w14:ligatures w14:val="standardContextual"/>
            </w:rPr>
          </w:pPr>
          <w:hyperlink w:anchor="_Toc230928863" w:tgtFrame="#_Toc230928863">
            <w:r>
              <w:rPr>
                <w:webHidden/>
                <w:rStyle w:val="Style13"/>
                <w:vanish w:val="false"/>
              </w:rPr>
              <w:t>5.2</w:t>
            </w:r>
            <w:r>
              <w:rPr>
                <w:rStyle w:val="Style13"/>
                <w:rFonts w:eastAsia="Arial" w:ascii="Calibri" w:hAnsi="Calibri" w:asciiTheme="minorHAnsi" w:eastAsiaTheme="minorEastAsia" w:hAnsiTheme="minorHAnsi"/>
                <w:sz w:val="24"/>
                <w:szCs w:val="24"/>
                <w:lang w:eastAsia="ru-RU"/>
                <w14:ligatures w14:val="standardContextual"/>
              </w:rPr>
              <w:tab/>
            </w:r>
            <w:r>
              <w:rPr>
                <w:webHidden/>
              </w:rPr>
              <w:fldChar w:fldCharType="begin"/>
            </w:r>
            <w:r>
              <w:rPr>
                <w:webHidden/>
              </w:rPr>
              <w:instrText xml:space="preserve">PAGEREF _Toc230928863 \h</w:instrText>
            </w:r>
            <w:r>
              <w:rPr>
                <w:webHidden/>
              </w:rPr>
              <w:fldChar w:fldCharType="separate"/>
            </w:r>
            <w:r>
              <w:rPr>
                <w:rStyle w:val="Style13"/>
              </w:rPr>
              <w:t>Заключение Договора</w:t>
              <w:tab/>
              <w:t>58</w:t>
            </w:r>
            <w:r>
              <w:rPr>
                <w:webHidden/>
              </w:rPr>
              <w:fldChar w:fldCharType="end"/>
            </w:r>
          </w:hyperlink>
        </w:p>
        <w:p>
          <w:pPr>
            <w:pStyle w:val="TOC2"/>
            <w:rPr>
              <w:rFonts w:ascii="Calibri" w:hAnsi="Calibri" w:eastAsia="Arial" w:asciiTheme="minorHAnsi" w:eastAsiaTheme="minorEastAsia" w:hAnsiTheme="minorHAnsi"/>
              <w:sz w:val="24"/>
              <w:szCs w:val="24"/>
              <w:lang w:eastAsia="ru-RU"/>
              <w14:ligatures w14:val="standardContextual"/>
            </w:rPr>
          </w:pPr>
          <w:hyperlink w:anchor="_Toc230928864" w:tgtFrame="#_Toc230928864">
            <w:r>
              <w:rPr>
                <w:webHidden/>
                <w:rStyle w:val="Style13"/>
                <w:vanish w:val="false"/>
              </w:rPr>
              <w:t>5.3</w:t>
            </w:r>
            <w:r>
              <w:rPr>
                <w:rStyle w:val="Style13"/>
                <w:rFonts w:eastAsia="Arial" w:ascii="Calibri" w:hAnsi="Calibri" w:asciiTheme="minorHAnsi" w:eastAsiaTheme="minorEastAsia" w:hAnsiTheme="minorHAnsi"/>
                <w:sz w:val="24"/>
                <w:szCs w:val="24"/>
                <w:lang w:eastAsia="ru-RU"/>
                <w14:ligatures w14:val="standardContextual"/>
              </w:rPr>
              <w:tab/>
            </w:r>
            <w:r>
              <w:rPr>
                <w:webHidden/>
              </w:rPr>
              <w:fldChar w:fldCharType="begin"/>
            </w:r>
            <w:r>
              <w:rPr>
                <w:webHidden/>
              </w:rPr>
              <w:instrText xml:space="preserve">PAGEREF _Toc230928864 \h</w:instrText>
            </w:r>
            <w:r>
              <w:rPr>
                <w:webHidden/>
              </w:rPr>
              <w:fldChar w:fldCharType="separate"/>
            </w:r>
            <w:r>
              <w:rPr>
                <w:rStyle w:val="Style13"/>
              </w:rPr>
              <w:t>Преддоговорные переговоры</w:t>
              <w:tab/>
              <w:t>61</w:t>
            </w:r>
            <w:r>
              <w:rPr>
                <w:webHidden/>
              </w:rPr>
              <w:fldChar w:fldCharType="end"/>
            </w:r>
          </w:hyperlink>
        </w:p>
        <w:p>
          <w:pPr>
            <w:pStyle w:val="TOC2"/>
            <w:rPr>
              <w:rFonts w:ascii="Calibri" w:hAnsi="Calibri" w:eastAsia="Arial" w:asciiTheme="minorHAnsi" w:eastAsiaTheme="minorEastAsia" w:hAnsiTheme="minorHAnsi"/>
              <w:sz w:val="24"/>
              <w:szCs w:val="24"/>
              <w:lang w:eastAsia="ru-RU"/>
              <w14:ligatures w14:val="standardContextual"/>
            </w:rPr>
          </w:pPr>
          <w:hyperlink w:anchor="_Toc230928865" w:tgtFrame="#_Toc230928865">
            <w:r>
              <w:rPr>
                <w:webHidden/>
                <w:rStyle w:val="Style13"/>
                <w:vanish w:val="false"/>
              </w:rPr>
              <w:t>5.4</w:t>
            </w:r>
            <w:r>
              <w:rPr>
                <w:rStyle w:val="Style13"/>
                <w:rFonts w:eastAsia="Arial" w:ascii="Calibri" w:hAnsi="Calibri" w:asciiTheme="minorHAnsi" w:eastAsiaTheme="minorEastAsia" w:hAnsiTheme="minorHAnsi"/>
                <w:sz w:val="24"/>
                <w:szCs w:val="24"/>
                <w:lang w:eastAsia="ru-RU"/>
                <w14:ligatures w14:val="standardContextual"/>
              </w:rPr>
              <w:tab/>
            </w:r>
            <w:r>
              <w:rPr>
                <w:webHidden/>
              </w:rPr>
              <w:fldChar w:fldCharType="begin"/>
            </w:r>
            <w:r>
              <w:rPr>
                <w:webHidden/>
              </w:rPr>
              <w:instrText xml:space="preserve">PAGEREF _Toc230928865 \h</w:instrText>
            </w:r>
            <w:r>
              <w:rPr>
                <w:webHidden/>
              </w:rPr>
              <w:fldChar w:fldCharType="separate"/>
            </w:r>
            <w:r>
              <w:rPr>
                <w:rStyle w:val="Style13"/>
              </w:rPr>
              <w:t>Уклонение Победителя от заключения Договора</w:t>
              <w:tab/>
              <w:t>62</w:t>
            </w:r>
            <w:r>
              <w:rPr>
                <w:webHidden/>
              </w:rPr>
              <w:fldChar w:fldCharType="end"/>
            </w:r>
          </w:hyperlink>
        </w:p>
        <w:p>
          <w:pPr>
            <w:pStyle w:val="TOC1"/>
            <w:rPr>
              <w:rFonts w:ascii="Calibri" w:hAnsi="Calibri" w:eastAsia="Arial" w:asciiTheme="minorHAnsi" w:eastAsiaTheme="minorEastAsia" w:hAnsiTheme="minorHAnsi"/>
              <w:b w:val="false"/>
              <w:caps w:val="false"/>
              <w:smallCaps w:val="false"/>
              <w:sz w:val="24"/>
              <w:szCs w:val="24"/>
              <w:lang w:eastAsia="ru-RU"/>
              <w14:ligatures w14:val="standardContextual"/>
            </w:rPr>
          </w:pPr>
          <w:hyperlink w:anchor="_Toc230928866" w:tgtFrame="#_Toc230928866">
            <w:r>
              <w:rPr>
                <w:webHidden/>
                <w:rStyle w:val="Style13"/>
                <w:vanish w:val="false"/>
              </w:rPr>
              <w:t>6.</w:t>
            </w:r>
            <w:r>
              <w:rPr>
                <w:rStyle w:val="Style13"/>
                <w:rFonts w:eastAsia="Arial" w:ascii="Calibri" w:hAnsi="Calibri" w:asciiTheme="minorHAnsi" w:eastAsiaTheme="minorEastAsia" w:hAnsiTheme="minorHAnsi"/>
                <w:b w:val="false"/>
                <w:caps w:val="false"/>
                <w:smallCaps w:val="false"/>
                <w:sz w:val="24"/>
                <w:szCs w:val="24"/>
                <w:lang w:eastAsia="ru-RU"/>
                <w14:ligatures w14:val="standardContextual"/>
              </w:rPr>
              <w:tab/>
            </w:r>
            <w:r>
              <w:rPr>
                <w:webHidden/>
              </w:rPr>
              <w:fldChar w:fldCharType="begin"/>
            </w:r>
            <w:r>
              <w:rPr>
                <w:webHidden/>
              </w:rPr>
              <w:instrText xml:space="preserve">PAGEREF _Toc230928866 \h</w:instrText>
            </w:r>
            <w:r>
              <w:rPr>
                <w:webHidden/>
              </w:rPr>
              <w:fldChar w:fldCharType="separate"/>
            </w:r>
            <w:r>
              <w:rPr>
                <w:rStyle w:val="Style13"/>
              </w:rPr>
              <w:t>Приложение № 1 – Технические требования</w:t>
              <w:tab/>
              <w:t>63</w:t>
            </w:r>
            <w:r>
              <w:rPr>
                <w:webHidden/>
              </w:rPr>
              <w:fldChar w:fldCharType="end"/>
            </w:r>
          </w:hyperlink>
        </w:p>
        <w:p>
          <w:pPr>
            <w:pStyle w:val="TOC2"/>
            <w:rPr>
              <w:rFonts w:ascii="Calibri" w:hAnsi="Calibri" w:eastAsia="Arial" w:asciiTheme="minorHAnsi" w:eastAsiaTheme="minorEastAsia" w:hAnsiTheme="minorHAnsi"/>
              <w:sz w:val="24"/>
              <w:szCs w:val="24"/>
              <w:lang w:eastAsia="ru-RU"/>
              <w14:ligatures w14:val="standardContextual"/>
            </w:rPr>
          </w:pPr>
          <w:hyperlink w:anchor="_Toc230928867" w:tgtFrame="#_Toc230928867">
            <w:r>
              <w:rPr>
                <w:webHidden/>
                <w:rStyle w:val="Style13"/>
                <w:vanish w:val="false"/>
              </w:rPr>
              <w:t>6.1</w:t>
            </w:r>
            <w:r>
              <w:rPr>
                <w:rStyle w:val="Style13"/>
                <w:rFonts w:eastAsia="Arial" w:ascii="Calibri" w:hAnsi="Calibri" w:asciiTheme="minorHAnsi" w:eastAsiaTheme="minorEastAsia" w:hAnsiTheme="minorHAnsi"/>
                <w:sz w:val="24"/>
                <w:szCs w:val="24"/>
                <w:lang w:eastAsia="ru-RU"/>
                <w14:ligatures w14:val="standardContextual"/>
              </w:rPr>
              <w:tab/>
            </w:r>
            <w:r>
              <w:rPr>
                <w:webHidden/>
              </w:rPr>
              <w:fldChar w:fldCharType="begin"/>
            </w:r>
            <w:r>
              <w:rPr>
                <w:webHidden/>
              </w:rPr>
              <w:instrText xml:space="preserve">PAGEREF _Toc230928867 \h</w:instrText>
            </w:r>
            <w:r>
              <w:rPr>
                <w:webHidden/>
              </w:rPr>
              <w:fldChar w:fldCharType="separate"/>
            </w:r>
            <w:r>
              <w:rPr>
                <w:rStyle w:val="Style13"/>
              </w:rPr>
              <w:t>Пояснения к Техническим требованиям</w:t>
              <w:tab/>
              <w:t>63</w:t>
            </w:r>
            <w:r>
              <w:rPr>
                <w:webHidden/>
              </w:rPr>
              <w:fldChar w:fldCharType="end"/>
            </w:r>
          </w:hyperlink>
        </w:p>
        <w:p>
          <w:pPr>
            <w:pStyle w:val="TOC1"/>
            <w:rPr>
              <w:rFonts w:ascii="Calibri" w:hAnsi="Calibri" w:eastAsia="Arial" w:asciiTheme="minorHAnsi" w:eastAsiaTheme="minorEastAsia" w:hAnsiTheme="minorHAnsi"/>
              <w:b w:val="false"/>
              <w:caps w:val="false"/>
              <w:smallCaps w:val="false"/>
              <w:sz w:val="24"/>
              <w:szCs w:val="24"/>
              <w:lang w:eastAsia="ru-RU"/>
              <w14:ligatures w14:val="standardContextual"/>
            </w:rPr>
          </w:pPr>
          <w:hyperlink w:anchor="_Toc230928868" w:tgtFrame="#_Toc230928868">
            <w:r>
              <w:rPr>
                <w:webHidden/>
                <w:rStyle w:val="Style13"/>
                <w:vanish w:val="false"/>
              </w:rPr>
              <w:t>7.</w:t>
            </w:r>
            <w:r>
              <w:rPr>
                <w:rStyle w:val="Style13"/>
                <w:rFonts w:eastAsia="Arial" w:ascii="Calibri" w:hAnsi="Calibri" w:asciiTheme="minorHAnsi" w:eastAsiaTheme="minorEastAsia" w:hAnsiTheme="minorHAnsi"/>
                <w:b w:val="false"/>
                <w:caps w:val="false"/>
                <w:smallCaps w:val="false"/>
                <w:sz w:val="24"/>
                <w:szCs w:val="24"/>
                <w:lang w:eastAsia="ru-RU"/>
                <w14:ligatures w14:val="standardContextual"/>
              </w:rPr>
              <w:tab/>
            </w:r>
            <w:r>
              <w:rPr>
                <w:webHidden/>
              </w:rPr>
              <w:fldChar w:fldCharType="begin"/>
            </w:r>
            <w:r>
              <w:rPr>
                <w:webHidden/>
              </w:rPr>
              <w:instrText xml:space="preserve">PAGEREF _Toc230928868 \h</w:instrText>
            </w:r>
            <w:r>
              <w:rPr>
                <w:webHidden/>
              </w:rPr>
              <w:fldChar w:fldCharType="separate"/>
            </w:r>
            <w:r>
              <w:rPr>
                <w:rStyle w:val="Style13"/>
              </w:rPr>
              <w:t>Приложение № 2 – Проект договора</w:t>
              <w:tab/>
              <w:t>64</w:t>
            </w:r>
            <w:r>
              <w:rPr>
                <w:webHidden/>
              </w:rPr>
              <w:fldChar w:fldCharType="end"/>
            </w:r>
          </w:hyperlink>
        </w:p>
        <w:p>
          <w:pPr>
            <w:pStyle w:val="TOC2"/>
            <w:rPr>
              <w:rFonts w:ascii="Calibri" w:hAnsi="Calibri" w:eastAsia="Arial" w:asciiTheme="minorHAnsi" w:eastAsiaTheme="minorEastAsia" w:hAnsiTheme="minorHAnsi"/>
              <w:sz w:val="24"/>
              <w:szCs w:val="24"/>
              <w:lang w:eastAsia="ru-RU"/>
              <w14:ligatures w14:val="standardContextual"/>
            </w:rPr>
          </w:pPr>
          <w:hyperlink w:anchor="_Toc230928869" w:tgtFrame="#_Toc230928869">
            <w:r>
              <w:rPr>
                <w:webHidden/>
                <w:rStyle w:val="Style13"/>
                <w:vanish w:val="false"/>
              </w:rPr>
              <w:t>7.1</w:t>
            </w:r>
            <w:r>
              <w:rPr>
                <w:rStyle w:val="Style13"/>
                <w:rFonts w:eastAsia="Arial" w:ascii="Calibri" w:hAnsi="Calibri" w:asciiTheme="minorHAnsi" w:eastAsiaTheme="minorEastAsia" w:hAnsiTheme="minorHAnsi"/>
                <w:sz w:val="24"/>
                <w:szCs w:val="24"/>
                <w:lang w:eastAsia="ru-RU"/>
                <w14:ligatures w14:val="standardContextual"/>
              </w:rPr>
              <w:tab/>
            </w:r>
            <w:r>
              <w:rPr>
                <w:webHidden/>
              </w:rPr>
              <w:fldChar w:fldCharType="begin"/>
            </w:r>
            <w:r>
              <w:rPr>
                <w:webHidden/>
              </w:rPr>
              <w:instrText xml:space="preserve">PAGEREF _Toc230928869 \h</w:instrText>
            </w:r>
            <w:r>
              <w:rPr>
                <w:webHidden/>
              </w:rPr>
              <w:fldChar w:fldCharType="separate"/>
            </w:r>
            <w:r>
              <w:rPr>
                <w:rStyle w:val="Style13"/>
              </w:rPr>
              <w:t>Пояснения к Проекту договора</w:t>
              <w:tab/>
              <w:t>64</w:t>
            </w:r>
            <w:r>
              <w:rPr>
                <w:webHidden/>
              </w:rPr>
              <w:fldChar w:fldCharType="end"/>
            </w:r>
          </w:hyperlink>
        </w:p>
        <w:p>
          <w:pPr>
            <w:pStyle w:val="TOC1"/>
            <w:rPr>
              <w:rFonts w:ascii="Calibri" w:hAnsi="Calibri" w:eastAsia="Arial" w:asciiTheme="minorHAnsi" w:eastAsiaTheme="minorEastAsia" w:hAnsiTheme="minorHAnsi"/>
              <w:b w:val="false"/>
              <w:caps w:val="false"/>
              <w:smallCaps w:val="false"/>
              <w:sz w:val="24"/>
              <w:szCs w:val="24"/>
              <w:lang w:eastAsia="ru-RU"/>
              <w14:ligatures w14:val="standardContextual"/>
            </w:rPr>
          </w:pPr>
          <w:hyperlink w:anchor="_Toc230928870" w:tgtFrame="#_Toc230928870">
            <w:r>
              <w:rPr>
                <w:webHidden/>
                <w:rStyle w:val="Style13"/>
                <w:vanish w:val="false"/>
              </w:rPr>
              <w:t>8.</w:t>
            </w:r>
            <w:r>
              <w:rPr>
                <w:rStyle w:val="Style13"/>
                <w:rFonts w:eastAsia="Arial" w:ascii="Calibri" w:hAnsi="Calibri" w:asciiTheme="minorHAnsi" w:eastAsiaTheme="minorEastAsia" w:hAnsiTheme="minorHAnsi"/>
                <w:b w:val="false"/>
                <w:caps w:val="false"/>
                <w:smallCaps w:val="false"/>
                <w:sz w:val="24"/>
                <w:szCs w:val="24"/>
                <w:lang w:eastAsia="ru-RU"/>
                <w14:ligatures w14:val="standardContextual"/>
              </w:rPr>
              <w:tab/>
            </w:r>
            <w:r>
              <w:rPr>
                <w:webHidden/>
              </w:rPr>
              <w:fldChar w:fldCharType="begin"/>
            </w:r>
            <w:r>
              <w:rPr>
                <w:webHidden/>
              </w:rPr>
              <w:instrText xml:space="preserve">PAGEREF _Toc230928870 \h</w:instrText>
            </w:r>
            <w:r>
              <w:rPr>
                <w:webHidden/>
              </w:rPr>
              <w:fldChar w:fldCharType="separate"/>
            </w:r>
            <w:r>
              <w:rPr>
                <w:rStyle w:val="Style13"/>
              </w:rPr>
              <w:t>Приложение № 3 – Требования к Участникам</w:t>
              <w:tab/>
              <w:t>65</w:t>
            </w:r>
            <w:r>
              <w:rPr>
                <w:webHidden/>
              </w:rPr>
              <w:fldChar w:fldCharType="end"/>
            </w:r>
          </w:hyperlink>
        </w:p>
        <w:p>
          <w:pPr>
            <w:pStyle w:val="TOC2"/>
            <w:rPr>
              <w:rFonts w:ascii="Calibri" w:hAnsi="Calibri" w:eastAsia="Arial" w:asciiTheme="minorHAnsi" w:eastAsiaTheme="minorEastAsia" w:hAnsiTheme="minorHAnsi"/>
              <w:sz w:val="24"/>
              <w:szCs w:val="24"/>
              <w:lang w:eastAsia="ru-RU"/>
              <w14:ligatures w14:val="standardContextual"/>
            </w:rPr>
          </w:pPr>
          <w:hyperlink w:anchor="_Toc230928871" w:tgtFrame="#_Toc230928871">
            <w:r>
              <w:rPr>
                <w:webHidden/>
                <w:rStyle w:val="Style13"/>
                <w:vanish w:val="false"/>
              </w:rPr>
              <w:t>8.1</w:t>
            </w:r>
            <w:r>
              <w:rPr>
                <w:rStyle w:val="Style13"/>
                <w:rFonts w:eastAsia="Arial" w:ascii="Calibri" w:hAnsi="Calibri" w:asciiTheme="minorHAnsi" w:eastAsiaTheme="minorEastAsia" w:hAnsiTheme="minorHAnsi"/>
                <w:sz w:val="24"/>
                <w:szCs w:val="24"/>
                <w:lang w:eastAsia="ru-RU"/>
                <w14:ligatures w14:val="standardContextual"/>
              </w:rPr>
              <w:tab/>
            </w:r>
            <w:r>
              <w:rPr>
                <w:webHidden/>
              </w:rPr>
              <w:fldChar w:fldCharType="begin"/>
            </w:r>
            <w:r>
              <w:rPr>
                <w:webHidden/>
              </w:rPr>
              <w:instrText xml:space="preserve">PAGEREF _Toc230928871 \h</w:instrText>
            </w:r>
            <w:r>
              <w:rPr>
                <w:webHidden/>
              </w:rPr>
              <w:fldChar w:fldCharType="separate"/>
            </w:r>
            <w:r>
              <w:rPr>
                <w:rStyle w:val="Style13"/>
              </w:rPr>
              <w:t>Пояснения к требованиям к Участникам</w:t>
              <w:tab/>
              <w:t>65</w:t>
            </w:r>
            <w:r>
              <w:rPr>
                <w:webHidden/>
              </w:rPr>
              <w:fldChar w:fldCharType="end"/>
            </w:r>
          </w:hyperlink>
        </w:p>
        <w:p>
          <w:pPr>
            <w:pStyle w:val="TOC2"/>
            <w:rPr>
              <w:rFonts w:ascii="Calibri" w:hAnsi="Calibri" w:eastAsia="Arial" w:asciiTheme="minorHAnsi" w:eastAsiaTheme="minorEastAsia" w:hAnsiTheme="minorHAnsi"/>
              <w:sz w:val="24"/>
              <w:szCs w:val="24"/>
              <w:lang w:eastAsia="ru-RU"/>
              <w14:ligatures w14:val="standardContextual"/>
            </w:rPr>
          </w:pPr>
          <w:hyperlink w:anchor="_Toc230928872" w:tgtFrame="#_Toc230928872">
            <w:r>
              <w:rPr>
                <w:webHidden/>
                <w:rStyle w:val="Style13"/>
                <w:vanish w:val="false"/>
              </w:rPr>
              <w:t>8.2</w:t>
            </w:r>
            <w:r>
              <w:rPr>
                <w:rStyle w:val="Style13"/>
                <w:rFonts w:eastAsia="Arial" w:ascii="Calibri" w:hAnsi="Calibri" w:asciiTheme="minorHAnsi" w:eastAsiaTheme="minorEastAsia" w:hAnsiTheme="minorHAnsi"/>
                <w:sz w:val="24"/>
                <w:szCs w:val="24"/>
                <w:lang w:eastAsia="ru-RU"/>
                <w14:ligatures w14:val="standardContextual"/>
              </w:rPr>
              <w:tab/>
            </w:r>
            <w:r>
              <w:rPr>
                <w:webHidden/>
              </w:rPr>
              <w:fldChar w:fldCharType="begin"/>
            </w:r>
            <w:r>
              <w:rPr>
                <w:webHidden/>
              </w:rPr>
              <w:instrText xml:space="preserve">PAGEREF _Toc230928872 \h</w:instrText>
            </w:r>
            <w:r>
              <w:rPr>
                <w:webHidden/>
              </w:rPr>
              <w:fldChar w:fldCharType="separate"/>
            </w:r>
            <w:r>
              <w:rPr>
                <w:rStyle w:val="Style13"/>
              </w:rPr>
              <w:t>Обязательные требования</w:t>
              <w:tab/>
              <w:t>65</w:t>
            </w:r>
            <w:r>
              <w:rPr>
                <w:webHidden/>
              </w:rPr>
              <w:fldChar w:fldCharType="end"/>
            </w:r>
          </w:hyperlink>
        </w:p>
        <w:p>
          <w:pPr>
            <w:pStyle w:val="TOC2"/>
            <w:rPr>
              <w:rFonts w:ascii="Calibri" w:hAnsi="Calibri" w:eastAsia="Arial" w:asciiTheme="minorHAnsi" w:eastAsiaTheme="minorEastAsia" w:hAnsiTheme="minorHAnsi"/>
              <w:sz w:val="24"/>
              <w:szCs w:val="24"/>
              <w:lang w:eastAsia="ru-RU"/>
              <w14:ligatures w14:val="standardContextual"/>
            </w:rPr>
          </w:pPr>
          <w:hyperlink w:anchor="_Toc230928873" w:tgtFrame="#_Toc230928873">
            <w:r>
              <w:rPr>
                <w:webHidden/>
                <w:rStyle w:val="Style13"/>
                <w:vanish w:val="false"/>
              </w:rPr>
              <w:t>8.3</w:t>
            </w:r>
            <w:r>
              <w:rPr>
                <w:rStyle w:val="Style13"/>
                <w:rFonts w:eastAsia="Arial" w:ascii="Calibri" w:hAnsi="Calibri" w:asciiTheme="minorHAnsi" w:eastAsiaTheme="minorEastAsia" w:hAnsiTheme="minorHAnsi"/>
                <w:sz w:val="24"/>
                <w:szCs w:val="24"/>
                <w:lang w:eastAsia="ru-RU"/>
                <w14:ligatures w14:val="standardContextual"/>
              </w:rPr>
              <w:tab/>
            </w:r>
            <w:r>
              <w:rPr>
                <w:webHidden/>
              </w:rPr>
              <w:fldChar w:fldCharType="begin"/>
            </w:r>
            <w:r>
              <w:rPr>
                <w:webHidden/>
              </w:rPr>
              <w:instrText xml:space="preserve">PAGEREF _Toc230928873 \h</w:instrText>
            </w:r>
            <w:r>
              <w:rPr>
                <w:webHidden/>
              </w:rPr>
              <w:fldChar w:fldCharType="separate"/>
            </w:r>
            <w:r>
              <w:rPr>
                <w:rStyle w:val="Style13"/>
              </w:rPr>
              <w:t>Специальные требования</w:t>
              <w:tab/>
              <w:t>68</w:t>
            </w:r>
            <w:r>
              <w:rPr>
                <w:webHidden/>
              </w:rPr>
              <w:fldChar w:fldCharType="end"/>
            </w:r>
          </w:hyperlink>
        </w:p>
        <w:p>
          <w:pPr>
            <w:pStyle w:val="TOC2"/>
            <w:rPr>
              <w:rFonts w:ascii="Calibri" w:hAnsi="Calibri" w:eastAsia="Arial" w:asciiTheme="minorHAnsi" w:eastAsiaTheme="minorEastAsia" w:hAnsiTheme="minorHAnsi"/>
              <w:sz w:val="24"/>
              <w:szCs w:val="24"/>
              <w:lang w:eastAsia="ru-RU"/>
              <w14:ligatures w14:val="standardContextual"/>
            </w:rPr>
          </w:pPr>
          <w:hyperlink w:anchor="_Toc230928874" w:tgtFrame="#_Toc230928874">
            <w:r>
              <w:rPr>
                <w:webHidden/>
                <w:rStyle w:val="Style13"/>
                <w:vanish w:val="false"/>
              </w:rPr>
              <w:t>8.4</w:t>
            </w:r>
            <w:r>
              <w:rPr>
                <w:rStyle w:val="Style13"/>
                <w:rFonts w:eastAsia="Arial" w:ascii="Calibri" w:hAnsi="Calibri" w:asciiTheme="minorHAnsi" w:eastAsiaTheme="minorEastAsia" w:hAnsiTheme="minorHAnsi"/>
                <w:sz w:val="24"/>
                <w:szCs w:val="24"/>
                <w:lang w:eastAsia="ru-RU"/>
                <w14:ligatures w14:val="standardContextual"/>
              </w:rPr>
              <w:tab/>
            </w:r>
            <w:r>
              <w:rPr>
                <w:webHidden/>
              </w:rPr>
              <w:fldChar w:fldCharType="begin"/>
            </w:r>
            <w:r>
              <w:rPr>
                <w:webHidden/>
              </w:rPr>
              <w:instrText xml:space="preserve">PAGEREF _Toc230928874 \h</w:instrText>
            </w:r>
            <w:r>
              <w:rPr>
                <w:webHidden/>
              </w:rPr>
              <w:fldChar w:fldCharType="separate"/>
            </w:r>
            <w:r>
              <w:rPr>
                <w:rStyle w:val="Style13"/>
              </w:rPr>
              <w:t>Квалификационные требования</w:t>
              <w:tab/>
              <w:t>69</w:t>
            </w:r>
            <w:r>
              <w:rPr>
                <w:webHidden/>
              </w:rPr>
              <w:fldChar w:fldCharType="end"/>
            </w:r>
          </w:hyperlink>
        </w:p>
        <w:p>
          <w:pPr>
            <w:pStyle w:val="TOC2"/>
            <w:rPr>
              <w:rFonts w:ascii="Calibri" w:hAnsi="Calibri" w:eastAsia="Arial" w:asciiTheme="minorHAnsi" w:eastAsiaTheme="minorEastAsia" w:hAnsiTheme="minorHAnsi"/>
              <w:sz w:val="24"/>
              <w:szCs w:val="24"/>
              <w:lang w:eastAsia="ru-RU"/>
              <w14:ligatures w14:val="standardContextual"/>
            </w:rPr>
          </w:pPr>
          <w:hyperlink w:anchor="_Toc230928875" w:tgtFrame="#_Toc230928875">
            <w:r>
              <w:rPr>
                <w:webHidden/>
                <w:rStyle w:val="Style13"/>
                <w:vanish w:val="false"/>
              </w:rPr>
              <w:t>8.5</w:t>
            </w:r>
            <w:r>
              <w:rPr>
                <w:rStyle w:val="Style13"/>
                <w:rFonts w:eastAsia="Arial" w:ascii="Calibri" w:hAnsi="Calibri" w:asciiTheme="minorHAnsi" w:eastAsiaTheme="minorEastAsia" w:hAnsiTheme="minorHAnsi"/>
                <w:sz w:val="24"/>
                <w:szCs w:val="24"/>
                <w:lang w:eastAsia="ru-RU"/>
                <w14:ligatures w14:val="standardContextual"/>
              </w:rPr>
              <w:tab/>
            </w:r>
            <w:r>
              <w:rPr>
                <w:webHidden/>
              </w:rPr>
              <w:fldChar w:fldCharType="begin"/>
            </w:r>
            <w:r>
              <w:rPr>
                <w:webHidden/>
              </w:rPr>
              <w:instrText xml:space="preserve">PAGEREF _Toc230928875 \h</w:instrText>
            </w:r>
            <w:r>
              <w:rPr>
                <w:webHidden/>
              </w:rPr>
              <w:fldChar w:fldCharType="separate"/>
            </w:r>
            <w:r>
              <w:rPr>
                <w:rStyle w:val="Style13"/>
              </w:rPr>
              <w:t>Дополнительные требования к Коллективным участникам</w:t>
              <w:tab/>
              <w:t>70</w:t>
            </w:r>
            <w:r>
              <w:rPr>
                <w:webHidden/>
              </w:rPr>
              <w:fldChar w:fldCharType="end"/>
            </w:r>
          </w:hyperlink>
        </w:p>
        <w:p>
          <w:pPr>
            <w:pStyle w:val="TOC2"/>
            <w:rPr>
              <w:rFonts w:ascii="Calibri" w:hAnsi="Calibri" w:eastAsia="Arial" w:asciiTheme="minorHAnsi" w:eastAsiaTheme="minorEastAsia" w:hAnsiTheme="minorHAnsi"/>
              <w:sz w:val="24"/>
              <w:szCs w:val="24"/>
              <w:lang w:eastAsia="ru-RU"/>
              <w14:ligatures w14:val="standardContextual"/>
            </w:rPr>
          </w:pPr>
          <w:hyperlink w:anchor="_Toc230928876" w:tgtFrame="#_Toc230928876">
            <w:r>
              <w:rPr>
                <w:webHidden/>
                <w:rStyle w:val="Style13"/>
                <w:vanish w:val="false"/>
              </w:rPr>
              <w:t>8.6</w:t>
            </w:r>
            <w:r>
              <w:rPr>
                <w:rStyle w:val="Style13"/>
                <w:rFonts w:eastAsia="Arial" w:ascii="Calibri" w:hAnsi="Calibri" w:asciiTheme="minorHAnsi" w:eastAsiaTheme="minorEastAsia" w:hAnsiTheme="minorHAnsi"/>
                <w:sz w:val="24"/>
                <w:szCs w:val="24"/>
                <w:lang w:eastAsia="ru-RU"/>
                <w14:ligatures w14:val="standardContextual"/>
              </w:rPr>
              <w:tab/>
            </w:r>
            <w:r>
              <w:rPr>
                <w:webHidden/>
              </w:rPr>
              <w:fldChar w:fldCharType="begin"/>
            </w:r>
            <w:r>
              <w:rPr>
                <w:webHidden/>
              </w:rPr>
              <w:instrText xml:space="preserve">PAGEREF _Toc230928876 \h</w:instrText>
            </w:r>
            <w:r>
              <w:rPr>
                <w:webHidden/>
              </w:rPr>
              <w:fldChar w:fldCharType="separate"/>
            </w:r>
            <w:r>
              <w:rPr>
                <w:rStyle w:val="Style13"/>
              </w:rPr>
              <w:t>Дополнительные требования к Генеральным подрядчикам</w:t>
              <w:tab/>
              <w:t>71</w:t>
            </w:r>
            <w:r>
              <w:rPr>
                <w:webHidden/>
              </w:rPr>
              <w:fldChar w:fldCharType="end"/>
            </w:r>
          </w:hyperlink>
        </w:p>
        <w:p>
          <w:pPr>
            <w:pStyle w:val="TOC2"/>
            <w:rPr>
              <w:rFonts w:ascii="Calibri" w:hAnsi="Calibri" w:eastAsia="Arial" w:asciiTheme="minorHAnsi" w:eastAsiaTheme="minorEastAsia" w:hAnsiTheme="minorHAnsi"/>
              <w:sz w:val="24"/>
              <w:szCs w:val="24"/>
              <w:lang w:eastAsia="ru-RU"/>
              <w14:ligatures w14:val="standardContextual"/>
            </w:rPr>
          </w:pPr>
          <w:hyperlink w:anchor="_Toc230928877" w:tgtFrame="#_Toc230928877">
            <w:r>
              <w:rPr>
                <w:webHidden/>
                <w:rStyle w:val="Style13"/>
                <w:vanish w:val="false"/>
              </w:rPr>
              <w:t>8.7</w:t>
            </w:r>
            <w:r>
              <w:rPr>
                <w:rStyle w:val="Style13"/>
                <w:rFonts w:eastAsia="Arial" w:ascii="Calibri" w:hAnsi="Calibri" w:asciiTheme="minorHAnsi" w:eastAsiaTheme="minorEastAsia" w:hAnsiTheme="minorHAnsi"/>
                <w:sz w:val="24"/>
                <w:szCs w:val="24"/>
                <w:lang w:eastAsia="ru-RU"/>
                <w14:ligatures w14:val="standardContextual"/>
              </w:rPr>
              <w:tab/>
            </w:r>
            <w:r>
              <w:rPr>
                <w:webHidden/>
              </w:rPr>
              <w:fldChar w:fldCharType="begin"/>
            </w:r>
            <w:r>
              <w:rPr>
                <w:webHidden/>
              </w:rPr>
              <w:instrText xml:space="preserve">PAGEREF _Toc230928877 \h</w:instrText>
            </w:r>
            <w:r>
              <w:rPr>
                <w:webHidden/>
              </w:rPr>
              <w:fldChar w:fldCharType="separate"/>
            </w:r>
            <w:r>
              <w:rPr>
                <w:rStyle w:val="Style13"/>
              </w:rPr>
              <w:t>Дополнительные требования в отношении Генеральных подрядчиков с обязательным привлечением субподрядчиков (соисполнителей) из числа субъектов МСП</w:t>
              <w:tab/>
              <w:t>72</w:t>
            </w:r>
            <w:r>
              <w:rPr>
                <w:webHidden/>
              </w:rPr>
              <w:fldChar w:fldCharType="end"/>
            </w:r>
          </w:hyperlink>
        </w:p>
        <w:p>
          <w:pPr>
            <w:pStyle w:val="TOC1"/>
            <w:rPr>
              <w:rFonts w:ascii="Calibri" w:hAnsi="Calibri" w:eastAsia="Arial" w:asciiTheme="minorHAnsi" w:eastAsiaTheme="minorEastAsia" w:hAnsiTheme="minorHAnsi"/>
              <w:b w:val="false"/>
              <w:caps w:val="false"/>
              <w:smallCaps w:val="false"/>
              <w:sz w:val="24"/>
              <w:szCs w:val="24"/>
              <w:lang w:eastAsia="ru-RU"/>
              <w14:ligatures w14:val="standardContextual"/>
            </w:rPr>
          </w:pPr>
          <w:hyperlink w:anchor="_Toc230928878" w:tgtFrame="#_Toc230928878">
            <w:r>
              <w:rPr>
                <w:webHidden/>
                <w:rStyle w:val="Style13"/>
                <w:vanish w:val="false"/>
              </w:rPr>
              <w:t>9.</w:t>
            </w:r>
            <w:r>
              <w:rPr>
                <w:rStyle w:val="Style13"/>
                <w:rFonts w:eastAsia="Arial" w:ascii="Calibri" w:hAnsi="Calibri" w:asciiTheme="minorHAnsi" w:eastAsiaTheme="minorEastAsia" w:hAnsiTheme="minorHAnsi"/>
                <w:b w:val="false"/>
                <w:caps w:val="false"/>
                <w:smallCaps w:val="false"/>
                <w:sz w:val="24"/>
                <w:szCs w:val="24"/>
                <w:lang w:eastAsia="ru-RU"/>
                <w14:ligatures w14:val="standardContextual"/>
              </w:rPr>
              <w:tab/>
            </w:r>
            <w:r>
              <w:rPr>
                <w:webHidden/>
              </w:rPr>
              <w:fldChar w:fldCharType="begin"/>
            </w:r>
            <w:r>
              <w:rPr>
                <w:webHidden/>
              </w:rPr>
              <w:instrText xml:space="preserve">PAGEREF _Toc230928878 \h</w:instrText>
            </w:r>
            <w:r>
              <w:rPr>
                <w:webHidden/>
              </w:rPr>
              <w:fldChar w:fldCharType="separate"/>
            </w:r>
            <w:r>
              <w:rPr>
                <w:rStyle w:val="Style13"/>
              </w:rPr>
              <w:t>Приложение № 4 – Образцы форм документов, включаемых в состав заявки</w:t>
              <w:tab/>
              <w:t>74</w:t>
            </w:r>
            <w:r>
              <w:rPr>
                <w:webHidden/>
              </w:rPr>
              <w:fldChar w:fldCharType="end"/>
            </w:r>
          </w:hyperlink>
        </w:p>
        <w:p>
          <w:pPr>
            <w:pStyle w:val="TOC2"/>
            <w:rPr>
              <w:rFonts w:ascii="Calibri" w:hAnsi="Calibri" w:eastAsia="Arial" w:asciiTheme="minorHAnsi" w:eastAsiaTheme="minorEastAsia" w:hAnsiTheme="minorHAnsi"/>
              <w:sz w:val="24"/>
              <w:szCs w:val="24"/>
              <w:lang w:eastAsia="ru-RU"/>
              <w14:ligatures w14:val="standardContextual"/>
            </w:rPr>
          </w:pPr>
          <w:hyperlink w:anchor="_Toc230928879" w:tgtFrame="#_Toc230928879">
            <w:r>
              <w:rPr>
                <w:webHidden/>
                <w:rStyle w:val="Style13"/>
                <w:vanish w:val="false"/>
              </w:rPr>
              <w:t>9.1</w:t>
            </w:r>
            <w:r>
              <w:rPr>
                <w:rStyle w:val="Style13"/>
                <w:rFonts w:eastAsia="Arial" w:ascii="Calibri" w:hAnsi="Calibri" w:asciiTheme="minorHAnsi" w:eastAsiaTheme="minorEastAsia" w:hAnsiTheme="minorHAnsi"/>
                <w:sz w:val="24"/>
                <w:szCs w:val="24"/>
                <w:lang w:eastAsia="ru-RU"/>
                <w14:ligatures w14:val="standardContextual"/>
              </w:rPr>
              <w:tab/>
            </w:r>
            <w:r>
              <w:rPr>
                <w:webHidden/>
              </w:rPr>
              <w:fldChar w:fldCharType="begin"/>
            </w:r>
            <w:r>
              <w:rPr>
                <w:webHidden/>
              </w:rPr>
              <w:instrText xml:space="preserve">PAGEREF _Toc230928879 \h</w:instrText>
            </w:r>
            <w:r>
              <w:rPr>
                <w:webHidden/>
              </w:rPr>
              <w:fldChar w:fldCharType="separate"/>
            </w:r>
            <w:r>
              <w:rPr>
                <w:rStyle w:val="Style13"/>
              </w:rPr>
              <w:t>Пояснения к Образцам форм документов, включаемых в состав заявки</w:t>
              <w:tab/>
              <w:t>74</w:t>
            </w:r>
            <w:r>
              <w:rPr>
                <w:webHidden/>
              </w:rPr>
              <w:fldChar w:fldCharType="end"/>
            </w:r>
          </w:hyperlink>
        </w:p>
        <w:p>
          <w:pPr>
            <w:pStyle w:val="TOC1"/>
            <w:rPr>
              <w:rFonts w:ascii="Calibri" w:hAnsi="Calibri" w:eastAsia="Arial" w:asciiTheme="minorHAnsi" w:eastAsiaTheme="minorEastAsia" w:hAnsiTheme="minorHAnsi"/>
              <w:b w:val="false"/>
              <w:caps w:val="false"/>
              <w:smallCaps w:val="false"/>
              <w:sz w:val="24"/>
              <w:szCs w:val="24"/>
              <w:lang w:eastAsia="ru-RU"/>
              <w14:ligatures w14:val="standardContextual"/>
            </w:rPr>
          </w:pPr>
          <w:hyperlink w:anchor="_Toc230928880" w:tgtFrame="#_Toc230928880">
            <w:r>
              <w:rPr>
                <w:webHidden/>
                <w:rStyle w:val="Style13"/>
                <w:vanish w:val="false"/>
              </w:rPr>
              <w:t>10.</w:t>
            </w:r>
            <w:r>
              <w:rPr>
                <w:rStyle w:val="Style13"/>
                <w:rFonts w:eastAsia="Arial" w:ascii="Calibri" w:hAnsi="Calibri" w:asciiTheme="minorHAnsi" w:eastAsiaTheme="minorEastAsia" w:hAnsiTheme="minorHAnsi"/>
                <w:b w:val="false"/>
                <w:caps w:val="false"/>
                <w:smallCaps w:val="false"/>
                <w:sz w:val="24"/>
                <w:szCs w:val="24"/>
                <w:lang w:eastAsia="ru-RU"/>
                <w14:ligatures w14:val="standardContextual"/>
              </w:rPr>
              <w:tab/>
            </w:r>
            <w:r>
              <w:rPr>
                <w:webHidden/>
              </w:rPr>
              <w:fldChar w:fldCharType="begin"/>
            </w:r>
            <w:r>
              <w:rPr>
                <w:webHidden/>
              </w:rPr>
              <w:instrText xml:space="preserve">PAGEREF _Toc230928880 \h</w:instrText>
            </w:r>
            <w:r>
              <w:rPr>
                <w:webHidden/>
              </w:rPr>
              <w:fldChar w:fldCharType="separate"/>
            </w:r>
            <w:r>
              <w:rPr>
                <w:rStyle w:val="Style13"/>
              </w:rPr>
              <w:t>Приложение № 5 – Образцы форм документов, предоставляемых Победителем</w:t>
              <w:tab/>
              <w:t>75</w:t>
            </w:r>
            <w:r>
              <w:rPr>
                <w:webHidden/>
              </w:rPr>
              <w:fldChar w:fldCharType="end"/>
            </w:r>
          </w:hyperlink>
        </w:p>
        <w:p>
          <w:pPr>
            <w:pStyle w:val="TOC2"/>
            <w:rPr>
              <w:rFonts w:ascii="Calibri" w:hAnsi="Calibri" w:eastAsia="Arial" w:asciiTheme="minorHAnsi" w:eastAsiaTheme="minorEastAsia" w:hAnsiTheme="minorHAnsi"/>
              <w:sz w:val="24"/>
              <w:szCs w:val="24"/>
              <w:lang w:eastAsia="ru-RU"/>
              <w14:ligatures w14:val="standardContextual"/>
            </w:rPr>
          </w:pPr>
          <w:hyperlink w:anchor="_Toc230928881" w:tgtFrame="#_Toc230928881">
            <w:r>
              <w:rPr>
                <w:webHidden/>
                <w:rStyle w:val="Style13"/>
                <w:vanish w:val="false"/>
              </w:rPr>
              <w:t>10.1</w:t>
            </w:r>
            <w:r>
              <w:rPr>
                <w:rStyle w:val="Style13"/>
                <w:rFonts w:eastAsia="Arial" w:ascii="Calibri" w:hAnsi="Calibri" w:asciiTheme="minorHAnsi" w:eastAsiaTheme="minorEastAsia" w:hAnsiTheme="minorHAnsi"/>
                <w:sz w:val="24"/>
                <w:szCs w:val="24"/>
                <w:lang w:eastAsia="ru-RU"/>
                <w14:ligatures w14:val="standardContextual"/>
              </w:rPr>
              <w:tab/>
            </w:r>
            <w:r>
              <w:rPr>
                <w:webHidden/>
              </w:rPr>
              <w:fldChar w:fldCharType="begin"/>
            </w:r>
            <w:r>
              <w:rPr>
                <w:webHidden/>
              </w:rPr>
              <w:instrText xml:space="preserve">PAGEREF _Toc230928881 \h</w:instrText>
            </w:r>
            <w:r>
              <w:rPr>
                <w:webHidden/>
              </w:rPr>
              <w:fldChar w:fldCharType="separate"/>
            </w:r>
            <w:r>
              <w:rPr>
                <w:rStyle w:val="Style13"/>
              </w:rPr>
              <w:t>Пояснения к Образцам форм документов, предоставляемых Победителем</w:t>
              <w:tab/>
              <w:t>75</w:t>
            </w:r>
            <w:r>
              <w:rPr>
                <w:webHidden/>
              </w:rPr>
              <w:fldChar w:fldCharType="end"/>
            </w:r>
          </w:hyperlink>
        </w:p>
        <w:p>
          <w:pPr>
            <w:pStyle w:val="TOC2"/>
            <w:rPr>
              <w:rFonts w:ascii="Calibri" w:hAnsi="Calibri" w:eastAsia="Arial" w:asciiTheme="minorHAnsi" w:eastAsiaTheme="minorEastAsia" w:hAnsiTheme="minorHAnsi"/>
              <w:sz w:val="24"/>
              <w:szCs w:val="24"/>
              <w:lang w:eastAsia="ru-RU"/>
              <w14:ligatures w14:val="standardContextual"/>
            </w:rPr>
          </w:pPr>
          <w:hyperlink w:anchor="_Toc230928882" w:tgtFrame="#_Toc230928882">
            <w:r>
              <w:rPr>
                <w:webHidden/>
                <w:rStyle w:val="Style13"/>
                <w:vanish w:val="false"/>
              </w:rPr>
              <w:t>10.2</w:t>
            </w:r>
            <w:r>
              <w:rPr>
                <w:rStyle w:val="Style13"/>
                <w:rFonts w:eastAsia="Arial" w:ascii="Calibri" w:hAnsi="Calibri" w:asciiTheme="minorHAnsi" w:eastAsiaTheme="minorEastAsia" w:hAnsiTheme="minorHAnsi"/>
                <w:sz w:val="24"/>
                <w:szCs w:val="24"/>
                <w:lang w:eastAsia="ru-RU"/>
                <w14:ligatures w14:val="standardContextual"/>
              </w:rPr>
              <w:tab/>
            </w:r>
            <w:r>
              <w:rPr>
                <w:webHidden/>
              </w:rPr>
              <w:fldChar w:fldCharType="begin"/>
            </w:r>
            <w:r>
              <w:rPr>
                <w:webHidden/>
              </w:rPr>
              <w:instrText xml:space="preserve">PAGEREF _Toc230928882 \h</w:instrText>
            </w:r>
            <w:r>
              <w:rPr>
                <w:webHidden/>
              </w:rPr>
              <w:fldChar w:fldCharType="separate"/>
            </w:r>
            <w:r>
              <w:rPr>
                <w:rStyle w:val="Style13"/>
              </w:rPr>
              <w:t>Форма справки «Сведения о цепочке собственников, включая бенефициаров (в том числе конечных)»</w:t>
              <w:tab/>
              <w:t>75</w:t>
            </w:r>
            <w:r>
              <w:rPr>
                <w:webHidden/>
              </w:rPr>
              <w:fldChar w:fldCharType="end"/>
            </w:r>
          </w:hyperlink>
        </w:p>
        <w:p>
          <w:pPr>
            <w:pStyle w:val="TOC2"/>
            <w:rPr>
              <w:rFonts w:ascii="Calibri" w:hAnsi="Calibri" w:eastAsia="Arial" w:asciiTheme="minorHAnsi" w:eastAsiaTheme="minorEastAsia" w:hAnsiTheme="minorHAnsi"/>
              <w:sz w:val="24"/>
              <w:szCs w:val="24"/>
              <w:lang w:eastAsia="ru-RU"/>
              <w14:ligatures w14:val="standardContextual"/>
            </w:rPr>
          </w:pPr>
          <w:hyperlink w:anchor="_Toc230928883" w:tgtFrame="#_Toc230928883">
            <w:r>
              <w:rPr>
                <w:webHidden/>
                <w:rStyle w:val="Style13"/>
                <w:vanish w:val="false"/>
              </w:rPr>
              <w:t>10.3</w:t>
            </w:r>
            <w:r>
              <w:rPr>
                <w:rStyle w:val="Style13"/>
                <w:rFonts w:eastAsia="Arial" w:ascii="Calibri" w:hAnsi="Calibri" w:asciiTheme="minorHAnsi" w:eastAsiaTheme="minorEastAsia" w:hAnsiTheme="minorHAnsi"/>
                <w:sz w:val="24"/>
                <w:szCs w:val="24"/>
                <w:lang w:eastAsia="ru-RU"/>
                <w14:ligatures w14:val="standardContextual"/>
              </w:rPr>
              <w:tab/>
            </w:r>
            <w:r>
              <w:rPr>
                <w:webHidden/>
              </w:rPr>
              <w:fldChar w:fldCharType="begin"/>
            </w:r>
            <w:r>
              <w:rPr>
                <w:webHidden/>
              </w:rPr>
              <w:instrText xml:space="preserve">PAGEREF _Toc230928883 \h</w:instrText>
            </w:r>
            <w:r>
              <w:rPr>
                <w:webHidden/>
              </w:rPr>
              <w:fldChar w:fldCharType="separate"/>
            </w:r>
            <w:r>
              <w:rPr>
                <w:rStyle w:val="Style13"/>
              </w:rPr>
              <w:t>Форма «Заверение об обстоятельствах»</w:t>
              <w:tab/>
              <w:t>75</w:t>
            </w:r>
            <w:r>
              <w:rPr>
                <w:webHidden/>
              </w:rPr>
              <w:fldChar w:fldCharType="end"/>
            </w:r>
          </w:hyperlink>
        </w:p>
        <w:p>
          <w:pPr>
            <w:pStyle w:val="TOC1"/>
            <w:rPr>
              <w:rFonts w:ascii="Calibri" w:hAnsi="Calibri" w:eastAsia="Arial" w:asciiTheme="minorHAnsi" w:eastAsiaTheme="minorEastAsia" w:hAnsiTheme="minorHAnsi"/>
              <w:b w:val="false"/>
              <w:caps w:val="false"/>
              <w:smallCaps w:val="false"/>
              <w:sz w:val="24"/>
              <w:szCs w:val="24"/>
              <w:lang w:eastAsia="ru-RU"/>
              <w14:ligatures w14:val="standardContextual"/>
            </w:rPr>
          </w:pPr>
          <w:hyperlink w:anchor="_Toc230928884" w:tgtFrame="#_Toc230928884">
            <w:r>
              <w:rPr>
                <w:webHidden/>
                <w:rStyle w:val="Style13"/>
                <w:vanish w:val="false"/>
              </w:rPr>
              <w:t>11.</w:t>
            </w:r>
            <w:r>
              <w:rPr>
                <w:rStyle w:val="Style13"/>
                <w:rFonts w:eastAsia="Arial" w:ascii="Calibri" w:hAnsi="Calibri" w:asciiTheme="minorHAnsi" w:eastAsiaTheme="minorEastAsia" w:hAnsiTheme="minorHAnsi"/>
                <w:b w:val="false"/>
                <w:caps w:val="false"/>
                <w:smallCaps w:val="false"/>
                <w:sz w:val="24"/>
                <w:szCs w:val="24"/>
                <w:lang w:eastAsia="ru-RU"/>
                <w14:ligatures w14:val="standardContextual"/>
              </w:rPr>
              <w:tab/>
            </w:r>
            <w:r>
              <w:rPr>
                <w:webHidden/>
              </w:rPr>
              <w:fldChar w:fldCharType="begin"/>
            </w:r>
            <w:r>
              <w:rPr>
                <w:webHidden/>
              </w:rPr>
              <w:instrText xml:space="preserve">PAGEREF _Toc230928884 \h</w:instrText>
            </w:r>
            <w:r>
              <w:rPr>
                <w:webHidden/>
              </w:rPr>
              <w:fldChar w:fldCharType="separate"/>
            </w:r>
            <w:r>
              <w:rPr>
                <w:rStyle w:val="Style13"/>
              </w:rPr>
              <w:t>Приложение № 6 – Состав заявки</w:t>
              <w:tab/>
              <w:t>77</w:t>
            </w:r>
            <w:r>
              <w:rPr>
                <w:webHidden/>
              </w:rPr>
              <w:fldChar w:fldCharType="end"/>
            </w:r>
          </w:hyperlink>
        </w:p>
        <w:p>
          <w:pPr>
            <w:pStyle w:val="TOC2"/>
            <w:rPr>
              <w:rFonts w:ascii="Calibri" w:hAnsi="Calibri" w:eastAsia="Arial" w:asciiTheme="minorHAnsi" w:eastAsiaTheme="minorEastAsia" w:hAnsiTheme="minorHAnsi"/>
              <w:sz w:val="24"/>
              <w:szCs w:val="24"/>
              <w:lang w:eastAsia="ru-RU"/>
              <w14:ligatures w14:val="standardContextual"/>
            </w:rPr>
          </w:pPr>
          <w:hyperlink w:anchor="_Toc230928885" w:tgtFrame="#_Toc230928885">
            <w:r>
              <w:rPr>
                <w:webHidden/>
                <w:rStyle w:val="Style13"/>
                <w:vanish w:val="false"/>
              </w:rPr>
              <w:t>11.1</w:t>
            </w:r>
            <w:r>
              <w:rPr>
                <w:rStyle w:val="Style13"/>
                <w:rFonts w:eastAsia="Arial" w:ascii="Calibri" w:hAnsi="Calibri" w:asciiTheme="minorHAnsi" w:eastAsiaTheme="minorEastAsia" w:hAnsiTheme="minorHAnsi"/>
                <w:sz w:val="24"/>
                <w:szCs w:val="24"/>
                <w:lang w:eastAsia="ru-RU"/>
                <w14:ligatures w14:val="standardContextual"/>
              </w:rPr>
              <w:tab/>
            </w:r>
            <w:r>
              <w:rPr>
                <w:webHidden/>
              </w:rPr>
              <w:fldChar w:fldCharType="begin"/>
            </w:r>
            <w:r>
              <w:rPr>
                <w:webHidden/>
              </w:rPr>
              <w:instrText xml:space="preserve">PAGEREF _Toc230928885 \h</w:instrText>
            </w:r>
            <w:r>
              <w:rPr>
                <w:webHidden/>
              </w:rPr>
              <w:fldChar w:fldCharType="separate"/>
            </w:r>
            <w:r>
              <w:rPr>
                <w:rStyle w:val="Style13"/>
              </w:rPr>
              <w:t>Состав заявки</w:t>
              <w:tab/>
              <w:t>77</w:t>
            </w:r>
            <w:r>
              <w:rPr>
                <w:webHidden/>
              </w:rPr>
              <w:fldChar w:fldCharType="end"/>
            </w:r>
          </w:hyperlink>
        </w:p>
        <w:p>
          <w:pPr>
            <w:pStyle w:val="TOC1"/>
            <w:rPr>
              <w:rFonts w:ascii="Calibri" w:hAnsi="Calibri" w:eastAsia="Arial" w:asciiTheme="minorHAnsi" w:eastAsiaTheme="minorEastAsia" w:hAnsiTheme="minorHAnsi"/>
              <w:b w:val="false"/>
              <w:caps w:val="false"/>
              <w:smallCaps w:val="false"/>
              <w:sz w:val="24"/>
              <w:szCs w:val="24"/>
              <w:lang w:eastAsia="ru-RU"/>
              <w14:ligatures w14:val="standardContextual"/>
            </w:rPr>
          </w:pPr>
          <w:hyperlink w:anchor="_Toc230928886" w:tgtFrame="#_Toc230928886">
            <w:r>
              <w:rPr>
                <w:webHidden/>
                <w:rStyle w:val="Style13"/>
                <w:vanish w:val="false"/>
              </w:rPr>
              <w:t>12.</w:t>
            </w:r>
            <w:r>
              <w:rPr>
                <w:rStyle w:val="Style13"/>
                <w:rFonts w:eastAsia="Arial" w:ascii="Calibri" w:hAnsi="Calibri" w:asciiTheme="minorHAnsi" w:eastAsiaTheme="minorEastAsia" w:hAnsiTheme="minorHAnsi"/>
                <w:b w:val="false"/>
                <w:caps w:val="false"/>
                <w:smallCaps w:val="false"/>
                <w:sz w:val="24"/>
                <w:szCs w:val="24"/>
                <w:lang w:eastAsia="ru-RU"/>
                <w14:ligatures w14:val="standardContextual"/>
              </w:rPr>
              <w:tab/>
            </w:r>
            <w:r>
              <w:rPr>
                <w:webHidden/>
              </w:rPr>
              <w:fldChar w:fldCharType="begin"/>
            </w:r>
            <w:r>
              <w:rPr>
                <w:webHidden/>
              </w:rPr>
              <w:instrText xml:space="preserve">PAGEREF _Toc230928886 \h</w:instrText>
            </w:r>
            <w:r>
              <w:rPr>
                <w:webHidden/>
              </w:rPr>
              <w:fldChar w:fldCharType="separate"/>
            </w:r>
            <w:r>
              <w:rPr>
                <w:rStyle w:val="Style13"/>
              </w:rPr>
              <w:t>Приложение № 7 – Отборочные критерии рассмотрения заявок</w:t>
              <w:tab/>
              <w:t>80</w:t>
            </w:r>
            <w:r>
              <w:rPr>
                <w:webHidden/>
              </w:rPr>
              <w:fldChar w:fldCharType="end"/>
            </w:r>
          </w:hyperlink>
        </w:p>
        <w:p>
          <w:pPr>
            <w:pStyle w:val="TOC2"/>
            <w:rPr>
              <w:rFonts w:ascii="Calibri" w:hAnsi="Calibri" w:eastAsia="Arial" w:asciiTheme="minorHAnsi" w:eastAsiaTheme="minorEastAsia" w:hAnsiTheme="minorHAnsi"/>
              <w:sz w:val="24"/>
              <w:szCs w:val="24"/>
              <w:lang w:eastAsia="ru-RU"/>
              <w14:ligatures w14:val="standardContextual"/>
            </w:rPr>
          </w:pPr>
          <w:hyperlink w:anchor="_Toc230928887" w:tgtFrame="#_Toc230928887">
            <w:r>
              <w:rPr>
                <w:webHidden/>
                <w:rStyle w:val="Style13"/>
                <w:vanish w:val="false"/>
              </w:rPr>
              <w:t>12.1</w:t>
            </w:r>
            <w:r>
              <w:rPr>
                <w:rStyle w:val="Style13"/>
                <w:rFonts w:eastAsia="Arial" w:ascii="Calibri" w:hAnsi="Calibri" w:asciiTheme="minorHAnsi" w:eastAsiaTheme="minorEastAsia" w:hAnsiTheme="minorHAnsi"/>
                <w:sz w:val="24"/>
                <w:szCs w:val="24"/>
                <w:lang w:eastAsia="ru-RU"/>
                <w14:ligatures w14:val="standardContextual"/>
              </w:rPr>
              <w:tab/>
            </w:r>
            <w:r>
              <w:rPr>
                <w:webHidden/>
              </w:rPr>
              <w:fldChar w:fldCharType="begin"/>
            </w:r>
            <w:r>
              <w:rPr>
                <w:webHidden/>
              </w:rPr>
              <w:instrText xml:space="preserve">PAGEREF _Toc230928887 \h</w:instrText>
            </w:r>
            <w:r>
              <w:rPr>
                <w:webHidden/>
              </w:rPr>
              <w:fldChar w:fldCharType="separate"/>
            </w:r>
            <w:r>
              <w:rPr>
                <w:rStyle w:val="Style13"/>
              </w:rPr>
              <w:t>Отборочные критерии рассмотрения заявок</w:t>
              <w:tab/>
              <w:t>80</w:t>
            </w:r>
            <w:r>
              <w:rPr>
                <w:webHidden/>
              </w:rPr>
              <w:fldChar w:fldCharType="end"/>
            </w:r>
          </w:hyperlink>
        </w:p>
        <w:p>
          <w:pPr>
            <w:pStyle w:val="TOC2"/>
            <w:rPr>
              <w:rFonts w:ascii="Calibri" w:hAnsi="Calibri" w:eastAsia="Arial" w:asciiTheme="minorHAnsi" w:eastAsiaTheme="minorEastAsia" w:hAnsiTheme="minorHAnsi"/>
              <w:sz w:val="24"/>
              <w:szCs w:val="24"/>
              <w:lang w:eastAsia="ru-RU"/>
              <w14:ligatures w14:val="standardContextual"/>
            </w:rPr>
          </w:pPr>
          <w:hyperlink w:anchor="_Toc230928888" w:tgtFrame="#_Toc230928888">
            <w:r>
              <w:rPr>
                <w:webHidden/>
                <w:rStyle w:val="Style13"/>
                <w:vanish w:val="false"/>
              </w:rPr>
              <w:t>12.2</w:t>
            </w:r>
            <w:r>
              <w:rPr>
                <w:rStyle w:val="Style13"/>
                <w:rFonts w:eastAsia="Arial" w:ascii="Calibri" w:hAnsi="Calibri" w:asciiTheme="minorHAnsi" w:eastAsiaTheme="minorEastAsia" w:hAnsiTheme="minorHAnsi"/>
                <w:sz w:val="24"/>
                <w:szCs w:val="24"/>
                <w:lang w:eastAsia="ru-RU"/>
                <w14:ligatures w14:val="standardContextual"/>
              </w:rPr>
              <w:tab/>
            </w:r>
            <w:r>
              <w:rPr>
                <w:webHidden/>
              </w:rPr>
              <w:fldChar w:fldCharType="begin"/>
            </w:r>
            <w:r>
              <w:rPr>
                <w:webHidden/>
              </w:rPr>
              <w:instrText xml:space="preserve">PAGEREF _Toc230928888 \h</w:instrText>
            </w:r>
            <w:r>
              <w:rPr>
                <w:webHidden/>
              </w:rPr>
              <w:fldChar w:fldCharType="separate"/>
            </w:r>
            <w:r>
              <w:rPr>
                <w:rStyle w:val="Style13"/>
              </w:rPr>
              <w:t>Дополнительные критерии проверки заявок на соответствие условиям Документации о закупке</w:t>
              <w:tab/>
              <w:t>85</w:t>
            </w:r>
            <w:r>
              <w:rPr>
                <w:webHidden/>
              </w:rPr>
              <w:fldChar w:fldCharType="end"/>
            </w:r>
          </w:hyperlink>
        </w:p>
        <w:p>
          <w:pPr>
            <w:pStyle w:val="TOC1"/>
            <w:rPr>
              <w:rFonts w:ascii="Calibri" w:hAnsi="Calibri" w:eastAsia="Arial" w:asciiTheme="minorHAnsi" w:eastAsiaTheme="minorEastAsia" w:hAnsiTheme="minorHAnsi"/>
              <w:b w:val="false"/>
              <w:caps w:val="false"/>
              <w:smallCaps w:val="false"/>
              <w:sz w:val="24"/>
              <w:szCs w:val="24"/>
              <w:lang w:eastAsia="ru-RU"/>
              <w14:ligatures w14:val="standardContextual"/>
            </w:rPr>
          </w:pPr>
          <w:hyperlink w:anchor="_Toc230928889" w:tgtFrame="#_Toc230928889">
            <w:r>
              <w:rPr>
                <w:webHidden/>
                <w:rStyle w:val="Style13"/>
                <w:vanish w:val="false"/>
              </w:rPr>
              <w:t>13.</w:t>
            </w:r>
            <w:r>
              <w:rPr>
                <w:rStyle w:val="Style13"/>
                <w:rFonts w:eastAsia="Arial" w:ascii="Calibri" w:hAnsi="Calibri" w:asciiTheme="minorHAnsi" w:eastAsiaTheme="minorEastAsia" w:hAnsiTheme="minorHAnsi"/>
                <w:b w:val="false"/>
                <w:caps w:val="false"/>
                <w:smallCaps w:val="false"/>
                <w:sz w:val="24"/>
                <w:szCs w:val="24"/>
                <w:lang w:eastAsia="ru-RU"/>
                <w14:ligatures w14:val="standardContextual"/>
              </w:rPr>
              <w:tab/>
            </w:r>
            <w:r>
              <w:rPr>
                <w:webHidden/>
              </w:rPr>
              <w:fldChar w:fldCharType="begin"/>
            </w:r>
            <w:r>
              <w:rPr>
                <w:webHidden/>
              </w:rPr>
              <w:instrText xml:space="preserve">PAGEREF _Toc230928889 \h</w:instrText>
            </w:r>
            <w:r>
              <w:rPr>
                <w:webHidden/>
              </w:rPr>
              <w:fldChar w:fldCharType="separate"/>
            </w:r>
            <w:r>
              <w:rPr>
                <w:rStyle w:val="Style13"/>
              </w:rPr>
              <w:t>Приложение № 8 – Порядок и критерии оценки и сопоставления заявок</w:t>
              <w:tab/>
              <w:t>88</w:t>
            </w:r>
            <w:r>
              <w:rPr>
                <w:webHidden/>
              </w:rPr>
              <w:fldChar w:fldCharType="end"/>
            </w:r>
          </w:hyperlink>
        </w:p>
        <w:p>
          <w:pPr>
            <w:pStyle w:val="TOC2"/>
            <w:rPr>
              <w:rFonts w:ascii="Calibri" w:hAnsi="Calibri" w:eastAsia="Arial" w:asciiTheme="minorHAnsi" w:eastAsiaTheme="minorEastAsia" w:hAnsiTheme="minorHAnsi"/>
              <w:sz w:val="24"/>
              <w:szCs w:val="24"/>
              <w:lang w:eastAsia="ru-RU"/>
              <w14:ligatures w14:val="standardContextual"/>
            </w:rPr>
          </w:pPr>
          <w:hyperlink w:anchor="_Toc230928890" w:tgtFrame="#_Toc230928890">
            <w:r>
              <w:rPr>
                <w:webHidden/>
                <w:rStyle w:val="Style13"/>
                <w:vanish w:val="false"/>
              </w:rPr>
              <w:t>13.1</w:t>
            </w:r>
            <w:r>
              <w:rPr>
                <w:rStyle w:val="Style13"/>
                <w:rFonts w:eastAsia="Arial" w:ascii="Calibri" w:hAnsi="Calibri" w:asciiTheme="minorHAnsi" w:eastAsiaTheme="minorEastAsia" w:hAnsiTheme="minorHAnsi"/>
                <w:sz w:val="24"/>
                <w:szCs w:val="24"/>
                <w:lang w:eastAsia="ru-RU"/>
                <w14:ligatures w14:val="standardContextual"/>
              </w:rPr>
              <w:tab/>
            </w:r>
            <w:r>
              <w:rPr>
                <w:webHidden/>
              </w:rPr>
              <w:fldChar w:fldCharType="begin"/>
            </w:r>
            <w:r>
              <w:rPr>
                <w:webHidden/>
              </w:rPr>
              <w:instrText xml:space="preserve">PAGEREF _Toc230928890 \h</w:instrText>
            </w:r>
            <w:r>
              <w:rPr>
                <w:webHidden/>
              </w:rPr>
              <w:fldChar w:fldCharType="separate"/>
            </w:r>
            <w:r>
              <w:rPr>
                <w:rStyle w:val="Style13"/>
              </w:rPr>
              <w:t>Порядок и критерии оценки и сопоставления заявок</w:t>
              <w:tab/>
              <w:t>88</w:t>
            </w:r>
            <w:r>
              <w:rPr>
                <w:webHidden/>
              </w:rPr>
              <w:fldChar w:fldCharType="end"/>
            </w:r>
          </w:hyperlink>
        </w:p>
        <w:p>
          <w:pPr>
            <w:pStyle w:val="TOC1"/>
            <w:rPr>
              <w:rFonts w:ascii="Calibri" w:hAnsi="Calibri" w:eastAsia="Arial" w:asciiTheme="minorHAnsi" w:eastAsiaTheme="minorEastAsia" w:hAnsiTheme="minorHAnsi"/>
              <w:b w:val="false"/>
              <w:caps w:val="false"/>
              <w:smallCaps w:val="false"/>
              <w:sz w:val="24"/>
              <w:szCs w:val="24"/>
              <w:lang w:eastAsia="ru-RU"/>
              <w14:ligatures w14:val="standardContextual"/>
            </w:rPr>
          </w:pPr>
          <w:hyperlink w:anchor="_Toc230928891" w:tgtFrame="#_Toc230928891">
            <w:r>
              <w:rPr>
                <w:webHidden/>
                <w:rStyle w:val="Style13"/>
                <w:vanish w:val="false"/>
              </w:rPr>
              <w:t>14.</w:t>
            </w:r>
            <w:r>
              <w:rPr>
                <w:rStyle w:val="Style13"/>
                <w:rFonts w:eastAsia="Arial" w:ascii="Calibri" w:hAnsi="Calibri" w:asciiTheme="minorHAnsi" w:eastAsiaTheme="minorEastAsia" w:hAnsiTheme="minorHAnsi"/>
                <w:b w:val="false"/>
                <w:caps w:val="false"/>
                <w:smallCaps w:val="false"/>
                <w:sz w:val="24"/>
                <w:szCs w:val="24"/>
                <w:lang w:eastAsia="ru-RU"/>
                <w14:ligatures w14:val="standardContextual"/>
              </w:rPr>
              <w:tab/>
            </w:r>
            <w:r>
              <w:rPr>
                <w:webHidden/>
              </w:rPr>
              <w:fldChar w:fldCharType="begin"/>
            </w:r>
            <w:r>
              <w:rPr>
                <w:webHidden/>
              </w:rPr>
              <w:instrText xml:space="preserve">PAGEREF _Toc230928891 \h</w:instrText>
            </w:r>
            <w:r>
              <w:rPr>
                <w:webHidden/>
              </w:rPr>
              <w:fldChar w:fldCharType="separate"/>
            </w:r>
            <w:r>
              <w:rPr>
                <w:rStyle w:val="Style13"/>
              </w:rPr>
              <w:t>Приложение № 9 – Обоснование НМЦ</w:t>
              <w:tab/>
              <w:t>94</w:t>
            </w:r>
            <w:r>
              <w:rPr>
                <w:webHidden/>
              </w:rPr>
              <w:fldChar w:fldCharType="end"/>
            </w:r>
          </w:hyperlink>
        </w:p>
        <w:p>
          <w:pPr>
            <w:pStyle w:val="TOC2"/>
            <w:rPr>
              <w:rFonts w:ascii="Calibri" w:hAnsi="Calibri" w:eastAsia="Arial" w:asciiTheme="minorHAnsi" w:eastAsiaTheme="minorEastAsia" w:hAnsiTheme="minorHAnsi"/>
              <w:sz w:val="24"/>
              <w:szCs w:val="24"/>
              <w:lang w:eastAsia="ru-RU"/>
              <w14:ligatures w14:val="standardContextual"/>
            </w:rPr>
          </w:pPr>
          <w:hyperlink w:anchor="_Toc230928892" w:tgtFrame="#_Toc230928892">
            <w:r>
              <w:rPr>
                <w:webHidden/>
                <w:rStyle w:val="Style13"/>
                <w:vanish w:val="false"/>
              </w:rPr>
              <w:t>14.1</w:t>
            </w:r>
            <w:r>
              <w:rPr>
                <w:rStyle w:val="Style13"/>
                <w:rFonts w:eastAsia="Arial" w:ascii="Calibri" w:hAnsi="Calibri" w:asciiTheme="minorHAnsi" w:eastAsiaTheme="minorEastAsia" w:hAnsiTheme="minorHAnsi"/>
                <w:sz w:val="24"/>
                <w:szCs w:val="24"/>
                <w:lang w:eastAsia="ru-RU"/>
                <w14:ligatures w14:val="standardContextual"/>
              </w:rPr>
              <w:tab/>
            </w:r>
            <w:r>
              <w:rPr>
                <w:webHidden/>
              </w:rPr>
              <w:fldChar w:fldCharType="begin"/>
            </w:r>
            <w:r>
              <w:rPr>
                <w:webHidden/>
              </w:rPr>
              <w:instrText xml:space="preserve">PAGEREF _Toc230928892 \h</w:instrText>
            </w:r>
            <w:r>
              <w:rPr>
                <w:webHidden/>
              </w:rPr>
              <w:fldChar w:fldCharType="separate"/>
            </w:r>
            <w:r>
              <w:rPr>
                <w:rStyle w:val="Style13"/>
              </w:rPr>
              <w:t>Пояснения к Обоснованию НМЦ</w:t>
              <w:tab/>
              <w:t>94</w:t>
            </w:r>
            <w:r>
              <w:rPr>
                <w:webHidden/>
              </w:rPr>
              <w:fldChar w:fldCharType="end"/>
            </w:r>
          </w:hyperlink>
        </w:p>
        <w:p>
          <w:pPr>
            <w:pStyle w:val="TOC1"/>
            <w:rPr>
              <w:rFonts w:ascii="Calibri" w:hAnsi="Calibri" w:eastAsia="Arial" w:asciiTheme="minorHAnsi" w:eastAsiaTheme="minorEastAsia" w:hAnsiTheme="minorHAnsi"/>
              <w:b w:val="false"/>
              <w:caps w:val="false"/>
              <w:smallCaps w:val="false"/>
              <w:sz w:val="24"/>
              <w:szCs w:val="24"/>
              <w:lang w:eastAsia="ru-RU"/>
              <w14:ligatures w14:val="standardContextual"/>
            </w:rPr>
          </w:pPr>
          <w:hyperlink w:anchor="_Toc230928893" w:tgtFrame="#_Toc230928893">
            <w:r>
              <w:rPr>
                <w:webHidden/>
                <w:rStyle w:val="Style13"/>
                <w:vanish w:val="false"/>
              </w:rPr>
              <w:t>15.</w:t>
            </w:r>
            <w:r>
              <w:rPr>
                <w:rStyle w:val="Style13"/>
                <w:rFonts w:eastAsia="Arial" w:ascii="Calibri" w:hAnsi="Calibri" w:asciiTheme="minorHAnsi" w:eastAsiaTheme="minorEastAsia" w:hAnsiTheme="minorHAnsi"/>
                <w:b w:val="false"/>
                <w:caps w:val="false"/>
                <w:smallCaps w:val="false"/>
                <w:sz w:val="24"/>
                <w:szCs w:val="24"/>
                <w:lang w:eastAsia="ru-RU"/>
                <w14:ligatures w14:val="standardContextual"/>
              </w:rPr>
              <w:tab/>
            </w:r>
            <w:r>
              <w:rPr>
                <w:webHidden/>
              </w:rPr>
              <w:fldChar w:fldCharType="begin"/>
            </w:r>
            <w:r>
              <w:rPr>
                <w:webHidden/>
              </w:rPr>
              <w:instrText xml:space="preserve">PAGEREF _Toc230928893 \h</w:instrText>
            </w:r>
            <w:r>
              <w:rPr>
                <w:webHidden/>
              </w:rPr>
              <w:fldChar w:fldCharType="separate"/>
            </w:r>
            <w:r>
              <w:rPr>
                <w:rStyle w:val="Style13"/>
              </w:rPr>
              <w:t>Приложение № 10 – Форма Заявки на аккредитацию</w:t>
              <w:tab/>
              <w:t>95</w:t>
            </w:r>
            <w:r>
              <w:rPr>
                <w:webHidden/>
              </w:rPr>
              <w:fldChar w:fldCharType="end"/>
            </w:r>
          </w:hyperlink>
        </w:p>
        <w:p>
          <w:pPr>
            <w:pStyle w:val="TOC2"/>
            <w:rPr>
              <w:rFonts w:ascii="Calibri" w:hAnsi="Calibri" w:eastAsia="Arial" w:asciiTheme="minorHAnsi" w:eastAsiaTheme="minorEastAsia" w:hAnsiTheme="minorHAnsi"/>
              <w:sz w:val="24"/>
              <w:szCs w:val="24"/>
              <w:lang w:eastAsia="ru-RU"/>
              <w14:ligatures w14:val="standardContextual"/>
            </w:rPr>
          </w:pPr>
          <w:hyperlink w:anchor="_Toc230928894" w:tgtFrame="#_Toc230928894">
            <w:r>
              <w:rPr>
                <w:webHidden/>
                <w:rStyle w:val="Style13"/>
                <w:vanish w:val="false"/>
              </w:rPr>
              <w:t>15.1</w:t>
            </w:r>
            <w:r>
              <w:rPr>
                <w:rStyle w:val="Style13"/>
                <w:rFonts w:eastAsia="Arial" w:ascii="Calibri" w:hAnsi="Calibri" w:asciiTheme="minorHAnsi" w:eastAsiaTheme="minorEastAsia" w:hAnsiTheme="minorHAnsi"/>
                <w:sz w:val="24"/>
                <w:szCs w:val="24"/>
                <w:lang w:eastAsia="ru-RU"/>
                <w14:ligatures w14:val="standardContextual"/>
              </w:rPr>
              <w:tab/>
            </w:r>
            <w:r>
              <w:rPr>
                <w:webHidden/>
              </w:rPr>
              <w:fldChar w:fldCharType="begin"/>
            </w:r>
            <w:r>
              <w:rPr>
                <w:webHidden/>
              </w:rPr>
              <w:instrText xml:space="preserve">PAGEREF _Toc230928894 \h</w:instrText>
            </w:r>
            <w:r>
              <w:rPr>
                <w:webHidden/>
              </w:rPr>
              <w:fldChar w:fldCharType="separate"/>
            </w:r>
            <w:r>
              <w:rPr>
                <w:rStyle w:val="Style13"/>
              </w:rPr>
              <w:t>Пояснения к форме Заявки на аккредитацию</w:t>
              <w:tab/>
              <w:t>95</w:t>
            </w:r>
            <w:r>
              <w:rPr>
                <w:webHidden/>
              </w:rPr>
              <w:fldChar w:fldCharType="end"/>
            </w:r>
          </w:hyperlink>
        </w:p>
        <w:p>
          <w:pPr>
            <w:pStyle w:val="TOC1"/>
            <w:rPr>
              <w:rFonts w:ascii="Calibri" w:hAnsi="Calibri" w:eastAsia="Arial" w:asciiTheme="minorHAnsi" w:eastAsiaTheme="minorEastAsia" w:hAnsiTheme="minorHAnsi"/>
              <w:b w:val="false"/>
              <w:caps w:val="false"/>
              <w:smallCaps w:val="false"/>
              <w:sz w:val="24"/>
              <w:szCs w:val="24"/>
              <w:lang w:eastAsia="ru-RU"/>
              <w14:ligatures w14:val="standardContextual"/>
            </w:rPr>
          </w:pPr>
          <w:hyperlink w:anchor="_Toc230928895" w:tgtFrame="#_Toc230928895">
            <w:r>
              <w:rPr>
                <w:webHidden/>
                <w:rStyle w:val="Style13"/>
                <w:vanish w:val="false"/>
              </w:rPr>
              <w:t>16.</w:t>
            </w:r>
            <w:r>
              <w:rPr>
                <w:rStyle w:val="Style13"/>
                <w:rFonts w:eastAsia="Arial" w:ascii="Calibri" w:hAnsi="Calibri" w:asciiTheme="minorHAnsi" w:eastAsiaTheme="minorEastAsia" w:hAnsiTheme="minorHAnsi"/>
                <w:b w:val="false"/>
                <w:caps w:val="false"/>
                <w:smallCaps w:val="false"/>
                <w:sz w:val="24"/>
                <w:szCs w:val="24"/>
                <w:lang w:eastAsia="ru-RU"/>
                <w14:ligatures w14:val="standardContextual"/>
              </w:rPr>
              <w:tab/>
            </w:r>
            <w:r>
              <w:rPr>
                <w:webHidden/>
              </w:rPr>
              <w:fldChar w:fldCharType="begin"/>
            </w:r>
            <w:r>
              <w:rPr>
                <w:webHidden/>
              </w:rPr>
              <w:instrText xml:space="preserve">PAGEREF _Toc230928895 \h</w:instrText>
            </w:r>
            <w:r>
              <w:rPr>
                <w:webHidden/>
              </w:rPr>
              <w:fldChar w:fldCharType="separate"/>
            </w:r>
            <w:r>
              <w:rPr>
                <w:rStyle w:val="Style13"/>
              </w:rPr>
              <w:t>Приложение № 11 – форма Данных бухгалтерской (финансовой) отчетности</w:t>
              <w:tab/>
              <w:t>96</w:t>
            </w:r>
            <w:r>
              <w:rPr>
                <w:webHidden/>
              </w:rPr>
              <w:fldChar w:fldCharType="end"/>
            </w:r>
          </w:hyperlink>
        </w:p>
        <w:p>
          <w:pPr>
            <w:pStyle w:val="TOC2"/>
            <w:rPr>
              <w:rFonts w:ascii="Calibri" w:hAnsi="Calibri" w:eastAsia="Arial" w:asciiTheme="minorHAnsi" w:eastAsiaTheme="minorEastAsia" w:hAnsiTheme="minorHAnsi"/>
              <w:sz w:val="24"/>
              <w:szCs w:val="24"/>
              <w:lang w:eastAsia="ru-RU"/>
              <w14:ligatures w14:val="standardContextual"/>
            </w:rPr>
          </w:pPr>
          <w:hyperlink w:anchor="_Toc230928896" w:tgtFrame="#_Toc230928896">
            <w:r>
              <w:rPr>
                <w:webHidden/>
                <w:rStyle w:val="Style13"/>
                <w:vanish w:val="false"/>
              </w:rPr>
              <w:t>16.1</w:t>
            </w:r>
            <w:r>
              <w:rPr>
                <w:rStyle w:val="Style13"/>
                <w:rFonts w:eastAsia="Arial" w:ascii="Calibri" w:hAnsi="Calibri" w:asciiTheme="minorHAnsi" w:eastAsiaTheme="minorEastAsia" w:hAnsiTheme="minorHAnsi"/>
                <w:sz w:val="24"/>
                <w:szCs w:val="24"/>
                <w:lang w:eastAsia="ru-RU"/>
                <w14:ligatures w14:val="standardContextual"/>
              </w:rPr>
              <w:tab/>
            </w:r>
            <w:r>
              <w:rPr>
                <w:webHidden/>
              </w:rPr>
              <w:fldChar w:fldCharType="begin"/>
            </w:r>
            <w:r>
              <w:rPr>
                <w:webHidden/>
              </w:rPr>
              <w:instrText xml:space="preserve">PAGEREF _Toc230928896 \h</w:instrText>
            </w:r>
            <w:r>
              <w:rPr>
                <w:webHidden/>
              </w:rPr>
              <w:fldChar w:fldCharType="separate"/>
            </w:r>
            <w:r>
              <w:rPr>
                <w:rStyle w:val="Style13"/>
              </w:rPr>
              <w:t>Пояснения к форме Данных бухгалтерской (финансовой) отчетности</w:t>
              <w:tab/>
              <w:t>96</w:t>
            </w:r>
            <w:r>
              <w:rPr>
                <w:webHidden/>
              </w:rPr>
              <w:fldChar w:fldCharType="end"/>
            </w:r>
          </w:hyperlink>
          <w:r>
            <w:rPr>
              <w:rStyle w:val="Style13"/>
            </w:rPr>
            <w:fldChar w:fldCharType="end"/>
          </w:r>
        </w:p>
      </w:sdtContent>
    </w:sdt>
    <w:p>
      <w:pPr>
        <w:pStyle w:val="Style23"/>
        <w:jc w:val="both"/>
        <w:rPr/>
      </w:pPr>
      <w:r>
        <w:rPr/>
      </w:r>
    </w:p>
    <w:p>
      <w:pPr>
        <w:pStyle w:val="Style23"/>
        <w:keepNext w:val="true"/>
        <w:spacing w:before="60" w:after="0"/>
        <w:rPr>
          <w:rStyle w:val="Style9"/>
        </w:rPr>
      </w:pPr>
      <w:r>
        <w:rPr>
          <w:rStyle w:val="Style9"/>
        </w:rPr>
        <w:t xml:space="preserve">[Примечание (дополнительные удобства работы с Документацией о закупке; Microsoft Word | </w:t>
      </w:r>
      <w:r>
        <w:rPr>
          <w:rStyle w:val="Style9"/>
          <w:color w:val="4472C4" w:themeColor="accent1"/>
        </w:rPr>
        <w:t>AlterOffice AText – отмечены отличая для данного текстового редактора</w:t>
      </w:r>
      <w:r>
        <w:rPr>
          <w:rStyle w:val="Style9"/>
        </w:rPr>
        <w:t>):</w:t>
      </w:r>
    </w:p>
    <w:p>
      <w:pPr>
        <w:pStyle w:val="Style23"/>
        <w:numPr>
          <w:ilvl w:val="0"/>
          <w:numId w:val="13"/>
        </w:numPr>
        <w:spacing w:before="60" w:after="0"/>
        <w:ind w:hanging="284" w:left="284"/>
        <w:rPr>
          <w:rStyle w:val="Style9"/>
        </w:rPr>
      </w:pPr>
      <w:r>
        <w:rPr>
          <w:rStyle w:val="Style9"/>
        </w:rPr>
        <w:t xml:space="preserve">для навигации рекомендуется использовать боковое меню – включается на вкладке «Вид» в разделе «Отображение» опцией «Область навигации» | </w:t>
      </w:r>
      <w:r>
        <w:rPr>
          <w:rStyle w:val="Style9"/>
          <w:color w:val="4472C4" w:themeColor="accent1"/>
        </w:rPr>
        <w:t>включается на вкладке «Вид» опцией «Навигатор»</w:t>
      </w:r>
      <w:r>
        <w:rPr>
          <w:rStyle w:val="Style9"/>
        </w:rPr>
        <w:t>;</w:t>
      </w:r>
    </w:p>
    <w:p>
      <w:pPr>
        <w:pStyle w:val="Style23"/>
        <w:numPr>
          <w:ilvl w:val="0"/>
          <w:numId w:val="13"/>
        </w:numPr>
        <w:spacing w:before="0" w:after="0"/>
        <w:ind w:hanging="284" w:left="284"/>
        <w:rPr>
          <w:rStyle w:val="Style9"/>
        </w:rPr>
      </w:pPr>
      <w:r>
        <w:rPr>
          <w:rStyle w:val="Style9"/>
        </w:rPr>
        <w:t>переход по перекрестным и другим ссылкам осуществляется левым кликом мыши с</w:t>
      </w:r>
      <w:r>
        <w:rPr>
          <w:rStyle w:val="Style9"/>
          <w:lang w:val="en-US"/>
        </w:rPr>
        <w:t> </w:t>
      </w:r>
      <w:r>
        <w:rPr>
          <w:rStyle w:val="Style9"/>
        </w:rPr>
        <w:t xml:space="preserve">зажатой клавишей Ctrl, обратный возврат на место в тексте, с которого был сделан переход, осуществляется нажатием стрелки влево (←) с зажатой левой клавишей Alt </w:t>
      </w:r>
      <w:r>
        <w:rPr>
          <w:rStyle w:val="Style9"/>
          <w:color w:val="4472C4" w:themeColor="accent1"/>
        </w:rPr>
        <w:t>(обратный переход функционально не реализован в AlterOffice AText, пользуйтесь функциональностью «Навигатор»)</w:t>
      </w:r>
      <w:r>
        <w:rPr>
          <w:rStyle w:val="Style9"/>
        </w:rPr>
        <w:t>;</w:t>
      </w:r>
    </w:p>
    <w:p>
      <w:pPr>
        <w:pStyle w:val="Style23"/>
        <w:numPr>
          <w:ilvl w:val="0"/>
          <w:numId w:val="13"/>
        </w:numPr>
        <w:spacing w:before="0" w:after="0"/>
        <w:ind w:hanging="284" w:left="284"/>
        <w:rPr>
          <w:rStyle w:val="Style9"/>
        </w:rPr>
      </w:pPr>
      <w:r>
        <w:rPr>
          <w:rStyle w:val="Style9"/>
        </w:rPr>
        <w:t>открытие внедренного в текст документа (файла) осуществляется по двойному клику левой клавиши мыши по соответствующей иконке документа (файла) в</w:t>
      </w:r>
      <w:r>
        <w:rPr>
          <w:rStyle w:val="Style9"/>
          <w:lang w:val="en-US"/>
        </w:rPr>
        <w:t> </w:t>
      </w:r>
      <w:r>
        <w:rPr>
          <w:rStyle w:val="Style9"/>
        </w:rPr>
        <w:t>тексте;</w:t>
      </w:r>
    </w:p>
    <w:p>
      <w:pPr>
        <w:pStyle w:val="Style23"/>
        <w:numPr>
          <w:ilvl w:val="0"/>
          <w:numId w:val="13"/>
        </w:numPr>
        <w:spacing w:before="0" w:after="0"/>
        <w:ind w:hanging="284" w:left="284"/>
        <w:rPr>
          <w:rStyle w:val="Style9"/>
        </w:rPr>
      </w:pPr>
      <w:r>
        <w:rPr>
          <w:rStyle w:val="Style9"/>
          <w:color w:val="4472C4" w:themeColor="accent1"/>
        </w:rPr>
        <w:t>отключение затенения серыми блоками по тексту объектов, в том числе некоторых неразрывных пробелов и перекрестных ссылок: Ctrl + F8 (только для AlterOffice AText)</w:t>
      </w:r>
      <w:r>
        <w:rPr>
          <w:rStyle w:val="Style9"/>
        </w:rPr>
        <w:t>.]</w:t>
      </w:r>
    </w:p>
    <w:p>
      <w:pPr>
        <w:pStyle w:val="Style22"/>
        <w:numPr>
          <w:ilvl w:val="0"/>
          <w:numId w:val="0"/>
        </w:numPr>
        <w:ind w:hanging="0" w:left="0"/>
        <w:outlineLvl w:val="0"/>
        <w:rPr/>
      </w:pPr>
      <w:bookmarkStart w:id="0" w:name="_Toc230928825"/>
      <w:r>
        <w:rPr/>
        <w:t>Сокращения</w:t>
      </w:r>
      <w:bookmarkEnd w:id="0"/>
    </w:p>
    <w:p>
      <w:pPr>
        <w:pStyle w:val="Style23"/>
        <w:ind w:firstLine="567"/>
        <w:rPr/>
      </w:pPr>
      <w:r>
        <w:rPr>
          <w:b/>
          <w:bCs/>
        </w:rPr>
        <w:t>ГК РФ</w:t>
      </w:r>
      <w:r>
        <w:rPr/>
        <w:t xml:space="preserve"> – Гражданской кодекс Российской Федерации.</w:t>
      </w:r>
    </w:p>
    <w:p>
      <w:pPr>
        <w:pStyle w:val="Style23"/>
        <w:ind w:firstLine="567"/>
        <w:rPr>
          <w:b/>
          <w:bCs/>
        </w:rPr>
      </w:pPr>
      <w:r>
        <w:rPr>
          <w:b/>
          <w:bCs/>
        </w:rPr>
        <w:t>ЕАЭС</w:t>
      </w:r>
      <w:r>
        <w:rPr/>
        <w:t xml:space="preserve"> – Евразийский экономический союз.</w:t>
      </w:r>
    </w:p>
    <w:p>
      <w:pPr>
        <w:pStyle w:val="Style23"/>
        <w:ind w:firstLine="567"/>
        <w:rPr/>
      </w:pPr>
      <w:r>
        <w:rPr>
          <w:b/>
          <w:bCs/>
        </w:rPr>
        <w:t>ЕГРИП</w:t>
      </w:r>
      <w:r>
        <w:rPr/>
        <w:t xml:space="preserve"> – Единый государственный реестр индивидуальных предпринимателей.</w:t>
      </w:r>
    </w:p>
    <w:p>
      <w:pPr>
        <w:pStyle w:val="Style23"/>
        <w:ind w:firstLine="567"/>
        <w:rPr/>
      </w:pPr>
      <w:r>
        <w:rPr>
          <w:b/>
          <w:bCs/>
        </w:rPr>
        <w:t>ЕГРЮЛ</w:t>
      </w:r>
      <w:r>
        <w:rPr/>
        <w:t xml:space="preserve"> – Единый государственный реестр юридических лиц.</w:t>
      </w:r>
    </w:p>
    <w:p>
      <w:pPr>
        <w:pStyle w:val="Style23"/>
        <w:ind w:firstLine="567"/>
        <w:rPr/>
      </w:pPr>
      <w:r>
        <w:rPr>
          <w:b/>
          <w:bCs/>
        </w:rPr>
        <w:t>ЕИС</w:t>
      </w:r>
      <w:r>
        <w:rPr/>
        <w:t xml:space="preserve"> – Единая информационная система в сфере закупок.</w:t>
      </w:r>
    </w:p>
    <w:p>
      <w:pPr>
        <w:pStyle w:val="Style23"/>
        <w:ind w:firstLine="567"/>
        <w:rPr/>
      </w:pPr>
      <w:r>
        <w:rPr>
          <w:b/>
          <w:bCs/>
        </w:rPr>
        <w:t>Закон 209-ФЗ</w:t>
      </w:r>
      <w:r>
        <w:rPr/>
        <w:t xml:space="preserve"> – Федеральный закон от 24.07.2007 № 209-ФЗ «О развитии малого и среднего предпринимательства в Российской Федерации».</w:t>
      </w:r>
    </w:p>
    <w:p>
      <w:pPr>
        <w:pStyle w:val="Style23"/>
        <w:ind w:firstLine="567"/>
        <w:rPr/>
      </w:pPr>
      <w:r>
        <w:rPr>
          <w:b/>
          <w:bCs/>
        </w:rPr>
        <w:t>Закон 223-ФЗ</w:t>
      </w:r>
      <w:r>
        <w:rPr/>
        <w:t xml:space="preserve"> – Федеральный закон от 18.07.2011 № 223-ФЗ «О закупках товаров, работ, услуг отдельными видами юридических лиц».</w:t>
      </w:r>
    </w:p>
    <w:p>
      <w:pPr>
        <w:pStyle w:val="Style23"/>
        <w:ind w:firstLine="567"/>
        <w:rPr/>
      </w:pPr>
      <w:r>
        <w:rPr>
          <w:b/>
          <w:bCs/>
        </w:rPr>
        <w:t>Закон 255-ФЗ</w:t>
      </w:r>
      <w:r>
        <w:rPr/>
        <w:t xml:space="preserve"> – Федеральный закон от 14.07.2022 № 255-ФЗ «О контроле за деятельностью лиц, находящихся под иностранным влиянием».</w:t>
      </w:r>
    </w:p>
    <w:p>
      <w:pPr>
        <w:pStyle w:val="Style23"/>
        <w:ind w:firstLine="567"/>
        <w:rPr/>
      </w:pPr>
      <w:r>
        <w:rPr>
          <w:b/>
          <w:bCs/>
        </w:rPr>
        <w:t>Закон 422-ФЗ</w:t>
      </w:r>
      <w:r>
        <w:rPr/>
        <w:t xml:space="preserve"> – Федеральный закон от 27.11.2018 № 422-ФЗ «О проведении эксперимента по установлению специального налогового режима «Налог на профессиональный доход».</w:t>
      </w:r>
    </w:p>
    <w:p>
      <w:pPr>
        <w:pStyle w:val="Style23"/>
        <w:ind w:firstLine="567"/>
        <w:rPr/>
      </w:pPr>
      <w:r>
        <w:rPr>
          <w:b/>
          <w:bCs/>
        </w:rPr>
        <w:t>Законодательство</w:t>
      </w:r>
      <w:r>
        <w:rPr/>
        <w:t xml:space="preserve"> – законодательство Российской Федерации (если в тексте настоящей Документации о закупке прямо не указано иное).</w:t>
      </w:r>
    </w:p>
    <w:p>
      <w:pPr>
        <w:pStyle w:val="Style23"/>
        <w:ind w:firstLine="567"/>
        <w:rPr/>
      </w:pPr>
      <w:r>
        <w:rPr>
          <w:b/>
          <w:bCs/>
        </w:rPr>
        <w:t>Извещение</w:t>
      </w:r>
      <w:r>
        <w:rPr/>
        <w:t xml:space="preserve"> – извещение о проведении настоящей закупки.</w:t>
      </w:r>
    </w:p>
    <w:p>
      <w:pPr>
        <w:pStyle w:val="Style23"/>
        <w:ind w:firstLine="567"/>
        <w:rPr/>
      </w:pPr>
      <w:r>
        <w:rPr>
          <w:b/>
          <w:bCs/>
        </w:rPr>
        <w:t>ИНН</w:t>
      </w:r>
      <w:r>
        <w:rPr/>
        <w:t xml:space="preserve"> – идентификационный номер налогоплательщика.</w:t>
      </w:r>
    </w:p>
    <w:p>
      <w:pPr>
        <w:pStyle w:val="Style23"/>
        <w:ind w:firstLine="567"/>
        <w:rPr/>
      </w:pPr>
      <w:r>
        <w:rPr>
          <w:b/>
          <w:bCs/>
        </w:rPr>
        <w:t>ИФНС</w:t>
      </w:r>
      <w:r>
        <w:rPr/>
        <w:t xml:space="preserve"> – инспекция Федеральной налоговой службы Российской Федерации.</w:t>
      </w:r>
    </w:p>
    <w:p>
      <w:pPr>
        <w:pStyle w:val="Style23"/>
        <w:ind w:firstLine="567"/>
        <w:rPr/>
      </w:pPr>
      <w:r>
        <w:rPr>
          <w:b/>
          <w:bCs/>
        </w:rPr>
        <w:t>МТР</w:t>
      </w:r>
      <w:r>
        <w:rPr/>
        <w:t xml:space="preserve"> – материально-технические ресурсы.</w:t>
      </w:r>
    </w:p>
    <w:p>
      <w:pPr>
        <w:pStyle w:val="Style23"/>
        <w:ind w:firstLine="567"/>
        <w:rPr/>
      </w:pPr>
      <w:r>
        <w:rPr>
          <w:b/>
          <w:bCs/>
        </w:rPr>
        <w:t>НДС</w:t>
      </w:r>
      <w:r>
        <w:rPr/>
        <w:t xml:space="preserve"> – налог на добавленную стоимость.</w:t>
      </w:r>
    </w:p>
    <w:p>
      <w:pPr>
        <w:pStyle w:val="Style23"/>
        <w:ind w:firstLine="567"/>
        <w:rPr/>
      </w:pPr>
      <w:r>
        <w:rPr>
          <w:b/>
          <w:bCs/>
        </w:rPr>
        <w:t>НМЦ</w:t>
      </w:r>
      <w:r>
        <w:rPr/>
        <w:t xml:space="preserve"> – начальная (максимальная) цена договора.</w:t>
      </w:r>
    </w:p>
    <w:p>
      <w:pPr>
        <w:pStyle w:val="Style23"/>
        <w:ind w:firstLine="567"/>
        <w:rPr/>
      </w:pPr>
      <w:r>
        <w:rPr>
          <w:b/>
          <w:bCs/>
        </w:rPr>
        <w:t>Оператор ЭП</w:t>
      </w:r>
      <w:r>
        <w:rPr/>
        <w:t xml:space="preserve"> – оператор электронной площадки.</w:t>
      </w:r>
    </w:p>
    <w:p>
      <w:pPr>
        <w:pStyle w:val="Style23"/>
        <w:ind w:firstLine="567"/>
        <w:rPr/>
      </w:pPr>
      <w:r>
        <w:rPr>
          <w:b/>
          <w:bCs/>
        </w:rPr>
        <w:t>Официальный сайт</w:t>
      </w:r>
      <w:r>
        <w:rPr/>
        <w:t xml:space="preserve"> – официальный сайт Единой информационной системы в сфере закупок, расположенный в сети Интернет по </w:t>
      </w:r>
      <w:r>
        <w:rPr>
          <w:lang w:val="en-US"/>
        </w:rPr>
        <w:t>URL</w:t>
      </w:r>
      <w:r>
        <w:rPr/>
        <w:t>-адресу https://zakupki.gov.ru/.</w:t>
      </w:r>
    </w:p>
    <w:p>
      <w:pPr>
        <w:pStyle w:val="Style23"/>
        <w:ind w:firstLine="567"/>
        <w:rPr/>
      </w:pPr>
      <w:r>
        <w:rPr>
          <w:b/>
          <w:bCs/>
        </w:rPr>
        <w:t>Положение о закупке</w:t>
      </w:r>
      <w:r>
        <w:rPr/>
        <w:t xml:space="preserve"> – Единое Положение о закупке продукции для нужд Группы РусГидро.</w:t>
      </w:r>
    </w:p>
    <w:p>
      <w:pPr>
        <w:pStyle w:val="Style23"/>
        <w:ind w:firstLine="567"/>
        <w:rPr/>
      </w:pPr>
      <w:r>
        <w:rPr>
          <w:b/>
          <w:bCs/>
        </w:rPr>
        <w:t>Положение об аккредитации</w:t>
      </w:r>
      <w:r>
        <w:rPr/>
        <w:t xml:space="preserve"> – Единое Положение об аккредитации поставщиков продукции в Группе РусГидро, размещенное на Официальном сайте (в составе Положения о закупке).</w:t>
      </w:r>
    </w:p>
    <w:p>
      <w:pPr>
        <w:pStyle w:val="Style23"/>
        <w:ind w:firstLine="567"/>
        <w:rPr/>
      </w:pPr>
      <w:r>
        <w:rPr>
          <w:b/>
          <w:bCs/>
        </w:rPr>
        <w:t>ПП 325</w:t>
      </w:r>
      <w:r>
        <w:rPr/>
        <w:t xml:space="preserve"> – постановление Правительства Российской Федерации от 23.03.2017 № 325 «Об утверждении дополнительных требований к программам для электронных вычислительных машин и базам данных, сведения о которых включены в реестр российского программного обеспечения, и внесении изменений в Правила формирования и ведения единого реестра российских программ для электронных вычислительных машин и баз данных».</w:t>
      </w:r>
    </w:p>
    <w:p>
      <w:pPr>
        <w:pStyle w:val="Style23"/>
        <w:ind w:firstLine="567"/>
        <w:rPr>
          <w:b/>
          <w:bCs/>
        </w:rPr>
      </w:pPr>
      <w:r>
        <w:rPr>
          <w:b/>
          <w:bCs/>
        </w:rPr>
        <w:t>ПП 719</w:t>
      </w:r>
      <w:r>
        <w:rPr/>
        <w:t xml:space="preserve"> – постановление Правительства Российской Федерации от 17.07. 2014 № 719 «О подтверждении производства российской промышленной продукции».</w:t>
      </w:r>
    </w:p>
    <w:p>
      <w:pPr>
        <w:pStyle w:val="Style23"/>
        <w:ind w:firstLine="567"/>
        <w:rPr/>
      </w:pPr>
      <w:r>
        <w:rPr>
          <w:b/>
          <w:bCs/>
        </w:rPr>
        <w:t>ПП 1352</w:t>
      </w:r>
      <w:r>
        <w:rPr/>
        <w:t xml:space="preserve"> – постановление Правительства Российской Федерации от 11.12.2014 № 1352 «Об особенностях участия субъектов малого и среднего предпринимательства в закупках товаров, работ, услуг отдельными видами юридических лиц».</w:t>
      </w:r>
    </w:p>
    <w:p>
      <w:pPr>
        <w:pStyle w:val="Style23"/>
        <w:ind w:firstLine="567"/>
        <w:rPr/>
      </w:pPr>
      <w:r>
        <w:rPr>
          <w:b/>
          <w:bCs/>
        </w:rPr>
        <w:t>ПП 1875</w:t>
      </w:r>
      <w:r>
        <w:rPr/>
        <w:t xml:space="preserve"> – постановление Правительства Российской Федерации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
    <w:p>
      <w:pPr>
        <w:pStyle w:val="Style23"/>
        <w:ind w:firstLine="567"/>
        <w:rPr/>
      </w:pPr>
      <w:r>
        <w:rPr>
          <w:b/>
          <w:bCs/>
        </w:rPr>
        <w:t>Реестр МСП</w:t>
      </w:r>
      <w:r>
        <w:rPr/>
        <w:t xml:space="preserve"> – единый реестр субъектов малого и среднего предпринимательства, ведение которого осуществляется в соответствии с Законом 209-ФЗ.</w:t>
      </w:r>
    </w:p>
    <w:p>
      <w:pPr>
        <w:pStyle w:val="Style23"/>
        <w:ind w:firstLine="567"/>
        <w:rPr/>
      </w:pPr>
      <w:r>
        <w:rPr>
          <w:b/>
          <w:bCs/>
        </w:rPr>
        <w:t>Система ЭДО</w:t>
      </w:r>
      <w:r>
        <w:rPr>
          <w:rStyle w:val="FootnoteReference"/>
          <w:b/>
          <w:bCs/>
        </w:rPr>
        <w:footnoteReference w:id="2"/>
      </w:r>
      <w:r>
        <w:rPr/>
        <w:t xml:space="preserve"> – информационная система, посредством которой осуществляется обмен информацией в электронной форме между участниками информационного взаимодействия.</w:t>
      </w:r>
    </w:p>
    <w:p>
      <w:pPr>
        <w:pStyle w:val="Style23"/>
        <w:ind w:firstLine="567"/>
        <w:rPr/>
      </w:pPr>
      <w:r>
        <w:rPr>
          <w:b/>
          <w:bCs/>
        </w:rPr>
        <w:t>Стороны</w:t>
      </w:r>
      <w:r>
        <w:rPr/>
        <w:t xml:space="preserve"> – Организатор, Заказчик и Участники, являющиеся сторонами данной закупки (при совместном упоминании).</w:t>
      </w:r>
    </w:p>
    <w:p>
      <w:pPr>
        <w:pStyle w:val="Style23"/>
        <w:ind w:firstLine="567"/>
        <w:rPr/>
      </w:pPr>
      <w:r>
        <w:rPr>
          <w:b/>
          <w:bCs/>
        </w:rPr>
        <w:t>Субъект МСП</w:t>
      </w:r>
      <w:r>
        <w:rPr/>
        <w:t xml:space="preserve"> – субъект малого и среднего предпринимательства.</w:t>
      </w:r>
    </w:p>
    <w:p>
      <w:pPr>
        <w:pStyle w:val="Style23"/>
        <w:ind w:firstLine="567"/>
        <w:rPr/>
      </w:pPr>
      <w:r>
        <w:rPr>
          <w:b/>
          <w:bCs/>
        </w:rPr>
        <w:t>ЭП</w:t>
      </w:r>
      <w:r>
        <w:rPr/>
        <w:t xml:space="preserve"> – электронная площадка.</w:t>
      </w:r>
    </w:p>
    <w:p>
      <w:pPr>
        <w:pStyle w:val="Style22"/>
        <w:numPr>
          <w:ilvl w:val="0"/>
          <w:numId w:val="0"/>
        </w:numPr>
        <w:ind w:hanging="0" w:left="0"/>
        <w:outlineLvl w:val="0"/>
        <w:rPr/>
      </w:pPr>
      <w:bookmarkStart w:id="1" w:name="_Toc230928826"/>
      <w:r>
        <w:rPr/>
        <w:t>Термины и определения</w:t>
      </w:r>
      <w:bookmarkEnd w:id="1"/>
    </w:p>
    <w:p>
      <w:pPr>
        <w:pStyle w:val="Style23"/>
        <w:ind w:firstLine="567"/>
        <w:rPr/>
      </w:pPr>
      <w:r>
        <w:rPr>
          <w:b/>
          <w:bCs/>
        </w:rPr>
        <w:t>Аккредитация</w:t>
      </w:r>
      <w:r>
        <w:rPr/>
        <w:t xml:space="preserve"> – процедура проверки заявителей (потенциальных поставщиков) на соответствие требованиям в отношении их правоспособности, благонадежности и деловой репутации, с целью включения их в Реестр аккредитации для обеспечения (в этой части) допуска к участию в закупках, проводимых в Группе РусГидро. Аккредитация проводится с целью защиты интересов Заказчика от действий недобросовестных лиц и неблагонадежных поставщиков продукции при проведении закупочных процедур и выборе Победителя и является проявлением коммерческой осмотрительности Заказчика при заключении договора (-ов) по результатам закупки. Порядок проведения данной процедуры представлен в Положении об аккредитации.</w:t>
      </w:r>
    </w:p>
    <w:p>
      <w:pPr>
        <w:pStyle w:val="Style23"/>
        <w:ind w:firstLine="567"/>
        <w:rPr/>
      </w:pPr>
      <w:r>
        <w:rPr>
          <w:b/>
          <w:bCs/>
        </w:rPr>
        <w:t>Актуализация статуса (аккредитации)</w:t>
      </w:r>
      <w:r>
        <w:rPr/>
        <w:t xml:space="preserve"> – процедура повторной проверки определенного (конкретного) ранее аккредитованного Поставщика на предмет соответствия его установленным критериям аккредитации (или наличия оснований, по которым прохождение аккредитации не требуется), с продлением срока действия его аккредитации в случае положительного результата такой проверки; при этом от Поставщика (Участника) не требуется повторное заполнение Заявки на аккредитацию.</w:t>
      </w:r>
    </w:p>
    <w:p>
      <w:pPr>
        <w:pStyle w:val="Style23"/>
        <w:ind w:firstLine="567"/>
        <w:rPr/>
      </w:pPr>
      <w:r>
        <w:rPr>
          <w:b/>
          <w:bCs/>
        </w:rPr>
        <w:t>Альтернативное предложение</w:t>
      </w:r>
      <w:r>
        <w:rPr/>
        <w:t xml:space="preserve"> – предложение Участника, подаваемое в составе заявки дополнительно к основному и содержащее одно или несколько условий, отличающихся от заявленных в основном предложении.</w:t>
      </w:r>
    </w:p>
    <w:p>
      <w:pPr>
        <w:pStyle w:val="Style23"/>
        <w:ind w:firstLine="567"/>
        <w:rPr/>
      </w:pPr>
      <w:r>
        <w:rPr>
          <w:b/>
          <w:bCs/>
        </w:rPr>
        <w:t>Генеральный подрядчик</w:t>
      </w:r>
      <w:r>
        <w:rPr/>
        <w:t xml:space="preserve"> – подрядчик, привлекающий к исполнению своих обязательств по договору с Заказчиком третьих лиц (субподрядчиков). Под генеральным подрядчиком и субподрядчиками понимаются соответственно также генеральный исполнитель и соисполнители, генеральный поставщик и субпоставщики, в зависимости от предмета закупки.</w:t>
      </w:r>
    </w:p>
    <w:p>
      <w:pPr>
        <w:pStyle w:val="Style23"/>
        <w:ind w:firstLine="567"/>
        <w:rPr/>
      </w:pPr>
      <w:r>
        <w:rPr>
          <w:b/>
          <w:bCs/>
        </w:rPr>
        <w:t>Документация о закупке</w:t>
      </w:r>
      <w:r>
        <w:rPr/>
        <w:t xml:space="preserve"> – комплект документов, содержащий всю необходимую согласно законодательству информацию о закупке и условиях ее проведения.</w:t>
      </w:r>
    </w:p>
    <w:p>
      <w:pPr>
        <w:pStyle w:val="Style23"/>
        <w:ind w:firstLine="567"/>
        <w:rPr/>
      </w:pPr>
      <w:r>
        <w:rPr>
          <w:b/>
          <w:bCs/>
        </w:rPr>
        <w:t>Единая информационная система в сфере закупок</w:t>
      </w:r>
      <w:r>
        <w:rPr/>
        <w:t xml:space="preserve"> – совокупность информации, содержащейся в базах данных, информационных технологий и технических средств, обеспечивающих формирование, обработку, хранение такой информации, а также ее предоставление в установленном законодательством порядке с использованием сети Интернет посредствам Официального сайта Единой информационной системы в сфере закупок.</w:t>
      </w:r>
    </w:p>
    <w:p>
      <w:pPr>
        <w:pStyle w:val="Style23"/>
        <w:ind w:firstLine="567"/>
        <w:rPr/>
      </w:pPr>
      <w:r>
        <w:rPr>
          <w:b/>
          <w:bCs/>
        </w:rPr>
        <w:t>Единый реестр субъектов малого и среднего предпринимательства</w:t>
      </w:r>
      <w:r>
        <w:rPr/>
        <w:t xml:space="preserve"> – реестр, являющийся официальным источником сведений о юридических лицах и об индивидуальных предпринимателях, отнесенных по законодательству к таковым, и размещенный в сети Интернет на официальном сайте федерального органа исполнительной власти Российской Федерации, осуществляющего функции по контролю и надзору за соблюдением законодательства о налогах и сборах.</w:t>
      </w:r>
    </w:p>
    <w:p>
      <w:pPr>
        <w:pStyle w:val="Style23"/>
        <w:ind w:firstLine="567"/>
        <w:rPr/>
      </w:pPr>
      <w:r>
        <w:rPr>
          <w:b/>
          <w:bCs/>
        </w:rPr>
        <w:t>Заказчик</w:t>
      </w:r>
      <w:r>
        <w:rPr/>
        <w:t xml:space="preserve"> – юридическое лицо, в интересах и за счет средств, которого осуществляется закупка.</w:t>
      </w:r>
    </w:p>
    <w:p>
      <w:pPr>
        <w:pStyle w:val="Style23"/>
        <w:ind w:firstLine="567"/>
        <w:rPr/>
      </w:pPr>
      <w:r>
        <w:rPr>
          <w:b/>
          <w:bCs/>
        </w:rPr>
        <w:t>Закупка</w:t>
      </w:r>
      <w:r>
        <w:rPr/>
        <w:t xml:space="preserve"> – последовательность действий, осуществляемая в соответствии с требованиями законодательства, Положением о закупке, иными локальными нормативными документами (актами) Заказчика, а для конкурентной закупки (и неконкурентной, проводимой способом состязательный отбор) дополнительно – правилами, установленными Извещением и Документацией о закупке, в результате которой производится выбор поставщика с целью заключения договора на приобретение продукции.</w:t>
      </w:r>
    </w:p>
    <w:p>
      <w:pPr>
        <w:pStyle w:val="Style23"/>
        <w:ind w:firstLine="567"/>
        <w:rPr/>
      </w:pPr>
      <w:r>
        <w:rPr>
          <w:b/>
          <w:bCs/>
        </w:rPr>
        <w:t>Закупочная комиссия</w:t>
      </w:r>
      <w:r>
        <w:rPr/>
        <w:t xml:space="preserve"> – коллегиальный орган, принимающий решения о ходе проведения соответствующей закупки (в том числе по выбору ее победителя).</w:t>
      </w:r>
    </w:p>
    <w:p>
      <w:pPr>
        <w:pStyle w:val="Style23"/>
        <w:ind w:firstLine="567"/>
        <w:rPr/>
      </w:pPr>
      <w:r>
        <w:rPr>
          <w:b/>
          <w:bCs/>
        </w:rPr>
        <w:t>Заявка (заявка на участие в закупке)</w:t>
      </w:r>
      <w:r>
        <w:rPr/>
        <w:t xml:space="preserve"> – документ (комплект документов), содержащий предложения Участника, направленный Организатору с намерением принять участие в процедурах соответствующей закупки и впоследствии заключить договор на поставку продукции на условиях, определенных Заказчиком: для конкурентных закупок – в Извещении и (или) Документацией о закупке.</w:t>
      </w:r>
    </w:p>
    <w:p>
      <w:pPr>
        <w:pStyle w:val="Style23"/>
        <w:ind w:firstLine="567"/>
        <w:rPr/>
      </w:pPr>
      <w:r>
        <w:rPr>
          <w:b/>
          <w:bCs/>
        </w:rPr>
        <w:t>Заявка на аккредитацию</w:t>
      </w:r>
      <w:r>
        <w:rPr/>
        <w:t xml:space="preserve"> – сведения, которые Заявитель предоставляет в установленном Положением об аккредитации порядке для прохождения аккредитации.</w:t>
      </w:r>
    </w:p>
    <w:p>
      <w:pPr>
        <w:pStyle w:val="Style23"/>
        <w:ind w:firstLine="567"/>
        <w:rPr>
          <w:szCs w:val="26"/>
        </w:rPr>
      </w:pPr>
      <w:r>
        <w:rPr>
          <w:b/>
          <w:bCs/>
        </w:rPr>
        <w:t>Извещение о закупке (Извещение)</w:t>
      </w:r>
      <w:r>
        <w:rPr/>
        <w:t xml:space="preserve"> – документ, предназначенный для потенциальных Участников, публикация (размещение) которого означает официальное объявление о начале закупки (информация в объеме, определенном частью 9 статьи 4 Закона 223-ФЗ и Положением о закупке); под данным документом и соответственно его размещением также подразумевается заполнение и создание на Официальном сайте (ЕИС) и (или) ЭП соответствующей страницы на указанных ресурсах с информацией об объявленной закупке.</w:t>
      </w:r>
    </w:p>
    <w:p>
      <w:pPr>
        <w:pStyle w:val="Style23"/>
        <w:ind w:firstLine="567"/>
        <w:rPr/>
      </w:pPr>
      <w:r>
        <w:rPr>
          <w:b/>
          <w:bCs/>
        </w:rPr>
        <w:t>Интеллектуальные системы управления электросетевым хозяйством</w:t>
      </w:r>
      <w:r>
        <w:rPr/>
        <w:t xml:space="preserve"> – системы удаленного мониторинга и диагностики, интеллектуальные системы учета электрической энергии (мощности), автоматизированные системы управления технологическими процессами подстанций, автоматизированные системы технологического управления центров управления сетями.</w:t>
      </w:r>
    </w:p>
    <w:p>
      <w:pPr>
        <w:pStyle w:val="Style23"/>
        <w:ind w:firstLine="567"/>
        <w:rPr/>
      </w:pPr>
      <w:r>
        <w:rPr>
          <w:b/>
          <w:bCs/>
        </w:rPr>
        <w:t>Коллективный участник</w:t>
      </w:r>
      <w:r>
        <w:rPr/>
        <w:t xml:space="preserve"> – объединение юридических и (или) физических лиц, в том числе индивидуальных предпринимателей, выступающих на стороне одного Участника и несущих солидарную ответственность по обязательствам, вытекающим из участия в закупке и дальнейшего заключения и исполнения договора.</w:t>
      </w:r>
    </w:p>
    <w:p>
      <w:pPr>
        <w:pStyle w:val="Style23"/>
        <w:ind w:firstLine="567"/>
        <w:rPr/>
      </w:pPr>
      <w:r>
        <w:rPr>
          <w:b/>
          <w:bCs/>
        </w:rPr>
        <w:t>Лот</w:t>
      </w:r>
      <w:r>
        <w:rPr/>
        <w:t xml:space="preserve"> – продукция, на которую в рамках закупки допускаются подача отдельного предложения и заключение отдельного договора.</w:t>
      </w:r>
    </w:p>
    <w:p>
      <w:pPr>
        <w:pStyle w:val="Style23"/>
        <w:ind w:firstLine="567"/>
        <w:rPr/>
      </w:pPr>
      <w:r>
        <w:rPr>
          <w:b/>
          <w:bCs/>
        </w:rPr>
        <w:t>Мониторинг аккредитованных поставщиков</w:t>
      </w:r>
      <w:r>
        <w:rPr/>
        <w:t xml:space="preserve"> – процедура выборочной повторной проверки любого ранее аккредитованного Поставщика на предмет соответствия его установленным критериям аккредитации (или наличия оснований, по которым прохождение аккредитации не требуется), без продления срока действия его аккредитации в случае положительного результата такой проверки; при этом от Поставщика (Участника) не требуется повторное заполнение Заявки на аккредитацию.</w:t>
      </w:r>
    </w:p>
    <w:p>
      <w:pPr>
        <w:pStyle w:val="Style23"/>
        <w:ind w:firstLine="567"/>
        <w:rPr/>
      </w:pPr>
      <w:r>
        <w:rPr>
          <w:b/>
          <w:bCs/>
        </w:rPr>
        <w:t>Начальная (максимальная) цена договора</w:t>
      </w:r>
      <w:r>
        <w:rPr/>
        <w:t xml:space="preserve"> – предельно допустимая цена договора (лота, единицы продукции), превышение которой исключает возможность заключения договора / недопустимо для заключения договора по итогам проведения закупки.</w:t>
      </w:r>
    </w:p>
    <w:p>
      <w:pPr>
        <w:pStyle w:val="Style23"/>
        <w:ind w:firstLine="567"/>
        <w:rPr/>
      </w:pPr>
      <w:r>
        <w:rPr>
          <w:b/>
          <w:bCs/>
        </w:rPr>
        <w:t>Оператор электронной площадки</w:t>
      </w:r>
      <w:r>
        <w:rPr/>
        <w:t xml:space="preserve"> – юридическое лицо, соответствующее требованиям законодательства, владеющее электронной площадкой и обеспечивающее проведение закупок в электронной форме в соответствии с положениями законодательства.</w:t>
      </w:r>
    </w:p>
    <w:p>
      <w:pPr>
        <w:pStyle w:val="Style23"/>
        <w:ind w:firstLine="567"/>
        <w:rPr/>
      </w:pPr>
      <w:r>
        <w:rPr>
          <w:b/>
          <w:bCs/>
        </w:rPr>
        <w:t>Организатор</w:t>
      </w:r>
      <w:r>
        <w:rPr/>
        <w:t xml:space="preserve"> – Заказчик или действующее по договору с ним юридическое лицо, выступающее Сторонним организатором закупки.</w:t>
      </w:r>
    </w:p>
    <w:p>
      <w:pPr>
        <w:pStyle w:val="Style23"/>
        <w:ind w:firstLine="567"/>
        <w:rPr/>
      </w:pPr>
      <w:r>
        <w:rPr>
          <w:b/>
          <w:bCs/>
        </w:rPr>
        <w:t>Официальное размещение</w:t>
      </w:r>
      <w:r>
        <w:rPr/>
        <w:t xml:space="preserve"> – размещение информации о закупке в ЕИС, на</w:t>
      </w:r>
      <w:r>
        <w:rPr>
          <w:lang w:val="en-US"/>
        </w:rPr>
        <w:t> </w:t>
      </w:r>
      <w:r>
        <w:rPr/>
        <w:t>Официальном сайте (с размещением копий на ЭП). Если окончание срока размещения приходится на нерабочий день согласно законодательству, сведения размещаются в первый рабочий день, следующий за нерабочими днями.</w:t>
      </w:r>
    </w:p>
    <w:p>
      <w:pPr>
        <w:pStyle w:val="Style23"/>
        <w:ind w:firstLine="567"/>
        <w:rPr/>
      </w:pPr>
      <w:r>
        <w:rPr>
          <w:b/>
          <w:bCs/>
        </w:rPr>
        <w:t>Переторжка</w:t>
      </w:r>
      <w:r>
        <w:rPr/>
        <w:t xml:space="preserve"> – опциональный этап закупки, представляющий собой процедуру подачи Участниками дополнительных предложений с целью повысить их предпочтительность для Заказчика.</w:t>
      </w:r>
    </w:p>
    <w:p>
      <w:pPr>
        <w:pStyle w:val="Style23"/>
        <w:ind w:firstLine="567"/>
        <w:rPr>
          <w:szCs w:val="26"/>
        </w:rPr>
      </w:pPr>
      <w:r>
        <w:rPr>
          <w:b/>
          <w:bCs/>
          <w:szCs w:val="26"/>
        </w:rPr>
        <w:t>Победитель</w:t>
      </w:r>
      <w:r>
        <w:rPr>
          <w:szCs w:val="26"/>
        </w:rPr>
        <w:t xml:space="preserve"> – Участник, заявка которого соответствует требованиям Документации о закупке и который предложил лучшие условия исполнения договора на основании критериев оценки в соответствии с Документацией о закупке. В случае признания закупки несостоявшейся Единственный участник такой закупки, с которым Заказчик принял решение заключить договор по результатам закупки, в оговоренных Положением о закупке случаях приобретает обязательства Победителя по заключению договора.</w:t>
      </w:r>
    </w:p>
    <w:p>
      <w:pPr>
        <w:pStyle w:val="Style23"/>
        <w:ind w:firstLine="567"/>
        <w:rPr/>
      </w:pPr>
      <w:r>
        <w:rPr>
          <w:b/>
          <w:bCs/>
        </w:rPr>
        <w:t>Поставщик</w:t>
      </w:r>
      <w:r>
        <w:rPr/>
        <w:t xml:space="preserve"> – любое юридическое или физическое лицо, а также объединение этих лиц, способное на законных основаниях поставить Заказчику требуемую продукцию. Под поставщиком продукции при закупке работ / услуг понимается соответственно подрядчик / исполнитель.</w:t>
      </w:r>
    </w:p>
    <w:p>
      <w:pPr>
        <w:pStyle w:val="Style23"/>
        <w:ind w:firstLine="567"/>
        <w:rPr/>
      </w:pPr>
      <w:r>
        <w:rPr>
          <w:b/>
          <w:bCs/>
        </w:rPr>
        <w:t>Постквалификация</w:t>
      </w:r>
      <w:r>
        <w:rPr/>
        <w:t xml:space="preserve"> – процедура дополнительной проверки Участника перед выбором его Победителем на подтверждения его соответствия квалификационным требованиям, установленным в Документации о закупке.</w:t>
      </w:r>
    </w:p>
    <w:p>
      <w:pPr>
        <w:pStyle w:val="Style23"/>
        <w:ind w:firstLine="567"/>
        <w:rPr/>
      </w:pPr>
      <w:r>
        <w:rPr>
          <w:b/>
          <w:bCs/>
        </w:rPr>
        <w:t>Предмет закупки / предмет договора</w:t>
      </w:r>
      <w:r>
        <w:rPr/>
        <w:t xml:space="preserve"> – конкретная продукция, которую предполагается закупить в объеме и на условиях, определенных Заказчиком.</w:t>
      </w:r>
    </w:p>
    <w:p>
      <w:pPr>
        <w:pStyle w:val="Style23"/>
        <w:ind w:firstLine="567"/>
        <w:rPr/>
      </w:pPr>
      <w:r>
        <w:rPr>
          <w:b/>
          <w:bCs/>
        </w:rPr>
        <w:t>Применение законодательства о национальном режиме</w:t>
      </w:r>
      <w:r>
        <w:rPr/>
        <w:t xml:space="preserve"> – обеспечение (либо необеспечение) происходящему из иностранного государства или группы иностранных государств товару, работе, услуге, соответственно выполняемой, оказываемой иностранным гражданином или иностранным юридическим лицом, равных условий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в соответствии с нормами, установленными законодательством.</w:t>
      </w:r>
    </w:p>
    <w:p>
      <w:pPr>
        <w:pStyle w:val="Style23"/>
        <w:ind w:firstLine="567"/>
        <w:rPr/>
      </w:pPr>
      <w:r>
        <w:rPr>
          <w:b/>
          <w:bCs/>
        </w:rPr>
        <w:t>Программное обеспечение</w:t>
      </w:r>
      <w:r>
        <w:rPr/>
        <w:t xml:space="preserve"> – программное обеспечение, включенное в единый реестр Минцифры России российских программ для электронных вычислительных машин и баз данных, используемое в качестве компонента интеллектуальных систем управления электросетевым хозяйством.</w:t>
      </w:r>
    </w:p>
    <w:p>
      <w:pPr>
        <w:pStyle w:val="Style23"/>
        <w:ind w:firstLine="567"/>
        <w:rPr/>
      </w:pPr>
      <w:r>
        <w:rPr>
          <w:b/>
          <w:bCs/>
        </w:rPr>
        <w:t>Продукция</w:t>
      </w:r>
      <w:r>
        <w:rPr/>
        <w:t xml:space="preserve"> – товары, работы, услуги, приобретаемые Заказчиком на возмездной основе; в том числе в контексте «поставка продукции»: поставка товаров, выполнение работ, оказание услуг.</w:t>
      </w:r>
    </w:p>
    <w:p>
      <w:pPr>
        <w:pStyle w:val="Style23"/>
        <w:ind w:firstLine="567"/>
        <w:rPr/>
      </w:pPr>
      <w:r>
        <w:rPr>
          <w:b/>
          <w:bCs/>
        </w:rPr>
        <w:t>Реестр аккредитации</w:t>
      </w:r>
      <w:r>
        <w:rPr/>
        <w:t xml:space="preserve"> – перечень лиц – Заявителей, подававших Заявки на аккредитацию с указанием в отношении них результатов процедуры аккредитации.</w:t>
      </w:r>
    </w:p>
    <w:p>
      <w:pPr>
        <w:pStyle w:val="Style23"/>
        <w:ind w:firstLine="567"/>
        <w:rPr/>
      </w:pPr>
      <w:r>
        <w:rPr>
          <w:b/>
          <w:bCs/>
        </w:rPr>
        <w:t>Субъект малого и среднего предпринимательства</w:t>
      </w:r>
      <w:r>
        <w:rPr/>
        <w:t xml:space="preserve"> – определяется в соответствии с Законом 209-ФЗ. Все условия и требования данной Документации о закупке, относящиеся к субъектам МСП, распространяются также на физических лиц, не являющихся индивидуальными предпринимателями и применяющих специальный налоговый режим «Налог на профессиональный доход»</w:t>
      </w:r>
      <w:r>
        <w:rPr>
          <w:rStyle w:val="FootnoteReference"/>
        </w:rPr>
        <w:footnoteReference w:id="3"/>
      </w:r>
      <w:r>
        <w:rPr/>
        <w:t>, если иное не установлено в Документации о закупке.</w:t>
      </w:r>
    </w:p>
    <w:p>
      <w:pPr>
        <w:pStyle w:val="Style23"/>
        <w:ind w:firstLine="567"/>
        <w:rPr/>
      </w:pPr>
      <w:r>
        <w:rPr>
          <w:b/>
          <w:bCs/>
        </w:rPr>
        <w:t>Уполномоченное лицо</w:t>
      </w:r>
      <w:r>
        <w:rPr/>
        <w:t xml:space="preserve"> – руководитель организации, действующий на основании устава, или уполномоченное им лицо, действующее на основании доверенности на осуществление действий, </w:t>
      </w:r>
      <w:r>
        <w:rPr>
          <w:rFonts w:eastAsia="Calibri" w:cs="Times New Roman"/>
          <w:shd w:fill="FFFFFF" w:val="clear"/>
        </w:rPr>
        <w:t>в том числе выданной в порядке передоверия,</w:t>
      </w:r>
      <w:r>
        <w:rPr/>
        <w:t xml:space="preserve"> от имени организации, полномочия которых подтверждены соответствующими документами.</w:t>
      </w:r>
    </w:p>
    <w:p>
      <w:pPr>
        <w:pStyle w:val="Style23"/>
        <w:ind w:firstLine="567"/>
        <w:rPr/>
      </w:pPr>
      <w:r>
        <w:rPr>
          <w:b/>
          <w:bCs/>
        </w:rPr>
        <w:t>Участник</w:t>
      </w:r>
      <w:r>
        <w:rPr/>
        <w:t xml:space="preserve"> –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Законом 255-ФЗ),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Законом 255-ФЗ), выразившее заинтересованность в участии в закупке (посредством получения Документации о закупке, направления запроса о разъяснении Документации о закупке, внесения обеспечения заявки или подачи заявки на участие в закупке).</w:t>
      </w:r>
    </w:p>
    <w:p>
      <w:pPr>
        <w:pStyle w:val="Style17"/>
        <w:spacing w:before="0" w:after="0"/>
        <w:rPr/>
      </w:pPr>
      <w:bookmarkStart w:id="2" w:name="_Ref125359988"/>
      <w:bookmarkStart w:id="3" w:name="_Toc230928827"/>
      <w:r>
        <w:rPr/>
        <w:t>Основные сведения о закупке</w:t>
      </w:r>
      <w:bookmarkEnd w:id="2"/>
      <w:bookmarkEnd w:id="3"/>
    </w:p>
    <w:p>
      <w:pPr>
        <w:pStyle w:val="Style18"/>
        <w:spacing w:before="360" w:after="0"/>
        <w:rPr/>
      </w:pPr>
      <w:bookmarkStart w:id="4" w:name="_Toc230928828"/>
      <w:r>
        <w:rPr/>
        <w:t>Статус настоящего раздела</w:t>
      </w:r>
      <w:bookmarkEnd w:id="4"/>
    </w:p>
    <w:p>
      <w:pPr>
        <w:pStyle w:val="Style19"/>
        <w:spacing w:before="120" w:after="0"/>
        <w:rPr/>
      </w:pPr>
      <w:r>
        <w:rPr/>
        <w:t>В настоящем разделе содержатся основные сведения о предмете, способе и иных ключевых условиях проводимой закупки.</w:t>
      </w:r>
    </w:p>
    <w:p>
      <w:pPr>
        <w:pStyle w:val="Style19"/>
        <w:spacing w:before="0" w:after="0"/>
        <w:rPr/>
      </w:pPr>
      <w:r>
        <w:rPr/>
        <w:t xml:space="preserve">Здесь и далее все используемые ссылки относятся к соответствующим пунктам, разделам и подразделам Документации о закупке, если прямо не указано иное; ссылки на приложения относятся к соответствующим приложениям к Документации о закупке, если прямо не указано иное. Ссылки на статьи, пункты и разделы, используемые в </w:t>
      </w:r>
      <w:hyperlink w:anchor="Прил01_ТехТребования" w:tgtFrame="#Прил01_ТехТребования">
        <w:r>
          <w:rPr>
            <w:color w:val="000000"/>
            <w:spacing w:val="0"/>
            <w:u w:val="single"/>
            <w:shd w:fill="auto" w:val="clear"/>
            <w:lang w:val="ru-RU"/>
          </w:rPr>
          <w:t>Технических требованиях (Приложение № 1)</w:t>
        </w:r>
      </w:hyperlink>
      <w:r>
        <w:rPr>
          <w:rStyle w:val="Style6"/>
        </w:rPr>
        <w:t>,</w:t>
      </w:r>
      <w:r>
        <w:rPr/>
        <w:t xml:space="preserve"> в </w:t>
      </w:r>
      <w:hyperlink w:anchor="Прил02_ПроектДоговора" w:tgtFrame="#Прил02_ПроектДоговора">
        <w:r>
          <w:rPr>
            <w:color w:val="000000"/>
            <w:spacing w:val="0"/>
            <w:u w:val="single"/>
            <w:shd w:fill="auto" w:val="clear"/>
            <w:lang w:val="ru-RU"/>
          </w:rPr>
          <w:t>Проекте договора (Приложение № 2)</w:t>
        </w:r>
      </w:hyperlink>
      <w:r>
        <w:rPr/>
        <w:t xml:space="preserve"> и иных приложениях к Документации о закупке, относятся соответственно к статьям, пунктам и разделам этих приложений к Документации о закупке. Все приложения к Документации о закупке являются ее неотъемлемыми частями.</w:t>
      </w:r>
    </w:p>
    <w:p>
      <w:pPr>
        <w:pStyle w:val="Style19"/>
        <w:spacing w:before="0" w:after="0"/>
        <w:rPr/>
      </w:pPr>
      <w:bookmarkStart w:id="5" w:name="_Ref136768031"/>
      <w:r>
        <w:rPr/>
        <w:t>Информация о проводимой закупке, указанная в подразделе </w:t>
      </w:r>
      <w:r>
        <w:rPr/>
        <w:fldChar w:fldCharType="begin"/>
      </w:r>
      <w:r>
        <w:rPr/>
        <w:instrText xml:space="preserve"> REF _Ref125359973 \r \h </w:instrText>
      </w:r>
      <w:r>
        <w:rPr/>
        <w:fldChar w:fldCharType="separate"/>
      </w:r>
      <w:r>
        <w:rPr/>
        <w:t>1.2</w:t>
      </w:r>
      <w:r>
        <w:rPr/>
        <w:fldChar w:fldCharType="end"/>
      </w:r>
      <w:r>
        <w:rPr/>
        <w:t>, в объеме, определенном частью 9 статьи 4 Закона 223-ФЗ, составляет Извещение о закупке.</w:t>
      </w:r>
      <w:bookmarkEnd w:id="5"/>
    </w:p>
    <w:p>
      <w:pPr>
        <w:pStyle w:val="Style18"/>
        <w:spacing w:before="360" w:after="120"/>
        <w:rPr/>
      </w:pPr>
      <w:bookmarkStart w:id="6" w:name="_Ref125359973"/>
      <w:bookmarkStart w:id="7" w:name="_Ref127270076"/>
      <w:bookmarkStart w:id="8" w:name="_Toc230928829"/>
      <w:r>
        <w:rPr/>
        <w:t>Информация о проводимой закупке</w:t>
      </w:r>
      <w:bookmarkEnd w:id="6"/>
      <w:bookmarkEnd w:id="7"/>
      <w:bookmarkEnd w:id="8"/>
    </w:p>
    <w:tbl>
      <w:tblPr>
        <w:tblStyle w:val="1497"/>
        <w:tblW w:w="9978" w:type="dxa"/>
        <w:jc w:val="left"/>
        <w:tblInd w:w="0" w:type="dxa"/>
        <w:tblLayout w:type="fixed"/>
        <w:tblCellMar>
          <w:top w:w="0" w:type="dxa"/>
          <w:left w:w="57" w:type="dxa"/>
          <w:bottom w:w="0" w:type="dxa"/>
          <w:right w:w="57" w:type="dxa"/>
        </w:tblCellMar>
        <w:tblLook w:val="04a0" w:noHBand="0" w:noVBand="1" w:firstColumn="1" w:lastRow="0" w:lastColumn="0" w:firstRow="1"/>
      </w:tblPr>
      <w:tblGrid>
        <w:gridCol w:w="845"/>
        <w:gridCol w:w="3233"/>
        <w:gridCol w:w="5900"/>
      </w:tblGrid>
      <w:tr>
        <w:trPr/>
        <w:tc>
          <w:tcPr>
            <w:tcW w:w="845" w:type="dxa"/>
            <w:tcBorders/>
          </w:tcPr>
          <w:p>
            <w:pPr>
              <w:pStyle w:val="Style23"/>
              <w:keepNext w:val="true"/>
              <w:keepLines w:val="false"/>
              <w:widowControl/>
              <w:spacing w:lineRule="auto" w:line="240" w:before="60" w:after="60"/>
              <w:jc w:val="center"/>
              <w:rPr>
                <w:sz w:val="24"/>
                <w:szCs w:val="24"/>
              </w:rPr>
            </w:pPr>
            <w:r>
              <w:rPr>
                <w:rFonts w:eastAsia="Calibri" w:cs="Arial"/>
                <w:b/>
                <w:kern w:val="0"/>
                <w:sz w:val="24"/>
                <w:szCs w:val="24"/>
                <w:lang w:val="ru-RU" w:eastAsia="en-US" w:bidi="ar-SA"/>
              </w:rPr>
              <w:t>№</w:t>
            </w:r>
            <w:r>
              <w:rPr>
                <w:rFonts w:eastAsia="Calibri" w:cs="Arial"/>
                <w:b/>
                <w:kern w:val="0"/>
                <w:sz w:val="24"/>
                <w:szCs w:val="24"/>
                <w:lang w:val="ru-RU" w:eastAsia="en-US" w:bidi="ar-SA"/>
              </w:rPr>
              <w:br/>
              <w:t>п/п</w:t>
            </w:r>
          </w:p>
        </w:tc>
        <w:tc>
          <w:tcPr>
            <w:tcW w:w="3233" w:type="dxa"/>
            <w:tcBorders/>
          </w:tcPr>
          <w:p>
            <w:pPr>
              <w:pStyle w:val="Style23"/>
              <w:keepNext w:val="true"/>
              <w:keepLines w:val="false"/>
              <w:widowControl/>
              <w:spacing w:lineRule="auto" w:line="240" w:before="60" w:after="60"/>
              <w:jc w:val="center"/>
              <w:rPr>
                <w:sz w:val="24"/>
                <w:szCs w:val="24"/>
              </w:rPr>
            </w:pPr>
            <w:r>
              <w:rPr>
                <w:rFonts w:eastAsia="Calibri" w:cs="Arial"/>
                <w:b/>
                <w:kern w:val="0"/>
                <w:sz w:val="24"/>
                <w:szCs w:val="24"/>
                <w:lang w:val="ru-RU" w:eastAsia="en-US" w:bidi="ar-SA"/>
              </w:rPr>
              <w:t>Наименование пункта</w:t>
            </w:r>
          </w:p>
        </w:tc>
        <w:tc>
          <w:tcPr>
            <w:tcW w:w="5900" w:type="dxa"/>
            <w:tcBorders/>
          </w:tcPr>
          <w:p>
            <w:pPr>
              <w:pStyle w:val="Style23"/>
              <w:keepNext w:val="true"/>
              <w:keepLines w:val="false"/>
              <w:widowControl/>
              <w:spacing w:lineRule="auto" w:line="240" w:before="60" w:after="60"/>
              <w:jc w:val="center"/>
              <w:rPr>
                <w:sz w:val="24"/>
                <w:szCs w:val="24"/>
              </w:rPr>
            </w:pPr>
            <w:r>
              <w:rPr>
                <w:rFonts w:eastAsia="Calibri" w:cs="Arial"/>
                <w:b/>
                <w:kern w:val="0"/>
                <w:sz w:val="24"/>
                <w:szCs w:val="24"/>
                <w:lang w:val="ru-RU" w:eastAsia="en-US" w:bidi="ar-SA"/>
              </w:rPr>
              <w:t>Содержание пункта</w:t>
            </w:r>
          </w:p>
        </w:tc>
      </w:tr>
      <w:tr>
        <w:trPr/>
        <w:tc>
          <w:tcPr>
            <w:tcW w:w="845" w:type="dxa"/>
            <w:tcBorders/>
          </w:tcPr>
          <w:p>
            <w:pPr>
              <w:pStyle w:val="Style19"/>
              <w:widowControl/>
              <w:spacing w:lineRule="auto" w:line="240" w:before="60" w:after="60"/>
              <w:rPr>
                <w:sz w:val="24"/>
                <w:szCs w:val="24"/>
              </w:rPr>
            </w:pPr>
            <w:r>
              <w:rPr>
                <w:sz w:val="24"/>
                <w:szCs w:val="24"/>
              </w:rPr>
            </w:r>
            <w:bookmarkStart w:id="9" w:name="_Ref125360980"/>
            <w:bookmarkStart w:id="10" w:name="_Ref125360980"/>
            <w:bookmarkEnd w:id="10"/>
          </w:p>
        </w:tc>
        <w:tc>
          <w:tcPr>
            <w:tcW w:w="3233" w:type="dxa"/>
            <w:tcBorders/>
          </w:tcPr>
          <w:p>
            <w:pPr>
              <w:pStyle w:val="Style23"/>
              <w:widowControl/>
              <w:spacing w:lineRule="auto" w:line="240" w:before="60" w:after="60"/>
              <w:jc w:val="left"/>
              <w:rPr>
                <w:sz w:val="24"/>
                <w:szCs w:val="24"/>
              </w:rPr>
            </w:pPr>
            <w:r>
              <w:rPr>
                <w:rFonts w:eastAsia="Calibri" w:cs="Arial"/>
                <w:kern w:val="0"/>
                <w:sz w:val="24"/>
                <w:szCs w:val="24"/>
                <w:lang w:val="ru-RU" w:eastAsia="en-US" w:bidi="ar-SA"/>
              </w:rPr>
              <w:t>Способ закупки:</w:t>
            </w:r>
          </w:p>
        </w:tc>
        <w:tc>
          <w:tcPr>
            <w:tcW w:w="5900" w:type="dxa"/>
            <w:tcBorders/>
          </w:tcPr>
          <w:p>
            <w:pPr>
              <w:pStyle w:val="Style23"/>
              <w:widowControl/>
              <w:spacing w:lineRule="auto" w:line="240" w:before="60" w:after="60"/>
              <w:rPr>
                <w:sz w:val="24"/>
                <w:szCs w:val="24"/>
              </w:rPr>
            </w:pPr>
            <w:r>
              <w:rPr>
                <w:rFonts w:eastAsia="Calibri" w:cs="Arial"/>
                <w:kern w:val="0"/>
                <w:sz w:val="24"/>
                <w:szCs w:val="24"/>
                <w:lang w:val="ru-RU" w:eastAsia="en-US" w:bidi="ar-SA"/>
              </w:rPr>
              <w:t>Конкурс в электронной форме.</w:t>
            </w:r>
          </w:p>
        </w:tc>
      </w:tr>
      <w:tr>
        <w:trPr/>
        <w:tc>
          <w:tcPr>
            <w:tcW w:w="845" w:type="dxa"/>
            <w:tcBorders/>
          </w:tcPr>
          <w:p>
            <w:pPr>
              <w:pStyle w:val="Style19"/>
              <w:widowControl/>
              <w:spacing w:lineRule="auto" w:line="240" w:before="60" w:after="60"/>
              <w:rPr>
                <w:sz w:val="24"/>
                <w:szCs w:val="24"/>
              </w:rPr>
            </w:pPr>
            <w:r>
              <w:rPr>
                <w:sz w:val="24"/>
                <w:szCs w:val="24"/>
              </w:rPr>
            </w:r>
            <w:bookmarkStart w:id="11" w:name="_Ref125360996"/>
            <w:bookmarkStart w:id="12" w:name="_Ref125360996"/>
            <w:bookmarkEnd w:id="12"/>
          </w:p>
        </w:tc>
        <w:tc>
          <w:tcPr>
            <w:tcW w:w="3233" w:type="dxa"/>
            <w:tcBorders/>
          </w:tcPr>
          <w:p>
            <w:pPr>
              <w:pStyle w:val="Style23"/>
              <w:widowControl/>
              <w:spacing w:lineRule="auto" w:line="240" w:before="60" w:after="60"/>
              <w:jc w:val="left"/>
              <w:rPr>
                <w:sz w:val="24"/>
                <w:szCs w:val="24"/>
              </w:rPr>
            </w:pPr>
            <w:r>
              <w:rPr>
                <w:rFonts w:eastAsia="Calibri" w:cs="Arial"/>
                <w:kern w:val="0"/>
                <w:sz w:val="24"/>
                <w:szCs w:val="24"/>
                <w:lang w:val="ru-RU" w:eastAsia="en-US" w:bidi="ar-SA"/>
              </w:rPr>
              <w:t>Предмет Договора</w:t>
              <w:br/>
              <w:t>(в том числе номер лота):</w:t>
            </w:r>
          </w:p>
        </w:tc>
        <w:tc>
          <w:tcPr>
            <w:tcW w:w="5900" w:type="dxa"/>
            <w:tcBorders/>
          </w:tcPr>
          <w:p>
            <w:pPr>
              <w:pStyle w:val="Style23"/>
              <w:widowControl/>
              <w:spacing w:lineRule="auto" w:line="240" w:before="60" w:after="60"/>
              <w:rPr>
                <w:rFonts w:ascii="Times New Roman" w:hAnsi="Times New Roman" w:cs="Times New Roman"/>
                <w:color w:val="000000" w:themeColor="text1"/>
                <w:sz w:val="24"/>
                <w:szCs w:val="24"/>
              </w:rPr>
            </w:pPr>
            <w:r>
              <w:rPr>
                <w:rFonts w:eastAsia="Times New Roman" w:cs="Times New Roman"/>
                <w:color w:val="000000" w:themeColor="text1"/>
                <w:kern w:val="0"/>
                <w:sz w:val="24"/>
                <w:szCs w:val="24"/>
                <w:lang w:val="ru-RU" w:eastAsia="en-US" w:bidi="ar-SA"/>
              </w:rPr>
              <w:t>Лот №</w:t>
            </w:r>
            <w:r>
              <w:rPr>
                <w:rFonts w:eastAsia="Times New Roman" w:cs="Times New Roman"/>
                <w:color w:val="000000" w:themeColor="text1"/>
                <w:kern w:val="0"/>
                <w:sz w:val="24"/>
                <w:szCs w:val="24"/>
                <w:highlight w:val="white"/>
                <w:lang w:val="ru-RU" w:eastAsia="en-US" w:bidi="ar-SA"/>
              </w:rPr>
              <w:t>41013016-ЭКСП БЕЗ-2027-ДГК</w:t>
            </w:r>
            <w:r>
              <w:rPr>
                <w:rFonts w:eastAsia="Times New Roman" w:cs="Times New Roman"/>
                <w:color w:val="000000" w:themeColor="text1"/>
                <w:kern w:val="0"/>
                <w:sz w:val="24"/>
                <w:szCs w:val="24"/>
                <w:lang w:val="ru-RU" w:eastAsia="en-US" w:bidi="ar-SA"/>
              </w:rPr>
              <w:t>:</w:t>
            </w:r>
          </w:p>
          <w:p>
            <w:pPr>
              <w:pStyle w:val="Style23"/>
              <w:widowControl/>
              <w:spacing w:lineRule="auto" w:line="240" w:before="60" w:after="60"/>
              <w:rPr>
                <w:rFonts w:ascii="Times New Roman" w:hAnsi="Times New Roman" w:cs="Times New Roman"/>
                <w:color w:val="000000" w:themeColor="text1"/>
                <w:sz w:val="24"/>
                <w:szCs w:val="24"/>
              </w:rPr>
            </w:pPr>
            <w:r>
              <w:rPr>
                <w:rFonts w:eastAsia="Times New Roman" w:cs="Times New Roman"/>
                <w:color w:val="000000" w:themeColor="text1"/>
                <w:kern w:val="0"/>
                <w:sz w:val="24"/>
                <w:szCs w:val="24"/>
                <w:highlight w:val="white"/>
                <w:lang w:val="ru-RU" w:eastAsia="en-US" w:bidi="ar-SA"/>
              </w:rPr>
              <w:t>ОКПД2 80.10.12.000 Оказание услуг охраны не категорированных объектов в г.Артем, г.Владивосток, г.Партизанск, не подлежащих государственным видам охраны</w:t>
            </w:r>
          </w:p>
        </w:tc>
      </w:tr>
      <w:tr>
        <w:trPr/>
        <w:tc>
          <w:tcPr>
            <w:tcW w:w="845" w:type="dxa"/>
            <w:tcBorders/>
          </w:tcPr>
          <w:p>
            <w:pPr>
              <w:pStyle w:val="Style19"/>
              <w:widowControl/>
              <w:spacing w:lineRule="auto" w:line="240" w:before="60" w:after="60"/>
              <w:rPr>
                <w:sz w:val="24"/>
                <w:szCs w:val="24"/>
              </w:rPr>
            </w:pPr>
            <w:r>
              <w:rPr>
                <w:sz w:val="24"/>
                <w:szCs w:val="24"/>
              </w:rPr>
            </w:r>
            <w:bookmarkStart w:id="13" w:name="_Ref135729276"/>
            <w:bookmarkStart w:id="14" w:name="_Ref135729276"/>
            <w:bookmarkEnd w:id="14"/>
          </w:p>
        </w:tc>
        <w:tc>
          <w:tcPr>
            <w:tcW w:w="3233" w:type="dxa"/>
            <w:tcBorders/>
          </w:tcPr>
          <w:p>
            <w:pPr>
              <w:pStyle w:val="Style23"/>
              <w:widowControl/>
              <w:spacing w:lineRule="auto" w:line="240" w:before="60" w:after="60"/>
              <w:jc w:val="left"/>
              <w:rPr>
                <w:sz w:val="24"/>
                <w:szCs w:val="24"/>
              </w:rPr>
            </w:pPr>
            <w:r>
              <w:rPr>
                <w:rFonts w:eastAsia="Calibri" w:cs="Arial"/>
                <w:kern w:val="0"/>
                <w:sz w:val="24"/>
                <w:szCs w:val="24"/>
                <w:lang w:val="ru-RU" w:eastAsia="en-US" w:bidi="ar-SA"/>
              </w:rPr>
              <w:t>Описание</w:t>
              <w:br/>
              <w:t>предмета закупки:</w:t>
            </w:r>
          </w:p>
        </w:tc>
        <w:tc>
          <w:tcPr>
            <w:tcW w:w="5900" w:type="dxa"/>
            <w:tcBorders/>
          </w:tcPr>
          <w:p>
            <w:pPr>
              <w:pStyle w:val="Style23"/>
              <w:widowControl/>
              <w:spacing w:lineRule="auto" w:line="240" w:before="60" w:after="60"/>
              <w:rPr>
                <w:sz w:val="24"/>
                <w:szCs w:val="24"/>
              </w:rPr>
            </w:pPr>
            <w:r>
              <w:rPr>
                <w:rFonts w:eastAsia="Calibri" w:cs="Arial"/>
                <w:kern w:val="0"/>
                <w:sz w:val="24"/>
                <w:szCs w:val="24"/>
                <w:lang w:val="ru-RU" w:eastAsia="en-US" w:bidi="ar-SA"/>
              </w:rPr>
              <w:t>Подробное описание предмета закупки, в том числе функциональные характеристики (потребительские свойства), технические и качественные характеристики, а также эксплуатационные характеристики (при необходимости) предмета закупки, информация о количестве поставляемого товара, объема выполняемых работ, оказываемых услуг, а также место поставки товара, выполнения работы, оказания услуги, содержится в </w:t>
            </w:r>
            <w:hyperlink w:anchor="Прил01_ТехТребования" w:tgtFrame="#Прил01_ТехТребования">
              <w:r>
                <w:rPr>
                  <w:rFonts w:eastAsia="Calibri" w:cs="Arial"/>
                  <w:color w:val="000000"/>
                  <w:spacing w:val="0"/>
                  <w:kern w:val="0"/>
                  <w:sz w:val="24"/>
                  <w:szCs w:val="24"/>
                  <w:u w:val="single"/>
                  <w:shd w:fill="auto" w:val="clear"/>
                  <w:lang w:val="ru-RU" w:eastAsia="en-US" w:bidi="ar-SA"/>
                </w:rPr>
                <w:t>Технических требованиях (Приложении № 1)</w:t>
              </w:r>
            </w:hyperlink>
            <w:r>
              <w:rPr>
                <w:rFonts w:eastAsia="Calibri" w:cs="Arial"/>
                <w:kern w:val="0"/>
                <w:sz w:val="24"/>
                <w:szCs w:val="24"/>
                <w:lang w:val="ru-RU" w:eastAsia="en-US" w:bidi="ar-SA"/>
              </w:rPr>
              <w:t>, в части требований, обусловленных законодательством о национальном режиме дополнительно в Структуре НМЦ (в составе Коммерческого предложения (форма 3) (</w:t>
            </w:r>
            <w:hyperlink w:anchor="Прил04_ФормыЗаявки" w:tgtFrame="#Прил04_ФормыЗаявки">
              <w:r>
                <w:rPr>
                  <w:rFonts w:eastAsia="Calibri" w:cs="Arial"/>
                  <w:color w:val="000000"/>
                  <w:spacing w:val="0"/>
                  <w:kern w:val="0"/>
                  <w:sz w:val="24"/>
                  <w:szCs w:val="24"/>
                  <w:u w:val="single"/>
                  <w:shd w:fill="auto" w:val="clear"/>
                  <w:lang w:val="ru-RU" w:eastAsia="en-US" w:bidi="ar-SA"/>
                </w:rPr>
                <w:t>Приложение № 4</w:t>
              </w:r>
            </w:hyperlink>
            <w:r>
              <w:rPr>
                <w:rFonts w:eastAsia="Calibri" w:cs="Arial"/>
                <w:kern w:val="0"/>
                <w:sz w:val="24"/>
                <w:szCs w:val="24"/>
                <w:lang w:val="ru-RU" w:eastAsia="en-US" w:bidi="ar-SA"/>
              </w:rPr>
              <w:t>)).</w:t>
            </w:r>
          </w:p>
        </w:tc>
      </w:tr>
      <w:tr>
        <w:trPr/>
        <w:tc>
          <w:tcPr>
            <w:tcW w:w="845" w:type="dxa"/>
            <w:tcBorders/>
          </w:tcPr>
          <w:p>
            <w:pPr>
              <w:pStyle w:val="Style19"/>
              <w:widowControl/>
              <w:spacing w:lineRule="auto" w:line="240" w:before="60" w:after="60"/>
              <w:rPr>
                <w:sz w:val="24"/>
                <w:szCs w:val="24"/>
              </w:rPr>
            </w:pPr>
            <w:r>
              <w:rPr>
                <w:sz w:val="24"/>
                <w:szCs w:val="24"/>
              </w:rPr>
            </w:r>
            <w:bookmarkStart w:id="15" w:name="_Ref125367124"/>
            <w:bookmarkStart w:id="16" w:name="_Ref125367124"/>
            <w:bookmarkEnd w:id="16"/>
          </w:p>
        </w:tc>
        <w:tc>
          <w:tcPr>
            <w:tcW w:w="3233" w:type="dxa"/>
            <w:tcBorders/>
          </w:tcPr>
          <w:p>
            <w:pPr>
              <w:pStyle w:val="Style23"/>
              <w:widowControl/>
              <w:spacing w:lineRule="auto" w:line="240" w:before="60" w:after="60"/>
              <w:jc w:val="left"/>
              <w:rPr>
                <w:sz w:val="24"/>
                <w:szCs w:val="24"/>
              </w:rPr>
            </w:pPr>
            <w:r>
              <w:rPr>
                <w:rFonts w:eastAsia="Calibri" w:cs="Arial"/>
                <w:kern w:val="0"/>
                <w:sz w:val="24"/>
                <w:szCs w:val="24"/>
                <w:lang w:val="ru-RU" w:eastAsia="en-US" w:bidi="ar-SA"/>
              </w:rPr>
              <w:t>Многолотовая закупка:</w:t>
            </w:r>
          </w:p>
        </w:tc>
        <w:tc>
          <w:tcPr>
            <w:tcW w:w="5900" w:type="dxa"/>
            <w:tcBorders/>
          </w:tcPr>
          <w:p>
            <w:pPr>
              <w:pStyle w:val="Style23"/>
              <w:widowControl/>
              <w:spacing w:lineRule="auto" w:line="240" w:before="60" w:after="60"/>
              <w:rPr>
                <w:sz w:val="24"/>
                <w:szCs w:val="24"/>
              </w:rPr>
            </w:pPr>
            <w:r>
              <w:rPr>
                <w:rFonts w:eastAsia="Calibri" w:cs="Arial"/>
                <w:kern w:val="0"/>
                <w:sz w:val="24"/>
                <w:szCs w:val="24"/>
                <w:lang w:val="ru-RU" w:eastAsia="en-US" w:bidi="ar-SA"/>
              </w:rPr>
              <w:t>Нет.</w:t>
            </w:r>
          </w:p>
        </w:tc>
      </w:tr>
      <w:tr>
        <w:trPr/>
        <w:tc>
          <w:tcPr>
            <w:tcW w:w="845" w:type="dxa"/>
            <w:tcBorders/>
          </w:tcPr>
          <w:p>
            <w:pPr>
              <w:pStyle w:val="Style19"/>
              <w:widowControl/>
              <w:spacing w:lineRule="auto" w:line="240" w:before="60" w:after="60"/>
              <w:rPr>
                <w:sz w:val="24"/>
                <w:szCs w:val="24"/>
              </w:rPr>
            </w:pPr>
            <w:r>
              <w:rPr>
                <w:sz w:val="24"/>
                <w:szCs w:val="24"/>
              </w:rPr>
            </w:r>
            <w:bookmarkStart w:id="17" w:name="_Ref125360764"/>
            <w:bookmarkStart w:id="18" w:name="_Ref125360764"/>
            <w:bookmarkEnd w:id="18"/>
          </w:p>
        </w:tc>
        <w:tc>
          <w:tcPr>
            <w:tcW w:w="3233" w:type="dxa"/>
            <w:tcBorders/>
          </w:tcPr>
          <w:p>
            <w:pPr>
              <w:pStyle w:val="Style23"/>
              <w:widowControl/>
              <w:spacing w:lineRule="auto" w:line="240" w:before="60" w:after="60"/>
              <w:jc w:val="left"/>
              <w:rPr>
                <w:sz w:val="24"/>
                <w:szCs w:val="24"/>
              </w:rPr>
            </w:pPr>
            <w:r>
              <w:rPr>
                <w:rFonts w:eastAsia="Calibri" w:cs="Arial"/>
                <w:kern w:val="0"/>
                <w:sz w:val="24"/>
                <w:szCs w:val="24"/>
                <w:lang w:val="ru-RU" w:eastAsia="en-US" w:bidi="ar-SA"/>
              </w:rPr>
              <w:t>Наименование и адрес ЭП, на которой проводится закупка:</w:t>
            </w:r>
          </w:p>
        </w:tc>
        <w:tc>
          <w:tcPr>
            <w:tcW w:w="5900" w:type="dxa"/>
            <w:tcBorders/>
          </w:tcPr>
          <w:p>
            <w:pPr>
              <w:pStyle w:val="Style23"/>
              <w:widowControl/>
              <w:spacing w:lineRule="auto" w:line="240" w:before="60" w:after="60"/>
              <w:jc w:val="left"/>
              <w:rPr>
                <w:color w:val="0C33F5"/>
                <w:sz w:val="24"/>
                <w:szCs w:val="24"/>
                <w:highlight w:val="white"/>
              </w:rPr>
            </w:pPr>
            <w:r>
              <w:rPr>
                <w:rFonts w:eastAsia="Calibri" w:cs="Arial"/>
                <w:i w:val="false"/>
                <w:iCs w:val="false"/>
                <w:kern w:val="0"/>
                <w:sz w:val="24"/>
                <w:szCs w:val="24"/>
                <w:highlight w:val="white"/>
                <w:lang w:val="ru-RU" w:eastAsia="en-US" w:bidi="ar-SA"/>
              </w:rPr>
              <w:t xml:space="preserve">Электронная площадка: </w:t>
            </w:r>
            <w:hyperlink r:id="rId3" w:tgtFrame="https://rushydro.roseltorg.ru/">
              <w:r>
                <w:rPr>
                  <w:rStyle w:val="Hyperlink"/>
                  <w:rFonts w:eastAsia="Calibri" w:cs="Arial"/>
                  <w:i w:val="false"/>
                  <w:iCs w:val="false"/>
                  <w:color w:val="0C33F5"/>
                  <w:kern w:val="0"/>
                  <w:sz w:val="24"/>
                  <w:szCs w:val="24"/>
                  <w:highlight w:val="white"/>
                  <w:lang w:val="ru-RU" w:eastAsia="en-US" w:bidi="ar-SA"/>
                </w:rPr>
                <w:t>https://rushydro.roseltorg.ru</w:t>
              </w:r>
            </w:hyperlink>
          </w:p>
          <w:p>
            <w:pPr>
              <w:pStyle w:val="Style23"/>
              <w:widowControl/>
              <w:spacing w:lineRule="auto" w:line="240" w:before="60" w:after="60"/>
              <w:rPr>
                <w:bCs w:val="false"/>
                <w:i w:val="false"/>
                <w:i w:val="false"/>
                <w:sz w:val="24"/>
                <w:szCs w:val="24"/>
                <w:highlight w:val="white"/>
              </w:rPr>
            </w:pPr>
            <w:r>
              <w:rPr>
                <w:rFonts w:eastAsia="Calibri" w:cs="Arial"/>
                <w:i w:val="false"/>
                <w:iCs w:val="false"/>
                <w:kern w:val="0"/>
                <w:sz w:val="24"/>
                <w:szCs w:val="24"/>
                <w:highlight w:val="white"/>
                <w:lang w:val="ru-RU" w:eastAsia="en-US" w:bidi="ar-SA"/>
              </w:rPr>
              <w:t xml:space="preserve">Регламент ЭП, в соответствии с которым проводится закупка, размещен по адресу: </w:t>
            </w:r>
            <w:r>
              <w:rPr>
                <w:rStyle w:val="Style3"/>
                <w:rFonts w:eastAsia="Calibri" w:cs="Arial"/>
                <w:i w:val="false"/>
                <w:iCs w:val="false"/>
                <w:kern w:val="0"/>
                <w:sz w:val="24"/>
                <w:szCs w:val="24"/>
                <w:highlight w:val="white"/>
                <w:lang w:eastAsia="en-US" w:bidi="ar-SA"/>
              </w:rPr>
              <w:t xml:space="preserve"> www.roseltorg.ru/personal/rushydro#additional_info</w:t>
            </w:r>
          </w:p>
        </w:tc>
      </w:tr>
      <w:tr>
        <w:trPr/>
        <w:tc>
          <w:tcPr>
            <w:tcW w:w="845" w:type="dxa"/>
            <w:tcBorders/>
          </w:tcPr>
          <w:p>
            <w:pPr>
              <w:pStyle w:val="Style19"/>
              <w:widowControl/>
              <w:spacing w:lineRule="auto" w:line="240" w:before="60" w:after="60"/>
              <w:rPr>
                <w:sz w:val="24"/>
                <w:szCs w:val="24"/>
              </w:rPr>
            </w:pPr>
            <w:r>
              <w:rPr>
                <w:sz w:val="24"/>
                <w:szCs w:val="24"/>
              </w:rPr>
            </w:r>
            <w:bookmarkStart w:id="19" w:name="_Ref125360970"/>
            <w:bookmarkStart w:id="20" w:name="_Ref125360970"/>
            <w:bookmarkEnd w:id="20"/>
          </w:p>
        </w:tc>
        <w:tc>
          <w:tcPr>
            <w:tcW w:w="3233" w:type="dxa"/>
            <w:tcBorders/>
          </w:tcPr>
          <w:p>
            <w:pPr>
              <w:pStyle w:val="Style23"/>
              <w:widowControl/>
              <w:spacing w:lineRule="auto" w:line="240" w:before="60" w:after="60"/>
              <w:jc w:val="left"/>
              <w:rPr>
                <w:sz w:val="24"/>
                <w:szCs w:val="24"/>
              </w:rPr>
            </w:pPr>
            <w:r>
              <w:rPr>
                <w:rFonts w:eastAsia="Calibri" w:cs="Arial"/>
                <w:kern w:val="0"/>
                <w:sz w:val="24"/>
                <w:szCs w:val="24"/>
                <w:lang w:val="ru-RU" w:eastAsia="en-US" w:bidi="ar-SA"/>
              </w:rPr>
              <w:t>Участники:</w:t>
            </w:r>
          </w:p>
        </w:tc>
        <w:tc>
          <w:tcPr>
            <w:tcW w:w="5900" w:type="dxa"/>
            <w:tcBorders/>
          </w:tcPr>
          <w:p>
            <w:pPr>
              <w:pStyle w:val="Style23"/>
              <w:widowControl/>
              <w:spacing w:lineRule="auto" w:line="240" w:before="60" w:after="60"/>
              <w:rPr>
                <w:sz w:val="24"/>
                <w:szCs w:val="24"/>
              </w:rPr>
            </w:pPr>
            <w:r>
              <w:rPr>
                <w:rFonts w:eastAsia="Calibri" w:cs="Arial"/>
                <w:kern w:val="0"/>
                <w:sz w:val="24"/>
                <w:szCs w:val="24"/>
                <w:lang w:val="ru-RU" w:eastAsia="en-US" w:bidi="ar-SA"/>
              </w:rPr>
              <w:t>Участвовать в закупке могут любые лица, заинтересованные в предмете закупки.</w:t>
            </w:r>
          </w:p>
        </w:tc>
      </w:tr>
      <w:tr>
        <w:trPr/>
        <w:tc>
          <w:tcPr>
            <w:tcW w:w="845" w:type="dxa"/>
            <w:tcBorders/>
          </w:tcPr>
          <w:p>
            <w:pPr>
              <w:pStyle w:val="Style19"/>
              <w:widowControl/>
              <w:spacing w:lineRule="auto" w:line="240" w:before="60" w:after="60"/>
              <w:rPr>
                <w:sz w:val="24"/>
                <w:szCs w:val="24"/>
              </w:rPr>
            </w:pPr>
            <w:r>
              <w:rPr>
                <w:sz w:val="24"/>
                <w:szCs w:val="24"/>
              </w:rPr>
            </w:r>
            <w:bookmarkStart w:id="21" w:name="_Ref125360988"/>
            <w:bookmarkStart w:id="22" w:name="_Ref125360988"/>
            <w:bookmarkEnd w:id="22"/>
          </w:p>
        </w:tc>
        <w:tc>
          <w:tcPr>
            <w:tcW w:w="3233" w:type="dxa"/>
            <w:tcBorders/>
          </w:tcPr>
          <w:p>
            <w:pPr>
              <w:pStyle w:val="Style23"/>
              <w:widowControl/>
              <w:spacing w:lineRule="auto" w:line="240" w:before="60" w:after="60"/>
              <w:jc w:val="left"/>
              <w:rPr>
                <w:sz w:val="24"/>
                <w:szCs w:val="24"/>
              </w:rPr>
            </w:pPr>
            <w:r>
              <w:rPr>
                <w:rFonts w:eastAsia="Calibri" w:cs="Arial"/>
                <w:kern w:val="0"/>
                <w:sz w:val="24"/>
                <w:szCs w:val="24"/>
                <w:lang w:val="ru-RU" w:eastAsia="en-US" w:bidi="ar-SA"/>
              </w:rPr>
              <w:t>Заказчик:</w:t>
            </w:r>
          </w:p>
        </w:tc>
        <w:tc>
          <w:tcPr>
            <w:tcW w:w="5900" w:type="dxa"/>
            <w:tcBorders/>
          </w:tcPr>
          <w:p>
            <w:pPr>
              <w:pStyle w:val="Normal"/>
              <w:widowControl w:val="false"/>
              <w:spacing w:lineRule="auto" w:line="240" w:beforeAutospacing="0" w:before="0" w:afterAutospacing="0" w:after="0"/>
              <w:jc w:val="both"/>
              <w:rPr>
                <w:rFonts w:ascii="Times New Roman" w:hAnsi="Times New Roman" w:cs="Times New Roman"/>
                <w:b w:val="false"/>
                <w:bCs w:val="false"/>
                <w:i w:val="false"/>
                <w:i w:val="false"/>
                <w:iCs w:val="false"/>
                <w:sz w:val="24"/>
                <w:szCs w:val="24"/>
              </w:rPr>
            </w:pPr>
            <w:r>
              <w:rPr>
                <w:rFonts w:eastAsia="Times New Roman" w:cs="Times New Roman"/>
                <w:b w:val="false"/>
                <w:bCs w:val="false"/>
                <w:i w:val="false"/>
                <w:iCs w:val="false"/>
                <w:kern w:val="0"/>
                <w:sz w:val="24"/>
                <w:szCs w:val="24"/>
                <w:lang w:val="ru-RU" w:eastAsia="en-US" w:bidi="ar-SA"/>
              </w:rPr>
              <w:t>Акционерное общество «Дальневосточная генерирующая компания» (далее - АО «ДГК»)</w:t>
            </w:r>
          </w:p>
          <w:p>
            <w:pPr>
              <w:pStyle w:val="Normal"/>
              <w:widowControl w:val="false"/>
              <w:spacing w:lineRule="auto" w:line="240" w:beforeAutospacing="0" w:before="0" w:afterAutospacing="0" w:after="0"/>
              <w:jc w:val="both"/>
              <w:rPr>
                <w:rFonts w:ascii="Times New Roman" w:hAnsi="Times New Roman" w:cs="Times New Roman"/>
                <w:b w:val="false"/>
                <w:bCs w:val="false"/>
                <w:i w:val="false"/>
                <w:i w:val="false"/>
                <w:iCs w:val="false"/>
                <w:sz w:val="24"/>
                <w:szCs w:val="24"/>
              </w:rPr>
            </w:pPr>
            <w:r>
              <w:rPr>
                <w:rFonts w:eastAsia="Times New Roman" w:cs="Times New Roman"/>
                <w:b w:val="false"/>
                <w:bCs w:val="false"/>
                <w:i w:val="false"/>
                <w:iCs w:val="false"/>
                <w:kern w:val="0"/>
                <w:sz w:val="24"/>
                <w:szCs w:val="24"/>
                <w:lang w:val="ru-RU" w:eastAsia="en-US" w:bidi="ar-SA"/>
              </w:rPr>
              <w:t>Место нахождения: 680000, г. Хабаровск, ул. Фрунзе, д. 49</w:t>
            </w:r>
          </w:p>
          <w:p>
            <w:pPr>
              <w:pStyle w:val="Normal"/>
              <w:widowControl w:val="false"/>
              <w:spacing w:lineRule="auto" w:line="240" w:beforeAutospacing="0" w:before="0" w:afterAutospacing="0" w:after="0"/>
              <w:jc w:val="both"/>
              <w:rPr>
                <w:rFonts w:ascii="Times New Roman" w:hAnsi="Times New Roman" w:cs="Times New Roman"/>
                <w:b w:val="false"/>
                <w:bCs w:val="false"/>
                <w:i w:val="false"/>
                <w:i w:val="false"/>
                <w:iCs w:val="false"/>
                <w:sz w:val="24"/>
                <w:szCs w:val="24"/>
              </w:rPr>
            </w:pPr>
            <w:r>
              <w:rPr>
                <w:rFonts w:eastAsia="Times New Roman" w:cs="Times New Roman"/>
                <w:b w:val="false"/>
                <w:bCs w:val="false"/>
                <w:i w:val="false"/>
                <w:iCs w:val="false"/>
                <w:kern w:val="0"/>
                <w:sz w:val="24"/>
                <w:szCs w:val="24"/>
                <w:lang w:val="ru-RU" w:eastAsia="en-US" w:bidi="ar-SA"/>
              </w:rPr>
              <w:t>Почтовый адрес: 680000, г. Хабаровск, ул. Фрунзе, д. 49</w:t>
            </w:r>
          </w:p>
          <w:p>
            <w:pPr>
              <w:pStyle w:val="Normal"/>
              <w:widowControl w:val="false"/>
              <w:spacing w:lineRule="auto" w:line="240" w:beforeAutospacing="0" w:before="0" w:afterAutospacing="0" w:after="0"/>
              <w:jc w:val="both"/>
              <w:rPr>
                <w:rFonts w:ascii="Times New Roman" w:hAnsi="Times New Roman" w:cs="Times New Roman"/>
                <w:b w:val="false"/>
                <w:bCs w:val="false"/>
                <w:i w:val="false"/>
                <w:i w:val="false"/>
                <w:iCs w:val="false"/>
                <w:sz w:val="24"/>
                <w:szCs w:val="24"/>
              </w:rPr>
            </w:pPr>
            <w:r>
              <w:rPr>
                <w:rFonts w:eastAsia="Times New Roman" w:cs="Times New Roman"/>
                <w:b w:val="false"/>
                <w:bCs w:val="false"/>
                <w:i w:val="false"/>
                <w:iCs w:val="false"/>
                <w:kern w:val="0"/>
                <w:sz w:val="24"/>
                <w:szCs w:val="24"/>
                <w:lang w:val="ru-RU" w:eastAsia="en-US" w:bidi="ar-SA"/>
              </w:rPr>
              <w:t xml:space="preserve">Адрес электронной почты: </w:t>
            </w:r>
            <w:hyperlink r:id="rId4" w:tgtFrame="mailto:dgk@dgk.ru">
              <w:r>
                <w:rPr>
                  <w:rStyle w:val="Hyperlink"/>
                  <w:rFonts w:eastAsia="Times New Roman" w:cs="Times New Roman"/>
                  <w:b w:val="false"/>
                  <w:bCs w:val="false"/>
                  <w:i w:val="false"/>
                  <w:iCs w:val="false"/>
                  <w:color w:val="0C33F5"/>
                  <w:kern w:val="0"/>
                  <w:sz w:val="24"/>
                  <w:szCs w:val="24"/>
                  <w:lang w:val="en-US" w:eastAsia="en-US" w:bidi="ar-SA"/>
                </w:rPr>
                <w:t>dgk</w:t>
              </w:r>
              <w:r>
                <w:rPr>
                  <w:rStyle w:val="Hyperlink"/>
                  <w:rFonts w:eastAsia="Times New Roman" w:cs="Times New Roman"/>
                  <w:b w:val="false"/>
                  <w:bCs w:val="false"/>
                  <w:i w:val="false"/>
                  <w:iCs w:val="false"/>
                  <w:color w:val="0C33F5"/>
                  <w:kern w:val="0"/>
                  <w:sz w:val="24"/>
                  <w:szCs w:val="24"/>
                  <w:lang w:val="ru-RU" w:eastAsia="en-US" w:bidi="ar-SA"/>
                </w:rPr>
                <w:t>@</w:t>
              </w:r>
              <w:r>
                <w:rPr>
                  <w:rStyle w:val="Hyperlink"/>
                  <w:rFonts w:eastAsia="Times New Roman" w:cs="Times New Roman"/>
                  <w:b w:val="false"/>
                  <w:bCs w:val="false"/>
                  <w:i w:val="false"/>
                  <w:iCs w:val="false"/>
                  <w:color w:val="0C33F5"/>
                  <w:kern w:val="0"/>
                  <w:sz w:val="24"/>
                  <w:szCs w:val="24"/>
                  <w:lang w:val="en-US" w:eastAsia="en-US" w:bidi="ar-SA"/>
                </w:rPr>
                <w:t>dgk</w:t>
              </w:r>
              <w:r>
                <w:rPr>
                  <w:rStyle w:val="Hyperlink"/>
                  <w:rFonts w:eastAsia="Times New Roman" w:cs="Times New Roman"/>
                  <w:b w:val="false"/>
                  <w:bCs w:val="false"/>
                  <w:i w:val="false"/>
                  <w:iCs w:val="false"/>
                  <w:color w:val="0C33F5"/>
                  <w:kern w:val="0"/>
                  <w:sz w:val="24"/>
                  <w:szCs w:val="24"/>
                  <w:lang w:val="ru-RU" w:eastAsia="en-US" w:bidi="ar-SA"/>
                </w:rPr>
                <w:t>.</w:t>
              </w:r>
              <w:r>
                <w:rPr>
                  <w:rStyle w:val="Hyperlink"/>
                  <w:rFonts w:eastAsia="Times New Roman" w:cs="Times New Roman"/>
                  <w:b w:val="false"/>
                  <w:bCs w:val="false"/>
                  <w:i w:val="false"/>
                  <w:iCs w:val="false"/>
                  <w:color w:val="0C33F5"/>
                  <w:kern w:val="0"/>
                  <w:sz w:val="24"/>
                  <w:szCs w:val="24"/>
                  <w:lang w:val="en-US" w:eastAsia="en-US" w:bidi="ar-SA"/>
                </w:rPr>
                <w:t>ru</w:t>
              </w:r>
            </w:hyperlink>
          </w:p>
          <w:p>
            <w:pPr>
              <w:pStyle w:val="Normal"/>
              <w:widowControl w:val="false"/>
              <w:spacing w:lineRule="auto" w:line="240" w:beforeAutospacing="0" w:before="0" w:afterAutospacing="0" w:after="0"/>
              <w:jc w:val="both"/>
              <w:rPr>
                <w:rFonts w:ascii="Times New Roman" w:hAnsi="Times New Roman" w:cs="Times New Roman"/>
                <w:b w:val="false"/>
                <w:bCs w:val="false"/>
                <w:i w:val="false"/>
                <w:i w:val="false"/>
                <w:iCs w:val="false"/>
                <w:sz w:val="24"/>
                <w:szCs w:val="24"/>
              </w:rPr>
            </w:pPr>
            <w:r>
              <w:rPr>
                <w:rFonts w:eastAsia="Times New Roman" w:cs="Times New Roman"/>
                <w:b w:val="false"/>
                <w:bCs w:val="false"/>
                <w:i w:val="false"/>
                <w:iCs w:val="false"/>
                <w:kern w:val="0"/>
                <w:sz w:val="24"/>
                <w:szCs w:val="24"/>
                <w:lang w:val="ru-RU" w:eastAsia="en-US" w:bidi="ar-SA"/>
              </w:rPr>
              <w:t>Контактный телефон: +7(4212) 26-42-30</w:t>
            </w:r>
          </w:p>
          <w:p>
            <w:pPr>
              <w:pStyle w:val="Normal"/>
              <w:widowControl w:val="false"/>
              <w:spacing w:lineRule="auto" w:line="240" w:before="60" w:after="60"/>
              <w:ind w:hanging="0" w:right="26"/>
              <w:jc w:val="both"/>
              <w:rPr/>
            </w:pPr>
            <w:r>
              <w:rPr>
                <w:rFonts w:eastAsia="Times New Roman" w:cs="Times New Roman"/>
                <w:b w:val="false"/>
                <w:bCs w:val="false"/>
                <w:i w:val="false"/>
                <w:iCs w:val="false"/>
                <w:kern w:val="0"/>
                <w:sz w:val="24"/>
                <w:szCs w:val="24"/>
                <w:highlight w:val="white"/>
                <w:u w:val="single"/>
                <w:lang w:val="ru-RU" w:eastAsia="en-US" w:bidi="ar-SA"/>
              </w:rPr>
              <w:t>По вопросам к Техническим требованиям и заключения Договора обращаться к з</w:t>
            </w:r>
            <w:r>
              <w:rPr>
                <w:rStyle w:val="Hyperlink"/>
                <w:rFonts w:eastAsia="Times New Roman" w:cs="Times New Roman"/>
                <w:b w:val="false"/>
                <w:bCs w:val="false"/>
                <w:i w:val="false"/>
                <w:iCs w:val="false"/>
                <w:color w:val="auto"/>
                <w:kern w:val="0"/>
                <w:sz w:val="24"/>
                <w:szCs w:val="24"/>
                <w:highlight w:val="white"/>
                <w:u w:val="single"/>
                <w:lang w:val="en-US" w:eastAsia="ru-RU" w:bidi="ar-SA"/>
              </w:rPr>
              <w:t>аместителю начальника управления безопасности АО «ДГК» Рыжову Дмитрию Владимировичу. тел. 84232629555 (доб. 54953)</w:t>
            </w:r>
          </w:p>
        </w:tc>
      </w:tr>
      <w:tr>
        <w:trPr/>
        <w:tc>
          <w:tcPr>
            <w:tcW w:w="845" w:type="dxa"/>
            <w:tcBorders/>
          </w:tcPr>
          <w:p>
            <w:pPr>
              <w:pStyle w:val="Style19"/>
              <w:widowControl/>
              <w:spacing w:lineRule="auto" w:line="240" w:before="60" w:after="60"/>
              <w:rPr>
                <w:sz w:val="24"/>
                <w:szCs w:val="24"/>
              </w:rPr>
            </w:pPr>
            <w:r>
              <w:rPr>
                <w:sz w:val="24"/>
                <w:szCs w:val="24"/>
              </w:rPr>
            </w:r>
            <w:bookmarkStart w:id="23" w:name="_Ref125360954"/>
            <w:bookmarkStart w:id="24" w:name="_Ref125360954"/>
            <w:bookmarkEnd w:id="24"/>
          </w:p>
        </w:tc>
        <w:tc>
          <w:tcPr>
            <w:tcW w:w="3233" w:type="dxa"/>
            <w:tcBorders/>
          </w:tcPr>
          <w:p>
            <w:pPr>
              <w:pStyle w:val="Style23"/>
              <w:widowControl/>
              <w:spacing w:lineRule="auto" w:line="240" w:before="60" w:after="60"/>
              <w:jc w:val="left"/>
              <w:rPr>
                <w:sz w:val="24"/>
                <w:szCs w:val="24"/>
              </w:rPr>
            </w:pPr>
            <w:r>
              <w:rPr>
                <w:rFonts w:eastAsia="Calibri" w:cs="Arial"/>
                <w:kern w:val="0"/>
                <w:sz w:val="24"/>
                <w:szCs w:val="24"/>
                <w:lang w:val="ru-RU" w:eastAsia="en-US" w:bidi="ar-SA"/>
              </w:rPr>
              <w:t>Организатор:</w:t>
            </w:r>
          </w:p>
        </w:tc>
        <w:tc>
          <w:tcPr>
            <w:tcW w:w="5900" w:type="dxa"/>
            <w:tcBorders/>
          </w:tcPr>
          <w:p>
            <w:pPr>
              <w:pStyle w:val="Normal"/>
              <w:widowControl w:val="false"/>
              <w:spacing w:lineRule="auto" w:line="240" w:beforeAutospacing="0" w:before="0" w:afterAutospacing="0" w:after="0"/>
              <w:jc w:val="both"/>
              <w:rPr>
                <w:sz w:val="24"/>
                <w:szCs w:val="24"/>
              </w:rPr>
            </w:pPr>
            <w:r>
              <w:rPr>
                <w:rFonts w:eastAsia="Calibri" w:cs="Arial"/>
                <w:kern w:val="0"/>
                <w:sz w:val="24"/>
                <w:szCs w:val="24"/>
                <w:lang w:val="ru-RU" w:eastAsia="en-US" w:bidi="ar-SA"/>
              </w:rPr>
              <w:t>Акционерное общество «Дальневосточная генерирующая компания» (далее - АО «ДГК»)</w:t>
            </w:r>
          </w:p>
          <w:p>
            <w:pPr>
              <w:pStyle w:val="Normal"/>
              <w:widowControl w:val="false"/>
              <w:spacing w:lineRule="auto" w:line="240" w:beforeAutospacing="0" w:before="0" w:afterAutospacing="0" w:after="0"/>
              <w:jc w:val="both"/>
              <w:rPr>
                <w:sz w:val="24"/>
                <w:szCs w:val="24"/>
              </w:rPr>
            </w:pPr>
            <w:r>
              <w:rPr>
                <w:rFonts w:eastAsia="Calibri" w:cs="Arial"/>
                <w:kern w:val="0"/>
                <w:sz w:val="24"/>
                <w:szCs w:val="24"/>
                <w:lang w:val="ru-RU" w:eastAsia="en-US" w:bidi="ar-SA"/>
              </w:rPr>
              <w:t>Место нахождения: 680000, г. Хабаровск, ул. Фрунзе, д. 49</w:t>
            </w:r>
          </w:p>
          <w:p>
            <w:pPr>
              <w:pStyle w:val="Normal"/>
              <w:widowControl w:val="false"/>
              <w:spacing w:lineRule="auto" w:line="240" w:beforeAutospacing="0" w:before="0" w:afterAutospacing="0" w:after="0"/>
              <w:jc w:val="both"/>
              <w:rPr>
                <w:sz w:val="24"/>
                <w:szCs w:val="24"/>
              </w:rPr>
            </w:pPr>
            <w:r>
              <w:rPr>
                <w:rFonts w:eastAsia="Calibri" w:cs="Arial"/>
                <w:kern w:val="0"/>
                <w:sz w:val="24"/>
                <w:szCs w:val="24"/>
                <w:lang w:val="ru-RU" w:eastAsia="en-US" w:bidi="ar-SA"/>
              </w:rPr>
              <w:t>Почтовый адрес: 680000, г. Хабаровск, ул. Фрунзе, д. 49</w:t>
            </w:r>
          </w:p>
          <w:p>
            <w:pPr>
              <w:pStyle w:val="Tableheader"/>
              <w:suppressAutoHyphens w:val="true"/>
              <w:spacing w:beforeAutospacing="0" w:before="0" w:afterAutospacing="0" w:after="0"/>
              <w:rPr>
                <w:b w:val="false"/>
                <w:sz w:val="24"/>
                <w:szCs w:val="24"/>
              </w:rPr>
            </w:pPr>
            <w:r>
              <w:rPr>
                <w:b w:val="false"/>
                <w:kern w:val="0"/>
                <w:sz w:val="24"/>
                <w:szCs w:val="24"/>
              </w:rPr>
              <w:t>Контактный телефон: +7(4212) 26-42-30</w:t>
            </w:r>
          </w:p>
          <w:p>
            <w:pPr>
              <w:pStyle w:val="Tableheader"/>
              <w:suppressAutoHyphens w:val="true"/>
              <w:spacing w:beforeAutospacing="0" w:before="0" w:afterAutospacing="0" w:after="0"/>
              <w:rPr>
                <w:b w:val="false"/>
                <w:bCs w:val="false"/>
                <w:color w:val="0C33F5"/>
                <w:sz w:val="24"/>
                <w:szCs w:val="24"/>
              </w:rPr>
            </w:pPr>
            <w:r>
              <w:rPr>
                <w:b w:val="false"/>
                <w:bCs w:val="false"/>
                <w:kern w:val="0"/>
                <w:sz w:val="24"/>
                <w:szCs w:val="24"/>
              </w:rPr>
              <w:t xml:space="preserve">Адрес электронной почты: </w:t>
            </w:r>
            <w:r>
              <w:rPr>
                <w:b w:val="false"/>
                <w:bCs w:val="false"/>
                <w:color w:val="0C33F5"/>
                <w:kern w:val="0"/>
                <w:sz w:val="24"/>
                <w:szCs w:val="24"/>
              </w:rPr>
              <w:t>lutfullina-ee@dgk.ru</w:t>
            </w:r>
          </w:p>
        </w:tc>
      </w:tr>
      <w:tr>
        <w:trPr/>
        <w:tc>
          <w:tcPr>
            <w:tcW w:w="845" w:type="dxa"/>
            <w:tcBorders/>
          </w:tcPr>
          <w:p>
            <w:pPr>
              <w:pStyle w:val="Style19"/>
              <w:widowControl/>
              <w:spacing w:lineRule="auto" w:line="240" w:before="60" w:after="60"/>
              <w:rPr>
                <w:sz w:val="24"/>
                <w:szCs w:val="24"/>
              </w:rPr>
            </w:pPr>
            <w:r>
              <w:rPr>
                <w:sz w:val="24"/>
                <w:szCs w:val="24"/>
              </w:rPr>
            </w:r>
            <w:bookmarkStart w:id="25" w:name="_Ref125361238"/>
            <w:bookmarkStart w:id="26" w:name="_Ref125361238"/>
            <w:bookmarkEnd w:id="26"/>
          </w:p>
        </w:tc>
        <w:tc>
          <w:tcPr>
            <w:tcW w:w="3233" w:type="dxa"/>
            <w:tcBorders/>
          </w:tcPr>
          <w:p>
            <w:pPr>
              <w:pStyle w:val="Style23"/>
              <w:widowControl/>
              <w:spacing w:lineRule="auto" w:line="240" w:before="60" w:after="60"/>
              <w:jc w:val="left"/>
              <w:rPr>
                <w:sz w:val="24"/>
                <w:szCs w:val="24"/>
              </w:rPr>
            </w:pPr>
            <w:r>
              <w:rPr>
                <w:rFonts w:eastAsia="Calibri" w:cs="Arial"/>
                <w:kern w:val="0"/>
                <w:sz w:val="24"/>
                <w:szCs w:val="24"/>
                <w:lang w:val="ru-RU" w:eastAsia="en-US" w:bidi="ar-SA"/>
              </w:rPr>
              <w:t>Представитель Организатора:</w:t>
            </w:r>
          </w:p>
        </w:tc>
        <w:tc>
          <w:tcPr>
            <w:tcW w:w="5900" w:type="dxa"/>
            <w:tcBorders/>
          </w:tcPr>
          <w:p>
            <w:pPr>
              <w:pStyle w:val="Tableheader"/>
              <w:suppressAutoHyphens w:val="true"/>
              <w:spacing w:beforeAutospacing="0" w:before="0" w:afterAutospacing="0" w:after="0"/>
              <w:rPr>
                <w:rFonts w:ascii="Times New Roman" w:hAnsi="Times New Roman" w:cs="Times New Roman"/>
                <w:i w:val="false"/>
                <w:i w:val="false"/>
                <w:sz w:val="24"/>
                <w:szCs w:val="24"/>
                <w:shd w:fill="auto" w:val="clear"/>
              </w:rPr>
            </w:pPr>
            <w:r>
              <w:rPr>
                <w:rFonts w:eastAsia="Times New Roman" w:cs="Times New Roman"/>
                <w:b w:val="false"/>
                <w:kern w:val="0"/>
                <w:sz w:val="24"/>
                <w:szCs w:val="24"/>
              </w:rPr>
              <w:t xml:space="preserve">По вопросам организации и проведения закупочной процедуры: ведущий специалист отдела проведения закупок работ и услуг АО «ДГК» Лутфуллина Екатерина Евгеньевна, контактный телефон (4212) 26-42-30, адрес электронной почты: </w:t>
            </w:r>
            <w:r>
              <w:rPr>
                <w:b w:val="false"/>
                <w:bCs w:val="false"/>
                <w:color w:val="0C33F5"/>
                <w:kern w:val="0"/>
                <w:sz w:val="24"/>
                <w:szCs w:val="24"/>
              </w:rPr>
              <w:t>lutfullina-ee@dgk.ru</w:t>
            </w:r>
          </w:p>
        </w:tc>
      </w:tr>
      <w:tr>
        <w:trPr/>
        <w:tc>
          <w:tcPr>
            <w:tcW w:w="845" w:type="dxa"/>
            <w:tcBorders/>
          </w:tcPr>
          <w:p>
            <w:pPr>
              <w:pStyle w:val="Style19"/>
              <w:widowControl/>
              <w:spacing w:lineRule="auto" w:line="240" w:before="60" w:after="60"/>
              <w:rPr>
                <w:sz w:val="24"/>
                <w:szCs w:val="24"/>
              </w:rPr>
            </w:pPr>
            <w:r>
              <w:rPr>
                <w:sz w:val="24"/>
                <w:szCs w:val="24"/>
              </w:rPr>
            </w:r>
            <w:bookmarkStart w:id="27" w:name="_Ref125362694"/>
            <w:bookmarkStart w:id="28" w:name="_Ref125362694"/>
            <w:bookmarkEnd w:id="28"/>
          </w:p>
        </w:tc>
        <w:tc>
          <w:tcPr>
            <w:tcW w:w="3233" w:type="dxa"/>
            <w:tcBorders/>
          </w:tcPr>
          <w:p>
            <w:pPr>
              <w:pStyle w:val="Style23"/>
              <w:widowControl/>
              <w:spacing w:lineRule="auto" w:line="240" w:before="60" w:after="60"/>
              <w:jc w:val="left"/>
              <w:rPr>
                <w:sz w:val="24"/>
                <w:szCs w:val="24"/>
              </w:rPr>
            </w:pPr>
            <w:r>
              <w:rPr>
                <w:rFonts w:eastAsia="Calibri" w:cs="Arial"/>
                <w:kern w:val="0"/>
                <w:sz w:val="24"/>
                <w:szCs w:val="24"/>
                <w:lang w:val="ru-RU" w:eastAsia="en-US" w:bidi="ar-SA"/>
              </w:rPr>
              <w:t>Официальный источник размещения информации о проведении закупки / срок, место и порядок предоставления Документации о закупке:</w:t>
            </w:r>
          </w:p>
        </w:tc>
        <w:tc>
          <w:tcPr>
            <w:tcW w:w="5900" w:type="dxa"/>
            <w:tcBorders/>
          </w:tcPr>
          <w:p>
            <w:pPr>
              <w:pStyle w:val="Style23"/>
              <w:widowControl/>
              <w:spacing w:lineRule="auto" w:line="240" w:before="60" w:after="60"/>
              <w:rPr>
                <w:sz w:val="24"/>
                <w:szCs w:val="24"/>
              </w:rPr>
            </w:pPr>
            <w:r>
              <w:rPr>
                <w:rFonts w:eastAsia="Calibri" w:cs="Arial"/>
                <w:kern w:val="0"/>
                <w:sz w:val="24"/>
                <w:szCs w:val="24"/>
                <w:lang w:val="ru-RU" w:eastAsia="en-US" w:bidi="ar-SA"/>
              </w:rPr>
              <w:t>Документация о закупке официально размещена в ЕИС и доступна на Официальном сайте для ознакомления любым заинтересованным лицам. Официальным источником информации о ходе проведения закупки является Официальный сайт (zakupki.gov.ru).</w:t>
            </w:r>
          </w:p>
          <w:p>
            <w:pPr>
              <w:pStyle w:val="Style23"/>
              <w:widowControl/>
              <w:spacing w:lineRule="auto" w:line="240" w:before="60" w:after="60"/>
              <w:rPr>
                <w:sz w:val="24"/>
                <w:szCs w:val="24"/>
              </w:rPr>
            </w:pPr>
            <w:r>
              <w:rPr>
                <w:rFonts w:eastAsia="Calibri" w:cs="Arial"/>
                <w:kern w:val="0"/>
                <w:sz w:val="24"/>
                <w:szCs w:val="24"/>
                <w:lang w:val="ru-RU" w:eastAsia="en-US" w:bidi="ar-SA"/>
              </w:rPr>
              <w:t>Документация о закупке доступна (без взимания платы) в форме электронного документа в любое время с момента официального размещения Извещения. Предоставление Документации о закупке на бумажном носителе не предусмотрено.</w:t>
            </w:r>
          </w:p>
        </w:tc>
      </w:tr>
      <w:tr>
        <w:trPr/>
        <w:tc>
          <w:tcPr>
            <w:tcW w:w="845" w:type="dxa"/>
            <w:tcBorders/>
          </w:tcPr>
          <w:p>
            <w:pPr>
              <w:pStyle w:val="Style19"/>
              <w:widowControl/>
              <w:spacing w:lineRule="auto" w:line="240" w:before="60" w:after="60"/>
              <w:rPr>
                <w:sz w:val="24"/>
                <w:szCs w:val="24"/>
              </w:rPr>
            </w:pPr>
            <w:r>
              <w:rPr>
                <w:sz w:val="24"/>
                <w:szCs w:val="24"/>
              </w:rPr>
            </w:r>
            <w:bookmarkStart w:id="29" w:name="_Ref125360963"/>
            <w:bookmarkStart w:id="30" w:name="_Ref125360963"/>
            <w:bookmarkEnd w:id="30"/>
          </w:p>
        </w:tc>
        <w:tc>
          <w:tcPr>
            <w:tcW w:w="3233" w:type="dxa"/>
            <w:tcBorders/>
          </w:tcPr>
          <w:p>
            <w:pPr>
              <w:pStyle w:val="Style23"/>
              <w:widowControl/>
              <w:spacing w:lineRule="auto" w:line="240" w:before="60" w:after="60"/>
              <w:jc w:val="left"/>
              <w:rPr>
                <w:sz w:val="24"/>
                <w:szCs w:val="24"/>
              </w:rPr>
            </w:pPr>
            <w:r>
              <w:rPr>
                <w:rFonts w:eastAsia="Calibri" w:cs="Arial"/>
                <w:kern w:val="0"/>
                <w:sz w:val="24"/>
                <w:szCs w:val="24"/>
                <w:lang w:val="ru-RU" w:eastAsia="en-US" w:bidi="ar-SA"/>
              </w:rPr>
              <w:t>Дата размещения Извещения о проведении закупки:</w:t>
            </w:r>
          </w:p>
        </w:tc>
        <w:tc>
          <w:tcPr>
            <w:tcW w:w="5900" w:type="dxa"/>
            <w:tcBorders/>
          </w:tcPr>
          <w:p>
            <w:pPr>
              <w:pStyle w:val="Style23"/>
              <w:widowControl/>
              <w:spacing w:lineRule="auto" w:line="240" w:before="60" w:after="60"/>
              <w:rPr>
                <w:sz w:val="24"/>
                <w:szCs w:val="24"/>
              </w:rPr>
            </w:pPr>
            <w:r>
              <w:rPr>
                <w:rFonts w:eastAsia="Calibri" w:cs="Arial"/>
                <w:kern w:val="0"/>
                <w:sz w:val="24"/>
                <w:szCs w:val="24"/>
                <w:lang w:val="ru-RU" w:eastAsia="en-US" w:bidi="ar-SA"/>
              </w:rPr>
              <w:t>«1</w:t>
            </w:r>
            <w:r>
              <w:rPr>
                <w:rFonts w:eastAsia="Calibri" w:cs="Arial"/>
                <w:kern w:val="0"/>
                <w:sz w:val="24"/>
                <w:szCs w:val="24"/>
                <w:lang w:val="ru-RU" w:eastAsia="en-US" w:bidi="ar-SA"/>
              </w:rPr>
              <w:t>6</w:t>
            </w:r>
            <w:r>
              <w:rPr>
                <w:rFonts w:eastAsia="Calibri" w:cs="Arial"/>
                <w:kern w:val="0"/>
                <w:sz w:val="24"/>
                <w:szCs w:val="24"/>
                <w:lang w:val="ru-RU" w:eastAsia="en-US" w:bidi="ar-SA"/>
              </w:rPr>
              <w:t>» октября 2026 г.</w:t>
            </w:r>
          </w:p>
        </w:tc>
      </w:tr>
      <w:tr>
        <w:trPr/>
        <w:tc>
          <w:tcPr>
            <w:tcW w:w="845" w:type="dxa"/>
            <w:tcBorders/>
          </w:tcPr>
          <w:p>
            <w:pPr>
              <w:pStyle w:val="Style19"/>
              <w:widowControl/>
              <w:spacing w:lineRule="auto" w:line="240" w:before="60" w:after="60"/>
              <w:rPr>
                <w:sz w:val="24"/>
                <w:szCs w:val="24"/>
              </w:rPr>
            </w:pPr>
            <w:r>
              <w:rPr>
                <w:sz w:val="24"/>
                <w:szCs w:val="24"/>
              </w:rPr>
            </w:r>
            <w:bookmarkStart w:id="31" w:name="_Ref125362837"/>
            <w:bookmarkStart w:id="32" w:name="_Ref125362837"/>
            <w:bookmarkEnd w:id="32"/>
          </w:p>
        </w:tc>
        <w:tc>
          <w:tcPr>
            <w:tcW w:w="3233" w:type="dxa"/>
            <w:tcBorders/>
          </w:tcPr>
          <w:p>
            <w:pPr>
              <w:pStyle w:val="Style23"/>
              <w:widowControl/>
              <w:spacing w:lineRule="auto" w:line="240" w:before="60" w:after="60"/>
              <w:jc w:val="left"/>
              <w:rPr>
                <w:sz w:val="24"/>
                <w:szCs w:val="24"/>
              </w:rPr>
            </w:pPr>
            <w:r>
              <w:rPr>
                <w:rFonts w:eastAsia="Calibri" w:cs="Arial"/>
                <w:kern w:val="0"/>
                <w:sz w:val="24"/>
                <w:szCs w:val="24"/>
                <w:lang w:val="ru-RU" w:eastAsia="en-US" w:bidi="ar-SA"/>
              </w:rPr>
              <w:t>Начальная (максимальная) цена договора (цена лота):</w:t>
            </w:r>
          </w:p>
        </w:tc>
        <w:tc>
          <w:tcPr>
            <w:tcW w:w="5900" w:type="dxa"/>
            <w:tcBorders/>
          </w:tcPr>
          <w:p>
            <w:pPr>
              <w:pStyle w:val="Style23"/>
              <w:widowControl/>
              <w:spacing w:lineRule="auto" w:line="240" w:before="60" w:after="60"/>
              <w:rPr>
                <w:sz w:val="24"/>
                <w:szCs w:val="24"/>
              </w:rPr>
            </w:pPr>
            <w:r>
              <w:rPr>
                <w:rFonts w:eastAsia="Calibri" w:cs="Arial"/>
                <w:kern w:val="0"/>
                <w:sz w:val="24"/>
                <w:szCs w:val="24"/>
                <w:lang w:val="ru-RU" w:eastAsia="en-US" w:bidi="ar-SA"/>
              </w:rPr>
              <w:t>НМЦ составляет 32 040 165,23 руб., без учета НДС.</w:t>
            </w:r>
          </w:p>
          <w:p>
            <w:pPr>
              <w:pStyle w:val="Style23"/>
              <w:widowControl/>
              <w:spacing w:lineRule="auto" w:line="240" w:before="60" w:after="60"/>
              <w:rPr>
                <w:sz w:val="24"/>
                <w:szCs w:val="24"/>
              </w:rPr>
            </w:pPr>
            <w:r>
              <w:rPr>
                <w:rFonts w:eastAsia="Calibri" w:cs="Arial"/>
                <w:kern w:val="0"/>
                <w:sz w:val="24"/>
                <w:szCs w:val="24"/>
                <w:lang w:val="ru-RU" w:eastAsia="en-US" w:bidi="ar-SA"/>
              </w:rPr>
              <w:t xml:space="preserve">Обоснование НМЦ представлено в </w:t>
            </w:r>
            <w:hyperlink w:anchor="Прил09_ОбоснованиеНМЦ" w:tgtFrame="#Прил09_ОбоснованиеНМЦ">
              <w:r>
                <w:rPr>
                  <w:rFonts w:eastAsia="Calibri" w:cs="Arial"/>
                  <w:color w:val="000000"/>
                  <w:spacing w:val="0"/>
                  <w:kern w:val="0"/>
                  <w:sz w:val="24"/>
                  <w:szCs w:val="24"/>
                  <w:u w:val="single"/>
                  <w:shd w:fill="auto" w:val="clear"/>
                  <w:lang w:val="ru-RU" w:eastAsia="en-US" w:bidi="ar-SA"/>
                </w:rPr>
                <w:t>Приложении № 9</w:t>
              </w:r>
            </w:hyperlink>
            <w:r>
              <w:rPr>
                <w:rFonts w:eastAsia="Calibri" w:cs="Arial"/>
                <w:kern w:val="0"/>
                <w:sz w:val="24"/>
                <w:szCs w:val="24"/>
                <w:lang w:val="ru-RU" w:eastAsia="en-US" w:bidi="ar-SA"/>
              </w:rPr>
              <w:t>.</w:t>
            </w:r>
          </w:p>
        </w:tc>
      </w:tr>
      <w:tr>
        <w:trPr/>
        <w:tc>
          <w:tcPr>
            <w:tcW w:w="845" w:type="dxa"/>
            <w:tcBorders/>
          </w:tcPr>
          <w:p>
            <w:pPr>
              <w:pStyle w:val="Style19"/>
              <w:widowControl/>
              <w:spacing w:lineRule="auto" w:line="240" w:before="60" w:after="60"/>
              <w:rPr>
                <w:sz w:val="24"/>
                <w:szCs w:val="24"/>
              </w:rPr>
            </w:pPr>
            <w:r>
              <w:rPr>
                <w:sz w:val="24"/>
                <w:szCs w:val="24"/>
              </w:rPr>
            </w:r>
            <w:bookmarkStart w:id="33" w:name="_Ref125363076"/>
            <w:bookmarkStart w:id="34" w:name="_Ref125363076"/>
            <w:bookmarkEnd w:id="34"/>
          </w:p>
        </w:tc>
        <w:tc>
          <w:tcPr>
            <w:tcW w:w="3233" w:type="dxa"/>
            <w:tcBorders/>
          </w:tcPr>
          <w:p>
            <w:pPr>
              <w:pStyle w:val="Style23"/>
              <w:widowControl/>
              <w:spacing w:lineRule="auto" w:line="240" w:before="60" w:after="60"/>
              <w:jc w:val="left"/>
              <w:rPr>
                <w:sz w:val="24"/>
                <w:szCs w:val="24"/>
              </w:rPr>
            </w:pPr>
            <w:r>
              <w:rPr>
                <w:rFonts w:eastAsia="Calibri" w:cs="Arial"/>
                <w:kern w:val="0"/>
                <w:sz w:val="24"/>
                <w:szCs w:val="24"/>
                <w:lang w:val="ru-RU" w:eastAsia="en-US" w:bidi="ar-SA"/>
              </w:rPr>
              <w:t>Обеспечение заявки на участие в закупке:</w:t>
            </w:r>
          </w:p>
        </w:tc>
        <w:tc>
          <w:tcPr>
            <w:tcW w:w="5900" w:type="dxa"/>
            <w:tcBorders/>
          </w:tcPr>
          <w:p>
            <w:pPr>
              <w:pStyle w:val="Style23"/>
              <w:widowControl/>
              <w:spacing w:lineRule="auto" w:line="240" w:before="60" w:after="60"/>
              <w:rPr>
                <w:sz w:val="24"/>
                <w:szCs w:val="24"/>
                <w:highlight w:val="none"/>
              </w:rPr>
            </w:pPr>
            <w:r>
              <w:rPr>
                <w:rFonts w:eastAsia="Calibri" w:cs="Arial"/>
                <w:kern w:val="0"/>
                <w:sz w:val="24"/>
                <w:szCs w:val="24"/>
                <w:lang w:val="ru-RU" w:eastAsia="en-US" w:bidi="ar-SA"/>
              </w:rPr>
              <w:t>Требуется.</w:t>
            </w:r>
          </w:p>
          <w:p>
            <w:pPr>
              <w:pStyle w:val="Style23"/>
              <w:widowControl/>
              <w:spacing w:lineRule="auto" w:line="240" w:before="60" w:after="60"/>
              <w:rPr>
                <w:sz w:val="24"/>
                <w:szCs w:val="24"/>
              </w:rPr>
            </w:pPr>
            <w:r>
              <w:rPr>
                <w:rFonts w:eastAsia="Calibri" w:cs="Arial"/>
                <w:kern w:val="0"/>
                <w:sz w:val="24"/>
                <w:szCs w:val="24"/>
                <w:lang w:val="ru-RU" w:eastAsia="en-US" w:bidi="ar-SA"/>
              </w:rPr>
              <w:t xml:space="preserve">Размер обеспечения заявок: 566 040,33 </w:t>
            </w:r>
            <w:r>
              <w:rPr>
                <w:rFonts w:eastAsia="Calibri" w:cs="Arial"/>
                <w:iCs/>
                <w:kern w:val="0"/>
                <w:sz w:val="24"/>
                <w:szCs w:val="24"/>
                <w:lang w:val="ru-RU" w:eastAsia="en-US" w:bidi="ar-SA"/>
              </w:rPr>
              <w:t>(пятьсот шестьдесят шесть тысяч сорок)</w:t>
            </w:r>
            <w:r>
              <w:rPr>
                <w:rFonts w:eastAsia="Calibri" w:cs="Arial"/>
                <w:kern w:val="0"/>
                <w:sz w:val="24"/>
                <w:szCs w:val="24"/>
                <w:lang w:val="ru-RU" w:eastAsia="en-US" w:bidi="ar-SA"/>
              </w:rPr>
              <w:t xml:space="preserve"> рублей 33 копейки, НДС не облагается.</w:t>
            </w:r>
          </w:p>
          <w:p>
            <w:pPr>
              <w:pStyle w:val="Style23"/>
              <w:widowControl/>
              <w:spacing w:lineRule="auto" w:line="240" w:before="60" w:after="60"/>
              <w:rPr>
                <w:sz w:val="24"/>
                <w:szCs w:val="24"/>
              </w:rPr>
            </w:pPr>
            <w:r>
              <w:rPr>
                <w:rFonts w:eastAsia="Calibri" w:cs="Arial"/>
                <w:kern w:val="0"/>
                <w:sz w:val="24"/>
                <w:szCs w:val="24"/>
                <w:lang w:val="ru-RU" w:eastAsia="en-US" w:bidi="ar-SA"/>
              </w:rPr>
              <w:t>Допустимые формы обеспечения заявок:</w:t>
            </w:r>
          </w:p>
          <w:p>
            <w:pPr>
              <w:pStyle w:val="Style23"/>
              <w:widowControl/>
              <w:numPr>
                <w:ilvl w:val="0"/>
                <w:numId w:val="2"/>
              </w:numPr>
              <w:spacing w:lineRule="auto" w:line="240" w:before="120" w:after="0"/>
              <w:ind w:hanging="284" w:left="284"/>
              <w:rPr>
                <w:sz w:val="24"/>
                <w:szCs w:val="24"/>
              </w:rPr>
            </w:pPr>
            <w:r>
              <w:rPr>
                <w:rFonts w:eastAsia="Calibri" w:cs="Arial"/>
                <w:kern w:val="0"/>
                <w:sz w:val="24"/>
                <w:szCs w:val="24"/>
                <w:lang w:val="ru-RU" w:eastAsia="en-US" w:bidi="ar-SA"/>
              </w:rPr>
              <w:t>внесение денежных средств на индивидуальные счет, открытый Участнику Оператором ЭП в соответствии с Регламентом ЭП; с целью своевременного получения Организатором требуемого обеспечения, Участнику рекомендуется внести денежные средства в требуемом размере не менее чем за 2 (два) рабочих дня до момента окончания срока подачи заявок, установленного в пункте </w:t>
            </w:r>
            <w:r>
              <w:rPr>
                <w:rFonts w:eastAsia="Calibri" w:cs="Arial"/>
                <w:kern w:val="0"/>
                <w:sz w:val="24"/>
                <w:szCs w:val="24"/>
                <w:lang w:val="ru-RU" w:eastAsia="en-US" w:bidi="ar-SA"/>
              </w:rPr>
              <w:fldChar w:fldCharType="begin"/>
            </w:r>
            <w:r>
              <w:rPr>
                <w:sz w:val="24"/>
                <w:kern w:val="0"/>
                <w:szCs w:val="24"/>
                <w:rFonts w:eastAsia="Calibri" w:cs="Arial"/>
                <w:lang w:val="ru-RU" w:eastAsia="en-US" w:bidi="ar-SA"/>
              </w:rPr>
              <w:instrText xml:space="preserve"> REF _Ref125360779 \r \h </w:instrText>
            </w:r>
            <w:r>
              <w:rPr>
                <w:sz w:val="24"/>
                <w:kern w:val="0"/>
                <w:szCs w:val="24"/>
                <w:rFonts w:eastAsia="Calibri" w:cs="Arial"/>
                <w:lang w:val="ru-RU" w:eastAsia="en-US" w:bidi="ar-SA"/>
              </w:rPr>
              <w:fldChar w:fldCharType="separate"/>
            </w:r>
            <w:r>
              <w:rPr>
                <w:sz w:val="24"/>
                <w:kern w:val="0"/>
                <w:szCs w:val="24"/>
                <w:rFonts w:eastAsia="Calibri" w:cs="Arial"/>
                <w:lang w:val="ru-RU" w:eastAsia="en-US" w:bidi="ar-SA"/>
              </w:rPr>
              <w:t>1.2.18</w:t>
            </w:r>
            <w:r>
              <w:rPr>
                <w:sz w:val="24"/>
                <w:kern w:val="0"/>
                <w:szCs w:val="24"/>
                <w:rFonts w:eastAsia="Calibri" w:cs="Arial"/>
                <w:lang w:val="ru-RU" w:eastAsia="en-US" w:bidi="ar-SA"/>
              </w:rPr>
              <w:fldChar w:fldCharType="end"/>
            </w:r>
            <w:r>
              <w:rPr>
                <w:rFonts w:eastAsia="Calibri" w:cs="Arial"/>
                <w:kern w:val="0"/>
                <w:sz w:val="24"/>
                <w:szCs w:val="24"/>
                <w:lang w:val="ru-RU" w:eastAsia="en-US" w:bidi="ar-SA"/>
              </w:rPr>
              <w:t>;</w:t>
            </w:r>
          </w:p>
          <w:p>
            <w:pPr>
              <w:pStyle w:val="Style23"/>
              <w:widowControl/>
              <w:numPr>
                <w:ilvl w:val="0"/>
                <w:numId w:val="2"/>
              </w:numPr>
              <w:spacing w:lineRule="auto" w:line="240" w:before="0" w:after="0"/>
              <w:ind w:hanging="284" w:left="284"/>
              <w:rPr>
                <w:sz w:val="24"/>
                <w:szCs w:val="24"/>
              </w:rPr>
            </w:pPr>
            <w:r>
              <w:rPr>
                <w:rFonts w:eastAsia="Calibri" w:cs="Arial"/>
                <w:kern w:val="0"/>
                <w:sz w:val="24"/>
                <w:szCs w:val="24"/>
                <w:lang w:val="ru-RU" w:eastAsia="en-US" w:bidi="ar-SA"/>
              </w:rPr>
              <w:t>предоставление банковской гарантии (в том числе электронной банковской гарантии, выданной посредством функционала ЭП), составленной с учетом требований подраздела </w:t>
            </w:r>
            <w:r>
              <w:rPr>
                <w:rFonts w:eastAsia="Calibri" w:cs="Arial"/>
                <w:kern w:val="0"/>
                <w:sz w:val="24"/>
                <w:szCs w:val="24"/>
                <w:lang w:val="ru-RU" w:eastAsia="en-US" w:bidi="ar-SA"/>
              </w:rPr>
              <w:fldChar w:fldCharType="begin"/>
            </w:r>
            <w:r>
              <w:rPr>
                <w:sz w:val="24"/>
                <w:kern w:val="0"/>
                <w:szCs w:val="24"/>
                <w:rFonts w:eastAsia="Calibri" w:cs="Arial"/>
                <w:lang w:val="ru-RU" w:eastAsia="en-US" w:bidi="ar-SA"/>
              </w:rPr>
              <w:instrText xml:space="preserve"> REF _Ref130455226 \r \h </w:instrText>
            </w:r>
            <w:r>
              <w:rPr>
                <w:sz w:val="24"/>
                <w:kern w:val="0"/>
                <w:szCs w:val="24"/>
                <w:rFonts w:eastAsia="Calibri" w:cs="Arial"/>
                <w:lang w:val="ru-RU" w:eastAsia="en-US" w:bidi="ar-SA"/>
              </w:rPr>
              <w:fldChar w:fldCharType="separate"/>
            </w:r>
            <w:r>
              <w:rPr>
                <w:sz w:val="24"/>
                <w:kern w:val="0"/>
                <w:szCs w:val="24"/>
                <w:rFonts w:eastAsia="Calibri" w:cs="Arial"/>
                <w:lang w:val="ru-RU" w:eastAsia="en-US" w:bidi="ar-SA"/>
              </w:rPr>
              <w:t>4.17</w:t>
            </w:r>
            <w:r>
              <w:rPr>
                <w:sz w:val="24"/>
                <w:kern w:val="0"/>
                <w:szCs w:val="24"/>
                <w:rFonts w:eastAsia="Calibri" w:cs="Arial"/>
                <w:lang w:val="ru-RU" w:eastAsia="en-US" w:bidi="ar-SA"/>
              </w:rPr>
              <w:fldChar w:fldCharType="end"/>
            </w:r>
            <w:r>
              <w:rPr>
                <w:rFonts w:eastAsia="Calibri" w:cs="Arial"/>
                <w:kern w:val="0"/>
                <w:sz w:val="24"/>
                <w:szCs w:val="24"/>
                <w:lang w:val="ru-RU" w:eastAsia="en-US" w:bidi="ar-SA"/>
              </w:rPr>
              <w:t>.</w:t>
            </w:r>
          </w:p>
          <w:p>
            <w:pPr>
              <w:pStyle w:val="Style23"/>
              <w:widowControl/>
              <w:spacing w:lineRule="auto" w:line="240" w:before="60" w:after="60"/>
              <w:rPr>
                <w:rStyle w:val="Style3"/>
                <w:i w:val="false"/>
                <w:i w:val="false"/>
                <w:iCs w:val="false"/>
                <w:sz w:val="24"/>
                <w:szCs w:val="24"/>
                <w:shd w:fill="auto" w:val="clear"/>
              </w:rPr>
            </w:pPr>
            <w:r>
              <w:rPr>
                <w:rStyle w:val="Style3"/>
                <w:rFonts w:eastAsia="Calibri" w:cs="Arial"/>
                <w:i w:val="false"/>
                <w:iCs w:val="false"/>
                <w:kern w:val="0"/>
                <w:sz w:val="24"/>
                <w:szCs w:val="24"/>
                <w:shd w:fill="auto" w:val="clear"/>
                <w:lang w:eastAsia="en-US" w:bidi="ar-SA"/>
              </w:rPr>
              <w:t>Выбор формы (способа) обеспечения заявки из числа указанных осуществляется Участником самостоятельно.</w:t>
            </w:r>
          </w:p>
          <w:p>
            <w:pPr>
              <w:pStyle w:val="Style23"/>
              <w:widowControl/>
              <w:spacing w:lineRule="auto" w:line="240" w:before="60" w:after="60"/>
              <w:jc w:val="both"/>
              <w:rPr>
                <w:rStyle w:val="Style3"/>
                <w:sz w:val="24"/>
                <w:szCs w:val="24"/>
              </w:rPr>
            </w:pPr>
            <w:r>
              <w:rPr>
                <w:rStyle w:val="Style3"/>
                <w:rFonts w:eastAsia="Calibri" w:cs="Arial"/>
                <w:i w:val="false"/>
                <w:iCs w:val="false"/>
                <w:kern w:val="0"/>
                <w:sz w:val="24"/>
                <w:szCs w:val="24"/>
                <w:shd w:fill="auto" w:val="clear"/>
                <w:lang w:eastAsia="en-US" w:bidi="ar-SA"/>
              </w:rPr>
              <w:t>Банковские реквизиты Заказчика (для перечисления Банком-гарантом суммы обеспечения заявок в случае нарушения Участником своих обязательств, связанных с участием в закупке):</w:t>
            </w:r>
          </w:p>
          <w:p>
            <w:pPr>
              <w:pStyle w:val="Style23"/>
              <w:widowControl/>
              <w:spacing w:lineRule="auto" w:line="240" w:before="60" w:after="60"/>
              <w:jc w:val="both"/>
              <w:rPr>
                <w:sz w:val="24"/>
                <w:szCs w:val="24"/>
              </w:rPr>
            </w:pPr>
            <w:r>
              <w:rPr>
                <w:rFonts w:eastAsia="Calibri" w:cs="Arial"/>
                <w:kern w:val="0"/>
                <w:sz w:val="24"/>
                <w:szCs w:val="24"/>
                <w:lang w:val="ru-RU" w:eastAsia="en-US" w:bidi="ar-SA"/>
              </w:rPr>
              <w:t>Наименование получателя:</w:t>
            </w:r>
          </w:p>
          <w:p>
            <w:pPr>
              <w:pStyle w:val="Normal"/>
              <w:widowControl w:val="false"/>
              <w:spacing w:lineRule="auto" w:line="240" w:before="60" w:after="60"/>
              <w:jc w:val="both"/>
              <w:rPr>
                <w:i w:val="false"/>
                <w:i w:val="false"/>
                <w:sz w:val="24"/>
                <w:szCs w:val="24"/>
                <w:shd w:fill="auto" w:val="clear"/>
              </w:rPr>
            </w:pPr>
            <w:r>
              <w:rPr>
                <w:rStyle w:val="Style3"/>
                <w:rFonts w:eastAsia="Calibri" w:cs="Arial"/>
                <w:i w:val="false"/>
                <w:kern w:val="0"/>
                <w:sz w:val="24"/>
                <w:szCs w:val="24"/>
                <w:shd w:fill="auto" w:val="clear"/>
                <w:lang w:eastAsia="en-US" w:bidi="ar-SA"/>
              </w:rPr>
              <w:t>Акционерное общество «Дальневосточная генерирующая компания»</w:t>
            </w:r>
          </w:p>
          <w:p>
            <w:pPr>
              <w:pStyle w:val="Normal"/>
              <w:widowControl w:val="false"/>
              <w:spacing w:lineRule="auto" w:line="240" w:before="60" w:after="60"/>
              <w:jc w:val="both"/>
              <w:rPr>
                <w:i w:val="false"/>
                <w:i w:val="false"/>
                <w:sz w:val="24"/>
                <w:szCs w:val="24"/>
                <w:shd w:fill="auto" w:val="clear"/>
              </w:rPr>
            </w:pPr>
            <w:r>
              <w:rPr>
                <w:rStyle w:val="Style3"/>
                <w:rFonts w:eastAsia="Calibri" w:cs="Arial"/>
                <w:i w:val="false"/>
                <w:kern w:val="0"/>
                <w:sz w:val="24"/>
                <w:szCs w:val="24"/>
                <w:shd w:fill="auto" w:val="clear"/>
                <w:lang w:eastAsia="en-US" w:bidi="ar-SA"/>
              </w:rPr>
              <w:t>(АО «ДГК»)</w:t>
            </w:r>
          </w:p>
          <w:p>
            <w:pPr>
              <w:pStyle w:val="Normal"/>
              <w:widowControl w:val="false"/>
              <w:spacing w:lineRule="auto" w:line="240" w:before="60" w:after="60"/>
              <w:jc w:val="both"/>
              <w:rPr>
                <w:i w:val="false"/>
                <w:i w:val="false"/>
                <w:sz w:val="24"/>
                <w:szCs w:val="24"/>
                <w:shd w:fill="auto" w:val="clear"/>
              </w:rPr>
            </w:pPr>
            <w:r>
              <w:rPr>
                <w:rStyle w:val="Style3"/>
                <w:rFonts w:eastAsia="Calibri" w:cs="Arial"/>
                <w:i w:val="false"/>
                <w:kern w:val="0"/>
                <w:sz w:val="24"/>
                <w:szCs w:val="24"/>
                <w:shd w:fill="auto" w:val="clear"/>
                <w:lang w:eastAsia="en-US" w:bidi="ar-SA"/>
              </w:rPr>
              <w:t>ИНН 1434031363 КПП 997650001</w:t>
            </w:r>
          </w:p>
          <w:p>
            <w:pPr>
              <w:pStyle w:val="Normal"/>
              <w:widowControl w:val="false"/>
              <w:spacing w:lineRule="auto" w:line="240" w:before="60" w:after="60"/>
              <w:jc w:val="both"/>
              <w:rPr>
                <w:i w:val="false"/>
                <w:i w:val="false"/>
                <w:sz w:val="24"/>
                <w:szCs w:val="24"/>
                <w:shd w:fill="auto" w:val="clear"/>
              </w:rPr>
            </w:pPr>
            <w:r>
              <w:rPr>
                <w:rStyle w:val="Style3"/>
                <w:rFonts w:eastAsia="Calibri" w:cs="Arial"/>
                <w:i w:val="false"/>
                <w:kern w:val="0"/>
                <w:sz w:val="24"/>
                <w:szCs w:val="24"/>
                <w:shd w:fill="auto" w:val="clear"/>
                <w:lang w:eastAsia="en-US" w:bidi="ar-SA"/>
              </w:rPr>
              <w:t>Р/с 40702810270000008818 в Дальневосточном Банке ПАО «Сбербанк России» г. Хабаровск</w:t>
            </w:r>
          </w:p>
          <w:p>
            <w:pPr>
              <w:pStyle w:val="Normal"/>
              <w:widowControl w:val="false"/>
              <w:spacing w:lineRule="auto" w:line="240" w:before="60" w:after="60"/>
              <w:jc w:val="both"/>
              <w:rPr>
                <w:i w:val="false"/>
                <w:i w:val="false"/>
                <w:sz w:val="24"/>
                <w:szCs w:val="24"/>
                <w:shd w:fill="auto" w:val="clear"/>
              </w:rPr>
            </w:pPr>
            <w:r>
              <w:rPr>
                <w:rStyle w:val="Style3"/>
                <w:rFonts w:eastAsia="Calibri" w:cs="Arial"/>
                <w:i w:val="false"/>
                <w:kern w:val="0"/>
                <w:sz w:val="24"/>
                <w:szCs w:val="24"/>
                <w:shd w:fill="auto" w:val="clear"/>
                <w:lang w:eastAsia="en-US" w:bidi="ar-SA"/>
              </w:rPr>
              <w:t>К/с 30101810600000000608</w:t>
            </w:r>
          </w:p>
          <w:p>
            <w:pPr>
              <w:pStyle w:val="Style23"/>
              <w:widowControl/>
              <w:spacing w:lineRule="auto" w:line="240" w:before="60" w:after="60"/>
              <w:jc w:val="both"/>
              <w:rPr>
                <w:i w:val="false"/>
                <w:i w:val="false"/>
                <w:sz w:val="24"/>
                <w:szCs w:val="24"/>
                <w:shd w:fill="auto" w:val="clear"/>
              </w:rPr>
            </w:pPr>
            <w:r>
              <w:rPr>
                <w:rStyle w:val="Style3"/>
                <w:rFonts w:eastAsia="Calibri" w:cs="Arial"/>
                <w:i w:val="false"/>
                <w:kern w:val="0"/>
                <w:sz w:val="24"/>
                <w:szCs w:val="24"/>
                <w:shd w:fill="auto" w:val="clear"/>
                <w:lang w:eastAsia="en-US" w:bidi="ar-SA"/>
              </w:rPr>
              <w:t>БИК 040813608</w:t>
            </w:r>
          </w:p>
          <w:p>
            <w:pPr>
              <w:pStyle w:val="Style23"/>
              <w:widowControl/>
              <w:spacing w:lineRule="auto" w:line="240" w:before="60" w:after="60"/>
              <w:rPr>
                <w:sz w:val="24"/>
                <w:szCs w:val="24"/>
              </w:rPr>
            </w:pPr>
            <w:r>
              <w:rPr>
                <w:rFonts w:eastAsia="Calibri" w:cs="Arial"/>
                <w:b/>
                <w:bCs/>
                <w:kern w:val="0"/>
                <w:sz w:val="24"/>
                <w:szCs w:val="24"/>
                <w:lang w:val="ru-RU" w:eastAsia="en-US" w:bidi="ar-SA"/>
              </w:rPr>
              <w:t xml:space="preserve">Внимание! </w:t>
            </w:r>
            <w:r>
              <w:rPr>
                <w:rFonts w:eastAsia="Calibri" w:cs="Arial"/>
                <w:kern w:val="0"/>
                <w:sz w:val="24"/>
                <w:szCs w:val="24"/>
                <w:lang w:val="ru-RU" w:eastAsia="en-US" w:bidi="ar-SA"/>
              </w:rPr>
              <w:t>Для того, чтобы иметь возможность подать заявку на участие в закупке, в соответствии с Регламентом ЭП на индивидуальный счет Участника, открытом ему Оператором ЭП, должна быть внесена сумма в размере не менее установленной платы, в соответствии с тарифами Оператора ЭП.</w:t>
            </w:r>
          </w:p>
        </w:tc>
      </w:tr>
      <w:tr>
        <w:trPr/>
        <w:tc>
          <w:tcPr>
            <w:tcW w:w="845" w:type="dxa"/>
            <w:tcBorders/>
          </w:tcPr>
          <w:p>
            <w:pPr>
              <w:pStyle w:val="Style19"/>
              <w:widowControl/>
              <w:spacing w:lineRule="auto" w:line="240" w:before="60" w:after="60"/>
              <w:rPr>
                <w:sz w:val="24"/>
                <w:szCs w:val="24"/>
              </w:rPr>
            </w:pPr>
            <w:r>
              <w:rPr>
                <w:sz w:val="24"/>
                <w:szCs w:val="24"/>
              </w:rPr>
            </w:r>
            <w:bookmarkStart w:id="35" w:name="_Ref125362995"/>
            <w:bookmarkStart w:id="36" w:name="_Ref125362995"/>
            <w:bookmarkEnd w:id="36"/>
          </w:p>
        </w:tc>
        <w:tc>
          <w:tcPr>
            <w:tcW w:w="3233" w:type="dxa"/>
            <w:tcBorders/>
          </w:tcPr>
          <w:p>
            <w:pPr>
              <w:pStyle w:val="Style23"/>
              <w:widowControl/>
              <w:spacing w:lineRule="auto" w:line="240" w:before="60" w:after="60"/>
              <w:jc w:val="left"/>
              <w:rPr>
                <w:sz w:val="24"/>
                <w:szCs w:val="24"/>
              </w:rPr>
            </w:pPr>
            <w:r>
              <w:rPr>
                <w:rFonts w:eastAsia="Calibri" w:cs="Arial"/>
                <w:kern w:val="0"/>
                <w:sz w:val="24"/>
                <w:szCs w:val="24"/>
                <w:lang w:val="ru-RU" w:eastAsia="en-US" w:bidi="ar-SA"/>
              </w:rPr>
              <w:t>Требования</w:t>
              <w:br/>
              <w:t>к описанию продукции:</w:t>
            </w:r>
          </w:p>
        </w:tc>
        <w:tc>
          <w:tcPr>
            <w:tcW w:w="5900" w:type="dxa"/>
            <w:tcBorders/>
          </w:tcPr>
          <w:p>
            <w:pPr>
              <w:pStyle w:val="Style23"/>
              <w:widowControl/>
              <w:spacing w:lineRule="auto" w:line="240" w:before="60" w:after="60"/>
              <w:rPr>
                <w:sz w:val="24"/>
                <w:szCs w:val="24"/>
              </w:rPr>
            </w:pPr>
            <w:r>
              <w:rPr>
                <w:rFonts w:eastAsia="Calibri" w:cs="Arial"/>
                <w:kern w:val="0"/>
                <w:sz w:val="24"/>
                <w:szCs w:val="24"/>
                <w:lang w:val="ru-RU" w:eastAsia="en-US" w:bidi="ar-SA"/>
              </w:rPr>
              <w:t>Согласие (декларация) Участника на поставку продукции по установленной форме Технического предложения (форма 4) (</w:t>
            </w:r>
            <w:hyperlink w:anchor="Прил04_ФормыЗаявки" w:tgtFrame="#Прил04_ФормыЗаявки">
              <w:r>
                <w:rPr>
                  <w:rFonts w:eastAsia="Calibri" w:cs="Arial"/>
                  <w:color w:val="000000"/>
                  <w:spacing w:val="0"/>
                  <w:kern w:val="0"/>
                  <w:sz w:val="24"/>
                  <w:szCs w:val="24"/>
                  <w:u w:val="single"/>
                  <w:shd w:fill="auto" w:val="clear"/>
                  <w:lang w:val="ru-RU" w:eastAsia="en-US" w:bidi="ar-SA"/>
                </w:rPr>
                <w:t>Приложение № 4</w:t>
              </w:r>
            </w:hyperlink>
            <w:r>
              <w:rPr>
                <w:rFonts w:eastAsia="Calibri" w:cs="Arial"/>
                <w:kern w:val="0"/>
                <w:sz w:val="24"/>
                <w:szCs w:val="24"/>
                <w:lang w:val="ru-RU" w:eastAsia="en-US" w:bidi="ar-SA"/>
              </w:rPr>
              <w:t>) на условиях, указанных в Документации о закупке и не подлежащих изменению по результатам проведения закупки, без направления Участником собственных подробных предложений.</w:t>
            </w:r>
          </w:p>
        </w:tc>
      </w:tr>
      <w:tr>
        <w:trPr/>
        <w:tc>
          <w:tcPr>
            <w:tcW w:w="845" w:type="dxa"/>
            <w:tcBorders/>
          </w:tcPr>
          <w:p>
            <w:pPr>
              <w:pStyle w:val="Style19"/>
              <w:widowControl/>
              <w:spacing w:lineRule="auto" w:line="240" w:before="60" w:after="60"/>
              <w:rPr>
                <w:sz w:val="24"/>
                <w:szCs w:val="24"/>
              </w:rPr>
            </w:pPr>
            <w:r>
              <w:rPr>
                <w:sz w:val="24"/>
                <w:szCs w:val="24"/>
              </w:rPr>
            </w:r>
          </w:p>
        </w:tc>
        <w:tc>
          <w:tcPr>
            <w:tcW w:w="3233" w:type="dxa"/>
            <w:tcBorders/>
          </w:tcPr>
          <w:p>
            <w:pPr>
              <w:pStyle w:val="Style23"/>
              <w:widowControl/>
              <w:spacing w:lineRule="auto" w:line="240" w:before="60" w:after="60"/>
              <w:jc w:val="left"/>
              <w:rPr>
                <w:sz w:val="24"/>
                <w:szCs w:val="24"/>
              </w:rPr>
            </w:pPr>
            <w:r>
              <w:rPr>
                <w:rFonts w:eastAsia="Calibri" w:cs="Arial"/>
                <w:kern w:val="0"/>
                <w:sz w:val="24"/>
                <w:szCs w:val="24"/>
                <w:lang w:val="ru-RU" w:eastAsia="en-US" w:bidi="ar-SA"/>
              </w:rPr>
              <w:t>Применение законодательства о национальном режиме:</w:t>
            </w:r>
          </w:p>
        </w:tc>
        <w:tc>
          <w:tcPr>
            <w:tcW w:w="5900" w:type="dxa"/>
            <w:tcBorders/>
          </w:tcPr>
          <w:p>
            <w:pPr>
              <w:pStyle w:val="Style23"/>
              <w:widowControl/>
              <w:spacing w:lineRule="auto" w:line="240" w:before="60" w:after="60"/>
              <w:rPr>
                <w:sz w:val="24"/>
                <w:szCs w:val="24"/>
              </w:rPr>
            </w:pPr>
            <w:r>
              <w:rPr>
                <w:rFonts w:eastAsia="Calibri" w:cs="Arial"/>
                <w:kern w:val="0"/>
                <w:sz w:val="24"/>
                <w:szCs w:val="24"/>
                <w:lang w:val="ru-RU" w:eastAsia="en-US" w:bidi="ar-SA"/>
              </w:rPr>
              <w:t>Национальный режим предоставляется.</w:t>
            </w:r>
          </w:p>
        </w:tc>
      </w:tr>
      <w:tr>
        <w:trPr/>
        <w:tc>
          <w:tcPr>
            <w:tcW w:w="845" w:type="dxa"/>
            <w:tcBorders/>
          </w:tcPr>
          <w:p>
            <w:pPr>
              <w:pStyle w:val="Style19"/>
              <w:widowControl/>
              <w:spacing w:lineRule="auto" w:line="240" w:before="60" w:after="60"/>
              <w:rPr>
                <w:sz w:val="24"/>
                <w:szCs w:val="24"/>
              </w:rPr>
            </w:pPr>
            <w:r>
              <w:rPr>
                <w:sz w:val="24"/>
                <w:szCs w:val="24"/>
              </w:rPr>
            </w:r>
            <w:bookmarkStart w:id="37" w:name="_Ref125533737"/>
            <w:bookmarkStart w:id="38" w:name="_Ref125533737"/>
            <w:bookmarkEnd w:id="38"/>
          </w:p>
        </w:tc>
        <w:tc>
          <w:tcPr>
            <w:tcW w:w="3233" w:type="dxa"/>
            <w:tcBorders/>
          </w:tcPr>
          <w:p>
            <w:pPr>
              <w:pStyle w:val="Normal"/>
              <w:widowControl/>
              <w:spacing w:lineRule="auto" w:line="240" w:before="60" w:after="60"/>
              <w:jc w:val="left"/>
              <w:rPr>
                <w:sz w:val="24"/>
                <w:szCs w:val="24"/>
              </w:rPr>
            </w:pPr>
            <w:r>
              <w:rPr>
                <w:rFonts w:eastAsia="Calibri" w:cs="Arial"/>
                <w:kern w:val="0"/>
                <w:sz w:val="24"/>
                <w:szCs w:val="24"/>
                <w:lang w:val="ru-RU" w:eastAsia="en-US" w:bidi="ar-SA"/>
              </w:rPr>
              <w:t>Возможность подачи альтернативных предложений:</w:t>
            </w:r>
          </w:p>
        </w:tc>
        <w:tc>
          <w:tcPr>
            <w:tcW w:w="5900" w:type="dxa"/>
            <w:tcBorders/>
          </w:tcPr>
          <w:p>
            <w:pPr>
              <w:pStyle w:val="Style23"/>
              <w:widowControl/>
              <w:spacing w:lineRule="auto" w:line="240" w:before="60" w:after="60"/>
              <w:rPr>
                <w:sz w:val="24"/>
                <w:szCs w:val="24"/>
              </w:rPr>
            </w:pPr>
            <w:r>
              <w:rPr>
                <w:rFonts w:eastAsia="Calibri" w:cs="Arial"/>
                <w:kern w:val="0"/>
                <w:sz w:val="24"/>
                <w:szCs w:val="24"/>
                <w:lang w:val="ru-RU" w:eastAsia="en-US" w:bidi="ar-SA"/>
              </w:rPr>
              <w:t>Не предусмотрена.</w:t>
            </w:r>
          </w:p>
        </w:tc>
      </w:tr>
      <w:tr>
        <w:trPr/>
        <w:tc>
          <w:tcPr>
            <w:tcW w:w="845" w:type="dxa"/>
            <w:tcBorders/>
          </w:tcPr>
          <w:p>
            <w:pPr>
              <w:pStyle w:val="Style19"/>
              <w:widowControl/>
              <w:spacing w:lineRule="auto" w:line="240" w:before="60" w:after="60"/>
              <w:rPr>
                <w:sz w:val="24"/>
                <w:szCs w:val="24"/>
              </w:rPr>
            </w:pPr>
            <w:r>
              <w:rPr>
                <w:sz w:val="24"/>
                <w:szCs w:val="24"/>
              </w:rPr>
            </w:r>
            <w:bookmarkStart w:id="39" w:name="_Ref125475086"/>
            <w:bookmarkStart w:id="40" w:name="_Ref125475086"/>
            <w:bookmarkEnd w:id="40"/>
          </w:p>
        </w:tc>
        <w:tc>
          <w:tcPr>
            <w:tcW w:w="3233" w:type="dxa"/>
            <w:tcBorders/>
          </w:tcPr>
          <w:p>
            <w:pPr>
              <w:pStyle w:val="Style23"/>
              <w:widowControl/>
              <w:spacing w:lineRule="auto" w:line="240" w:before="60" w:after="60"/>
              <w:jc w:val="left"/>
              <w:rPr>
                <w:sz w:val="24"/>
                <w:szCs w:val="24"/>
              </w:rPr>
            </w:pPr>
            <w:r>
              <w:rPr>
                <w:rFonts w:eastAsia="Calibri" w:cs="Arial"/>
                <w:kern w:val="0"/>
                <w:sz w:val="24"/>
                <w:szCs w:val="24"/>
                <w:lang w:val="ru-RU" w:eastAsia="en-US" w:bidi="ar-SA"/>
              </w:rPr>
              <w:t>Место и порядок подачи заявок:</w:t>
            </w:r>
          </w:p>
        </w:tc>
        <w:tc>
          <w:tcPr>
            <w:tcW w:w="5900" w:type="dxa"/>
            <w:tcBorders/>
          </w:tcPr>
          <w:p>
            <w:pPr>
              <w:pStyle w:val="Style23"/>
              <w:widowControl/>
              <w:spacing w:lineRule="auto" w:line="240" w:before="60" w:after="60"/>
              <w:rPr>
                <w:sz w:val="24"/>
                <w:szCs w:val="24"/>
              </w:rPr>
            </w:pPr>
            <w:r>
              <w:rPr>
                <w:rFonts w:eastAsia="Calibri" w:cs="Arial"/>
                <w:kern w:val="0"/>
                <w:sz w:val="24"/>
                <w:szCs w:val="24"/>
                <w:lang w:val="ru-RU" w:eastAsia="en-US" w:bidi="ar-SA"/>
              </w:rPr>
              <w:t>Заявки подаются посредством функционала ЭП, по адресу ЭП, указанному в пункте </w:t>
            </w:r>
            <w:r>
              <w:rPr>
                <w:rFonts w:eastAsia="Calibri" w:cs="Arial"/>
                <w:kern w:val="0"/>
                <w:sz w:val="24"/>
                <w:szCs w:val="24"/>
                <w:lang w:val="ru-RU" w:eastAsia="en-US" w:bidi="ar-SA"/>
              </w:rPr>
              <w:fldChar w:fldCharType="begin"/>
            </w:r>
            <w:r>
              <w:rPr>
                <w:sz w:val="24"/>
                <w:kern w:val="0"/>
                <w:szCs w:val="24"/>
                <w:rFonts w:eastAsia="Calibri" w:cs="Arial"/>
                <w:lang w:val="ru-RU" w:eastAsia="en-US" w:bidi="ar-SA"/>
              </w:rPr>
              <w:instrText xml:space="preserve"> REF _Ref125360764 \r \h </w:instrText>
            </w:r>
            <w:r>
              <w:rPr>
                <w:sz w:val="24"/>
                <w:kern w:val="0"/>
                <w:szCs w:val="24"/>
                <w:rFonts w:eastAsia="Calibri" w:cs="Arial"/>
                <w:lang w:val="ru-RU" w:eastAsia="en-US" w:bidi="ar-SA"/>
              </w:rPr>
              <w:fldChar w:fldCharType="separate"/>
            </w:r>
            <w:r>
              <w:rPr>
                <w:sz w:val="24"/>
                <w:kern w:val="0"/>
                <w:szCs w:val="24"/>
                <w:rFonts w:eastAsia="Calibri" w:cs="Arial"/>
                <w:lang w:val="ru-RU" w:eastAsia="en-US" w:bidi="ar-SA"/>
              </w:rPr>
              <w:t>1.2.5</w:t>
            </w:r>
            <w:r>
              <w:rPr>
                <w:sz w:val="24"/>
                <w:kern w:val="0"/>
                <w:szCs w:val="24"/>
                <w:rFonts w:eastAsia="Calibri" w:cs="Arial"/>
                <w:lang w:val="ru-RU" w:eastAsia="en-US" w:bidi="ar-SA"/>
              </w:rPr>
              <w:fldChar w:fldCharType="end"/>
            </w:r>
            <w:r>
              <w:rPr>
                <w:rFonts w:eastAsia="Calibri" w:cs="Arial"/>
                <w:kern w:val="0"/>
                <w:sz w:val="24"/>
                <w:szCs w:val="24"/>
                <w:lang w:val="ru-RU" w:eastAsia="en-US" w:bidi="ar-SA"/>
              </w:rPr>
              <w:t>.</w:t>
            </w:r>
          </w:p>
        </w:tc>
      </w:tr>
      <w:tr>
        <w:trPr/>
        <w:tc>
          <w:tcPr>
            <w:tcW w:w="845" w:type="dxa"/>
            <w:tcBorders/>
          </w:tcPr>
          <w:p>
            <w:pPr>
              <w:pStyle w:val="Style19"/>
              <w:widowControl/>
              <w:spacing w:lineRule="auto" w:line="240" w:before="60" w:after="60"/>
              <w:rPr>
                <w:sz w:val="24"/>
                <w:szCs w:val="24"/>
              </w:rPr>
            </w:pPr>
            <w:r>
              <w:rPr>
                <w:sz w:val="24"/>
                <w:szCs w:val="24"/>
              </w:rPr>
            </w:r>
            <w:bookmarkStart w:id="41" w:name="_Ref125360779"/>
            <w:bookmarkStart w:id="42" w:name="_Ref125360779"/>
            <w:bookmarkEnd w:id="42"/>
          </w:p>
        </w:tc>
        <w:tc>
          <w:tcPr>
            <w:tcW w:w="3233" w:type="dxa"/>
            <w:tcBorders/>
          </w:tcPr>
          <w:p>
            <w:pPr>
              <w:pStyle w:val="Style23"/>
              <w:widowControl/>
              <w:spacing w:lineRule="auto" w:line="240" w:before="60" w:after="60"/>
              <w:jc w:val="left"/>
              <w:rPr>
                <w:sz w:val="24"/>
                <w:szCs w:val="24"/>
              </w:rPr>
            </w:pPr>
            <w:r>
              <w:rPr>
                <w:rFonts w:eastAsia="Calibri" w:cs="Arial"/>
                <w:kern w:val="0"/>
                <w:sz w:val="24"/>
                <w:szCs w:val="24"/>
                <w:lang w:val="ru-RU" w:eastAsia="en-US" w:bidi="ar-SA"/>
              </w:rPr>
              <w:t>Дата начала; дата и время окончания срока подачи заявок:</w:t>
            </w:r>
          </w:p>
        </w:tc>
        <w:tc>
          <w:tcPr>
            <w:tcW w:w="5900" w:type="dxa"/>
            <w:tcBorders/>
          </w:tcPr>
          <w:p>
            <w:pPr>
              <w:pStyle w:val="Style23"/>
              <w:widowControl/>
              <w:spacing w:lineRule="auto" w:line="240" w:before="60" w:after="60"/>
              <w:rPr>
                <w:sz w:val="24"/>
                <w:szCs w:val="24"/>
              </w:rPr>
            </w:pPr>
            <w:r>
              <w:rPr>
                <w:rFonts w:eastAsia="Calibri" w:cs="Arial"/>
                <w:kern w:val="0"/>
                <w:sz w:val="24"/>
                <w:szCs w:val="24"/>
                <w:lang w:val="ru-RU" w:eastAsia="en-US" w:bidi="ar-SA"/>
              </w:rPr>
              <w:t>Дата начала подачи заявок:</w:t>
            </w:r>
          </w:p>
          <w:p>
            <w:pPr>
              <w:pStyle w:val="Style23"/>
              <w:widowControl/>
              <w:spacing w:lineRule="auto" w:line="240" w:before="60" w:after="60"/>
              <w:rPr>
                <w:sz w:val="24"/>
                <w:szCs w:val="24"/>
              </w:rPr>
            </w:pPr>
            <w:r>
              <w:rPr>
                <w:rFonts w:eastAsia="Calibri" w:cs="Arial"/>
                <w:kern w:val="0"/>
                <w:sz w:val="24"/>
                <w:szCs w:val="24"/>
                <w:lang w:val="ru-RU" w:eastAsia="en-US" w:bidi="ar-SA"/>
              </w:rPr>
              <w:t>«1</w:t>
            </w:r>
            <w:r>
              <w:rPr>
                <w:rFonts w:eastAsia="Calibri" w:cs="Arial"/>
                <w:kern w:val="0"/>
                <w:sz w:val="24"/>
                <w:szCs w:val="24"/>
                <w:lang w:val="ru-RU" w:eastAsia="en-US" w:bidi="ar-SA"/>
              </w:rPr>
              <w:t>6</w:t>
            </w:r>
            <w:r>
              <w:rPr>
                <w:rFonts w:eastAsia="Calibri" w:cs="Arial"/>
                <w:kern w:val="0"/>
                <w:sz w:val="24"/>
                <w:szCs w:val="24"/>
                <w:lang w:val="ru-RU" w:eastAsia="en-US" w:bidi="ar-SA"/>
              </w:rPr>
              <w:t>» октября 2026 г.</w:t>
            </w:r>
          </w:p>
          <w:p>
            <w:pPr>
              <w:pStyle w:val="Style23"/>
              <w:widowControl/>
              <w:spacing w:lineRule="auto" w:line="240" w:before="60" w:after="60"/>
              <w:rPr>
                <w:sz w:val="24"/>
                <w:szCs w:val="24"/>
              </w:rPr>
            </w:pPr>
            <w:r>
              <w:rPr>
                <w:rFonts w:eastAsia="Calibri" w:cs="Arial"/>
                <w:kern w:val="0"/>
                <w:sz w:val="24"/>
                <w:szCs w:val="24"/>
                <w:lang w:val="ru-RU" w:eastAsia="en-US" w:bidi="ar-SA"/>
              </w:rPr>
              <w:t>Дата и время окончания срока подачи заявок:</w:t>
            </w:r>
          </w:p>
          <w:p>
            <w:pPr>
              <w:pStyle w:val="Style23"/>
              <w:widowControl/>
              <w:spacing w:lineRule="auto" w:line="240" w:before="60" w:after="60"/>
              <w:rPr>
                <w:sz w:val="24"/>
                <w:szCs w:val="24"/>
              </w:rPr>
            </w:pPr>
            <w:r>
              <w:rPr>
                <w:rFonts w:eastAsia="Calibri" w:cs="Arial"/>
                <w:kern w:val="0"/>
                <w:sz w:val="24"/>
                <w:szCs w:val="24"/>
                <w:lang w:val="ru-RU" w:eastAsia="en-US" w:bidi="ar-SA"/>
              </w:rPr>
              <w:t>«06» ноября 2026 г. в 15 ч. 00 мин.</w:t>
            </w:r>
          </w:p>
          <w:p>
            <w:pPr>
              <w:pStyle w:val="Style23"/>
              <w:widowControl/>
              <w:spacing w:lineRule="auto" w:line="240" w:before="60" w:after="60"/>
              <w:rPr>
                <w:sz w:val="24"/>
                <w:szCs w:val="24"/>
              </w:rPr>
            </w:pPr>
            <w:r>
              <w:rPr>
                <w:rFonts w:eastAsia="Calibri" w:cs="Arial"/>
                <w:kern w:val="0"/>
                <w:sz w:val="24"/>
                <w:szCs w:val="24"/>
                <w:lang w:val="ru-RU" w:eastAsia="en-US" w:bidi="ar-SA"/>
              </w:rPr>
              <w:t>(по местному времени Организатора).</w:t>
            </w:r>
          </w:p>
        </w:tc>
      </w:tr>
      <w:tr>
        <w:trPr/>
        <w:tc>
          <w:tcPr>
            <w:tcW w:w="845" w:type="dxa"/>
            <w:tcBorders/>
          </w:tcPr>
          <w:p>
            <w:pPr>
              <w:pStyle w:val="Style19"/>
              <w:widowControl/>
              <w:spacing w:lineRule="auto" w:line="240" w:before="60" w:after="60"/>
              <w:rPr>
                <w:sz w:val="24"/>
                <w:szCs w:val="24"/>
              </w:rPr>
            </w:pPr>
            <w:r>
              <w:rPr>
                <w:sz w:val="24"/>
                <w:szCs w:val="24"/>
              </w:rPr>
            </w:r>
          </w:p>
        </w:tc>
        <w:tc>
          <w:tcPr>
            <w:tcW w:w="3233" w:type="dxa"/>
            <w:tcBorders/>
          </w:tcPr>
          <w:p>
            <w:pPr>
              <w:pStyle w:val="Style23"/>
              <w:widowControl/>
              <w:spacing w:lineRule="auto" w:line="240" w:before="60" w:after="60"/>
              <w:jc w:val="left"/>
              <w:rPr>
                <w:sz w:val="24"/>
                <w:szCs w:val="24"/>
              </w:rPr>
            </w:pPr>
            <w:r>
              <w:rPr>
                <w:rFonts w:eastAsia="Calibri" w:cs="Arial"/>
                <w:kern w:val="0"/>
                <w:sz w:val="24"/>
                <w:szCs w:val="24"/>
                <w:lang w:val="ru-RU" w:eastAsia="en-US" w:bidi="ar-SA"/>
              </w:rPr>
              <w:t>Срок предоставления Участникам разъяснений Документации о закупке:</w:t>
            </w:r>
          </w:p>
        </w:tc>
        <w:tc>
          <w:tcPr>
            <w:tcW w:w="5900" w:type="dxa"/>
            <w:tcBorders/>
          </w:tcPr>
          <w:p>
            <w:pPr>
              <w:pStyle w:val="Style23"/>
              <w:widowControl/>
              <w:spacing w:lineRule="auto" w:line="240" w:before="60" w:after="60"/>
              <w:rPr>
                <w:sz w:val="24"/>
                <w:szCs w:val="24"/>
              </w:rPr>
            </w:pPr>
            <w:r>
              <w:rPr>
                <w:rFonts w:eastAsia="Calibri" w:cs="Arial"/>
                <w:kern w:val="0"/>
                <w:sz w:val="24"/>
                <w:szCs w:val="24"/>
                <w:lang w:val="ru-RU" w:eastAsia="en-US" w:bidi="ar-SA"/>
              </w:rPr>
              <w:t>Дата и время окончания срока предоставления разъяснений:</w:t>
            </w:r>
          </w:p>
          <w:p>
            <w:pPr>
              <w:pStyle w:val="Style23"/>
              <w:widowControl/>
              <w:spacing w:lineRule="auto" w:line="240" w:before="60" w:after="60"/>
              <w:rPr>
                <w:sz w:val="24"/>
                <w:szCs w:val="24"/>
              </w:rPr>
            </w:pPr>
            <w:r>
              <w:rPr>
                <w:rFonts w:eastAsia="Calibri" w:cs="Arial"/>
                <w:kern w:val="0"/>
                <w:sz w:val="24"/>
                <w:szCs w:val="24"/>
                <w:lang w:val="ru-RU" w:eastAsia="en-US" w:bidi="ar-SA"/>
              </w:rPr>
              <w:t>«06» ноября 2026 г. в 15 ч. 00 мин.</w:t>
            </w:r>
          </w:p>
          <w:p>
            <w:pPr>
              <w:pStyle w:val="Style23"/>
              <w:widowControl/>
              <w:spacing w:lineRule="auto" w:line="240" w:before="60" w:after="60"/>
              <w:rPr>
                <w:sz w:val="24"/>
                <w:szCs w:val="24"/>
              </w:rPr>
            </w:pPr>
            <w:r>
              <w:rPr>
                <w:rFonts w:eastAsia="Calibri" w:cs="Arial"/>
                <w:kern w:val="0"/>
                <w:sz w:val="24"/>
                <w:szCs w:val="24"/>
                <w:lang w:val="ru-RU" w:eastAsia="en-US" w:bidi="ar-SA"/>
              </w:rPr>
              <w:t>(по местному времени Организатора).</w:t>
            </w:r>
          </w:p>
          <w:p>
            <w:pPr>
              <w:pStyle w:val="Style23"/>
              <w:widowControl/>
              <w:spacing w:lineRule="auto" w:line="240" w:before="60" w:after="60"/>
              <w:rPr>
                <w:sz w:val="24"/>
                <w:szCs w:val="24"/>
              </w:rPr>
            </w:pPr>
            <w:r>
              <w:rPr>
                <w:rFonts w:eastAsia="Calibri" w:cs="Arial"/>
                <w:kern w:val="0"/>
                <w:sz w:val="24"/>
                <w:szCs w:val="24"/>
                <w:lang w:val="ru-RU" w:eastAsia="en-US" w:bidi="ar-SA"/>
              </w:rPr>
              <w:t>Организатор вправе не предоставлять разъяснение, если запрос от Участника поступил позднее чем за 3 (три) рабочих дня до даты окончания срока подачи заявок, установленной в пункте </w:t>
            </w:r>
            <w:r>
              <w:rPr>
                <w:rFonts w:eastAsia="Calibri" w:cs="Arial"/>
                <w:kern w:val="0"/>
                <w:sz w:val="24"/>
                <w:szCs w:val="24"/>
                <w:lang w:val="ru-RU" w:eastAsia="en-US" w:bidi="ar-SA"/>
              </w:rPr>
              <w:fldChar w:fldCharType="begin"/>
            </w:r>
            <w:r>
              <w:rPr>
                <w:sz w:val="24"/>
                <w:kern w:val="0"/>
                <w:szCs w:val="24"/>
                <w:rFonts w:eastAsia="Calibri" w:cs="Arial"/>
                <w:lang w:val="ru-RU" w:eastAsia="en-US" w:bidi="ar-SA"/>
              </w:rPr>
              <w:instrText xml:space="preserve"> REF _Ref125360779 \r \h </w:instrText>
            </w:r>
            <w:r>
              <w:rPr>
                <w:sz w:val="24"/>
                <w:kern w:val="0"/>
                <w:szCs w:val="24"/>
                <w:rFonts w:eastAsia="Calibri" w:cs="Arial"/>
                <w:lang w:val="ru-RU" w:eastAsia="en-US" w:bidi="ar-SA"/>
              </w:rPr>
              <w:fldChar w:fldCharType="separate"/>
            </w:r>
            <w:r>
              <w:rPr>
                <w:sz w:val="24"/>
                <w:kern w:val="0"/>
                <w:szCs w:val="24"/>
                <w:rFonts w:eastAsia="Calibri" w:cs="Arial"/>
                <w:lang w:val="ru-RU" w:eastAsia="en-US" w:bidi="ar-SA"/>
              </w:rPr>
              <w:t>1.2.18</w:t>
            </w:r>
            <w:r>
              <w:rPr>
                <w:sz w:val="24"/>
                <w:kern w:val="0"/>
                <w:szCs w:val="24"/>
                <w:rFonts w:eastAsia="Calibri" w:cs="Arial"/>
                <w:lang w:val="ru-RU" w:eastAsia="en-US" w:bidi="ar-SA"/>
              </w:rPr>
              <w:fldChar w:fldCharType="end"/>
            </w:r>
            <w:r>
              <w:rPr>
                <w:rFonts w:eastAsia="Calibri" w:cs="Arial"/>
                <w:kern w:val="0"/>
                <w:sz w:val="24"/>
                <w:szCs w:val="24"/>
                <w:lang w:val="ru-RU" w:eastAsia="en-US" w:bidi="ar-SA"/>
              </w:rPr>
              <w:t>.</w:t>
            </w:r>
          </w:p>
        </w:tc>
      </w:tr>
      <w:tr>
        <w:trPr/>
        <w:tc>
          <w:tcPr>
            <w:tcW w:w="845" w:type="dxa"/>
            <w:tcBorders/>
          </w:tcPr>
          <w:p>
            <w:pPr>
              <w:pStyle w:val="Style19"/>
              <w:widowControl/>
              <w:spacing w:lineRule="auto" w:line="240" w:before="60" w:after="60"/>
              <w:rPr>
                <w:sz w:val="24"/>
                <w:szCs w:val="24"/>
              </w:rPr>
            </w:pPr>
            <w:r>
              <w:rPr>
                <w:sz w:val="24"/>
                <w:szCs w:val="24"/>
              </w:rPr>
            </w:r>
            <w:bookmarkStart w:id="43" w:name="_Ref125476197"/>
            <w:bookmarkStart w:id="44" w:name="_Ref125476197"/>
            <w:bookmarkEnd w:id="44"/>
          </w:p>
        </w:tc>
        <w:tc>
          <w:tcPr>
            <w:tcW w:w="3233" w:type="dxa"/>
            <w:tcBorders/>
          </w:tcPr>
          <w:p>
            <w:pPr>
              <w:pStyle w:val="Style23"/>
              <w:widowControl/>
              <w:spacing w:lineRule="auto" w:line="240" w:before="60" w:after="60"/>
              <w:jc w:val="left"/>
              <w:rPr>
                <w:sz w:val="24"/>
                <w:szCs w:val="24"/>
              </w:rPr>
            </w:pPr>
            <w:r>
              <w:rPr>
                <w:rFonts w:eastAsia="Calibri" w:cs="Arial"/>
                <w:kern w:val="0"/>
                <w:sz w:val="24"/>
                <w:szCs w:val="24"/>
                <w:lang w:val="ru-RU" w:eastAsia="en-US" w:bidi="ar-SA"/>
              </w:rPr>
              <w:t>Место открытия</w:t>
              <w:br/>
              <w:t>доступа к заявкам:</w:t>
            </w:r>
          </w:p>
        </w:tc>
        <w:tc>
          <w:tcPr>
            <w:tcW w:w="5900" w:type="dxa"/>
            <w:tcBorders/>
          </w:tcPr>
          <w:p>
            <w:pPr>
              <w:pStyle w:val="Style23"/>
              <w:widowControl/>
              <w:spacing w:lineRule="auto" w:line="240" w:before="60" w:after="60"/>
              <w:rPr>
                <w:sz w:val="24"/>
                <w:szCs w:val="24"/>
              </w:rPr>
            </w:pPr>
            <w:r>
              <w:rPr>
                <w:rFonts w:eastAsia="Calibri" w:cs="Arial"/>
                <w:kern w:val="0"/>
                <w:sz w:val="24"/>
                <w:szCs w:val="24"/>
                <w:lang w:val="ru-RU" w:eastAsia="en-US" w:bidi="ar-SA"/>
              </w:rPr>
              <w:t>Открытие доступа к заявкам осуществляется автоматически на ЭП, расположенной по адресу согласно пункту </w:t>
            </w:r>
            <w:r>
              <w:rPr>
                <w:rFonts w:eastAsia="Calibri" w:cs="Arial"/>
                <w:kern w:val="0"/>
                <w:sz w:val="24"/>
                <w:szCs w:val="24"/>
                <w:lang w:val="ru-RU" w:eastAsia="en-US" w:bidi="ar-SA"/>
              </w:rPr>
              <w:fldChar w:fldCharType="begin"/>
            </w:r>
            <w:r>
              <w:rPr>
                <w:sz w:val="24"/>
                <w:kern w:val="0"/>
                <w:szCs w:val="24"/>
                <w:rFonts w:eastAsia="Calibri" w:cs="Arial"/>
                <w:lang w:val="ru-RU" w:eastAsia="en-US" w:bidi="ar-SA"/>
              </w:rPr>
              <w:instrText xml:space="preserve"> REF _Ref125360764 \r \h </w:instrText>
            </w:r>
            <w:r>
              <w:rPr>
                <w:sz w:val="24"/>
                <w:kern w:val="0"/>
                <w:szCs w:val="24"/>
                <w:rFonts w:eastAsia="Calibri" w:cs="Arial"/>
                <w:lang w:val="ru-RU" w:eastAsia="en-US" w:bidi="ar-SA"/>
              </w:rPr>
              <w:fldChar w:fldCharType="separate"/>
            </w:r>
            <w:r>
              <w:rPr>
                <w:sz w:val="24"/>
                <w:kern w:val="0"/>
                <w:szCs w:val="24"/>
                <w:rFonts w:eastAsia="Calibri" w:cs="Arial"/>
                <w:lang w:val="ru-RU" w:eastAsia="en-US" w:bidi="ar-SA"/>
              </w:rPr>
              <w:t>1.2.5</w:t>
            </w:r>
            <w:r>
              <w:rPr>
                <w:sz w:val="24"/>
                <w:kern w:val="0"/>
                <w:szCs w:val="24"/>
                <w:rFonts w:eastAsia="Calibri" w:cs="Arial"/>
                <w:lang w:val="ru-RU" w:eastAsia="en-US" w:bidi="ar-SA"/>
              </w:rPr>
              <w:fldChar w:fldCharType="end"/>
            </w:r>
            <w:r>
              <w:rPr>
                <w:rFonts w:eastAsia="Calibri" w:cs="Arial"/>
                <w:kern w:val="0"/>
                <w:sz w:val="24"/>
                <w:szCs w:val="24"/>
                <w:lang w:val="ru-RU" w:eastAsia="en-US" w:bidi="ar-SA"/>
              </w:rPr>
              <w:t>.</w:t>
            </w:r>
          </w:p>
        </w:tc>
      </w:tr>
      <w:tr>
        <w:trPr/>
        <w:tc>
          <w:tcPr>
            <w:tcW w:w="845" w:type="dxa"/>
            <w:tcBorders/>
          </w:tcPr>
          <w:p>
            <w:pPr>
              <w:pStyle w:val="Style19"/>
              <w:widowControl/>
              <w:spacing w:lineRule="auto" w:line="240" w:before="60" w:after="60"/>
              <w:rPr>
                <w:sz w:val="24"/>
                <w:szCs w:val="24"/>
              </w:rPr>
            </w:pPr>
            <w:r>
              <w:rPr>
                <w:sz w:val="24"/>
                <w:szCs w:val="24"/>
              </w:rPr>
            </w:r>
            <w:bookmarkStart w:id="45" w:name="_Ref125362733"/>
            <w:bookmarkStart w:id="46" w:name="_Ref125362733"/>
            <w:bookmarkEnd w:id="46"/>
          </w:p>
        </w:tc>
        <w:tc>
          <w:tcPr>
            <w:tcW w:w="3233" w:type="dxa"/>
            <w:tcBorders/>
          </w:tcPr>
          <w:p>
            <w:pPr>
              <w:pStyle w:val="Style23"/>
              <w:widowControl/>
              <w:spacing w:lineRule="auto" w:line="240" w:before="60" w:after="60"/>
              <w:jc w:val="left"/>
              <w:rPr>
                <w:sz w:val="24"/>
                <w:szCs w:val="24"/>
              </w:rPr>
            </w:pPr>
            <w:r>
              <w:rPr>
                <w:rFonts w:eastAsia="Calibri" w:cs="Arial"/>
                <w:kern w:val="0"/>
                <w:sz w:val="24"/>
                <w:szCs w:val="24"/>
                <w:lang w:val="ru-RU" w:eastAsia="en-US" w:bidi="ar-SA"/>
              </w:rPr>
              <w:t>Дата окончания рассмотрения заявок:</w:t>
            </w:r>
          </w:p>
        </w:tc>
        <w:tc>
          <w:tcPr>
            <w:tcW w:w="5900" w:type="dxa"/>
            <w:tcBorders/>
          </w:tcPr>
          <w:p>
            <w:pPr>
              <w:pStyle w:val="Style23"/>
              <w:widowControl/>
              <w:spacing w:lineRule="auto" w:line="240" w:before="60" w:after="60"/>
              <w:rPr>
                <w:sz w:val="24"/>
                <w:szCs w:val="24"/>
              </w:rPr>
            </w:pPr>
            <w:r>
              <w:rPr>
                <w:rFonts w:eastAsia="Calibri" w:cs="Arial"/>
                <w:kern w:val="0"/>
                <w:sz w:val="24"/>
                <w:szCs w:val="24"/>
                <w:lang w:val="ru-RU" w:eastAsia="en-US" w:bidi="ar-SA"/>
              </w:rPr>
              <w:t>«</w:t>
            </w:r>
            <w:r>
              <w:rPr>
                <w:rFonts w:eastAsia="Calibri" w:cs="Arial"/>
                <w:kern w:val="0"/>
                <w:sz w:val="24"/>
                <w:szCs w:val="24"/>
                <w:lang w:val="ru-RU" w:eastAsia="en-US" w:bidi="ar-SA"/>
              </w:rPr>
              <w:t>24</w:t>
            </w:r>
            <w:r>
              <w:rPr>
                <w:rFonts w:eastAsia="Calibri" w:cs="Arial"/>
                <w:kern w:val="0"/>
                <w:sz w:val="24"/>
                <w:szCs w:val="24"/>
                <w:lang w:val="ru-RU" w:eastAsia="en-US" w:bidi="ar-SA"/>
              </w:rPr>
              <w:t>» ноября 2026 г.</w:t>
            </w:r>
          </w:p>
        </w:tc>
      </w:tr>
      <w:tr>
        <w:trPr/>
        <w:tc>
          <w:tcPr>
            <w:tcW w:w="845" w:type="dxa"/>
            <w:tcBorders/>
          </w:tcPr>
          <w:p>
            <w:pPr>
              <w:pStyle w:val="Style19"/>
              <w:widowControl/>
              <w:spacing w:lineRule="auto" w:line="240" w:before="60" w:after="60"/>
              <w:rPr>
                <w:sz w:val="24"/>
                <w:szCs w:val="24"/>
              </w:rPr>
            </w:pPr>
            <w:r>
              <w:rPr>
                <w:sz w:val="24"/>
                <w:szCs w:val="24"/>
              </w:rPr>
            </w:r>
          </w:p>
        </w:tc>
        <w:tc>
          <w:tcPr>
            <w:tcW w:w="3233" w:type="dxa"/>
            <w:tcBorders/>
          </w:tcPr>
          <w:p>
            <w:pPr>
              <w:pStyle w:val="Style23"/>
              <w:widowControl/>
              <w:spacing w:lineRule="auto" w:line="240" w:before="60" w:after="60"/>
              <w:jc w:val="left"/>
              <w:rPr>
                <w:sz w:val="24"/>
                <w:szCs w:val="24"/>
              </w:rPr>
            </w:pPr>
            <w:r>
              <w:rPr>
                <w:rFonts w:eastAsia="Calibri" w:cs="Arial"/>
                <w:kern w:val="0"/>
                <w:sz w:val="24"/>
                <w:szCs w:val="24"/>
                <w:lang w:val="ru-RU" w:eastAsia="en-US" w:bidi="ar-SA"/>
              </w:rPr>
              <w:t>Возможность проведения процедуры переторжки:</w:t>
            </w:r>
          </w:p>
        </w:tc>
        <w:tc>
          <w:tcPr>
            <w:tcW w:w="5900" w:type="dxa"/>
            <w:tcBorders/>
          </w:tcPr>
          <w:p>
            <w:pPr>
              <w:pStyle w:val="Style23"/>
              <w:widowControl/>
              <w:spacing w:lineRule="auto" w:line="240" w:before="60" w:after="60"/>
              <w:rPr>
                <w:sz w:val="24"/>
                <w:szCs w:val="24"/>
              </w:rPr>
            </w:pPr>
            <w:r>
              <w:rPr>
                <w:rFonts w:eastAsia="Calibri" w:cs="Arial"/>
                <w:kern w:val="0"/>
                <w:sz w:val="24"/>
                <w:szCs w:val="24"/>
                <w:lang w:val="ru-RU" w:eastAsia="en-US" w:bidi="ar-SA"/>
              </w:rPr>
              <w:t>Не предусмотрено.</w:t>
            </w:r>
          </w:p>
        </w:tc>
      </w:tr>
      <w:tr>
        <w:trPr/>
        <w:tc>
          <w:tcPr>
            <w:tcW w:w="845" w:type="dxa"/>
            <w:tcBorders/>
          </w:tcPr>
          <w:p>
            <w:pPr>
              <w:pStyle w:val="Style19"/>
              <w:widowControl/>
              <w:spacing w:lineRule="auto" w:line="240" w:before="60" w:after="60"/>
              <w:rPr>
                <w:sz w:val="24"/>
                <w:szCs w:val="24"/>
              </w:rPr>
            </w:pPr>
            <w:r>
              <w:rPr>
                <w:sz w:val="24"/>
                <w:szCs w:val="24"/>
              </w:rPr>
            </w:r>
            <w:bookmarkStart w:id="47" w:name="_Ref125362757"/>
            <w:bookmarkStart w:id="48" w:name="_Ref125362757"/>
            <w:bookmarkEnd w:id="48"/>
          </w:p>
        </w:tc>
        <w:tc>
          <w:tcPr>
            <w:tcW w:w="3233" w:type="dxa"/>
            <w:tcBorders/>
          </w:tcPr>
          <w:p>
            <w:pPr>
              <w:pStyle w:val="Style23"/>
              <w:widowControl/>
              <w:spacing w:lineRule="auto" w:line="240" w:before="60" w:after="60"/>
              <w:jc w:val="left"/>
              <w:rPr>
                <w:sz w:val="24"/>
                <w:szCs w:val="24"/>
              </w:rPr>
            </w:pPr>
            <w:r>
              <w:rPr>
                <w:rFonts w:eastAsia="Calibri" w:cs="Arial"/>
                <w:kern w:val="0"/>
                <w:sz w:val="24"/>
                <w:szCs w:val="24"/>
                <w:lang w:val="ru-RU" w:eastAsia="en-US" w:bidi="ar-SA"/>
              </w:rPr>
              <w:t>Дата подведения</w:t>
              <w:br/>
              <w:t>итогов закупки:</w:t>
            </w:r>
          </w:p>
        </w:tc>
        <w:tc>
          <w:tcPr>
            <w:tcW w:w="5900" w:type="dxa"/>
            <w:tcBorders/>
          </w:tcPr>
          <w:p>
            <w:pPr>
              <w:pStyle w:val="Style23"/>
              <w:widowControl/>
              <w:spacing w:lineRule="auto" w:line="240" w:before="60" w:after="60"/>
              <w:rPr>
                <w:sz w:val="24"/>
                <w:szCs w:val="24"/>
              </w:rPr>
            </w:pPr>
            <w:r>
              <w:rPr>
                <w:rFonts w:eastAsia="Calibri" w:cs="Arial"/>
                <w:kern w:val="0"/>
                <w:sz w:val="24"/>
                <w:szCs w:val="24"/>
                <w:lang w:val="ru-RU" w:eastAsia="en-US" w:bidi="ar-SA"/>
              </w:rPr>
              <w:t>«</w:t>
            </w:r>
            <w:r>
              <w:rPr>
                <w:rFonts w:eastAsia="Calibri" w:cs="Arial"/>
                <w:kern w:val="0"/>
                <w:sz w:val="24"/>
                <w:szCs w:val="24"/>
                <w:lang w:val="ru-RU" w:eastAsia="en-US" w:bidi="ar-SA"/>
              </w:rPr>
              <w:t>24</w:t>
            </w:r>
            <w:r>
              <w:rPr>
                <w:rFonts w:eastAsia="Calibri" w:cs="Arial"/>
                <w:kern w:val="0"/>
                <w:sz w:val="24"/>
                <w:szCs w:val="24"/>
                <w:lang w:val="ru-RU" w:eastAsia="en-US" w:bidi="ar-SA"/>
              </w:rPr>
              <w:t>» ноября 2026 г.</w:t>
            </w:r>
          </w:p>
        </w:tc>
      </w:tr>
      <w:tr>
        <w:trPr/>
        <w:tc>
          <w:tcPr>
            <w:tcW w:w="845" w:type="dxa"/>
            <w:tcBorders/>
          </w:tcPr>
          <w:p>
            <w:pPr>
              <w:pStyle w:val="Style19"/>
              <w:widowControl/>
              <w:spacing w:lineRule="auto" w:line="240" w:before="60" w:after="60"/>
              <w:rPr>
                <w:sz w:val="24"/>
                <w:szCs w:val="24"/>
              </w:rPr>
            </w:pPr>
            <w:r>
              <w:rPr>
                <w:sz w:val="24"/>
                <w:szCs w:val="24"/>
              </w:rPr>
            </w:r>
            <w:bookmarkStart w:id="49" w:name="_Ref125361769"/>
            <w:bookmarkStart w:id="50" w:name="_Ref125361769"/>
            <w:bookmarkEnd w:id="50"/>
          </w:p>
        </w:tc>
        <w:tc>
          <w:tcPr>
            <w:tcW w:w="3233" w:type="dxa"/>
            <w:tcBorders/>
          </w:tcPr>
          <w:p>
            <w:pPr>
              <w:pStyle w:val="Style23"/>
              <w:widowControl/>
              <w:spacing w:lineRule="auto" w:line="240" w:before="60" w:after="60"/>
              <w:jc w:val="left"/>
              <w:rPr>
                <w:sz w:val="24"/>
                <w:szCs w:val="24"/>
              </w:rPr>
            </w:pPr>
            <w:r>
              <w:rPr>
                <w:rFonts w:eastAsia="Calibri" w:cs="Arial"/>
                <w:kern w:val="0"/>
                <w:sz w:val="24"/>
                <w:szCs w:val="24"/>
                <w:lang w:val="ru-RU" w:eastAsia="en-US" w:bidi="ar-SA"/>
              </w:rPr>
              <w:t>Рассмотрение, оценка и сопоставление заявок Участников с учетом привлекаемых субподрядчиков:</w:t>
            </w:r>
          </w:p>
        </w:tc>
        <w:tc>
          <w:tcPr>
            <w:tcW w:w="5900" w:type="dxa"/>
            <w:tcBorders/>
          </w:tcPr>
          <w:p>
            <w:pPr>
              <w:pStyle w:val="Style23"/>
              <w:widowControl/>
              <w:spacing w:lineRule="auto" w:line="240" w:before="60" w:after="60"/>
              <w:rPr>
                <w:sz w:val="24"/>
                <w:szCs w:val="24"/>
              </w:rPr>
            </w:pPr>
            <w:r>
              <w:rPr>
                <w:rFonts w:eastAsia="Calibri" w:cs="Arial"/>
                <w:kern w:val="0"/>
                <w:sz w:val="24"/>
                <w:szCs w:val="24"/>
                <w:lang w:val="ru-RU" w:eastAsia="en-US" w:bidi="ar-SA"/>
              </w:rPr>
              <w:t>Не предусмотрено.</w:t>
            </w:r>
          </w:p>
        </w:tc>
      </w:tr>
      <w:tr>
        <w:trPr/>
        <w:tc>
          <w:tcPr>
            <w:tcW w:w="845" w:type="dxa"/>
            <w:tcBorders/>
          </w:tcPr>
          <w:p>
            <w:pPr>
              <w:pStyle w:val="Style19"/>
              <w:widowControl/>
              <w:spacing w:lineRule="auto" w:line="240" w:before="60" w:after="60"/>
              <w:rPr>
                <w:sz w:val="24"/>
                <w:szCs w:val="24"/>
              </w:rPr>
            </w:pPr>
            <w:r>
              <w:rPr>
                <w:sz w:val="24"/>
                <w:szCs w:val="24"/>
              </w:rPr>
            </w:r>
          </w:p>
        </w:tc>
        <w:tc>
          <w:tcPr>
            <w:tcW w:w="3233" w:type="dxa"/>
            <w:tcBorders/>
          </w:tcPr>
          <w:p>
            <w:pPr>
              <w:pStyle w:val="Style23"/>
              <w:widowControl/>
              <w:spacing w:lineRule="auto" w:line="240" w:before="60" w:after="60"/>
              <w:jc w:val="left"/>
              <w:rPr>
                <w:sz w:val="24"/>
                <w:szCs w:val="24"/>
              </w:rPr>
            </w:pPr>
            <w:r>
              <w:rPr>
                <w:rFonts w:eastAsia="Calibri" w:cs="Arial"/>
                <w:kern w:val="0"/>
                <w:sz w:val="24"/>
                <w:szCs w:val="24"/>
                <w:lang w:val="ru-RU" w:eastAsia="en-US" w:bidi="ar-SA"/>
              </w:rPr>
              <w:t>Порядок подведения</w:t>
              <w:br/>
              <w:t>итогов закупки:</w:t>
            </w:r>
          </w:p>
        </w:tc>
        <w:tc>
          <w:tcPr>
            <w:tcW w:w="5900" w:type="dxa"/>
            <w:tcBorders/>
          </w:tcPr>
          <w:p>
            <w:pPr>
              <w:pStyle w:val="Style23"/>
              <w:widowControl/>
              <w:spacing w:lineRule="auto" w:line="240" w:before="60" w:after="60"/>
              <w:rPr>
                <w:sz w:val="24"/>
                <w:szCs w:val="24"/>
              </w:rPr>
            </w:pPr>
            <w:r>
              <w:rPr>
                <w:rFonts w:eastAsia="Calibri" w:cs="Arial"/>
                <w:kern w:val="0"/>
                <w:sz w:val="24"/>
                <w:szCs w:val="24"/>
                <w:lang w:val="ru-RU" w:eastAsia="en-US" w:bidi="ar-SA"/>
              </w:rPr>
              <w:t>Победителем закупки признается Участник, заявка которого соответствует требованиям Документации о закупке и содержит лучшие условия исполнения Договора на основании установленных критериев оценки согласно Документации о закупке.</w:t>
            </w:r>
          </w:p>
        </w:tc>
      </w:tr>
      <w:tr>
        <w:trPr/>
        <w:tc>
          <w:tcPr>
            <w:tcW w:w="845" w:type="dxa"/>
            <w:tcBorders/>
          </w:tcPr>
          <w:p>
            <w:pPr>
              <w:pStyle w:val="Style19"/>
              <w:widowControl/>
              <w:spacing w:lineRule="auto" w:line="240" w:before="60" w:after="60"/>
              <w:rPr>
                <w:sz w:val="24"/>
                <w:szCs w:val="24"/>
              </w:rPr>
            </w:pPr>
            <w:r>
              <w:rPr>
                <w:sz w:val="24"/>
                <w:szCs w:val="24"/>
              </w:rPr>
            </w:r>
            <w:bookmarkStart w:id="51" w:name="_Ref125366606"/>
            <w:bookmarkStart w:id="52" w:name="_Ref125366606"/>
            <w:bookmarkEnd w:id="52"/>
          </w:p>
        </w:tc>
        <w:tc>
          <w:tcPr>
            <w:tcW w:w="3233" w:type="dxa"/>
            <w:tcBorders/>
          </w:tcPr>
          <w:p>
            <w:pPr>
              <w:pStyle w:val="Style23"/>
              <w:widowControl/>
              <w:spacing w:lineRule="auto" w:line="240" w:before="60" w:after="60"/>
              <w:jc w:val="left"/>
              <w:rPr>
                <w:sz w:val="24"/>
                <w:szCs w:val="24"/>
              </w:rPr>
            </w:pPr>
            <w:r>
              <w:rPr>
                <w:rFonts w:eastAsia="Calibri" w:cs="Arial"/>
                <w:kern w:val="0"/>
                <w:sz w:val="24"/>
                <w:szCs w:val="24"/>
                <w:lang w:val="ru-RU" w:eastAsia="en-US" w:bidi="ar-SA"/>
              </w:rPr>
              <w:t>Количество победителей закупки (в рамках одного лота):</w:t>
            </w:r>
          </w:p>
        </w:tc>
        <w:tc>
          <w:tcPr>
            <w:tcW w:w="5900" w:type="dxa"/>
            <w:tcBorders/>
          </w:tcPr>
          <w:p>
            <w:pPr>
              <w:pStyle w:val="Style23"/>
              <w:widowControl/>
              <w:spacing w:lineRule="auto" w:line="240" w:before="60" w:after="60"/>
              <w:rPr>
                <w:sz w:val="24"/>
                <w:szCs w:val="24"/>
              </w:rPr>
            </w:pPr>
            <w:r>
              <w:rPr>
                <w:rFonts w:eastAsia="Calibri" w:cs="Arial"/>
                <w:kern w:val="0"/>
                <w:sz w:val="24"/>
                <w:szCs w:val="24"/>
                <w:lang w:val="ru-RU" w:eastAsia="en-US" w:bidi="ar-SA"/>
              </w:rPr>
              <w:t>Один победитель.</w:t>
            </w:r>
          </w:p>
        </w:tc>
      </w:tr>
      <w:tr>
        <w:trPr/>
        <w:tc>
          <w:tcPr>
            <w:tcW w:w="845" w:type="dxa"/>
            <w:tcBorders/>
          </w:tcPr>
          <w:p>
            <w:pPr>
              <w:pStyle w:val="Style19"/>
              <w:widowControl/>
              <w:spacing w:lineRule="auto" w:line="240" w:before="60" w:after="60"/>
              <w:rPr>
                <w:sz w:val="24"/>
                <w:szCs w:val="24"/>
              </w:rPr>
            </w:pPr>
            <w:r>
              <w:rPr>
                <w:sz w:val="24"/>
                <w:szCs w:val="24"/>
              </w:rPr>
            </w:r>
            <w:bookmarkStart w:id="53" w:name="_Ref125533374"/>
            <w:bookmarkStart w:id="54" w:name="_Ref125533374"/>
            <w:bookmarkEnd w:id="54"/>
          </w:p>
        </w:tc>
        <w:tc>
          <w:tcPr>
            <w:tcW w:w="3233" w:type="dxa"/>
            <w:tcBorders/>
          </w:tcPr>
          <w:p>
            <w:pPr>
              <w:pStyle w:val="Style23"/>
              <w:widowControl/>
              <w:spacing w:lineRule="auto" w:line="240" w:before="60" w:after="60"/>
              <w:jc w:val="left"/>
              <w:rPr>
                <w:sz w:val="24"/>
                <w:szCs w:val="24"/>
              </w:rPr>
            </w:pPr>
            <w:r>
              <w:rPr>
                <w:rFonts w:eastAsia="Calibri" w:cs="Arial"/>
                <w:kern w:val="0"/>
                <w:sz w:val="24"/>
                <w:szCs w:val="24"/>
                <w:lang w:val="ru-RU" w:eastAsia="en-US" w:bidi="ar-SA"/>
              </w:rPr>
              <w:t>Форма заключения Договора:</w:t>
            </w:r>
          </w:p>
        </w:tc>
        <w:tc>
          <w:tcPr>
            <w:tcW w:w="5900" w:type="dxa"/>
            <w:tcBorders/>
          </w:tcPr>
          <w:p>
            <w:pPr>
              <w:pStyle w:val="Style23"/>
              <w:widowControl/>
              <w:spacing w:lineRule="auto" w:line="240" w:before="60" w:after="60"/>
              <w:rPr>
                <w:sz w:val="24"/>
                <w:szCs w:val="24"/>
              </w:rPr>
            </w:pPr>
            <w:r>
              <w:rPr>
                <w:rFonts w:eastAsia="Calibri" w:cs="Arial"/>
                <w:kern w:val="0"/>
                <w:sz w:val="24"/>
                <w:szCs w:val="24"/>
                <w:lang w:val="ru-RU" w:eastAsia="en-US" w:bidi="ar-SA"/>
              </w:rPr>
              <w:t>В бумажной или электронной форме (подробный порядок заключения Договора содержится в разделе </w:t>
            </w:r>
            <w:r>
              <w:rPr>
                <w:rFonts w:eastAsia="Calibri" w:cs="Arial"/>
                <w:kern w:val="0"/>
                <w:sz w:val="24"/>
                <w:szCs w:val="24"/>
                <w:lang w:val="ru-RU" w:eastAsia="en-US" w:bidi="ar-SA"/>
              </w:rPr>
              <w:fldChar w:fldCharType="begin"/>
            </w:r>
            <w:r>
              <w:rPr>
                <w:sz w:val="24"/>
                <w:kern w:val="0"/>
                <w:szCs w:val="24"/>
                <w:rFonts w:eastAsia="Calibri" w:cs="Arial"/>
                <w:lang w:val="ru-RU" w:eastAsia="en-US" w:bidi="ar-SA"/>
              </w:rPr>
              <w:instrText xml:space="preserve"> REF _Ref126142429 \r \h </w:instrText>
            </w:r>
            <w:r>
              <w:rPr>
                <w:sz w:val="24"/>
                <w:kern w:val="0"/>
                <w:szCs w:val="24"/>
                <w:rFonts w:eastAsia="Calibri" w:cs="Arial"/>
                <w:lang w:val="ru-RU" w:eastAsia="en-US" w:bidi="ar-SA"/>
              </w:rPr>
              <w:fldChar w:fldCharType="separate"/>
            </w:r>
            <w:r>
              <w:rPr>
                <w:sz w:val="24"/>
                <w:kern w:val="0"/>
                <w:szCs w:val="24"/>
                <w:rFonts w:eastAsia="Calibri" w:cs="Arial"/>
                <w:lang w:val="ru-RU" w:eastAsia="en-US" w:bidi="ar-SA"/>
              </w:rPr>
              <w:t>5</w:t>
            </w:r>
            <w:r>
              <w:rPr>
                <w:sz w:val="24"/>
                <w:kern w:val="0"/>
                <w:szCs w:val="24"/>
                <w:rFonts w:eastAsia="Calibri" w:cs="Arial"/>
                <w:lang w:val="ru-RU" w:eastAsia="en-US" w:bidi="ar-SA"/>
              </w:rPr>
              <w:fldChar w:fldCharType="end"/>
            </w:r>
            <w:r>
              <w:rPr>
                <w:rFonts w:eastAsia="Calibri" w:cs="Arial"/>
                <w:kern w:val="0"/>
                <w:sz w:val="24"/>
                <w:szCs w:val="24"/>
                <w:lang w:val="ru-RU" w:eastAsia="en-US" w:bidi="ar-SA"/>
              </w:rPr>
              <w:t>).</w:t>
            </w:r>
          </w:p>
          <w:p>
            <w:pPr>
              <w:pStyle w:val="Style23"/>
              <w:widowControl/>
              <w:spacing w:lineRule="auto" w:line="240" w:before="60" w:after="60"/>
              <w:rPr>
                <w:sz w:val="24"/>
                <w:szCs w:val="24"/>
              </w:rPr>
            </w:pPr>
            <w:r>
              <w:rPr>
                <w:rFonts w:eastAsia="Calibri" w:cs="Arial"/>
                <w:kern w:val="0"/>
                <w:sz w:val="24"/>
                <w:szCs w:val="24"/>
                <w:lang w:val="ru-RU" w:eastAsia="en-US" w:bidi="ar-SA"/>
              </w:rPr>
              <w:t xml:space="preserve">Если договор будет заключаться в электронной форме посредством информационной системы электронного документооборота </w:t>
            </w:r>
            <w:r>
              <w:rPr>
                <w:rFonts w:eastAsia="Times New Roman" w:cs="Times New Roman"/>
                <w:kern w:val="0"/>
                <w:sz w:val="24"/>
                <w:szCs w:val="24"/>
                <w:lang w:val="ru-RU" w:eastAsia="en-US" w:bidi="ar-SA"/>
              </w:rPr>
              <w:t>https://diadoc.kontur.ru</w:t>
            </w:r>
            <w:r>
              <w:rPr>
                <w:rFonts w:eastAsia="Calibri" w:cs="Arial"/>
                <w:kern w:val="0"/>
                <w:sz w:val="24"/>
                <w:szCs w:val="24"/>
                <w:lang w:val="ru-RU" w:eastAsia="en-US" w:bidi="ar-SA"/>
              </w:rPr>
              <w:t>, то Победителю будет необходимо заключить соглашение с оператором информационной системы электронного документооборота, посредством которой Победитель будет осуществлять обмен договорными документами в электронной форме. Для заключения договора необходимо наличие у Победителя усиленной квалифицированной электронной подписи, выданной аккредитованным удостоверяющим центром. Победителю будет необходимо принять приглашение о переходе на электронный юридически значимый документооборот посредством акцепта полученного от используемой Заказчиком системы электронного документооборота соответствующего соглашения, направленного Заказчиком.</w:t>
            </w:r>
          </w:p>
        </w:tc>
      </w:tr>
      <w:tr>
        <w:trPr/>
        <w:tc>
          <w:tcPr>
            <w:tcW w:w="845" w:type="dxa"/>
            <w:tcBorders/>
          </w:tcPr>
          <w:p>
            <w:pPr>
              <w:pStyle w:val="Style19"/>
              <w:widowControl/>
              <w:spacing w:lineRule="auto" w:line="240" w:before="60" w:after="60"/>
              <w:rPr>
                <w:sz w:val="24"/>
                <w:szCs w:val="24"/>
              </w:rPr>
            </w:pPr>
            <w:r>
              <w:rPr>
                <w:sz w:val="24"/>
                <w:szCs w:val="24"/>
              </w:rPr>
            </w:r>
            <w:bookmarkStart w:id="55" w:name="_Ref125366813"/>
            <w:bookmarkStart w:id="56" w:name="_Ref125366813"/>
            <w:bookmarkEnd w:id="56"/>
          </w:p>
        </w:tc>
        <w:tc>
          <w:tcPr>
            <w:tcW w:w="3233" w:type="dxa"/>
            <w:tcBorders/>
          </w:tcPr>
          <w:p>
            <w:pPr>
              <w:pStyle w:val="Style23"/>
              <w:widowControl/>
              <w:spacing w:lineRule="auto" w:line="240" w:before="60" w:after="60"/>
              <w:jc w:val="left"/>
              <w:rPr>
                <w:sz w:val="24"/>
                <w:szCs w:val="24"/>
              </w:rPr>
            </w:pPr>
            <w:r>
              <w:rPr>
                <w:rFonts w:eastAsia="Calibri" w:cs="Arial"/>
                <w:kern w:val="0"/>
                <w:sz w:val="24"/>
                <w:szCs w:val="24"/>
                <w:lang w:val="ru-RU" w:eastAsia="en-US" w:bidi="ar-SA"/>
              </w:rPr>
              <w:t>Место подачи документов в отношении цепочки собственников, включая конечных бенефициаров:</w:t>
            </w:r>
          </w:p>
        </w:tc>
        <w:tc>
          <w:tcPr>
            <w:tcW w:w="5900" w:type="dxa"/>
            <w:tcBorders/>
          </w:tcPr>
          <w:p>
            <w:pPr>
              <w:pStyle w:val="Style23"/>
              <w:keepNext w:val="true"/>
              <w:widowControl/>
              <w:spacing w:lineRule="auto" w:line="240" w:before="60" w:after="60"/>
              <w:jc w:val="both"/>
              <w:rPr>
                <w:i w:val="false"/>
                <w:i w:val="false"/>
                <w:iCs w:val="false"/>
                <w:kern w:val="0"/>
                <w:sz w:val="24"/>
                <w:szCs w:val="24"/>
              </w:rPr>
            </w:pPr>
            <w:r>
              <w:rPr>
                <w:rFonts w:eastAsia="Calibri" w:cs="Arial"/>
                <w:i w:val="false"/>
                <w:iCs w:val="false"/>
                <w:kern w:val="0"/>
                <w:sz w:val="24"/>
                <w:szCs w:val="24"/>
                <w:lang w:val="ru-RU" w:eastAsia="en-US" w:bidi="ar-SA"/>
              </w:rPr>
              <w:t>Для подачи документов в бумажной форме:</w:t>
            </w:r>
          </w:p>
          <w:p>
            <w:pPr>
              <w:pStyle w:val="Style23"/>
              <w:keepNext w:val="true"/>
              <w:widowControl/>
              <w:spacing w:lineRule="auto" w:line="240" w:before="60" w:after="60"/>
              <w:jc w:val="both"/>
              <w:rPr>
                <w:i w:val="false"/>
                <w:i w:val="false"/>
                <w:iCs w:val="false"/>
                <w:kern w:val="0"/>
                <w:sz w:val="24"/>
                <w:szCs w:val="24"/>
              </w:rPr>
            </w:pPr>
            <w:r>
              <w:rPr>
                <w:rFonts w:eastAsia="Calibri" w:cs="Arial"/>
                <w:i w:val="false"/>
                <w:iCs w:val="false"/>
                <w:kern w:val="0"/>
                <w:sz w:val="24"/>
                <w:szCs w:val="24"/>
                <w:lang w:val="ru-RU" w:eastAsia="en-US" w:bidi="ar-SA"/>
              </w:rPr>
              <w:t xml:space="preserve">Контактное лицо (Ф.И.О.): </w:t>
            </w:r>
            <w:r>
              <w:rPr>
                <w:rFonts w:eastAsia="Times New Roman" w:cs="Times New Roman"/>
                <w:i w:val="false"/>
                <w:iCs w:val="false"/>
                <w:sz w:val="24"/>
                <w:szCs w:val="24"/>
                <w:lang w:val="ru-RU" w:eastAsia="en-US" w:bidi="ar-SA"/>
              </w:rPr>
              <w:t>Меркулов Д.А.</w:t>
            </w:r>
          </w:p>
          <w:p>
            <w:pPr>
              <w:pStyle w:val="Style23"/>
              <w:keepNext w:val="true"/>
              <w:widowControl/>
              <w:spacing w:lineRule="auto" w:line="240" w:before="60" w:after="60"/>
              <w:jc w:val="both"/>
              <w:rPr>
                <w:i w:val="false"/>
                <w:i w:val="false"/>
                <w:iCs w:val="false"/>
                <w:kern w:val="0"/>
                <w:sz w:val="24"/>
                <w:szCs w:val="24"/>
              </w:rPr>
            </w:pPr>
            <w:r>
              <w:rPr>
                <w:rFonts w:eastAsia="Calibri" w:cs="Arial"/>
                <w:i w:val="false"/>
                <w:iCs w:val="false"/>
                <w:kern w:val="0"/>
                <w:sz w:val="24"/>
                <w:szCs w:val="24"/>
                <w:lang w:val="ru-RU" w:eastAsia="en-US" w:bidi="ar-SA"/>
              </w:rPr>
              <w:t>Почтовый адрес:</w:t>
            </w:r>
          </w:p>
          <w:p>
            <w:pPr>
              <w:pStyle w:val="Normal"/>
              <w:tabs>
                <w:tab w:val="clear" w:pos="708"/>
                <w:tab w:val="left" w:pos="295" w:leader="none"/>
              </w:tabs>
              <w:spacing w:lineRule="auto" w:line="240" w:before="60" w:after="60"/>
              <w:ind w:hanging="0"/>
              <w:jc w:val="both"/>
              <w:rPr>
                <w:i w:val="false"/>
                <w:i w:val="false"/>
                <w:iCs w:val="false"/>
                <w:sz w:val="24"/>
                <w:szCs w:val="24"/>
              </w:rPr>
            </w:pPr>
            <w:r>
              <w:rPr>
                <w:rFonts w:eastAsia="Times New Roman" w:cs="Times New Roman"/>
                <w:i w:val="false"/>
                <w:iCs w:val="false"/>
                <w:sz w:val="24"/>
                <w:szCs w:val="24"/>
                <w:lang w:val="ru-RU" w:eastAsia="en-US" w:bidi="ar-SA"/>
              </w:rPr>
              <w:t>680000, Хабаровский край, г.Хабаровск, ул. Фрунзе, 49</w:t>
            </w:r>
          </w:p>
        </w:tc>
      </w:tr>
      <w:tr>
        <w:trPr/>
        <w:tc>
          <w:tcPr>
            <w:tcW w:w="845" w:type="dxa"/>
            <w:tcBorders/>
          </w:tcPr>
          <w:p>
            <w:pPr>
              <w:pStyle w:val="Style19"/>
              <w:widowControl/>
              <w:spacing w:lineRule="auto" w:line="240" w:before="60" w:after="60"/>
              <w:rPr>
                <w:sz w:val="24"/>
                <w:szCs w:val="24"/>
              </w:rPr>
            </w:pPr>
            <w:r>
              <w:rPr>
                <w:sz w:val="24"/>
                <w:szCs w:val="24"/>
              </w:rPr>
            </w:r>
            <w:bookmarkStart w:id="57" w:name="_Ref125368490"/>
            <w:bookmarkStart w:id="58" w:name="_Ref125368490"/>
            <w:bookmarkEnd w:id="58"/>
          </w:p>
        </w:tc>
        <w:tc>
          <w:tcPr>
            <w:tcW w:w="3233" w:type="dxa"/>
            <w:tcBorders/>
          </w:tcPr>
          <w:p>
            <w:pPr>
              <w:pStyle w:val="Style23"/>
              <w:widowControl/>
              <w:spacing w:lineRule="auto" w:line="240" w:before="60" w:after="60"/>
              <w:jc w:val="left"/>
              <w:rPr>
                <w:sz w:val="24"/>
                <w:szCs w:val="24"/>
              </w:rPr>
            </w:pPr>
            <w:r>
              <w:rPr>
                <w:rFonts w:eastAsia="Calibri" w:cs="Arial"/>
                <w:kern w:val="0"/>
                <w:sz w:val="24"/>
                <w:szCs w:val="24"/>
                <w:lang w:val="ru-RU" w:eastAsia="en-US" w:bidi="ar-SA"/>
              </w:rPr>
              <w:t>Некритичные пункты Проекта договора:</w:t>
            </w:r>
          </w:p>
        </w:tc>
        <w:tc>
          <w:tcPr>
            <w:tcW w:w="5900" w:type="dxa"/>
            <w:tcBorders/>
          </w:tcPr>
          <w:p>
            <w:pPr>
              <w:pStyle w:val="Style23"/>
              <w:widowControl/>
              <w:spacing w:lineRule="auto" w:line="240" w:before="60" w:after="60"/>
              <w:rPr>
                <w:sz w:val="24"/>
                <w:szCs w:val="24"/>
              </w:rPr>
            </w:pPr>
            <w:r>
              <w:rPr>
                <w:rFonts w:eastAsia="Calibri" w:cs="Arial"/>
                <w:kern w:val="0"/>
                <w:sz w:val="24"/>
                <w:szCs w:val="24"/>
                <w:lang w:val="ru-RU" w:eastAsia="en-US" w:bidi="ar-SA"/>
              </w:rPr>
              <w:t>Отсутствуют.</w:t>
            </w:r>
          </w:p>
        </w:tc>
      </w:tr>
      <w:tr>
        <w:trPr/>
        <w:tc>
          <w:tcPr>
            <w:tcW w:w="845" w:type="dxa"/>
            <w:tcBorders/>
          </w:tcPr>
          <w:p>
            <w:pPr>
              <w:pStyle w:val="Style19"/>
              <w:widowControl/>
              <w:spacing w:lineRule="auto" w:line="240" w:before="60" w:after="60"/>
              <w:rPr>
                <w:sz w:val="24"/>
                <w:szCs w:val="24"/>
              </w:rPr>
            </w:pPr>
            <w:r>
              <w:rPr>
                <w:sz w:val="24"/>
                <w:szCs w:val="24"/>
              </w:rPr>
            </w:r>
          </w:p>
        </w:tc>
        <w:tc>
          <w:tcPr>
            <w:tcW w:w="3233" w:type="dxa"/>
            <w:tcBorders/>
          </w:tcPr>
          <w:p>
            <w:pPr>
              <w:pStyle w:val="Style23"/>
              <w:widowControl/>
              <w:spacing w:lineRule="auto" w:line="240" w:before="60" w:after="60"/>
              <w:jc w:val="left"/>
              <w:rPr>
                <w:sz w:val="24"/>
                <w:szCs w:val="24"/>
              </w:rPr>
            </w:pPr>
            <w:r>
              <w:rPr>
                <w:rFonts w:eastAsia="Calibri" w:cs="Arial"/>
                <w:kern w:val="0"/>
                <w:sz w:val="24"/>
                <w:szCs w:val="24"/>
                <w:lang w:val="ru-RU" w:eastAsia="en-US" w:bidi="ar-SA"/>
              </w:rPr>
              <w:t>Обеспечение</w:t>
              <w:br/>
              <w:t>исполнения Договора:</w:t>
            </w:r>
          </w:p>
        </w:tc>
        <w:tc>
          <w:tcPr>
            <w:tcW w:w="5900" w:type="dxa"/>
            <w:tcBorders/>
          </w:tcPr>
          <w:p>
            <w:pPr>
              <w:pStyle w:val="Style23"/>
              <w:widowControl/>
              <w:spacing w:lineRule="auto" w:line="240" w:before="60" w:after="60"/>
              <w:jc w:val="both"/>
              <w:rPr>
                <w:sz w:val="24"/>
                <w:szCs w:val="24"/>
              </w:rPr>
            </w:pPr>
            <w:r>
              <w:rPr>
                <w:rFonts w:eastAsia="Calibri" w:cs="Arial"/>
                <w:kern w:val="0"/>
                <w:sz w:val="24"/>
                <w:szCs w:val="24"/>
                <w:lang w:val="ru-RU" w:eastAsia="en-US" w:bidi="ar-SA"/>
              </w:rPr>
              <w:t>Не требуется.</w:t>
            </w:r>
          </w:p>
          <w:p>
            <w:pPr>
              <w:pStyle w:val="Style23"/>
              <w:widowControl/>
              <w:spacing w:lineRule="auto" w:line="240" w:before="60" w:after="60"/>
              <w:jc w:val="both"/>
              <w:rPr>
                <w:rFonts w:eastAsia="Calibri" w:cs="Arial"/>
                <w:sz w:val="24"/>
                <w:szCs w:val="24"/>
                <w:highlight w:val="none"/>
                <w:lang w:val="ru-RU" w:eastAsia="en-US" w:bidi="ar-SA"/>
              </w:rPr>
            </w:pPr>
            <w:r>
              <w:rPr>
                <w:rFonts w:eastAsia="Calibri" w:cs="Arial"/>
                <w:sz w:val="24"/>
                <w:szCs w:val="24"/>
                <w:lang w:val="ru-RU" w:eastAsia="en-US" w:bidi="ar-SA"/>
              </w:rPr>
            </w:r>
          </w:p>
        </w:tc>
      </w:tr>
    </w:tbl>
    <w:p>
      <w:pPr>
        <w:pStyle w:val="Style17"/>
        <w:spacing w:before="0" w:after="0"/>
        <w:rPr/>
      </w:pPr>
      <w:bookmarkStart w:id="59" w:name="_Ref125360073"/>
      <w:bookmarkStart w:id="60" w:name="_Ref125360337"/>
      <w:bookmarkStart w:id="61" w:name="_Toc230928830"/>
      <w:r>
        <w:rPr/>
        <w:t>Общие положения</w:t>
      </w:r>
      <w:bookmarkEnd w:id="59"/>
      <w:bookmarkEnd w:id="60"/>
      <w:bookmarkEnd w:id="61"/>
    </w:p>
    <w:p>
      <w:pPr>
        <w:pStyle w:val="Style18"/>
        <w:spacing w:before="360" w:after="0"/>
        <w:rPr/>
      </w:pPr>
      <w:bookmarkStart w:id="62" w:name="_Toc230928831"/>
      <w:r>
        <w:rPr/>
        <w:t>Общие сведения о закупке</w:t>
      </w:r>
      <w:bookmarkEnd w:id="62"/>
    </w:p>
    <w:p>
      <w:pPr>
        <w:pStyle w:val="Style19"/>
        <w:spacing w:before="120" w:after="0"/>
        <w:rPr/>
      </w:pPr>
      <w:r>
        <w:rPr/>
        <w:t>Организатор официально размещенным Извещением приглашает лиц, указанных в подразделе </w:t>
      </w:r>
      <w:r>
        <w:rPr/>
        <w:fldChar w:fldCharType="begin"/>
      </w:r>
      <w:r>
        <w:rPr/>
        <w:instrText xml:space="preserve"> REF _Ref125359973 \r \h </w:instrText>
      </w:r>
      <w:r>
        <w:rPr/>
        <w:fldChar w:fldCharType="separate"/>
      </w:r>
      <w:r>
        <w:rPr/>
        <w:t>1.2</w:t>
      </w:r>
      <w:r>
        <w:rPr/>
        <w:fldChar w:fldCharType="end"/>
      </w:r>
      <w:r>
        <w:rPr/>
        <w:t>, к участию в закупке на право заключения договора, предмет которого указан в том же подразделе.</w:t>
      </w:r>
    </w:p>
    <w:p>
      <w:pPr>
        <w:pStyle w:val="Style19"/>
        <w:spacing w:before="0" w:after="0"/>
        <w:rPr/>
      </w:pPr>
      <w:r>
        <w:rPr/>
        <w:t>Требования к Участникам, а также к документам, подтверждающим соответствие установленным требованиям, приведены в разделе </w:t>
      </w:r>
      <w:r>
        <w:rPr/>
        <w:fldChar w:fldCharType="begin"/>
      </w:r>
      <w:r>
        <w:rPr/>
        <w:instrText xml:space="preserve"> REF _Ref125361210 \r \h </w:instrText>
      </w:r>
      <w:r>
        <w:rPr/>
        <w:fldChar w:fldCharType="separate"/>
      </w:r>
      <w:r>
        <w:rPr/>
        <w:t>3</w:t>
      </w:r>
      <w:r>
        <w:rPr/>
        <w:fldChar w:fldCharType="end"/>
      </w:r>
      <w:r>
        <w:rPr/>
        <w:t xml:space="preserve"> Документации о закупке.</w:t>
      </w:r>
    </w:p>
    <w:p>
      <w:pPr>
        <w:pStyle w:val="Style19"/>
        <w:spacing w:before="0" w:after="0"/>
        <w:rPr/>
      </w:pPr>
      <w:r>
        <w:rPr/>
        <w:t xml:space="preserve">Требования к поставляемой продукции, включая срок, объем и место поставки продукции, изложены в </w:t>
      </w:r>
      <w:hyperlink w:anchor="Прил01_ТехТребования" w:tgtFrame="#Прил01_ТехТребования">
        <w:r>
          <w:rPr>
            <w:color w:val="000000"/>
            <w:spacing w:val="0"/>
            <w:u w:val="single"/>
            <w:shd w:fill="auto" w:val="clear"/>
            <w:lang w:val="ru-RU"/>
          </w:rPr>
          <w:t>Технических требованиях (Приложение № 1)</w:t>
        </w:r>
      </w:hyperlink>
      <w:r>
        <w:rPr/>
        <w:t xml:space="preserve">. </w:t>
      </w:r>
      <w:hyperlink w:anchor="Прил02_ПроектДоговора" w:tgtFrame="#Прил02_ПроектДоговора">
        <w:r>
          <w:rPr>
            <w:color w:val="000000"/>
            <w:spacing w:val="0"/>
            <w:u w:val="single"/>
            <w:shd w:fill="auto" w:val="clear"/>
            <w:lang w:val="ru-RU"/>
          </w:rPr>
          <w:t>Проект договора</w:t>
        </w:r>
      </w:hyperlink>
      <w:r>
        <w:rPr/>
        <w:t>, который планируется заключить по результатам закупки, в том числе содержащий условия по форме, срокам и порядку оплаты, приведен в </w:t>
      </w:r>
      <w:hyperlink w:anchor="Прил02_ПроектДоговора" w:tgtFrame="#Прил02_ПроектДоговора">
        <w:r>
          <w:rPr>
            <w:color w:val="000000"/>
            <w:spacing w:val="0"/>
            <w:u w:val="single"/>
            <w:shd w:fill="auto" w:val="clear"/>
            <w:lang w:val="ru-RU"/>
          </w:rPr>
          <w:t>Приложении № 2</w:t>
        </w:r>
      </w:hyperlink>
      <w:r>
        <w:rPr/>
        <w:t>. Если в подразделе </w:t>
      </w:r>
      <w:r>
        <w:rPr/>
        <w:fldChar w:fldCharType="begin"/>
      </w:r>
      <w:r>
        <w:rPr/>
        <w:instrText xml:space="preserve"> REF _Ref125359973 \r \h </w:instrText>
      </w:r>
      <w:r>
        <w:rPr/>
        <w:fldChar w:fldCharType="separate"/>
      </w:r>
      <w:r>
        <w:rPr/>
        <w:t>1.2</w:t>
      </w:r>
      <w:r>
        <w:rPr/>
        <w:fldChar w:fldCharType="end"/>
      </w:r>
      <w:r>
        <w:rPr/>
        <w:t xml:space="preserve"> установлено, что национальный режим не предоставляется, то требования к закупаемой продукции (в части страны происхождения товара) также могут быть установлены в Структуре НМЦ (в составе Коммерческого предложения (форма 3) (</w:t>
      </w:r>
      <w:hyperlink w:anchor="Прил04_ФормыЗаявки" w:tgtFrame="#Прил04_ФормыЗаявки">
        <w:r>
          <w:rPr>
            <w:color w:val="000000"/>
            <w:spacing w:val="0"/>
            <w:u w:val="single"/>
            <w:shd w:fill="auto" w:val="clear"/>
            <w:lang w:val="ru-RU"/>
          </w:rPr>
          <w:t>Приложение № 4</w:t>
        </w:r>
      </w:hyperlink>
      <w:r>
        <w:rPr/>
        <w:t>)).</w:t>
      </w:r>
    </w:p>
    <w:p>
      <w:pPr>
        <w:pStyle w:val="Style19"/>
        <w:spacing w:before="0" w:after="0"/>
        <w:rPr/>
      </w:pPr>
      <w:r>
        <w:rPr/>
        <w:t>Подробная информация о порядке проведения закупки и участия в ней, а также о порядке заключения Договора, приведены в разделах </w:t>
      </w:r>
      <w:r>
        <w:rPr/>
        <w:fldChar w:fldCharType="begin"/>
      </w:r>
      <w:r>
        <w:rPr/>
        <w:instrText xml:space="preserve"> REF _Ref125361211 \r \h </w:instrText>
      </w:r>
      <w:r>
        <w:rPr/>
        <w:fldChar w:fldCharType="separate"/>
      </w:r>
      <w:r>
        <w:rPr/>
        <w:t>4</w:t>
      </w:r>
      <w:r>
        <w:rPr/>
        <w:fldChar w:fldCharType="end"/>
      </w:r>
      <w:r>
        <w:rPr/>
        <w:t xml:space="preserve">, </w:t>
      </w:r>
      <w:r>
        <w:rPr/>
        <w:fldChar w:fldCharType="begin"/>
      </w:r>
      <w:r>
        <w:rPr/>
        <w:instrText xml:space="preserve"> REF _Ref126142429 \r \h </w:instrText>
      </w:r>
      <w:r>
        <w:rPr/>
        <w:fldChar w:fldCharType="separate"/>
      </w:r>
      <w:r>
        <w:rPr/>
        <w:t>5</w:t>
      </w:r>
      <w:r>
        <w:rPr/>
        <w:fldChar w:fldCharType="end"/>
      </w:r>
      <w:r>
        <w:rPr/>
        <w:t xml:space="preserve">, образцы основных форм документов, включаемых в заявку или предоставляемых Победителем, приведены в Приложениях </w:t>
      </w:r>
      <w:hyperlink w:anchor="Прил04_ФормыЗаявки" w:tgtFrame="#Прил04_ФормыЗаявки">
        <w:r>
          <w:rPr>
            <w:color w:val="000000"/>
            <w:spacing w:val="0"/>
            <w:u w:val="single"/>
            <w:shd w:fill="auto" w:val="clear"/>
            <w:lang w:val="ru-RU"/>
          </w:rPr>
          <w:t>№ 4</w:t>
        </w:r>
      </w:hyperlink>
      <w:r>
        <w:rPr/>
        <w:t xml:space="preserve">, </w:t>
      </w:r>
      <w:hyperlink w:anchor="Прил05_ФормыПобедителя" w:tgtFrame="#Прил05_ФормыПобедителя">
        <w:r>
          <w:rPr>
            <w:color w:val="000000"/>
            <w:spacing w:val="0"/>
            <w:u w:val="single"/>
            <w:shd w:fill="auto" w:val="clear"/>
            <w:lang w:val="ru-RU"/>
          </w:rPr>
          <w:t>№ 5</w:t>
        </w:r>
      </w:hyperlink>
      <w:r>
        <w:rPr/>
        <w:t>.</w:t>
      </w:r>
    </w:p>
    <w:p>
      <w:pPr>
        <w:pStyle w:val="Style18"/>
        <w:spacing w:before="360" w:after="0"/>
        <w:rPr/>
      </w:pPr>
      <w:bookmarkStart w:id="63" w:name="_Toc230928832"/>
      <w:r>
        <w:rPr/>
        <w:t>Правовой статус документов</w:t>
      </w:r>
      <w:bookmarkEnd w:id="63"/>
    </w:p>
    <w:p>
      <w:pPr>
        <w:pStyle w:val="Style19"/>
        <w:spacing w:before="120" w:after="0"/>
        <w:rPr/>
      </w:pPr>
      <w:r>
        <w:rPr/>
        <w:t>Документация о закупке вместе с Извещением, являющимся ее неотъемлемой частью, являются публичной офертой Организатора в соответствии со статьей 437 ГК РФ и должны рассматриваться Участниками в соответствии с этим до подведения итогов закупки. При наличии противоречий между положениями Извещения и Документации о закупке применяются положения Извещения.</w:t>
      </w:r>
    </w:p>
    <w:p>
      <w:pPr>
        <w:pStyle w:val="Style19"/>
        <w:spacing w:before="0" w:after="0"/>
        <w:rPr/>
      </w:pPr>
      <w:r>
        <w:rPr/>
        <w:t>Заявка Участника имеет правовой статус оферты и будет рассматриваться Организатором в течение указанного в ней срока ее действия.</w:t>
      </w:r>
    </w:p>
    <w:p>
      <w:pPr>
        <w:pStyle w:val="Style19"/>
        <w:keepNext w:val="true"/>
        <w:spacing w:before="0" w:after="0"/>
        <w:rPr/>
      </w:pPr>
      <w:bookmarkStart w:id="64" w:name="_Ref125366985"/>
      <w:r>
        <w:rPr/>
        <w:t>При определении условий Договора по результатам закупки используется иерархия документов, установленная в пункте </w:t>
      </w:r>
      <w:r>
        <w:rPr/>
        <w:fldChar w:fldCharType="begin"/>
      </w:r>
      <w:r>
        <w:rPr/>
        <w:instrText xml:space="preserve"> REF _Ref132288402 \r \h </w:instrText>
      </w:r>
      <w:r>
        <w:rPr/>
        <w:fldChar w:fldCharType="separate"/>
      </w:r>
      <w:r>
        <w:rPr/>
        <w:t>5.2.9</w:t>
      </w:r>
      <w:r>
        <w:rPr/>
        <w:fldChar w:fldCharType="end"/>
      </w:r>
      <w:bookmarkEnd w:id="64"/>
      <w:r>
        <w:rPr/>
        <w:t>.</w:t>
      </w:r>
    </w:p>
    <w:p>
      <w:pPr>
        <w:pStyle w:val="Style19"/>
        <w:spacing w:before="0" w:after="0"/>
        <w:rPr/>
      </w:pPr>
      <w:r>
        <w:rPr/>
        <w:t>Заключенный по результатам закупки Договор, в том числе, фиксирует все достигнутые сторонами в результате преддоговорных переговоров договоренности (при проведении таковых).</w:t>
      </w:r>
    </w:p>
    <w:p>
      <w:pPr>
        <w:pStyle w:val="Style19"/>
        <w:spacing w:before="0" w:after="0"/>
        <w:rPr/>
      </w:pPr>
      <w:r>
        <w:rPr/>
        <w:t>Во всем, что не урегулировано Извещением и Документацией о закупке, стороны руководствуются Законом 223-ФЗ и Положением о закупке (в редакции, действующей на дату официального размещения Извещения).</w:t>
      </w:r>
    </w:p>
    <w:p>
      <w:pPr>
        <w:pStyle w:val="Style19"/>
        <w:spacing w:before="0" w:after="0"/>
        <w:rPr/>
      </w:pPr>
      <w:r>
        <w:rPr/>
        <w:t>Если в отношении сторон Договора, заключаемого по результатам закупки, действуют также специальные нормативные правовые акты, зарегистрированные в установленном порядке, Документация о закупке и заявка Победителя будут считаться приоритетными по отношению к диспозитивным нормам указанных документов.</w:t>
      </w:r>
    </w:p>
    <w:p>
      <w:pPr>
        <w:pStyle w:val="Style19"/>
        <w:spacing w:before="0" w:after="0"/>
        <w:rPr/>
      </w:pPr>
      <w:r>
        <w:rPr/>
        <w:t>Иные документы Организатора и Участников не определяют права и обязанности сторон в связи с данной закупкой.</w:t>
      </w:r>
    </w:p>
    <w:p>
      <w:pPr>
        <w:pStyle w:val="Style19"/>
        <w:spacing w:before="0" w:after="0"/>
        <w:rPr/>
      </w:pPr>
      <w:r>
        <w:rPr/>
        <w:t>Любые уведомления, письма, предложения, иная переписка и действия председателя, заместителя председателя, членов, секретаря Закупочной комиссии и иных работников Заказчика и Организатора относительно условий, сроков проведения, предмета настоящей закупки (за исключением информации, представляемой Участникам в соответствии с Положением о закупке), носят исключительно информационный характер и не являются офертой либо акцептом Организатора или Заказчика.</w:t>
      </w:r>
    </w:p>
    <w:p>
      <w:pPr>
        <w:pStyle w:val="Style18"/>
        <w:spacing w:before="360" w:after="0"/>
        <w:rPr/>
      </w:pPr>
      <w:bookmarkStart w:id="65" w:name="_Ref125363536"/>
      <w:bookmarkStart w:id="66" w:name="_Toc230928833"/>
      <w:r>
        <w:rPr/>
        <w:t>Обжалование</w:t>
      </w:r>
      <w:bookmarkEnd w:id="65"/>
      <w:bookmarkEnd w:id="66"/>
    </w:p>
    <w:p>
      <w:pPr>
        <w:pStyle w:val="Style19"/>
        <w:spacing w:before="120" w:after="0"/>
        <w:rPr/>
      </w:pPr>
      <w:r>
        <w:rPr/>
        <w:t>Любой Участник, который заявляет, что понес или может понести убытки в результате нарушения его прав Заказчиком и (или) Организатором, отдельными членами Закупочной комиссии или Оператором ЭП, имеет право подать заявление о рассмотрении разногласий, связанных с проведением закупки.</w:t>
      </w:r>
    </w:p>
    <w:p>
      <w:pPr>
        <w:pStyle w:val="Style19"/>
        <w:spacing w:before="0" w:after="0"/>
        <w:rPr/>
      </w:pPr>
      <w:r>
        <w:rPr/>
        <w:t>До заключения Договора с Победителем заявления о рассмотрении разногласий направляются Участниками через круглосуточную «Линию доверия», посредством заполнения специальной формы на корпоративном сайте ПАО «РусГидро» (вкладка «Линия доверия»), или сообщения информации по указанному на корпоративном сайте телефону. На время рассмотрения разногласий процедура проведения закупки приостанавливается до вынесения решения, если тому нет явных препятствий юридического или экономического характера.</w:t>
      </w:r>
    </w:p>
    <w:p>
      <w:pPr>
        <w:pStyle w:val="Style19"/>
        <w:keepNext w:val="true"/>
        <w:spacing w:before="0" w:after="0"/>
        <w:rPr/>
      </w:pPr>
      <w:r>
        <w:rPr/>
        <w:t>Если разногласия не разрешены по взаимному согласию представившего их Участника и Заказчика, может быть принято одно из следующих решений:</w:t>
      </w:r>
    </w:p>
    <w:p>
      <w:pPr>
        <w:pStyle w:val="Style20"/>
        <w:spacing w:before="120" w:after="0"/>
        <w:rPr/>
      </w:pPr>
      <w:r>
        <w:rPr/>
        <w:t>обязать Заказчика, Организатора, членов Закупочной комиссии, совершивших неправомерные действия, применивших неправомерные процедуры либо принявших незаконное решение, совершить действия, соответствующие законодательству и Положению о закупке (в том числе, но не ограничиваясь, отменить составленные в ходе закупки протоколы, повторно рассмотреть заявки Участников);</w:t>
      </w:r>
    </w:p>
    <w:p>
      <w:pPr>
        <w:pStyle w:val="Style20"/>
        <w:spacing w:before="0" w:after="0"/>
        <w:rPr/>
      </w:pPr>
      <w:r>
        <w:rPr/>
        <w:t>признать заявление Участника необоснованным.</w:t>
      </w:r>
    </w:p>
    <w:p>
      <w:pPr>
        <w:pStyle w:val="Style19"/>
        <w:spacing w:before="120" w:after="0"/>
        <w:rPr/>
      </w:pPr>
      <w:r>
        <w:rPr/>
        <w:t>Участник вправе обжаловать действия (бездействие) Заказчика и (или) Организатора, Закупочной комиссии, Оператора ЭП при проведении настоящей закупки в антимонопольном органе в порядке, установленном законодательством. Если обжалуемые действия (бездействие) совершены после окончания установленного срока подачи заявок (подраздел </w:t>
      </w:r>
      <w:r>
        <w:rPr/>
        <w:fldChar w:fldCharType="begin"/>
      </w:r>
      <w:r>
        <w:rPr/>
        <w:instrText xml:space="preserve"> REF _Ref125359973 \r \h </w:instrText>
      </w:r>
      <w:r>
        <w:rPr/>
        <w:fldChar w:fldCharType="separate"/>
      </w:r>
      <w:r>
        <w:rPr/>
        <w:t>1.2</w:t>
      </w:r>
      <w:r>
        <w:rPr/>
        <w:fldChar w:fldCharType="end"/>
      </w:r>
      <w:r>
        <w:rPr/>
        <w:t>), обжалование таких действий (бездействия) может осуществляться только Участником, подавшим заявку на участие в такой закупке.</w:t>
      </w:r>
    </w:p>
    <w:p>
      <w:pPr>
        <w:pStyle w:val="Style19"/>
        <w:spacing w:before="0" w:after="0"/>
        <w:rPr/>
      </w:pPr>
      <w:r>
        <w:rPr/>
        <w:t>Все споры и разногласия, возникающие в связи с проведением закупки, касающиеся исполнения Организатором, Заказчиком и Участниками своих обязательств, в том числе не урегулированные путем обращения на «Линию доверия» и (или) антимонопольные органы, подлежат разрешению следующим образом:</w:t>
      </w:r>
    </w:p>
    <w:p>
      <w:pPr>
        <w:pStyle w:val="Style20"/>
        <w:spacing w:before="120" w:after="0"/>
        <w:rPr/>
      </w:pPr>
      <w:r>
        <w:rPr/>
        <w:t>по закупкам, проводимым закупочными комиссиями 1-го уровня – в Арбитражном суде по месту нахождения Заказчика (либо соответствующего филиала Заказчика, для нужд которого проводится настоящая закупка);</w:t>
      </w:r>
    </w:p>
    <w:p>
      <w:pPr>
        <w:pStyle w:val="Style20"/>
        <w:spacing w:before="0" w:after="0"/>
        <w:rPr/>
      </w:pPr>
      <w:r>
        <w:rPr/>
        <w:t>по закупкам, проводимым закупочными комиссиями 2-го уровня, специальными закупочными комиссиями, закупочными комиссиями исполнительного аппарата ПАО «РусГидро» – в Арбитражном суде Красноярского края.</w:t>
      </w:r>
    </w:p>
    <w:p>
      <w:pPr>
        <w:pStyle w:val="Style23"/>
        <w:ind w:left="1134"/>
        <w:rPr/>
      </w:pPr>
      <w:r>
        <w:rPr/>
        <w:t>Закупочная комиссия определяется в соответствии с Положением о закупке.</w:t>
      </w:r>
    </w:p>
    <w:p>
      <w:pPr>
        <w:pStyle w:val="Style18"/>
        <w:spacing w:before="360" w:after="0"/>
        <w:rPr/>
      </w:pPr>
      <w:bookmarkStart w:id="67" w:name="_Ref125472658"/>
      <w:bookmarkStart w:id="68" w:name="_Toc230928834"/>
      <w:r>
        <w:rPr/>
        <w:t>Особые положения при проведении закупки с использованием ЭП</w:t>
      </w:r>
      <w:bookmarkEnd w:id="67"/>
      <w:bookmarkEnd w:id="68"/>
    </w:p>
    <w:p>
      <w:pPr>
        <w:pStyle w:val="Style19"/>
        <w:spacing w:before="120" w:after="0"/>
        <w:rPr/>
      </w:pPr>
      <w:r>
        <w:rPr/>
        <w:t>Наименование ЭП, посредством которой проводится закупка, указано в подразделе </w:t>
      </w:r>
      <w:r>
        <w:rPr/>
        <w:fldChar w:fldCharType="begin"/>
      </w:r>
      <w:r>
        <w:rPr/>
        <w:instrText xml:space="preserve"> REF _Ref125359973 \r \h </w:instrText>
      </w:r>
      <w:r>
        <w:rPr/>
        <w:fldChar w:fldCharType="separate"/>
      </w:r>
      <w:r>
        <w:rPr/>
        <w:t>1.2</w:t>
      </w:r>
      <w:r>
        <w:rPr/>
        <w:fldChar w:fldCharType="end"/>
      </w:r>
      <w:r>
        <w:rPr/>
        <w:t>. До подачи заявки Участник обязан ознакомиться с Регламентом ЭП, опубликованными на сайте соответствующей ЭП.</w:t>
      </w:r>
    </w:p>
    <w:p>
      <w:pPr>
        <w:pStyle w:val="Style19"/>
        <w:spacing w:before="0" w:after="0"/>
        <w:rPr/>
      </w:pPr>
      <w:r>
        <w:rPr/>
        <w:t>Для участия в закупке Участник должен пройти процедуру регистрации на ЭП. Регистрация осуществляется Оператором ЭП, и Организатор (Заказчик) не несет ответственности за результат ее прохождения Участником, в том числе понесенные им затраты.</w:t>
      </w:r>
    </w:p>
    <w:p>
      <w:pPr>
        <w:pStyle w:val="Style19"/>
        <w:spacing w:before="0" w:after="0"/>
        <w:rPr/>
      </w:pPr>
      <w:bookmarkStart w:id="69" w:name="_Ref135748672"/>
      <w:r>
        <w:rPr/>
        <w:t>Обмен всей информацией, связанной с проведением закупки (между Участником, Организатором (Заказчиком) и Оператором ЭП) осуществляется на ЭП в форме электронных документов, подписанных усиленной квалифицированной электронной подписью уполномоченного лица.</w:t>
      </w:r>
      <w:bookmarkEnd w:id="69"/>
    </w:p>
    <w:p>
      <w:pPr>
        <w:pStyle w:val="Style19"/>
        <w:spacing w:before="0" w:after="0"/>
        <w:rPr/>
      </w:pPr>
      <w:bookmarkStart w:id="70" w:name="_Ref135748741"/>
      <w:r>
        <w:rPr/>
        <w:t>Стоимость заявки (цена Договора) и иные условия закупки, указанные Участниками в специальных электронных формах на ЭП, имеют преимущество перед сведениями, указанными в загруженных на ЭП электронных документах.</w:t>
      </w:r>
      <w:bookmarkEnd w:id="70"/>
    </w:p>
    <w:p>
      <w:pPr>
        <w:pStyle w:val="Style18"/>
        <w:spacing w:before="360" w:after="0"/>
        <w:rPr/>
      </w:pPr>
      <w:bookmarkStart w:id="71" w:name="_Toc230928835"/>
      <w:r>
        <w:rPr/>
        <w:t>Прочие положения</w:t>
      </w:r>
      <w:bookmarkEnd w:id="71"/>
    </w:p>
    <w:p>
      <w:pPr>
        <w:pStyle w:val="Style19"/>
        <w:spacing w:before="120" w:after="0"/>
        <w:rPr/>
      </w:pPr>
      <w:r>
        <w:rPr/>
        <w:t>Заказчик, Организатор и Оператор ЭП обеспечивают конфиденциальность относительно всех полученных от Участников сведений, в том числе содержащихся в заявках. Предоставление этой информации другим Участникам или третьим лицам возможно только в случаях, прямо предусмотренных законодательством или Документацией о закупке.</w:t>
      </w:r>
    </w:p>
    <w:p>
      <w:pPr>
        <w:pStyle w:val="Style19"/>
        <w:spacing w:before="0" w:after="0"/>
        <w:rPr/>
      </w:pPr>
      <w:bookmarkStart w:id="72" w:name="_Ref136257236"/>
      <w:r>
        <w:rPr/>
        <w:t>Организатор (по решению Закупочной комиссии), вправе отклонить заявку, если будет установлено, что Участник каким-либо способом повлиял на рассмотрение заявок, их оценку и сопоставление, подведение итогов закупки (определение Победителя), в том числе прямо или косвенно дал, согласился дать или предложил работнику Организатора, Заказчика, члену Закупочной комиссии или эксперту, осуществлявшему экспертизу заявок, вознаграждение в любой форме: работу, услугу, какую-либо ценность в качестве стимула, и (или) оказал каким-либо иным образом давление на указанных лиц.</w:t>
      </w:r>
      <w:bookmarkEnd w:id="72"/>
    </w:p>
    <w:p>
      <w:pPr>
        <w:pStyle w:val="Style19"/>
        <w:spacing w:before="0" w:after="0"/>
        <w:rPr/>
      </w:pPr>
      <w:r>
        <w:rPr/>
        <w:t>С целью предупреждения и противодействия противоправным действиям в Группе РусГидро организована круглосуточная «Линия доверия», обратиться на которую можно по телефону +7 (495) 785 09 37 (круглосуточно), или заполнив соответствующую форму на корпоративном сайте ПАО «РусГидро», вкладка «Линия доверия».</w:t>
      </w:r>
    </w:p>
    <w:p>
      <w:pPr>
        <w:pStyle w:val="Style17"/>
        <w:spacing w:before="0" w:after="0"/>
        <w:rPr/>
      </w:pPr>
      <w:bookmarkStart w:id="73" w:name="_Ref125361210"/>
      <w:bookmarkStart w:id="74" w:name="_Toc230928836"/>
      <w:r>
        <w:rPr/>
        <w:t>Требования к Участникам</w:t>
      </w:r>
      <w:bookmarkEnd w:id="73"/>
      <w:bookmarkEnd w:id="74"/>
    </w:p>
    <w:p>
      <w:pPr>
        <w:pStyle w:val="Style18"/>
        <w:spacing w:before="360" w:after="0"/>
        <w:rPr/>
      </w:pPr>
      <w:bookmarkStart w:id="75" w:name="_Toc230928837"/>
      <w:bookmarkStart w:id="76" w:name="_Ref127524530"/>
      <w:r>
        <w:rPr/>
        <w:t>Общие требования к Участникам</w:t>
      </w:r>
      <w:bookmarkEnd w:id="75"/>
      <w:bookmarkEnd w:id="76"/>
    </w:p>
    <w:p>
      <w:pPr>
        <w:pStyle w:val="Style19"/>
        <w:spacing w:before="120" w:after="0"/>
        <w:rPr/>
      </w:pPr>
      <w:bookmarkStart w:id="77" w:name="_Ref125361514"/>
      <w:r>
        <w:rPr/>
        <w:t>Из лиц, указанных в подразделе </w:t>
      </w:r>
      <w:r>
        <w:rPr/>
        <w:fldChar w:fldCharType="begin"/>
      </w:r>
      <w:r>
        <w:rPr/>
        <w:instrText xml:space="preserve"> REF _Ref125359973 \r \h </w:instrText>
      </w:r>
      <w:r>
        <w:rPr/>
        <w:fldChar w:fldCharType="separate"/>
      </w:r>
      <w:r>
        <w:rPr/>
        <w:t>1.2</w:t>
      </w:r>
      <w:r>
        <w:rPr/>
        <w:fldChar w:fldCharType="end"/>
      </w:r>
      <w:r>
        <w:rPr/>
        <w:t>, участвовать в закупке может любое юридическое / физическое лицо (в том числе индивидуальный предприниматель), или несколько юридических / физических лиц, в том числе несколько индивидуальных предпринимателей, выступающих на стороне одного участника закупки, независимо от их организационно-правовой формы, формы собственности, места нахождения и места происхождения капитала. Исключение составляют юридические / физические лица, являющиеся иностранным агентом в соответствии с Законом 255-ФЗ – они не могут быть Участником, в том числе в составе группы лиц.</w:t>
      </w:r>
      <w:bookmarkEnd w:id="77"/>
    </w:p>
    <w:p>
      <w:pPr>
        <w:pStyle w:val="Style19"/>
        <w:spacing w:before="0" w:after="0"/>
        <w:rPr/>
      </w:pPr>
      <w:r>
        <w:rPr/>
        <w:t>Однако, чтобы претендовать на победу в закупке Участник самостоятельно или Коллективный участник (подраздел </w:t>
      </w:r>
      <w:r>
        <w:rPr/>
        <w:fldChar w:fldCharType="begin"/>
      </w:r>
      <w:r>
        <w:rPr/>
        <w:instrText xml:space="preserve"> REF _Ref130308062 \r \h </w:instrText>
      </w:r>
      <w:r>
        <w:rPr/>
        <w:fldChar w:fldCharType="separate"/>
      </w:r>
      <w:r>
        <w:rPr/>
        <w:t>3.2</w:t>
      </w:r>
      <w:r>
        <w:rPr/>
        <w:fldChar w:fldCharType="end"/>
      </w:r>
      <w:r>
        <w:rPr/>
        <w:t>) в целом должен отвечать требованиям, установленным в Документации о закупке.</w:t>
      </w:r>
    </w:p>
    <w:p>
      <w:pPr>
        <w:pStyle w:val="Style19"/>
        <w:spacing w:before="0" w:after="0"/>
        <w:rPr/>
      </w:pPr>
      <w:r>
        <w:rPr/>
        <w:t xml:space="preserve">Требования к Участникам установлены с учетом предмета договора, </w:t>
      </w:r>
      <w:hyperlink w:anchor="Прил01_ТехТребования" w:tgtFrame="#Прил01_ТехТребования">
        <w:r>
          <w:rPr>
            <w:color w:val="000000"/>
            <w:spacing w:val="0"/>
            <w:u w:val="single"/>
            <w:shd w:fill="auto" w:val="clear"/>
            <w:lang w:val="ru-RU"/>
          </w:rPr>
          <w:t>Технических требований (Приложение № 1)</w:t>
        </w:r>
      </w:hyperlink>
      <w:r>
        <w:rPr/>
        <w:t xml:space="preserve"> и </w:t>
      </w:r>
      <w:hyperlink w:anchor="Прил02_ПроектДоговора" w:tgtFrame="#Прил02_ПроектДоговора">
        <w:r>
          <w:rPr>
            <w:color w:val="000000"/>
            <w:spacing w:val="0"/>
            <w:u w:val="single"/>
            <w:shd w:fill="auto" w:val="clear"/>
            <w:lang w:val="ru-RU"/>
          </w:rPr>
          <w:t>Проекта договора (Приложение № 2)</w:t>
        </w:r>
      </w:hyperlink>
      <w:r>
        <w:rPr/>
        <w:t>. Если в подразделе </w:t>
      </w:r>
      <w:r>
        <w:rPr/>
        <w:fldChar w:fldCharType="begin"/>
      </w:r>
      <w:r>
        <w:rPr/>
        <w:instrText xml:space="preserve"> REF _Ref125359973 \r \h </w:instrText>
      </w:r>
      <w:r>
        <w:rPr/>
        <w:fldChar w:fldCharType="separate"/>
      </w:r>
      <w:r>
        <w:rPr/>
        <w:t>1.2</w:t>
      </w:r>
      <w:r>
        <w:rPr/>
        <w:fldChar w:fldCharType="end"/>
      </w:r>
      <w:r>
        <w:rPr/>
        <w:t xml:space="preserve"> установлено, что национальный режим не предоставляется, то требования к Участникам (в части страны его регистрации) также могут быть установлены в Структуре НМЦ (в составе Коммерческого предложения (форма 3) (</w:t>
      </w:r>
      <w:hyperlink w:anchor="Прил04_ФормыЗаявки" w:tgtFrame="#Прил04_ФормыЗаявки">
        <w:r>
          <w:rPr>
            <w:color w:val="000000"/>
            <w:spacing w:val="0"/>
            <w:u w:val="single"/>
            <w:shd w:fill="auto" w:val="clear"/>
            <w:lang w:val="ru-RU"/>
          </w:rPr>
          <w:t>Приложение № 4</w:t>
        </w:r>
      </w:hyperlink>
      <w:r>
        <w:rPr/>
        <w:t>)).</w:t>
      </w:r>
    </w:p>
    <w:p>
      <w:pPr>
        <w:pStyle w:val="Style19"/>
        <w:keepNext w:val="true"/>
        <w:spacing w:before="0" w:after="0"/>
        <w:rPr/>
      </w:pPr>
      <w:r>
        <w:rPr/>
        <w:t>Установлены следующие требования к Участникам, которые приведены в </w:t>
      </w:r>
      <w:hyperlink w:anchor="Прил03_ТребованияУчастникам" w:tgtFrame="#Прил03_ТребованияУчастникам">
        <w:r>
          <w:rPr>
            <w:color w:val="000000"/>
            <w:spacing w:val="0"/>
            <w:u w:val="single"/>
            <w:shd w:fill="auto" w:val="clear"/>
            <w:lang w:val="ru-RU"/>
          </w:rPr>
          <w:t>Приложении № 3</w:t>
        </w:r>
      </w:hyperlink>
      <w:r>
        <w:rPr/>
        <w:t>:</w:t>
      </w:r>
    </w:p>
    <w:p>
      <w:pPr>
        <w:pStyle w:val="Style20"/>
        <w:spacing w:before="120" w:after="0"/>
        <w:rPr/>
      </w:pPr>
      <w:r>
        <w:rPr/>
        <w:t>обязательные требования (подраздел </w:t>
      </w:r>
      <w:r>
        <w:rPr/>
        <w:fldChar w:fldCharType="begin"/>
      </w:r>
      <w:r>
        <w:rPr/>
        <w:instrText xml:space="preserve"> REF _Ref125361435 \r \h </w:instrText>
      </w:r>
      <w:r>
        <w:rPr/>
        <w:fldChar w:fldCharType="separate"/>
      </w:r>
      <w:r>
        <w:rPr/>
        <w:t>8.2</w:t>
      </w:r>
      <w:r>
        <w:rPr/>
        <w:fldChar w:fldCharType="end"/>
      </w:r>
      <w:r>
        <w:rPr/>
        <w:t>) – Участники должны им соответствовать;</w:t>
      </w:r>
    </w:p>
    <w:p>
      <w:pPr>
        <w:pStyle w:val="Style20"/>
        <w:spacing w:before="0" w:after="0"/>
        <w:rPr/>
      </w:pPr>
      <w:r>
        <w:rPr/>
        <w:t>специальные требования – Участники должны им соответствовать, если они установлены (подраздел </w:t>
      </w:r>
      <w:r>
        <w:rPr/>
        <w:fldChar w:fldCharType="begin"/>
      </w:r>
      <w:r>
        <w:rPr/>
        <w:instrText xml:space="preserve"> REF _Ref125709153 \r \h </w:instrText>
      </w:r>
      <w:r>
        <w:rPr/>
        <w:fldChar w:fldCharType="separate"/>
      </w:r>
      <w:r>
        <w:rPr/>
        <w:t>8.3</w:t>
      </w:r>
      <w:r>
        <w:rPr/>
        <w:fldChar w:fldCharType="end"/>
      </w:r>
      <w:r>
        <w:rPr/>
        <w:t>);</w:t>
      </w:r>
    </w:p>
    <w:p>
      <w:pPr>
        <w:pStyle w:val="Style20"/>
        <w:spacing w:before="0" w:after="0"/>
        <w:rPr/>
      </w:pPr>
      <w:r>
        <w:rPr/>
        <w:t>квалификационные требования – Участники должны им соответствовать, если они установлены (подраздел </w:t>
      </w:r>
      <w:r>
        <w:rPr/>
        <w:fldChar w:fldCharType="begin"/>
      </w:r>
      <w:r>
        <w:rPr/>
        <w:instrText xml:space="preserve"> REF _Ref125709154 \r \h </w:instrText>
      </w:r>
      <w:r>
        <w:rPr/>
        <w:fldChar w:fldCharType="separate"/>
      </w:r>
      <w:r>
        <w:rPr/>
        <w:t>8.4</w:t>
      </w:r>
      <w:r>
        <w:rPr/>
        <w:fldChar w:fldCharType="end"/>
      </w:r>
      <w:r>
        <w:rPr/>
        <w:t>).</w:t>
      </w:r>
    </w:p>
    <w:p>
      <w:pPr>
        <w:pStyle w:val="Style19"/>
        <w:keepNext w:val="true"/>
        <w:spacing w:before="120" w:after="0"/>
        <w:rPr/>
      </w:pPr>
      <w:r>
        <w:rPr/>
        <w:t>В рамках требований к Участникам могут быть установлены дополнительные требования:</w:t>
      </w:r>
    </w:p>
    <w:p>
      <w:pPr>
        <w:pStyle w:val="Style20"/>
        <w:spacing w:before="120" w:after="0"/>
        <w:rPr/>
      </w:pPr>
      <w:r>
        <w:rPr/>
        <w:t>к Коллективным участникам (подраздел </w:t>
      </w:r>
      <w:r>
        <w:rPr/>
        <w:fldChar w:fldCharType="begin"/>
      </w:r>
      <w:r>
        <w:rPr/>
        <w:instrText xml:space="preserve"> REF _Ref130308111 \r \h </w:instrText>
      </w:r>
      <w:r>
        <w:rPr/>
        <w:fldChar w:fldCharType="separate"/>
      </w:r>
      <w:r>
        <w:rPr/>
        <w:t>3.2</w:t>
      </w:r>
      <w:r>
        <w:rPr/>
        <w:fldChar w:fldCharType="end"/>
      </w:r>
      <w:r>
        <w:rPr/>
        <w:t>);</w:t>
      </w:r>
    </w:p>
    <w:p>
      <w:pPr>
        <w:pStyle w:val="Style20"/>
        <w:spacing w:before="0" w:after="0"/>
        <w:rPr/>
      </w:pPr>
      <w:r>
        <w:rPr/>
        <w:t>к Генеральным подрядчикам (подраздел </w:t>
      </w:r>
      <w:r>
        <w:rPr/>
        <w:fldChar w:fldCharType="begin"/>
      </w:r>
      <w:r>
        <w:rPr/>
        <w:instrText xml:space="preserve"> REF _Ref125361702 \r \h </w:instrText>
      </w:r>
      <w:r>
        <w:rPr/>
        <w:fldChar w:fldCharType="separate"/>
      </w:r>
      <w:r>
        <w:rPr/>
        <w:t>3.3</w:t>
      </w:r>
      <w:r>
        <w:rPr/>
        <w:fldChar w:fldCharType="end"/>
      </w:r>
      <w:r>
        <w:rPr/>
        <w:t>);</w:t>
      </w:r>
    </w:p>
    <w:p>
      <w:pPr>
        <w:pStyle w:val="Style20"/>
        <w:spacing w:before="0" w:after="0"/>
        <w:rPr/>
      </w:pPr>
      <w:r>
        <w:rPr/>
        <w:t>к привлечению субподрядчиков (соисполнителей) из числа субъектов МСП (подраздел </w:t>
      </w:r>
      <w:r>
        <w:rPr/>
        <w:fldChar w:fldCharType="begin"/>
      </w:r>
      <w:r>
        <w:rPr/>
        <w:instrText xml:space="preserve"> REF _Ref127524203 \r \h </w:instrText>
      </w:r>
      <w:r>
        <w:rPr/>
        <w:fldChar w:fldCharType="separate"/>
      </w:r>
      <w:r>
        <w:rPr/>
        <w:t>3.4</w:t>
      </w:r>
      <w:r>
        <w:rPr/>
        <w:fldChar w:fldCharType="end"/>
      </w:r>
      <w:r>
        <w:rPr/>
        <w:t>).</w:t>
      </w:r>
    </w:p>
    <w:p>
      <w:pPr>
        <w:pStyle w:val="Style19"/>
        <w:spacing w:before="120" w:after="0"/>
        <w:rPr/>
      </w:pPr>
      <w:r>
        <w:rPr/>
        <w:t xml:space="preserve">Для подтверждения соответствия установленным требованиям Участник обязан приложить в составе заявки документы, перечисленные в </w:t>
      </w:r>
      <w:hyperlink w:anchor="Прил03_ТребованияУчастникам" w:tgtFrame="#Прил03_ТребованияУчастникам">
        <w:r>
          <w:rPr>
            <w:color w:val="000000"/>
            <w:spacing w:val="0"/>
            <w:u w:val="single"/>
            <w:shd w:fill="auto" w:val="clear"/>
            <w:lang w:val="ru-RU"/>
          </w:rPr>
          <w:t>Требованиях к Участникам (Приложение № 3)</w:t>
        </w:r>
      </w:hyperlink>
      <w:r>
        <w:rPr/>
        <w:t>, если иное не установлено в Документации о закупке.</w:t>
      </w:r>
    </w:p>
    <w:p>
      <w:pPr>
        <w:pStyle w:val="Style18"/>
        <w:spacing w:before="360" w:after="0"/>
        <w:rPr/>
      </w:pPr>
      <w:bookmarkStart w:id="78" w:name="_Ref130305355"/>
      <w:bookmarkStart w:id="79" w:name="_Ref130308062"/>
      <w:bookmarkStart w:id="80" w:name="_Ref130308111"/>
      <w:bookmarkStart w:id="81" w:name="_Ref130308203"/>
      <w:bookmarkStart w:id="82" w:name="_Ref130308255"/>
      <w:bookmarkStart w:id="83" w:name="_Toc230928838"/>
      <w:bookmarkStart w:id="84" w:name="_Ref125361969"/>
      <w:bookmarkStart w:id="85" w:name="_Ref125361976"/>
      <w:r>
        <w:rPr/>
        <w:t>Коллективные участники</w:t>
      </w:r>
      <w:bookmarkEnd w:id="78"/>
      <w:bookmarkEnd w:id="79"/>
      <w:bookmarkEnd w:id="80"/>
      <w:bookmarkEnd w:id="81"/>
      <w:bookmarkEnd w:id="82"/>
      <w:bookmarkEnd w:id="83"/>
      <w:bookmarkEnd w:id="84"/>
      <w:bookmarkEnd w:id="85"/>
    </w:p>
    <w:p>
      <w:pPr>
        <w:pStyle w:val="Style19"/>
        <w:spacing w:before="120" w:after="0"/>
        <w:rPr/>
      </w:pPr>
      <w:r>
        <w:rPr/>
        <w:t>В закупке могут участвовать объединения юридических и (или) физических лиц (в том числе индивидуальные предприниматели), способные на законных основаниях выполнить требуемую поставку продукции – Коллективный участник.</w:t>
      </w:r>
    </w:p>
    <w:p>
      <w:pPr>
        <w:pStyle w:val="Style19"/>
        <w:spacing w:before="0" w:after="0"/>
        <w:rPr/>
      </w:pPr>
      <w:r>
        <w:rPr/>
        <w:t>Если заявка подается Коллективным участником, дополнительно должны быть выполнены требования настоящего подраздела, а также требования к дополнительным документам, предоставляемым Коллективными участниками в составе заявки, установленные в подразделе </w:t>
      </w:r>
      <w:r>
        <w:rPr/>
        <w:fldChar w:fldCharType="begin"/>
      </w:r>
      <w:r>
        <w:rPr/>
        <w:instrText xml:space="preserve"> REF _Ref125552455 \r \h </w:instrText>
      </w:r>
      <w:r>
        <w:rPr/>
        <w:fldChar w:fldCharType="separate"/>
      </w:r>
      <w:r>
        <w:rPr/>
        <w:t>8.5</w:t>
      </w:r>
      <w:r>
        <w:rPr/>
        <w:fldChar w:fldCharType="end"/>
      </w:r>
      <w:r>
        <w:rPr/>
        <w:t xml:space="preserve"> </w:t>
      </w:r>
      <w:hyperlink w:anchor="Прил03_ТребованияУчастникам" w:tgtFrame="#Прил03_ТребованияУчастникам">
        <w:r>
          <w:rPr>
            <w:color w:val="000000"/>
            <w:spacing w:val="0"/>
            <w:u w:val="single"/>
            <w:shd w:fill="auto" w:val="clear"/>
            <w:lang w:val="ru-RU"/>
          </w:rPr>
          <w:t>Требований к Участникам (Приложение № 3)</w:t>
        </w:r>
      </w:hyperlink>
      <w:r>
        <w:rPr/>
        <w:t>.</w:t>
      </w:r>
    </w:p>
    <w:p>
      <w:pPr>
        <w:pStyle w:val="Style19"/>
        <w:keepNext w:val="true"/>
        <w:spacing w:before="0" w:after="0"/>
        <w:rPr/>
      </w:pPr>
      <w:bookmarkStart w:id="86" w:name="_Ref125366972"/>
      <w:r>
        <w:rPr/>
        <w:t>Члены Коллективного участника заключают между собой соглашение, соответствующее нормам ГК РФ, и отвечающее следующим требованиям:</w:t>
      </w:r>
      <w:bookmarkEnd w:id="86"/>
    </w:p>
    <w:p>
      <w:pPr>
        <w:pStyle w:val="Style20"/>
        <w:spacing w:before="120" w:after="0"/>
        <w:rPr/>
      </w:pPr>
      <w:r>
        <w:rPr/>
        <w:t>в соглашении должны быть определены права и обязанности сторон как в рамках участия в закупке, так и в рамках исполнения Договора;</w:t>
      </w:r>
    </w:p>
    <w:p>
      <w:pPr>
        <w:pStyle w:val="Style20"/>
        <w:spacing w:before="0" w:after="0"/>
        <w:rPr/>
      </w:pPr>
      <w:r>
        <w:rPr/>
        <w:t>в соглашении должно быть приведено распределение номенклатуры, объемов и стоимости, а также сроков поставки продукции между членами Коллективного участника;</w:t>
      </w:r>
    </w:p>
    <w:p>
      <w:pPr>
        <w:pStyle w:val="Style20"/>
        <w:spacing w:before="0" w:after="0"/>
        <w:rPr/>
      </w:pPr>
      <w:r>
        <w:rPr/>
        <w:t>в соглашении должен быть определен лидер, который в дальнейшем представляет интересы каждого члена Коллективного участника во взаимоотношениях с Организатором и Заказчиком в процессе участия в закупке, заключения и последующего исполнения Договора;</w:t>
      </w:r>
    </w:p>
    <w:p>
      <w:pPr>
        <w:pStyle w:val="Style20"/>
        <w:spacing w:before="0" w:after="0"/>
        <w:rPr/>
      </w:pPr>
      <w:r>
        <w:rPr/>
        <w:t>в соглашении должна быть установлена солидарная ответственность каждого члена Коллективного участника по обязательствам, связанным с участием в закупке, заключением и последующим исполнением Договора;</w:t>
      </w:r>
    </w:p>
    <w:p>
      <w:pPr>
        <w:pStyle w:val="Style20"/>
        <w:spacing w:before="0" w:after="0"/>
        <w:rPr/>
      </w:pPr>
      <w:r>
        <w:rPr/>
        <w:t>срок действия соглашения должен быть не менее срока исполнения обязательств Участника по Договору, предлагаемого в составе заявки;</w:t>
      </w:r>
    </w:p>
    <w:p>
      <w:pPr>
        <w:pStyle w:val="Style20"/>
        <w:spacing w:before="0" w:after="0"/>
        <w:rPr/>
      </w:pPr>
      <w:r>
        <w:rPr/>
        <w:t>соглашением должно быть предусмотрено, что все операции по выполнению Договора в целом, включая платежи, совершаются исключительно с лидером, однако, по инициативе Заказчика и соглашению сторон, данная схема может быть изменена.</w:t>
      </w:r>
    </w:p>
    <w:p>
      <w:pPr>
        <w:pStyle w:val="Style19"/>
        <w:spacing w:before="120" w:after="0"/>
        <w:rPr/>
      </w:pPr>
      <w:r>
        <w:rPr/>
        <w:t>Заявка подготавливается и подается лидером от своего имени со ссылкой в Письме о подаче оферты (форма 2) (</w:t>
      </w:r>
      <w:hyperlink w:anchor="Прил04_ФормыЗаявки" w:tgtFrame="#Прил04_ФормыЗаявки">
        <w:r>
          <w:rPr>
            <w:color w:val="000000"/>
            <w:spacing w:val="0"/>
            <w:u w:val="single"/>
            <w:shd w:fill="auto" w:val="clear"/>
            <w:lang w:val="ru-RU"/>
          </w:rPr>
          <w:t>Приложение № 4</w:t>
        </w:r>
      </w:hyperlink>
      <w:r>
        <w:rPr/>
        <w:t>) на то, что он представляет интересы Коллективного участника.</w:t>
      </w:r>
    </w:p>
    <w:p>
      <w:pPr>
        <w:pStyle w:val="Style19"/>
        <w:spacing w:before="0" w:after="0"/>
        <w:rPr/>
      </w:pPr>
      <w:bookmarkStart w:id="87" w:name="_Ref125368791"/>
      <w:r>
        <w:rPr/>
        <w:t>Каждый член Коллективного участника (включая лидера Коллективного участника) должен отвечать всем обязательным требованиям к Участникам (подраздел </w:t>
      </w:r>
      <w:r>
        <w:rPr/>
        <w:fldChar w:fldCharType="begin"/>
      </w:r>
      <w:r>
        <w:rPr/>
        <w:instrText xml:space="preserve"> REF _Ref125361435 \r \h </w:instrText>
      </w:r>
      <w:r>
        <w:rPr/>
        <w:fldChar w:fldCharType="separate"/>
      </w:r>
      <w:r>
        <w:rPr/>
        <w:t>8.2</w:t>
      </w:r>
      <w:r>
        <w:rPr/>
        <w:fldChar w:fldCharType="end"/>
      </w:r>
      <w:r>
        <w:rPr/>
        <w:t>).</w:t>
      </w:r>
      <w:bookmarkEnd w:id="87"/>
    </w:p>
    <w:p>
      <w:pPr>
        <w:pStyle w:val="Style19"/>
        <w:spacing w:before="0" w:after="0"/>
        <w:rPr/>
      </w:pPr>
      <w:r>
        <w:rPr/>
        <w:t>При рассмотрении и оценке Коллективного участника на соответствие специальным требованиям к Участникам (подраздел </w:t>
      </w:r>
      <w:r>
        <w:rPr/>
        <w:fldChar w:fldCharType="begin"/>
      </w:r>
      <w:r>
        <w:rPr/>
        <w:instrText xml:space="preserve"> REF _Ref125709153 \r \h </w:instrText>
      </w:r>
      <w:r>
        <w:rPr/>
        <w:fldChar w:fldCharType="separate"/>
      </w:r>
      <w:r>
        <w:rPr/>
        <w:t>8.3</w:t>
      </w:r>
      <w:r>
        <w:rPr/>
        <w:fldChar w:fldCharType="end"/>
      </w:r>
      <w:r>
        <w:rPr/>
        <w:t>) показатели, в том числе относящиеся к наличию специальных допусков, лицензий, членства в саморегулируемых организациях, других разрешительных документов, должны быть в наличии у каждого из членов Коллективного участника, которым в соответствии с Планом распределения объемов поставки продукции (форма 10) (</w:t>
      </w:r>
      <w:hyperlink w:anchor="Прил04_ФормыЗаявки" w:tgtFrame="#Прил04_ФормыЗаявки">
        <w:r>
          <w:rPr>
            <w:color w:val="000000"/>
            <w:spacing w:val="0"/>
            <w:u w:val="single"/>
            <w:shd w:fill="auto" w:val="clear"/>
            <w:lang w:val="ru-RU"/>
          </w:rPr>
          <w:t>Приложение № 4</w:t>
        </w:r>
      </w:hyperlink>
      <w:r>
        <w:rPr/>
        <w:t>) будет поручена непосредственная поставка продукции, требующая наличия необходимого статуса в соответствии с законодательством (для членства в саморегулируемых организациях – с уровнем ответственности соответствующего члена Коллективного участника пропорционально заявляемому объему поставки продукции).</w:t>
      </w:r>
    </w:p>
    <w:p>
      <w:pPr>
        <w:pStyle w:val="Style19"/>
        <w:spacing w:before="0" w:after="0"/>
        <w:rPr/>
      </w:pPr>
      <w:bookmarkStart w:id="88" w:name="_Ref134705077"/>
      <w:r>
        <w:rPr/>
        <w:t>При рассмотрении и оценке Коллективного участника на соответствие квалификационным требованиям (подраздел </w:t>
      </w:r>
      <w:r>
        <w:rPr/>
        <w:fldChar w:fldCharType="begin"/>
      </w:r>
      <w:r>
        <w:rPr/>
        <w:instrText xml:space="preserve"> REF _Ref125550270 \r \h </w:instrText>
      </w:r>
      <w:r>
        <w:rPr/>
        <w:fldChar w:fldCharType="separate"/>
      </w:r>
      <w:r>
        <w:rPr/>
        <w:t>8.4</w:t>
      </w:r>
      <w:r>
        <w:rPr/>
        <w:fldChar w:fldCharType="end"/>
      </w:r>
      <w:r>
        <w:rPr/>
        <w:t>), параметры деятельности членов Коллективного участника, такие как наличие требуемого опыта, обеспеченность материально-техническими ресурсами и кадровыми ресурсами, суммируются по каждому такому показателю (Коллективный участник должен в совокупности отвечать установленным квалификационным требованиям по каждому показателю). При этом в части определения требуемого опыта к суммированию принимается опыт только тех членов Коллективного участника, которым в соответствии с Планом распределения объемов поставки продукции (форма 10) (</w:t>
      </w:r>
      <w:hyperlink w:anchor="Прил04_ФормыЗаявки" w:tgtFrame="#Прил04_ФормыЗаявки">
        <w:r>
          <w:rPr>
            <w:color w:val="000000"/>
            <w:spacing w:val="0"/>
            <w:u w:val="single"/>
            <w:shd w:fill="auto" w:val="clear"/>
            <w:lang w:val="ru-RU"/>
          </w:rPr>
          <w:t>Приложение № 4</w:t>
        </w:r>
      </w:hyperlink>
      <w:r>
        <w:rPr/>
        <w:t>) будет поручена непосредственная поставка продукции, требующая наличия указанного опыта.</w:t>
      </w:r>
      <w:bookmarkEnd w:id="88"/>
    </w:p>
    <w:p>
      <w:pPr>
        <w:pStyle w:val="Style19"/>
        <w:keepNext w:val="true"/>
        <w:spacing w:before="0" w:after="0"/>
        <w:rPr/>
      </w:pPr>
      <w:bookmarkStart w:id="89" w:name="_Ref125361726"/>
      <w:r>
        <w:rPr/>
        <w:t>Любое юридическое или физическое лицо (в том числе индивидуальный предприниматель) может входить в состав только одного Коллективного участника и при этом не имеет права одновременно:</w:t>
      </w:r>
      <w:bookmarkEnd w:id="89"/>
    </w:p>
    <w:p>
      <w:pPr>
        <w:pStyle w:val="Style20"/>
        <w:spacing w:before="120" w:after="0"/>
        <w:rPr/>
      </w:pPr>
      <w:r>
        <w:rPr/>
        <w:t>принимать участие в этой же закупке самостоятельно;</w:t>
      </w:r>
    </w:p>
    <w:p>
      <w:pPr>
        <w:pStyle w:val="Style20"/>
        <w:spacing w:before="0" w:after="0"/>
        <w:rPr/>
      </w:pPr>
      <w:r>
        <w:rPr/>
        <w:t>принимать участие в этой же закупке в качестве Генерального подрядчика или субподрядчика (подраздел </w:t>
      </w:r>
      <w:r>
        <w:rPr/>
        <w:fldChar w:fldCharType="begin"/>
      </w:r>
      <w:r>
        <w:rPr/>
        <w:instrText xml:space="preserve"> REF _Ref125361702 \r \h </w:instrText>
      </w:r>
      <w:r>
        <w:rPr/>
        <w:fldChar w:fldCharType="separate"/>
      </w:r>
      <w:r>
        <w:rPr/>
        <w:t>3.3</w:t>
      </w:r>
      <w:r>
        <w:rPr/>
        <w:fldChar w:fldCharType="end"/>
      </w:r>
      <w:r>
        <w:rPr/>
        <w:t>).</w:t>
      </w:r>
    </w:p>
    <w:p>
      <w:pPr>
        <w:pStyle w:val="Style23"/>
        <w:ind w:left="1134"/>
        <w:rPr/>
      </w:pPr>
      <w:r>
        <w:rPr/>
        <w:t>В случае невыполнения данного требования все заявки с участием таких лиц будут отклонены.</w:t>
      </w:r>
    </w:p>
    <w:p>
      <w:pPr>
        <w:pStyle w:val="Style19"/>
        <w:spacing w:before="120" w:after="0"/>
        <w:rPr/>
      </w:pPr>
      <w:r>
        <w:rPr/>
        <w:t>В случае несоответствия какого-либо из заявленных членов Коллективного участника установленным требованиям (</w:t>
      </w:r>
      <w:hyperlink w:anchor="Прил03_ТребованияУчастникам" w:tgtFrame="#Прил03_ТребованияУчастникам">
        <w:r>
          <w:rPr>
            <w:color w:val="000000"/>
            <w:spacing w:val="0"/>
            <w:u w:val="single"/>
            <w:shd w:fill="auto" w:val="clear"/>
            <w:lang w:val="ru-RU"/>
          </w:rPr>
          <w:t>Приложение № 3</w:t>
        </w:r>
      </w:hyperlink>
      <w:r>
        <w:rPr>
          <w:rStyle w:val="Style6"/>
        </w:rPr>
        <w:t>)</w:t>
      </w:r>
      <w:r>
        <w:rPr/>
        <w:t>, а также при несоблюдении вышеуказанных норм настоящего подраздела, заявка такого Коллективного участника отклоняется.</w:t>
      </w:r>
    </w:p>
    <w:p>
      <w:pPr>
        <w:pStyle w:val="Style19"/>
        <w:spacing w:before="0" w:after="0"/>
        <w:rPr/>
      </w:pPr>
      <w:r>
        <w:rPr/>
        <w:t>Заявка, которую подает Коллективный участник, может быть отклонена, если в процессе закупки до выбора Победителя выяснится, что из состава Коллективного участника вышел один или несколько его членов.</w:t>
      </w:r>
    </w:p>
    <w:p>
      <w:pPr>
        <w:pStyle w:val="Style19"/>
        <w:spacing w:before="0" w:after="0"/>
        <w:rPr/>
      </w:pPr>
      <w:r>
        <w:rPr/>
        <w:t>Заказчик имеет право на одностороннее расторжение / незаключение Договора, если из состава Коллективного участника вышел один или несколько его членов.</w:t>
      </w:r>
    </w:p>
    <w:p>
      <w:pPr>
        <w:pStyle w:val="Style18"/>
        <w:spacing w:before="360" w:after="0"/>
        <w:rPr/>
      </w:pPr>
      <w:bookmarkStart w:id="90" w:name="_Ref125361702"/>
      <w:bookmarkStart w:id="91" w:name="_Toc230928839"/>
      <w:r>
        <w:rPr/>
        <w:t>Генеральные подрядчики</w:t>
      </w:r>
      <w:bookmarkEnd w:id="90"/>
      <w:bookmarkEnd w:id="91"/>
    </w:p>
    <w:p>
      <w:pPr>
        <w:pStyle w:val="Style19"/>
        <w:spacing w:before="120" w:after="0"/>
        <w:rPr/>
      </w:pPr>
      <w:r>
        <w:rPr/>
        <w:t>Нормы настоящего подраздела применяются только, если подразделом </w:t>
      </w:r>
      <w:r>
        <w:rPr/>
        <w:fldChar w:fldCharType="begin"/>
      </w:r>
      <w:r>
        <w:rPr/>
        <w:instrText xml:space="preserve"> REF _Ref125359973 \r \h </w:instrText>
      </w:r>
      <w:r>
        <w:rPr/>
        <w:fldChar w:fldCharType="separate"/>
      </w:r>
      <w:r>
        <w:rPr/>
        <w:t>1.2</w:t>
      </w:r>
      <w:r>
        <w:rPr/>
        <w:fldChar w:fldCharType="end"/>
      </w:r>
      <w:r>
        <w:rPr/>
        <w:t xml:space="preserve"> предусмотрено рассмотрение и оценка заявок Участников с учетом привлекаемых субподрядчиков.</w:t>
      </w:r>
    </w:p>
    <w:p>
      <w:pPr>
        <w:pStyle w:val="Style19"/>
        <w:spacing w:before="0" w:after="0"/>
        <w:rPr/>
      </w:pPr>
      <w:r>
        <w:rPr/>
        <w:t>Если заявка подается Участником от лица Генерального подрядчика, дополнительно должны быть выполнены требования настоящего подраздела, а также требования к дополнительным документам, предоставляемым таким Участником в составе заявки, установленные в подразделе </w:t>
      </w:r>
      <w:r>
        <w:rPr/>
        <w:fldChar w:fldCharType="begin"/>
      </w:r>
      <w:r>
        <w:rPr/>
        <w:instrText xml:space="preserve"> REF _Ref125709777 \r \h </w:instrText>
      </w:r>
      <w:r>
        <w:rPr/>
        <w:fldChar w:fldCharType="separate"/>
      </w:r>
      <w:r>
        <w:rPr/>
        <w:t>8.6</w:t>
      </w:r>
      <w:r>
        <w:rPr/>
        <w:fldChar w:fldCharType="end"/>
      </w:r>
      <w:r>
        <w:rPr/>
        <w:t xml:space="preserve"> </w:t>
      </w:r>
      <w:hyperlink w:anchor="Прил03_ТребованияУчастникам" w:tgtFrame="#Прил03_ТребованияУчастникам">
        <w:r>
          <w:rPr>
            <w:color w:val="000000"/>
            <w:spacing w:val="0"/>
            <w:u w:val="single"/>
            <w:shd w:fill="auto" w:val="clear"/>
            <w:lang w:val="ru-RU"/>
          </w:rPr>
          <w:t>Требований к Участникам (Приложение № 3)</w:t>
        </w:r>
      </w:hyperlink>
      <w:r>
        <w:rPr/>
        <w:t>.</w:t>
      </w:r>
    </w:p>
    <w:p>
      <w:pPr>
        <w:pStyle w:val="Style19"/>
        <w:keepNext w:val="true"/>
        <w:spacing w:before="0" w:after="0"/>
        <w:rPr/>
      </w:pPr>
      <w:r>
        <w:rPr/>
        <w:t>Генеральный подрядчик:</w:t>
      </w:r>
    </w:p>
    <w:p>
      <w:pPr>
        <w:pStyle w:val="Style20"/>
        <w:spacing w:before="120" w:after="0"/>
        <w:rPr/>
      </w:pPr>
      <w:r>
        <w:rPr/>
        <w:t>должен самостоятельно отвечать всем обязательным требованиям к Участникам (подраздел </w:t>
      </w:r>
      <w:r>
        <w:rPr/>
        <w:fldChar w:fldCharType="begin"/>
      </w:r>
      <w:r>
        <w:rPr/>
        <w:instrText xml:space="preserve"> REF _Ref125361435 \r \h </w:instrText>
      </w:r>
      <w:r>
        <w:rPr/>
        <w:fldChar w:fldCharType="separate"/>
      </w:r>
      <w:r>
        <w:rPr/>
        <w:t>8.2</w:t>
      </w:r>
      <w:r>
        <w:rPr/>
        <w:fldChar w:fldCharType="end"/>
      </w:r>
      <w:r>
        <w:rPr/>
        <w:t>);</w:t>
      </w:r>
    </w:p>
    <w:p>
      <w:pPr>
        <w:pStyle w:val="Style20"/>
        <w:spacing w:before="0" w:after="0"/>
        <w:rPr/>
      </w:pPr>
      <w:r>
        <w:rPr/>
        <w:t>в рамках специальных требований (подраздел </w:t>
      </w:r>
      <w:r>
        <w:rPr/>
        <w:fldChar w:fldCharType="begin"/>
      </w:r>
      <w:r>
        <w:rPr/>
        <w:instrText xml:space="preserve"> REF _Ref125709153 \r \h </w:instrText>
      </w:r>
      <w:r>
        <w:rPr/>
        <w:fldChar w:fldCharType="separate"/>
      </w:r>
      <w:r>
        <w:rPr/>
        <w:t>8.3</w:t>
      </w:r>
      <w:r>
        <w:rPr/>
        <w:fldChar w:fldCharType="end"/>
      </w:r>
      <w:r>
        <w:rPr/>
        <w:t>), касающихся членства в саморегулируемых организациях (в случае их установления), должен иметь соответствующее членство с учетом требований законодательства к такому членству;</w:t>
      </w:r>
    </w:p>
    <w:p>
      <w:pPr>
        <w:pStyle w:val="Style20"/>
        <w:spacing w:before="0" w:after="0"/>
        <w:rPr/>
      </w:pPr>
      <w:r>
        <w:rPr/>
        <w:t>в рамках остальных специальных требований и квалификационных требований (подраздел </w:t>
      </w:r>
      <w:r>
        <w:rPr/>
        <w:fldChar w:fldCharType="begin"/>
      </w:r>
      <w:r>
        <w:rPr/>
        <w:instrText xml:space="preserve"> REF _Ref125709154 \r \h </w:instrText>
      </w:r>
      <w:r>
        <w:rPr/>
        <w:fldChar w:fldCharType="separate"/>
      </w:r>
      <w:r>
        <w:rPr/>
        <w:t>8.4</w:t>
      </w:r>
      <w:r>
        <w:rPr/>
        <w:fldChar w:fldCharType="end"/>
      </w:r>
      <w:r>
        <w:rPr/>
        <w:t>) (в случае их установления) должен отвечать им только в части объема поставки продукции, который ему предполагается поручить в соответствии с Планом распределения объемов поставки продукции (форма 10) (</w:t>
      </w:r>
      <w:hyperlink w:anchor="Прил04_ФормыЗаявки" w:tgtFrame="#Прил04_ФормыЗаявки">
        <w:r>
          <w:rPr>
            <w:color w:val="000000"/>
            <w:spacing w:val="0"/>
            <w:u w:val="single"/>
            <w:shd w:fill="auto" w:val="clear"/>
            <w:lang w:val="ru-RU"/>
          </w:rPr>
          <w:t>Приложение № 4</w:t>
        </w:r>
      </w:hyperlink>
      <w:r>
        <w:rPr/>
        <w:t>).</w:t>
      </w:r>
    </w:p>
    <w:p>
      <w:pPr>
        <w:pStyle w:val="Style19"/>
        <w:keepNext w:val="true"/>
        <w:spacing w:before="120" w:after="0"/>
        <w:rPr/>
      </w:pPr>
      <w:r>
        <w:rPr/>
        <w:t>Каждый субподрядчик из привлекаемых Генеральным подрядчиком должен отвечать:</w:t>
      </w:r>
    </w:p>
    <w:p>
      <w:pPr>
        <w:pStyle w:val="Style20"/>
        <w:spacing w:before="120" w:after="0"/>
        <w:rPr/>
      </w:pPr>
      <w:r>
        <w:rPr/>
        <w:t>обязательным требованиям (подраздел </w:t>
      </w:r>
      <w:r>
        <w:rPr/>
        <w:fldChar w:fldCharType="begin"/>
      </w:r>
      <w:r>
        <w:rPr/>
        <w:instrText xml:space="preserve"> REF _Ref125361435 \r \h </w:instrText>
      </w:r>
      <w:r>
        <w:rPr/>
        <w:fldChar w:fldCharType="separate"/>
      </w:r>
      <w:r>
        <w:rPr/>
        <w:t>8.2</w:t>
      </w:r>
      <w:r>
        <w:rPr/>
        <w:fldChar w:fldCharType="end"/>
      </w:r>
      <w:r>
        <w:rPr/>
        <w:t>);</w:t>
      </w:r>
    </w:p>
    <w:p>
      <w:pPr>
        <w:pStyle w:val="Style20"/>
        <w:spacing w:before="0" w:after="0"/>
        <w:rPr/>
      </w:pPr>
      <w:r>
        <w:rPr/>
        <w:t>специальным требованиям (подраздел </w:t>
      </w:r>
      <w:r>
        <w:rPr/>
        <w:fldChar w:fldCharType="begin"/>
      </w:r>
      <w:r>
        <w:rPr/>
        <w:instrText xml:space="preserve"> REF _Ref125709153 \r \h </w:instrText>
      </w:r>
      <w:r>
        <w:rPr/>
        <w:fldChar w:fldCharType="separate"/>
      </w:r>
      <w:r>
        <w:rPr/>
        <w:t>8.3</w:t>
      </w:r>
      <w:r>
        <w:rPr/>
        <w:fldChar w:fldCharType="end"/>
      </w:r>
      <w:r>
        <w:rPr/>
        <w:t>) (в случае их установления), за исключением требования о наличии членства в саморегулируемых организациях;</w:t>
      </w:r>
    </w:p>
    <w:p>
      <w:pPr>
        <w:pStyle w:val="Style20"/>
        <w:spacing w:before="0" w:after="0"/>
        <w:rPr/>
      </w:pPr>
      <w:r>
        <w:rPr/>
        <w:t>квалификационным требованиям (подраздел </w:t>
      </w:r>
      <w:r>
        <w:rPr/>
        <w:fldChar w:fldCharType="begin"/>
      </w:r>
      <w:r>
        <w:rPr/>
        <w:instrText xml:space="preserve"> REF _Ref125709154 \r \h </w:instrText>
      </w:r>
      <w:r>
        <w:rPr/>
        <w:fldChar w:fldCharType="separate"/>
      </w:r>
      <w:r>
        <w:rPr/>
        <w:t>8.4</w:t>
      </w:r>
      <w:r>
        <w:rPr/>
        <w:fldChar w:fldCharType="end"/>
      </w:r>
      <w:r>
        <w:rPr/>
        <w:t>) (в случае их установления).</w:t>
      </w:r>
    </w:p>
    <w:p>
      <w:pPr>
        <w:pStyle w:val="Style23"/>
        <w:ind w:left="1134"/>
        <w:rPr/>
      </w:pPr>
      <w:bookmarkStart w:id="92" w:name="_Ref125368863"/>
      <w:r>
        <w:rPr/>
        <w:t xml:space="preserve">При этом соответствовать специальным и квалификационным требованиям субподрядчик должен только в части объема поставки продукции, который ему поручен </w:t>
      </w:r>
      <w:bookmarkEnd w:id="92"/>
      <w:r>
        <w:rPr/>
        <w:t>в соответствии с Планом распределения объемов поставки продукции (форма 10) (</w:t>
      </w:r>
      <w:hyperlink w:anchor="Прил04_ФормыЗаявки" w:tgtFrame="#Прил04_ФормыЗаявки">
        <w:r>
          <w:rPr>
            <w:color w:val="000000"/>
            <w:spacing w:val="0"/>
            <w:u w:val="single"/>
            <w:shd w:fill="auto" w:val="clear"/>
            <w:lang w:val="ru-RU"/>
          </w:rPr>
          <w:t>Приложение № 4</w:t>
        </w:r>
      </w:hyperlink>
      <w:r>
        <w:rPr/>
        <w:t>).</w:t>
      </w:r>
    </w:p>
    <w:p>
      <w:pPr>
        <w:pStyle w:val="Style19"/>
        <w:spacing w:before="120" w:after="0"/>
        <w:rPr/>
      </w:pPr>
      <w:r>
        <w:rPr/>
        <w:t xml:space="preserve">При оценке и сопоставлении заявки Генерального подрядчика по квалификационным критериям (если они установлены в </w:t>
      </w:r>
      <w:hyperlink w:anchor="Прил08_ПорядокОценки" w:tgtFrame="#Прил08_ПорядокОценки">
        <w:r>
          <w:rPr>
            <w:color w:val="000000"/>
            <w:spacing w:val="0"/>
            <w:u w:val="single"/>
            <w:shd w:fill="auto" w:val="clear"/>
            <w:lang w:val="ru-RU"/>
          </w:rPr>
          <w:t>Порядке и критериях оценки и сопоставления заявок (Приложение № 8)</w:t>
        </w:r>
      </w:hyperlink>
      <w:r>
        <w:rPr/>
        <w:t>) количественные параметры деятельности Генерального подрядчика и субподрядчиков суммируются (наличие требуемого опыта, обеспеченность материально-техническими ресурсами и кадровыми ресурсами).</w:t>
      </w:r>
    </w:p>
    <w:p>
      <w:pPr>
        <w:pStyle w:val="Style19"/>
        <w:spacing w:before="0" w:after="0"/>
        <w:rPr/>
      </w:pPr>
      <w:bookmarkStart w:id="93" w:name="_Ref125361799"/>
      <w:r>
        <w:rPr/>
        <w:t>Любое юридическое или физическое лицо (в том числе индивидуальный предприниматель) может являться субподрядчиком у произвольного числа Генеральных подрядчиков, а также имеет право самостоятельно принимать участие в закупке. При этом субподрядчики не могут входить в состав Коллективных участников (подраздел </w:t>
      </w:r>
      <w:r>
        <w:rPr/>
        <w:fldChar w:fldCharType="begin"/>
      </w:r>
      <w:r>
        <w:rPr/>
        <w:instrText xml:space="preserve"> REF _Ref130308203 \r \h </w:instrText>
      </w:r>
      <w:r>
        <w:rPr/>
        <w:fldChar w:fldCharType="separate"/>
      </w:r>
      <w:r>
        <w:rPr/>
        <w:t>3.2</w:t>
      </w:r>
      <w:r>
        <w:rPr/>
        <w:fldChar w:fldCharType="end"/>
      </w:r>
      <w:r>
        <w:rPr/>
        <w:t>). Каждый Генеральный подрядчик может подать только одну заявку и не может быть субподрядчиком у других Генеральных подрядчиков, а также не может входить в состав Коллективных участников. В случае невыполнения этих требований заявки с участием таких лиц будут отклонены.</w:t>
      </w:r>
      <w:bookmarkEnd w:id="93"/>
    </w:p>
    <w:p>
      <w:pPr>
        <w:pStyle w:val="Style19"/>
        <w:spacing w:before="0" w:after="0"/>
        <w:rPr/>
      </w:pPr>
      <w:r>
        <w:rPr/>
        <w:t>Если подразделом </w:t>
      </w:r>
      <w:r>
        <w:rPr/>
        <w:fldChar w:fldCharType="begin"/>
      </w:r>
      <w:r>
        <w:rPr/>
        <w:instrText xml:space="preserve"> REF _Ref125359973 \r \h </w:instrText>
      </w:r>
      <w:r>
        <w:rPr/>
        <w:fldChar w:fldCharType="separate"/>
      </w:r>
      <w:r>
        <w:rPr/>
        <w:t>1.2</w:t>
      </w:r>
      <w:r>
        <w:rPr/>
        <w:fldChar w:fldCharType="end"/>
      </w:r>
      <w:r>
        <w:rPr/>
        <w:t xml:space="preserve"> не предусмотрены рассмотрение и оценка заявок Участников с учетом привлекаемых субподрядчиков, то при рассмотрении и оценке заявок к учету принимаются исключительно сведения о самом Участнике, в связи с чем Участник не обязан предоставлять документы на привлекаемых им субподрядчиков, указанные в подразделе </w:t>
      </w:r>
      <w:r>
        <w:rPr/>
        <w:fldChar w:fldCharType="begin"/>
      </w:r>
      <w:r>
        <w:rPr/>
        <w:instrText xml:space="preserve"> REF _Ref125709973 \r \h </w:instrText>
      </w:r>
      <w:r>
        <w:rPr/>
        <w:fldChar w:fldCharType="separate"/>
      </w:r>
      <w:r>
        <w:rPr/>
        <w:t>8.6</w:t>
      </w:r>
      <w:r>
        <w:rPr/>
        <w:fldChar w:fldCharType="end"/>
      </w:r>
      <w:r>
        <w:rPr/>
        <w:t xml:space="preserve"> </w:t>
      </w:r>
      <w:hyperlink w:anchor="Прил03_ТребованияУчастникам" w:tgtFrame="#Прил03_ТребованияУчастникам">
        <w:r>
          <w:rPr>
            <w:color w:val="000000"/>
            <w:spacing w:val="0"/>
            <w:u w:val="single"/>
            <w:shd w:fill="auto" w:val="clear"/>
            <w:lang w:val="ru-RU"/>
          </w:rPr>
          <w:t>Требований к Участникам (Приложение № 3)</w:t>
        </w:r>
      </w:hyperlink>
      <w:r>
        <w:rPr/>
        <w:t>.Ответственность за соответствие в ходе исполнения обязательств по Договору привлекаемых субподрядчиков требованиям Документации о закупке в этом случае возлагается на самого Участника.</w:t>
      </w:r>
    </w:p>
    <w:p>
      <w:pPr>
        <w:pStyle w:val="Style18"/>
        <w:spacing w:before="360" w:after="0"/>
        <w:rPr/>
      </w:pPr>
      <w:bookmarkStart w:id="94" w:name="_Ref127524203"/>
      <w:bookmarkStart w:id="95" w:name="_Toc230928840"/>
      <w:r>
        <w:rPr/>
        <w:t>Привлечение субподрядчиков (соисполнителей) из числа субъектов МСП</w:t>
      </w:r>
      <w:bookmarkEnd w:id="94"/>
      <w:bookmarkEnd w:id="95"/>
    </w:p>
    <w:p>
      <w:pPr>
        <w:pStyle w:val="Style19"/>
        <w:spacing w:before="120" w:after="0"/>
        <w:rPr/>
      </w:pPr>
      <w:r>
        <w:rPr/>
        <w:t>Нормы настоящего подраздела применяются, если подразделом </w:t>
      </w:r>
      <w:r>
        <w:rPr/>
        <w:fldChar w:fldCharType="begin"/>
      </w:r>
      <w:r>
        <w:rPr/>
        <w:instrText xml:space="preserve"> REF _Ref125359973 \r \h </w:instrText>
      </w:r>
      <w:r>
        <w:rPr/>
        <w:fldChar w:fldCharType="separate"/>
      </w:r>
      <w:r>
        <w:rPr/>
        <w:t>1.2</w:t>
      </w:r>
      <w:r>
        <w:rPr/>
        <w:fldChar w:fldCharType="end"/>
      </w:r>
      <w:r>
        <w:rPr/>
        <w:t xml:space="preserve"> предусмотрена обязанность Участников по привлечению к исполнению Договора субподрядчиков (соисполнителей) из числа субъектов МСП.</w:t>
      </w:r>
    </w:p>
    <w:p>
      <w:pPr>
        <w:pStyle w:val="Style19"/>
        <w:spacing w:before="0" w:after="0"/>
        <w:rPr/>
      </w:pPr>
      <w:r>
        <w:rPr/>
        <w:t>Помимо требований настоящего подраздела, Участник также должен выполнить требования к дополнительным документам, предоставляемым им в составе заявки, установленные в подразделе </w:t>
      </w:r>
      <w:r>
        <w:rPr/>
        <w:fldChar w:fldCharType="begin"/>
      </w:r>
      <w:r>
        <w:rPr/>
        <w:instrText xml:space="preserve"> REF _Ref125550523 \r \h </w:instrText>
      </w:r>
      <w:r>
        <w:rPr/>
        <w:fldChar w:fldCharType="separate"/>
      </w:r>
      <w:r>
        <w:rPr/>
        <w:t>8.7</w:t>
      </w:r>
      <w:r>
        <w:rPr/>
        <w:fldChar w:fldCharType="end"/>
      </w:r>
      <w:r>
        <w:rPr/>
        <w:t xml:space="preserve"> </w:t>
      </w:r>
      <w:hyperlink w:anchor="Прил03_ТребованияУчастникам" w:tgtFrame="#Прил03_ТребованияУчастникам">
        <w:r>
          <w:rPr>
            <w:color w:val="000000"/>
            <w:spacing w:val="0"/>
            <w:u w:val="single"/>
            <w:shd w:fill="auto" w:val="clear"/>
            <w:lang w:val="ru-RU"/>
          </w:rPr>
          <w:t>Требований к Участникам (Приложение № 3)</w:t>
        </w:r>
      </w:hyperlink>
      <w:r>
        <w:rPr/>
        <w:t>. При этом в Плане распределения объемов поставки продукции (форма 10) (</w:t>
      </w:r>
      <w:hyperlink w:anchor="Прил04_ФормыЗаявки" w:tgtFrame="#Прил04_ФормыЗаявки">
        <w:r>
          <w:rPr>
            <w:color w:val="000000"/>
            <w:spacing w:val="0"/>
            <w:u w:val="single"/>
            <w:shd w:fill="auto" w:val="clear"/>
            <w:lang w:val="ru-RU"/>
          </w:rPr>
          <w:t>Приложение № 4</w:t>
        </w:r>
      </w:hyperlink>
      <w:r>
        <w:rPr/>
        <w:t>) Участник должен указать привлекаемых им субподрядчиков (соисполнителей) из числа субъектов МСП, а также является ли самостоятельно Участник субъектом МСП.</w:t>
      </w:r>
    </w:p>
    <w:p>
      <w:pPr>
        <w:pStyle w:val="Style19"/>
        <w:spacing w:before="0" w:after="0"/>
        <w:rPr/>
      </w:pPr>
      <w:r>
        <w:rPr/>
        <w:t>При этом требования подраздела </w:t>
      </w:r>
      <w:r>
        <w:rPr/>
        <w:fldChar w:fldCharType="begin"/>
      </w:r>
      <w:r>
        <w:rPr/>
        <w:instrText xml:space="preserve"> REF _Ref125550523 \r \h </w:instrText>
      </w:r>
      <w:r>
        <w:rPr/>
        <w:fldChar w:fldCharType="separate"/>
      </w:r>
      <w:r>
        <w:rPr/>
        <w:t>8.7</w:t>
      </w:r>
      <w:r>
        <w:rPr/>
        <w:fldChar w:fldCharType="end"/>
      </w:r>
      <w:r>
        <w:rPr/>
        <w:t xml:space="preserve"> </w:t>
      </w:r>
      <w:hyperlink w:anchor="Прил03_ТребованияУчастникам" w:tgtFrame="#Прил03_ТребованияУчастникам">
        <w:r>
          <w:rPr>
            <w:color w:val="000000"/>
            <w:spacing w:val="0"/>
            <w:u w:val="single"/>
            <w:shd w:fill="auto" w:val="clear"/>
            <w:lang w:val="ru-RU"/>
          </w:rPr>
          <w:t>Требований к Участникам (Приложение № 3)</w:t>
        </w:r>
      </w:hyperlink>
      <w:r>
        <w:rPr/>
        <w:t xml:space="preserve"> применяются вне зависимости от порядка рассмотрения и оценки заявок участников, являющихся Генеральными подрядчиками (с учетом субподрядчиков, или без учета субподрядчиков) (подраздел </w:t>
      </w:r>
      <w:r>
        <w:rPr/>
        <w:fldChar w:fldCharType="begin"/>
      </w:r>
      <w:r>
        <w:rPr/>
        <w:instrText xml:space="preserve"> REF _Ref125361702 \r \h </w:instrText>
      </w:r>
      <w:r>
        <w:rPr/>
        <w:fldChar w:fldCharType="separate"/>
      </w:r>
      <w:r>
        <w:rPr/>
        <w:t>3.3</w:t>
      </w:r>
      <w:r>
        <w:rPr/>
        <w:fldChar w:fldCharType="end"/>
      </w:r>
      <w:r>
        <w:rPr/>
        <w:t>).</w:t>
      </w:r>
    </w:p>
    <w:p>
      <w:pPr>
        <w:pStyle w:val="Style19"/>
        <w:spacing w:before="0" w:after="0"/>
        <w:rPr/>
      </w:pPr>
      <w:bookmarkStart w:id="96" w:name="_Ref125473377"/>
      <w:r>
        <w:rPr/>
        <w:t>Участник считается выполнившим требование по привлечению к исполнению Договора субподрядчиков (соисполнителей) из числа субъектов МСП, при условии предоставления информации, указанной в Плане распределения объемов поставки продукции (форма 10) (</w:t>
      </w:r>
      <w:hyperlink w:anchor="Прил04_ФормыЗаявки" w:tgtFrame="#Прил04_ФормыЗаявки">
        <w:r>
          <w:rPr>
            <w:color w:val="000000"/>
            <w:spacing w:val="0"/>
            <w:u w:val="single"/>
            <w:shd w:fill="auto" w:val="clear"/>
            <w:lang w:val="ru-RU"/>
          </w:rPr>
          <w:t>Приложение № 4</w:t>
        </w:r>
      </w:hyperlink>
      <w:r>
        <w:rPr/>
        <w:t>).</w:t>
      </w:r>
      <w:bookmarkEnd w:id="96"/>
      <w:r>
        <w:rPr/>
        <w:t xml:space="preserve"> В случае непредоставления этой информации или несоответствия привлекаемых субподрядчиков (соисполнителей) установленным требованиям, заявка такого Участника будет отклонена от участия в закупке.</w:t>
      </w:r>
    </w:p>
    <w:p>
      <w:pPr>
        <w:sectPr>
          <w:headerReference w:type="default" r:id="rId5"/>
          <w:footerReference w:type="default" r:id="rId6"/>
          <w:footerReference w:type="first" r:id="rId7"/>
          <w:footnotePr>
            <w:numFmt w:val="decimal"/>
          </w:footnotePr>
          <w:type w:val="nextPage"/>
          <w:pgSz w:w="11906" w:h="16838"/>
          <w:pgMar w:left="1134" w:right="850" w:gutter="0" w:header="567" w:top="851" w:footer="567" w:bottom="851"/>
          <w:pgNumType w:fmt="decimal"/>
          <w:formProt w:val="false"/>
          <w:textDirection w:val="lrTb"/>
          <w:docGrid w:type="default" w:linePitch="360" w:charSpace="0"/>
        </w:sectPr>
        <w:pStyle w:val="Style19"/>
        <w:spacing w:before="0" w:after="0"/>
        <w:rPr/>
      </w:pPr>
      <w:r>
        <w:rPr/>
        <w:t>Если привлекаемые субъекты МСП входят в состав Коллективного участника (подраздел </w:t>
      </w:r>
      <w:r>
        <w:rPr/>
        <w:fldChar w:fldCharType="begin"/>
      </w:r>
      <w:r>
        <w:rPr/>
        <w:instrText xml:space="preserve"> REF _Ref130308255 \r \h </w:instrText>
      </w:r>
      <w:r>
        <w:rPr/>
        <w:fldChar w:fldCharType="separate"/>
      </w:r>
      <w:r>
        <w:rPr/>
        <w:t>3.2</w:t>
      </w:r>
      <w:r>
        <w:rPr/>
        <w:fldChar w:fldCharType="end"/>
      </w:r>
      <w:r>
        <w:rPr/>
        <w:t>), то объем исполнения Договора таким Коллективным участником засчитывается в исполнение требования по привлечению субъектов МСП в качестве субподрядчиков (соисполнителей), при условии выполнения остальных требований настоящего подраздела.</w:t>
      </w:r>
    </w:p>
    <w:p>
      <w:pPr>
        <w:pStyle w:val="Style17"/>
        <w:spacing w:before="0" w:after="0"/>
        <w:rPr/>
      </w:pPr>
      <w:bookmarkStart w:id="97" w:name="_Toc230928841"/>
      <w:bookmarkStart w:id="98" w:name="_Ref125367974"/>
      <w:bookmarkStart w:id="99" w:name="_Ref125367098"/>
      <w:bookmarkStart w:id="100" w:name="_Ref125361211"/>
      <w:bookmarkStart w:id="101" w:name="_Ref125367107"/>
      <w:r>
        <w:rPr/>
        <w:t>Порядок проведения закупки</w:t>
      </w:r>
      <w:bookmarkEnd w:id="97"/>
      <w:bookmarkEnd w:id="98"/>
      <w:bookmarkEnd w:id="99"/>
      <w:bookmarkEnd w:id="100"/>
      <w:bookmarkEnd w:id="101"/>
    </w:p>
    <w:p>
      <w:pPr>
        <w:pStyle w:val="Style18"/>
        <w:spacing w:before="360" w:after="0"/>
        <w:rPr/>
      </w:pPr>
      <w:bookmarkStart w:id="102" w:name="_Ref126141932"/>
      <w:bookmarkStart w:id="103" w:name="_Toc230928842"/>
      <w:r>
        <w:rPr/>
        <w:t>Общий порядок проведения закупки</w:t>
      </w:r>
      <w:bookmarkEnd w:id="102"/>
      <w:bookmarkEnd w:id="103"/>
    </w:p>
    <w:p>
      <w:pPr>
        <w:pStyle w:val="Style19"/>
        <w:keepNext w:val="true"/>
        <w:spacing w:before="120" w:after="120"/>
        <w:rPr/>
      </w:pPr>
      <w:r>
        <w:rPr/>
        <w:t>Закупка проводится в следующем порядке:</w:t>
      </w:r>
    </w:p>
    <w:tbl>
      <w:tblPr>
        <w:tblStyle w:val="1497"/>
        <w:tblW w:w="14003" w:type="dxa"/>
        <w:jc w:val="left"/>
        <w:tblInd w:w="1129" w:type="dxa"/>
        <w:tblLayout w:type="fixed"/>
        <w:tblCellMar>
          <w:top w:w="0" w:type="dxa"/>
          <w:left w:w="0" w:type="dxa"/>
          <w:bottom w:w="0" w:type="dxa"/>
          <w:right w:w="5" w:type="dxa"/>
        </w:tblCellMar>
        <w:tblLook w:val="04a0" w:noHBand="0" w:noVBand="1" w:firstColumn="1" w:lastRow="0" w:lastColumn="0" w:firstRow="1"/>
      </w:tblPr>
      <w:tblGrid>
        <w:gridCol w:w="428"/>
        <w:gridCol w:w="2221"/>
        <w:gridCol w:w="1109"/>
        <w:gridCol w:w="1112"/>
        <w:gridCol w:w="2226"/>
        <w:gridCol w:w="2409"/>
        <w:gridCol w:w="2267"/>
        <w:gridCol w:w="2230"/>
      </w:tblGrid>
      <w:tr>
        <w:trPr/>
        <w:tc>
          <w:tcPr>
            <w:tcW w:w="428" w:type="dxa"/>
            <w:tcBorders>
              <w:left w:val="nil"/>
            </w:tcBorders>
            <w:vAlign w:val="bottom"/>
          </w:tcPr>
          <w:p>
            <w:pPr>
              <w:pStyle w:val="Style23"/>
              <w:keepNext w:val="true"/>
              <w:keepLines w:val="false"/>
              <w:widowControl/>
              <w:spacing w:lineRule="auto" w:line="240" w:before="40" w:after="40"/>
              <w:jc w:val="center"/>
              <w:rPr>
                <w:rFonts w:ascii="Times New Roman" w:hAnsi="Times New Roman" w:cs="Times New Roman"/>
                <w:b w:val="false"/>
                <w:bCs w:val="false"/>
                <w:sz w:val="24"/>
                <w:szCs w:val="24"/>
              </w:rPr>
            </w:pPr>
            <w:r>
              <w:rPr>
                <w:rFonts w:eastAsia="Times New Roman" w:cs="Times New Roman"/>
                <w:b w:val="false"/>
                <w:bCs w:val="false"/>
                <w:kern w:val="0"/>
                <w:sz w:val="24"/>
                <w:szCs w:val="24"/>
                <w:lang w:val="ru-RU" w:eastAsia="en-US" w:bidi="ar-SA"/>
              </w:rPr>
              <w:t>Ô</w:t>
            </w:r>
          </w:p>
        </w:tc>
        <w:tc>
          <w:tcPr>
            <w:tcW w:w="13574" w:type="dxa"/>
            <w:gridSpan w:val="7"/>
            <w:tcBorders>
              <w:right w:val="nil"/>
            </w:tcBorders>
          </w:tcPr>
          <w:p>
            <w:pPr>
              <w:pStyle w:val="Style23"/>
              <w:keepNext w:val="true"/>
              <w:keepLines w:val="false"/>
              <w:widowControl/>
              <w:spacing w:lineRule="auto" w:line="240" w:before="40" w:after="40"/>
              <w:jc w:val="center"/>
              <w:rPr>
                <w:rFonts w:ascii="Times New Roman" w:hAnsi="Times New Roman" w:cs="Times New Roman"/>
                <w:b w:val="false"/>
                <w:bCs w:val="false"/>
                <w:sz w:val="24"/>
                <w:szCs w:val="24"/>
              </w:rPr>
            </w:pPr>
            <w:r>
              <w:rPr>
                <w:rFonts w:eastAsia="Times New Roman" w:cs="Times New Roman"/>
                <w:b w:val="false"/>
                <w:bCs w:val="false"/>
                <w:kern w:val="0"/>
                <w:sz w:val="24"/>
                <w:szCs w:val="24"/>
                <w:lang w:val="ru-RU" w:eastAsia="en-US" w:bidi="ar-SA"/>
              </w:rPr>
              <w:t>Официальное размещение Извещения и Документации о закупке (подраздел </w:t>
            </w:r>
            <w:r>
              <w:rPr>
                <w:rFonts w:eastAsia="Times New Roman" w:cs="Times New Roman"/>
                <w:b w:val="false"/>
                <w:bCs w:val="false"/>
                <w:kern w:val="0"/>
                <w:sz w:val="24"/>
                <w:szCs w:val="24"/>
                <w:lang w:val="ru-RU" w:eastAsia="en-US" w:bidi="ar-SA"/>
              </w:rPr>
              <w:fldChar w:fldCharType="begin"/>
            </w:r>
            <w:r>
              <w:rPr>
                <w:sz w:val="24"/>
                <w:b w:val="false"/>
                <w:kern w:val="0"/>
                <w:szCs w:val="24"/>
                <w:bCs w:val="false"/>
                <w:rFonts w:eastAsia="Times New Roman" w:cs="Times New Roman"/>
                <w:lang w:val="ru-RU" w:eastAsia="en-US" w:bidi="ar-SA"/>
              </w:rPr>
              <w:instrText xml:space="preserve"> REF _Ref130286532 \r \h </w:instrText>
            </w:r>
            <w:r>
              <w:rPr>
                <w:sz w:val="24"/>
                <w:b w:val="false"/>
                <w:kern w:val="0"/>
                <w:szCs w:val="24"/>
                <w:bCs w:val="false"/>
                <w:rFonts w:eastAsia="Times New Roman" w:cs="Times New Roman"/>
                <w:lang w:val="ru-RU" w:eastAsia="en-US" w:bidi="ar-SA"/>
              </w:rPr>
              <w:fldChar w:fldCharType="separate"/>
            </w:r>
            <w:r>
              <w:rPr>
                <w:sz w:val="24"/>
                <w:b w:val="false"/>
                <w:kern w:val="0"/>
                <w:szCs w:val="24"/>
                <w:bCs w:val="false"/>
                <w:rFonts w:eastAsia="Times New Roman" w:cs="Times New Roman"/>
                <w:lang w:val="ru-RU" w:eastAsia="en-US" w:bidi="ar-SA"/>
              </w:rPr>
              <w:t>4.2</w:t>
            </w:r>
            <w:r>
              <w:rPr>
                <w:sz w:val="24"/>
                <w:b w:val="false"/>
                <w:kern w:val="0"/>
                <w:szCs w:val="24"/>
                <w:bCs w:val="false"/>
                <w:rFonts w:eastAsia="Times New Roman" w:cs="Times New Roman"/>
                <w:lang w:val="ru-RU" w:eastAsia="en-US" w:bidi="ar-SA"/>
              </w:rPr>
              <w:fldChar w:fldCharType="end"/>
            </w:r>
            <w:r>
              <w:rPr>
                <w:rFonts w:eastAsia="Times New Roman" w:cs="Times New Roman"/>
                <w:b w:val="false"/>
                <w:bCs w:val="false"/>
                <w:kern w:val="0"/>
                <w:sz w:val="24"/>
                <w:szCs w:val="24"/>
                <w:lang w:val="ru-RU" w:eastAsia="en-US" w:bidi="ar-SA"/>
              </w:rPr>
              <w:t>)</w:t>
            </w:r>
          </w:p>
        </w:tc>
      </w:tr>
      <w:tr>
        <w:trPr/>
        <w:tc>
          <w:tcPr>
            <w:tcW w:w="428" w:type="dxa"/>
            <w:tcBorders>
              <w:left w:val="nil"/>
            </w:tcBorders>
            <w:vAlign w:val="bottom"/>
          </w:tcPr>
          <w:p>
            <w:pPr>
              <w:pStyle w:val="Style23"/>
              <w:widowControl/>
              <w:spacing w:lineRule="auto" w:line="240" w:before="40" w:after="40"/>
              <w:jc w:val="center"/>
              <w:rPr>
                <w:rFonts w:ascii="Times New Roman" w:hAnsi="Times New Roman" w:cs="Times New Roman"/>
                <w:b w:val="false"/>
                <w:bCs w:val="false"/>
                <w:sz w:val="24"/>
                <w:szCs w:val="24"/>
              </w:rPr>
            </w:pPr>
            <w:r>
              <w:rPr>
                <w:rFonts w:eastAsia="Times New Roman" w:cs="Times New Roman"/>
                <w:b w:val="false"/>
                <w:bCs w:val="false"/>
                <w:kern w:val="0"/>
                <w:sz w:val="24"/>
                <w:szCs w:val="24"/>
                <w:lang w:val="ru-RU" w:eastAsia="en-US" w:bidi="ar-SA"/>
              </w:rPr>
              <w:t>Ô</w:t>
            </w:r>
          </w:p>
        </w:tc>
        <w:tc>
          <w:tcPr>
            <w:tcW w:w="6668" w:type="dxa"/>
            <w:gridSpan w:val="4"/>
            <w:tcBorders/>
          </w:tcPr>
          <w:p>
            <w:pPr>
              <w:pStyle w:val="Style23"/>
              <w:widowControl/>
              <w:spacing w:lineRule="auto" w:line="240" w:before="40" w:after="40"/>
              <w:jc w:val="center"/>
              <w:rPr>
                <w:rFonts w:ascii="Times New Roman" w:hAnsi="Times New Roman" w:cs="Times New Roman"/>
                <w:b w:val="false"/>
                <w:bCs w:val="false"/>
                <w:sz w:val="24"/>
                <w:szCs w:val="24"/>
              </w:rPr>
            </w:pPr>
            <w:r>
              <w:rPr>
                <w:rFonts w:eastAsia="Times New Roman" w:cs="Times New Roman"/>
                <w:b w:val="false"/>
                <w:bCs w:val="false"/>
                <w:kern w:val="0"/>
                <w:sz w:val="24"/>
                <w:szCs w:val="24"/>
                <w:lang w:val="ru-RU" w:eastAsia="en-US" w:bidi="ar-SA"/>
              </w:rPr>
              <w:t>Подготовка заявки (раздел </w:t>
            </w:r>
            <w:r>
              <w:rPr>
                <w:rFonts w:eastAsia="Times New Roman" w:cs="Times New Roman"/>
                <w:b w:val="false"/>
                <w:bCs w:val="false"/>
                <w:kern w:val="0"/>
                <w:sz w:val="24"/>
                <w:szCs w:val="24"/>
                <w:lang w:val="ru-RU" w:eastAsia="en-US" w:bidi="ar-SA"/>
              </w:rPr>
              <w:fldChar w:fldCharType="begin"/>
            </w:r>
            <w:r>
              <w:rPr>
                <w:sz w:val="24"/>
                <w:b w:val="false"/>
                <w:kern w:val="0"/>
                <w:szCs w:val="24"/>
                <w:bCs w:val="false"/>
                <w:rFonts w:eastAsia="Times New Roman" w:cs="Times New Roman"/>
                <w:lang w:val="ru-RU" w:eastAsia="en-US" w:bidi="ar-SA"/>
              </w:rPr>
              <w:instrText xml:space="preserve"> REF _Ref130281199 \r \h </w:instrText>
            </w:r>
            <w:r>
              <w:rPr>
                <w:sz w:val="24"/>
                <w:b w:val="false"/>
                <w:kern w:val="0"/>
                <w:szCs w:val="24"/>
                <w:bCs w:val="false"/>
                <w:rFonts w:eastAsia="Times New Roman" w:cs="Times New Roman"/>
                <w:lang w:val="ru-RU" w:eastAsia="en-US" w:bidi="ar-SA"/>
              </w:rPr>
              <w:fldChar w:fldCharType="separate"/>
            </w:r>
            <w:r>
              <w:rPr>
                <w:sz w:val="24"/>
                <w:b w:val="false"/>
                <w:kern w:val="0"/>
                <w:szCs w:val="24"/>
                <w:bCs w:val="false"/>
                <w:rFonts w:eastAsia="Times New Roman" w:cs="Times New Roman"/>
                <w:lang w:val="ru-RU" w:eastAsia="en-US" w:bidi="ar-SA"/>
              </w:rPr>
              <w:t>4.3</w:t>
            </w:r>
            <w:r>
              <w:rPr>
                <w:sz w:val="24"/>
                <w:b w:val="false"/>
                <w:kern w:val="0"/>
                <w:szCs w:val="24"/>
                <w:bCs w:val="false"/>
                <w:rFonts w:eastAsia="Times New Roman" w:cs="Times New Roman"/>
                <w:lang w:val="ru-RU" w:eastAsia="en-US" w:bidi="ar-SA"/>
              </w:rPr>
              <w:fldChar w:fldCharType="end"/>
            </w:r>
            <w:r>
              <w:rPr>
                <w:rFonts w:eastAsia="Times New Roman" w:cs="Times New Roman"/>
                <w:b w:val="false"/>
                <w:bCs w:val="false"/>
                <w:kern w:val="0"/>
                <w:sz w:val="24"/>
                <w:szCs w:val="24"/>
                <w:lang w:val="ru-RU" w:eastAsia="en-US" w:bidi="ar-SA"/>
              </w:rPr>
              <w:t>)</w:t>
            </w:r>
          </w:p>
        </w:tc>
        <w:tc>
          <w:tcPr>
            <w:tcW w:w="2409" w:type="dxa"/>
            <w:vMerge w:val="restart"/>
            <w:tcBorders/>
          </w:tcPr>
          <w:p>
            <w:pPr>
              <w:pStyle w:val="Style23"/>
              <w:widowControl/>
              <w:spacing w:lineRule="auto" w:line="240" w:before="40" w:after="40"/>
              <w:jc w:val="center"/>
              <w:rPr>
                <w:rFonts w:ascii="Times New Roman" w:hAnsi="Times New Roman" w:cs="Times New Roman"/>
                <w:b w:val="false"/>
                <w:bCs w:val="false"/>
                <w:sz w:val="24"/>
                <w:szCs w:val="24"/>
              </w:rPr>
            </w:pPr>
            <w:r>
              <w:rPr>
                <w:rFonts w:eastAsia="Times New Roman" w:cs="Times New Roman"/>
                <w:b w:val="false"/>
                <w:bCs w:val="false"/>
                <w:kern w:val="0"/>
                <w:sz w:val="24"/>
                <w:szCs w:val="24"/>
                <w:lang w:val="ru-RU" w:eastAsia="en-US" w:bidi="ar-SA"/>
              </w:rPr>
              <w:t>Предоставление разъяснений положений Документации о закупке</w:t>
              <w:br/>
              <w:t>(подраздел </w:t>
            </w:r>
            <w:r>
              <w:rPr>
                <w:rFonts w:eastAsia="Times New Roman" w:cs="Times New Roman"/>
                <w:b w:val="false"/>
                <w:bCs w:val="false"/>
                <w:kern w:val="0"/>
                <w:sz w:val="24"/>
                <w:szCs w:val="24"/>
                <w:lang w:val="ru-RU" w:eastAsia="en-US" w:bidi="ar-SA"/>
              </w:rPr>
              <w:fldChar w:fldCharType="begin"/>
            </w:r>
            <w:r>
              <w:rPr>
                <w:sz w:val="24"/>
                <w:b w:val="false"/>
                <w:kern w:val="0"/>
                <w:szCs w:val="24"/>
                <w:bCs w:val="false"/>
                <w:rFonts w:eastAsia="Times New Roman" w:cs="Times New Roman"/>
                <w:lang w:val="ru-RU" w:eastAsia="en-US" w:bidi="ar-SA"/>
              </w:rPr>
              <w:instrText xml:space="preserve"> REF _Ref130394802 \r \h </w:instrText>
            </w:r>
            <w:r>
              <w:rPr>
                <w:sz w:val="24"/>
                <w:b w:val="false"/>
                <w:kern w:val="0"/>
                <w:szCs w:val="24"/>
                <w:bCs w:val="false"/>
                <w:rFonts w:eastAsia="Times New Roman" w:cs="Times New Roman"/>
                <w:lang w:val="ru-RU" w:eastAsia="en-US" w:bidi="ar-SA"/>
              </w:rPr>
              <w:fldChar w:fldCharType="separate"/>
            </w:r>
            <w:r>
              <w:rPr>
                <w:sz w:val="24"/>
                <w:b w:val="false"/>
                <w:kern w:val="0"/>
                <w:szCs w:val="24"/>
                <w:bCs w:val="false"/>
                <w:rFonts w:eastAsia="Times New Roman" w:cs="Times New Roman"/>
                <w:lang w:val="ru-RU" w:eastAsia="en-US" w:bidi="ar-SA"/>
              </w:rPr>
              <w:t>4.4</w:t>
            </w:r>
            <w:r>
              <w:rPr>
                <w:sz w:val="24"/>
                <w:b w:val="false"/>
                <w:kern w:val="0"/>
                <w:szCs w:val="24"/>
                <w:bCs w:val="false"/>
                <w:rFonts w:eastAsia="Times New Roman" w:cs="Times New Roman"/>
                <w:lang w:val="ru-RU" w:eastAsia="en-US" w:bidi="ar-SA"/>
              </w:rPr>
              <w:fldChar w:fldCharType="end"/>
            </w:r>
            <w:r>
              <w:rPr>
                <w:rFonts w:eastAsia="Times New Roman" w:cs="Times New Roman"/>
                <w:b w:val="false"/>
                <w:bCs w:val="false"/>
                <w:kern w:val="0"/>
                <w:sz w:val="24"/>
                <w:szCs w:val="24"/>
                <w:lang w:val="ru-RU" w:eastAsia="en-US" w:bidi="ar-SA"/>
              </w:rPr>
              <w:t>)</w:t>
              <w:br/>
            </w:r>
            <w:r>
              <w:rPr>
                <w:rFonts w:eastAsia="Times New Roman" w:cs="Times New Roman"/>
                <w:b w:val="false"/>
                <w:bCs w:val="false"/>
                <w:i/>
                <w:iCs/>
                <w:kern w:val="0"/>
                <w:sz w:val="24"/>
                <w:szCs w:val="24"/>
                <w:lang w:val="ru-RU" w:eastAsia="en-US" w:bidi="ar-SA"/>
              </w:rPr>
              <w:t>(опциональная процедура закупки)</w:t>
            </w:r>
          </w:p>
        </w:tc>
        <w:tc>
          <w:tcPr>
            <w:tcW w:w="2267" w:type="dxa"/>
            <w:vMerge w:val="restart"/>
            <w:tcBorders/>
          </w:tcPr>
          <w:p>
            <w:pPr>
              <w:pStyle w:val="Style23"/>
              <w:widowControl/>
              <w:spacing w:lineRule="auto" w:line="240" w:before="40" w:after="40"/>
              <w:jc w:val="center"/>
              <w:rPr>
                <w:rFonts w:ascii="Times New Roman" w:hAnsi="Times New Roman" w:cs="Times New Roman"/>
                <w:b w:val="false"/>
                <w:bCs w:val="false"/>
                <w:sz w:val="24"/>
                <w:szCs w:val="24"/>
              </w:rPr>
            </w:pPr>
            <w:r>
              <w:rPr>
                <w:rFonts w:eastAsia="Times New Roman" w:cs="Times New Roman"/>
                <w:b w:val="false"/>
                <w:bCs w:val="false"/>
                <w:kern w:val="0"/>
                <w:sz w:val="24"/>
                <w:szCs w:val="24"/>
                <w:lang w:val="ru-RU" w:eastAsia="en-US" w:bidi="ar-SA"/>
              </w:rPr>
              <w:t>Внесение изменений в Извещение и (или) Документацию о закупке</w:t>
              <w:br/>
              <w:t>(подраздел </w:t>
            </w:r>
            <w:r>
              <w:rPr>
                <w:rFonts w:eastAsia="Times New Roman" w:cs="Times New Roman"/>
                <w:b w:val="false"/>
                <w:bCs w:val="false"/>
                <w:kern w:val="0"/>
                <w:sz w:val="24"/>
                <w:szCs w:val="24"/>
                <w:lang w:val="ru-RU" w:eastAsia="en-US" w:bidi="ar-SA"/>
              </w:rPr>
              <w:fldChar w:fldCharType="begin"/>
            </w:r>
            <w:r>
              <w:rPr>
                <w:sz w:val="24"/>
                <w:b w:val="false"/>
                <w:kern w:val="0"/>
                <w:szCs w:val="24"/>
                <w:bCs w:val="false"/>
                <w:rFonts w:eastAsia="Times New Roman" w:cs="Times New Roman"/>
                <w:lang w:val="ru-RU" w:eastAsia="en-US" w:bidi="ar-SA"/>
              </w:rPr>
              <w:instrText xml:space="preserve"> REF _Ref125362076 \r \h </w:instrText>
            </w:r>
            <w:r>
              <w:rPr>
                <w:sz w:val="24"/>
                <w:b w:val="false"/>
                <w:kern w:val="0"/>
                <w:szCs w:val="24"/>
                <w:bCs w:val="false"/>
                <w:rFonts w:eastAsia="Times New Roman" w:cs="Times New Roman"/>
                <w:lang w:val="ru-RU" w:eastAsia="en-US" w:bidi="ar-SA"/>
              </w:rPr>
              <w:fldChar w:fldCharType="separate"/>
            </w:r>
            <w:r>
              <w:rPr>
                <w:sz w:val="24"/>
                <w:b w:val="false"/>
                <w:kern w:val="0"/>
                <w:szCs w:val="24"/>
                <w:bCs w:val="false"/>
                <w:rFonts w:eastAsia="Times New Roman" w:cs="Times New Roman"/>
                <w:lang w:val="ru-RU" w:eastAsia="en-US" w:bidi="ar-SA"/>
              </w:rPr>
              <w:t>4.5</w:t>
            </w:r>
            <w:r>
              <w:rPr>
                <w:sz w:val="24"/>
                <w:b w:val="false"/>
                <w:kern w:val="0"/>
                <w:szCs w:val="24"/>
                <w:bCs w:val="false"/>
                <w:rFonts w:eastAsia="Times New Roman" w:cs="Times New Roman"/>
                <w:lang w:val="ru-RU" w:eastAsia="en-US" w:bidi="ar-SA"/>
              </w:rPr>
              <w:fldChar w:fldCharType="end"/>
            </w:r>
            <w:r>
              <w:rPr>
                <w:rFonts w:eastAsia="Times New Roman" w:cs="Times New Roman"/>
                <w:b w:val="false"/>
                <w:bCs w:val="false"/>
                <w:kern w:val="0"/>
                <w:sz w:val="24"/>
                <w:szCs w:val="24"/>
                <w:lang w:val="ru-RU" w:eastAsia="en-US" w:bidi="ar-SA"/>
              </w:rPr>
              <w:t>)</w:t>
              <w:br/>
            </w:r>
            <w:r>
              <w:rPr>
                <w:rFonts w:eastAsia="Times New Roman" w:cs="Times New Roman"/>
                <w:b w:val="false"/>
                <w:bCs w:val="false"/>
                <w:i/>
                <w:iCs/>
                <w:kern w:val="0"/>
                <w:sz w:val="24"/>
                <w:szCs w:val="24"/>
                <w:lang w:val="ru-RU" w:eastAsia="en-US" w:bidi="ar-SA"/>
              </w:rPr>
              <w:t>(опциональная процедура закупки)</w:t>
            </w:r>
          </w:p>
        </w:tc>
        <w:tc>
          <w:tcPr>
            <w:tcW w:w="2230" w:type="dxa"/>
            <w:vMerge w:val="restart"/>
            <w:tcBorders>
              <w:right w:val="nil"/>
            </w:tcBorders>
          </w:tcPr>
          <w:p>
            <w:pPr>
              <w:pStyle w:val="Style23"/>
              <w:widowControl/>
              <w:spacing w:lineRule="auto" w:line="240" w:before="40" w:after="40"/>
              <w:jc w:val="center"/>
              <w:rPr>
                <w:rFonts w:ascii="Times New Roman" w:hAnsi="Times New Roman" w:cs="Times New Roman"/>
                <w:b w:val="false"/>
                <w:bCs w:val="false"/>
                <w:sz w:val="24"/>
                <w:szCs w:val="24"/>
              </w:rPr>
            </w:pPr>
            <w:r>
              <w:rPr>
                <w:rFonts w:eastAsia="Times New Roman" w:cs="Times New Roman"/>
                <w:b w:val="false"/>
                <w:bCs w:val="false"/>
                <w:kern w:val="0"/>
                <w:sz w:val="24"/>
                <w:szCs w:val="24"/>
                <w:lang w:val="ru-RU" w:eastAsia="en-US" w:bidi="ar-SA"/>
              </w:rPr>
              <w:t>Отказ от проведения закупки (отмена закупки)</w:t>
              <w:br/>
              <w:t>(подраздел </w:t>
            </w:r>
            <w:r>
              <w:rPr>
                <w:rFonts w:eastAsia="Times New Roman" w:cs="Times New Roman"/>
                <w:b w:val="false"/>
                <w:bCs w:val="false"/>
                <w:kern w:val="0"/>
                <w:sz w:val="24"/>
                <w:szCs w:val="24"/>
                <w:lang w:val="ru-RU" w:eastAsia="en-US" w:bidi="ar-SA"/>
              </w:rPr>
              <w:fldChar w:fldCharType="begin"/>
            </w:r>
            <w:r>
              <w:rPr>
                <w:sz w:val="24"/>
                <w:b w:val="false"/>
                <w:kern w:val="0"/>
                <w:szCs w:val="24"/>
                <w:bCs w:val="false"/>
                <w:rFonts w:eastAsia="Times New Roman" w:cs="Times New Roman"/>
                <w:lang w:val="ru-RU" w:eastAsia="en-US" w:bidi="ar-SA"/>
              </w:rPr>
              <w:instrText xml:space="preserve"> REF _Ref126141962 \r \h </w:instrText>
            </w:r>
            <w:r>
              <w:rPr>
                <w:sz w:val="24"/>
                <w:b w:val="false"/>
                <w:kern w:val="0"/>
                <w:szCs w:val="24"/>
                <w:bCs w:val="false"/>
                <w:rFonts w:eastAsia="Times New Roman" w:cs="Times New Roman"/>
                <w:lang w:val="ru-RU" w:eastAsia="en-US" w:bidi="ar-SA"/>
              </w:rPr>
              <w:fldChar w:fldCharType="separate"/>
            </w:r>
            <w:r>
              <w:rPr>
                <w:sz w:val="24"/>
                <w:b w:val="false"/>
                <w:kern w:val="0"/>
                <w:szCs w:val="24"/>
                <w:bCs w:val="false"/>
                <w:rFonts w:eastAsia="Times New Roman" w:cs="Times New Roman"/>
                <w:lang w:val="ru-RU" w:eastAsia="en-US" w:bidi="ar-SA"/>
              </w:rPr>
              <w:t>4.16</w:t>
            </w:r>
            <w:r>
              <w:rPr>
                <w:sz w:val="24"/>
                <w:b w:val="false"/>
                <w:kern w:val="0"/>
                <w:szCs w:val="24"/>
                <w:bCs w:val="false"/>
                <w:rFonts w:eastAsia="Times New Roman" w:cs="Times New Roman"/>
                <w:lang w:val="ru-RU" w:eastAsia="en-US" w:bidi="ar-SA"/>
              </w:rPr>
              <w:fldChar w:fldCharType="end"/>
            </w:r>
            <w:r>
              <w:rPr>
                <w:rFonts w:eastAsia="Times New Roman" w:cs="Times New Roman"/>
                <w:b w:val="false"/>
                <w:bCs w:val="false"/>
                <w:kern w:val="0"/>
                <w:sz w:val="24"/>
                <w:szCs w:val="24"/>
                <w:lang w:val="ru-RU" w:eastAsia="en-US" w:bidi="ar-SA"/>
              </w:rPr>
              <w:t>)</w:t>
              <w:br/>
            </w:r>
            <w:r>
              <w:rPr>
                <w:rFonts w:eastAsia="Times New Roman" w:cs="Times New Roman"/>
                <w:b w:val="false"/>
                <w:bCs w:val="false"/>
                <w:i/>
                <w:iCs/>
                <w:kern w:val="0"/>
                <w:sz w:val="24"/>
                <w:szCs w:val="24"/>
                <w:lang w:val="ru-RU" w:eastAsia="en-US" w:bidi="ar-SA"/>
              </w:rPr>
              <w:t>(опциональная процедура закупки)</w:t>
            </w:r>
          </w:p>
        </w:tc>
      </w:tr>
      <w:tr>
        <w:trPr/>
        <w:tc>
          <w:tcPr>
            <w:tcW w:w="428" w:type="dxa"/>
            <w:tcBorders>
              <w:left w:val="nil"/>
            </w:tcBorders>
            <w:vAlign w:val="bottom"/>
          </w:tcPr>
          <w:p>
            <w:pPr>
              <w:pStyle w:val="Style23"/>
              <w:widowControl/>
              <w:spacing w:lineRule="auto" w:line="240" w:before="40" w:after="40"/>
              <w:jc w:val="center"/>
              <w:rPr>
                <w:rFonts w:ascii="Times New Roman" w:hAnsi="Times New Roman" w:cs="Times New Roman"/>
                <w:b w:val="false"/>
                <w:bCs w:val="false"/>
                <w:sz w:val="24"/>
                <w:szCs w:val="24"/>
              </w:rPr>
            </w:pPr>
            <w:r>
              <w:rPr>
                <w:rFonts w:eastAsia="Times New Roman" w:cs="Times New Roman"/>
                <w:b w:val="false"/>
                <w:bCs w:val="false"/>
                <w:kern w:val="0"/>
                <w:sz w:val="24"/>
                <w:szCs w:val="24"/>
                <w:lang w:val="ru-RU" w:eastAsia="en-US" w:bidi="ar-SA"/>
              </w:rPr>
              <w:t>Ô</w:t>
            </w:r>
          </w:p>
        </w:tc>
        <w:tc>
          <w:tcPr>
            <w:tcW w:w="3330" w:type="dxa"/>
            <w:gridSpan w:val="2"/>
            <w:tcBorders/>
          </w:tcPr>
          <w:p>
            <w:pPr>
              <w:pStyle w:val="Style23"/>
              <w:widowControl/>
              <w:spacing w:lineRule="auto" w:line="240" w:before="40" w:after="40"/>
              <w:jc w:val="center"/>
              <w:rPr>
                <w:rFonts w:ascii="Times New Roman" w:hAnsi="Times New Roman" w:cs="Times New Roman"/>
                <w:b w:val="false"/>
                <w:bCs w:val="false"/>
                <w:sz w:val="24"/>
                <w:szCs w:val="24"/>
              </w:rPr>
            </w:pPr>
            <w:r>
              <w:rPr>
                <w:rFonts w:eastAsia="Times New Roman" w:cs="Times New Roman"/>
                <w:b w:val="false"/>
                <w:bCs w:val="false"/>
                <w:kern w:val="0"/>
                <w:sz w:val="24"/>
                <w:szCs w:val="24"/>
                <w:lang w:val="ru-RU" w:eastAsia="en-US" w:bidi="ar-SA"/>
              </w:rPr>
              <w:t>Подача заявок и их прием</w:t>
              <w:br/>
              <w:t>(подраздел </w:t>
            </w:r>
            <w:r>
              <w:rPr>
                <w:rFonts w:eastAsia="Times New Roman" w:cs="Times New Roman"/>
                <w:b w:val="false"/>
                <w:bCs w:val="false"/>
                <w:kern w:val="0"/>
                <w:sz w:val="24"/>
                <w:szCs w:val="24"/>
                <w:lang w:val="ru-RU" w:eastAsia="en-US" w:bidi="ar-SA"/>
              </w:rPr>
              <w:fldChar w:fldCharType="begin"/>
            </w:r>
            <w:r>
              <w:rPr>
                <w:sz w:val="24"/>
                <w:b w:val="false"/>
                <w:kern w:val="0"/>
                <w:szCs w:val="24"/>
                <w:bCs w:val="false"/>
                <w:rFonts w:eastAsia="Times New Roman" w:cs="Times New Roman"/>
                <w:lang w:val="ru-RU" w:eastAsia="en-US" w:bidi="ar-SA"/>
              </w:rPr>
              <w:instrText xml:space="preserve"> REF _Ref125362119 \r \h </w:instrText>
            </w:r>
            <w:r>
              <w:rPr>
                <w:sz w:val="24"/>
                <w:b w:val="false"/>
                <w:kern w:val="0"/>
                <w:szCs w:val="24"/>
                <w:bCs w:val="false"/>
                <w:rFonts w:eastAsia="Times New Roman" w:cs="Times New Roman"/>
                <w:lang w:val="ru-RU" w:eastAsia="en-US" w:bidi="ar-SA"/>
              </w:rPr>
              <w:fldChar w:fldCharType="separate"/>
            </w:r>
            <w:r>
              <w:rPr>
                <w:sz w:val="24"/>
                <w:b w:val="false"/>
                <w:kern w:val="0"/>
                <w:szCs w:val="24"/>
                <w:bCs w:val="false"/>
                <w:rFonts w:eastAsia="Times New Roman" w:cs="Times New Roman"/>
                <w:lang w:val="ru-RU" w:eastAsia="en-US" w:bidi="ar-SA"/>
              </w:rPr>
              <w:t>4.6</w:t>
            </w:r>
            <w:r>
              <w:rPr>
                <w:sz w:val="24"/>
                <w:b w:val="false"/>
                <w:kern w:val="0"/>
                <w:szCs w:val="24"/>
                <w:bCs w:val="false"/>
                <w:rFonts w:eastAsia="Times New Roman" w:cs="Times New Roman"/>
                <w:lang w:val="ru-RU" w:eastAsia="en-US" w:bidi="ar-SA"/>
              </w:rPr>
              <w:fldChar w:fldCharType="end"/>
            </w:r>
            <w:r>
              <w:rPr>
                <w:rFonts w:eastAsia="Times New Roman" w:cs="Times New Roman"/>
                <w:b w:val="false"/>
                <w:bCs w:val="false"/>
                <w:kern w:val="0"/>
                <w:sz w:val="24"/>
                <w:szCs w:val="24"/>
                <w:lang w:val="ru-RU" w:eastAsia="en-US" w:bidi="ar-SA"/>
              </w:rPr>
              <w:t>)</w:t>
            </w:r>
          </w:p>
        </w:tc>
        <w:tc>
          <w:tcPr>
            <w:tcW w:w="3338" w:type="dxa"/>
            <w:gridSpan w:val="2"/>
            <w:tcBorders/>
          </w:tcPr>
          <w:p>
            <w:pPr>
              <w:pStyle w:val="Style23"/>
              <w:widowControl/>
              <w:spacing w:lineRule="auto" w:line="240" w:before="40" w:after="40"/>
              <w:jc w:val="center"/>
              <w:rPr>
                <w:rFonts w:ascii="Times New Roman" w:hAnsi="Times New Roman" w:cs="Times New Roman"/>
                <w:b w:val="false"/>
                <w:bCs w:val="false"/>
                <w:sz w:val="24"/>
                <w:szCs w:val="24"/>
              </w:rPr>
            </w:pPr>
            <w:r>
              <w:rPr>
                <w:rFonts w:eastAsia="Times New Roman" w:cs="Times New Roman"/>
                <w:b w:val="false"/>
                <w:bCs w:val="false"/>
                <w:kern w:val="0"/>
                <w:sz w:val="24"/>
                <w:szCs w:val="24"/>
                <w:lang w:val="ru-RU" w:eastAsia="en-US" w:bidi="ar-SA"/>
              </w:rPr>
              <w:t>Изменение и отзыв заявок</w:t>
              <w:br/>
              <w:t>(подраздел </w:t>
            </w:r>
            <w:r>
              <w:rPr>
                <w:rFonts w:eastAsia="Times New Roman" w:cs="Times New Roman"/>
                <w:b w:val="false"/>
                <w:bCs w:val="false"/>
                <w:kern w:val="0"/>
                <w:sz w:val="24"/>
                <w:szCs w:val="24"/>
                <w:lang w:val="ru-RU" w:eastAsia="en-US" w:bidi="ar-SA"/>
              </w:rPr>
              <w:fldChar w:fldCharType="begin"/>
            </w:r>
            <w:r>
              <w:rPr>
                <w:sz w:val="24"/>
                <w:b w:val="false"/>
                <w:kern w:val="0"/>
                <w:szCs w:val="24"/>
                <w:bCs w:val="false"/>
                <w:rFonts w:eastAsia="Times New Roman" w:cs="Times New Roman"/>
                <w:lang w:val="ru-RU" w:eastAsia="en-US" w:bidi="ar-SA"/>
              </w:rPr>
              <w:instrText xml:space="preserve"> REF _Ref125362130 \r \h </w:instrText>
            </w:r>
            <w:r>
              <w:rPr>
                <w:sz w:val="24"/>
                <w:b w:val="false"/>
                <w:kern w:val="0"/>
                <w:szCs w:val="24"/>
                <w:bCs w:val="false"/>
                <w:rFonts w:eastAsia="Times New Roman" w:cs="Times New Roman"/>
                <w:lang w:val="ru-RU" w:eastAsia="en-US" w:bidi="ar-SA"/>
              </w:rPr>
              <w:fldChar w:fldCharType="separate"/>
            </w:r>
            <w:r>
              <w:rPr>
                <w:sz w:val="24"/>
                <w:b w:val="false"/>
                <w:kern w:val="0"/>
                <w:szCs w:val="24"/>
                <w:bCs w:val="false"/>
                <w:rFonts w:eastAsia="Times New Roman" w:cs="Times New Roman"/>
                <w:lang w:val="ru-RU" w:eastAsia="en-US" w:bidi="ar-SA"/>
              </w:rPr>
              <w:t>4.7</w:t>
            </w:r>
            <w:r>
              <w:rPr>
                <w:sz w:val="24"/>
                <w:b w:val="false"/>
                <w:kern w:val="0"/>
                <w:szCs w:val="24"/>
                <w:bCs w:val="false"/>
                <w:rFonts w:eastAsia="Times New Roman" w:cs="Times New Roman"/>
                <w:lang w:val="ru-RU" w:eastAsia="en-US" w:bidi="ar-SA"/>
              </w:rPr>
              <w:fldChar w:fldCharType="end"/>
            </w:r>
            <w:r>
              <w:rPr>
                <w:rFonts w:eastAsia="Times New Roman" w:cs="Times New Roman"/>
                <w:b w:val="false"/>
                <w:bCs w:val="false"/>
                <w:kern w:val="0"/>
                <w:sz w:val="24"/>
                <w:szCs w:val="24"/>
                <w:lang w:val="ru-RU" w:eastAsia="en-US" w:bidi="ar-SA"/>
              </w:rPr>
              <w:t>)</w:t>
              <w:br/>
            </w:r>
            <w:r>
              <w:rPr>
                <w:rFonts w:eastAsia="Times New Roman" w:cs="Times New Roman"/>
                <w:b w:val="false"/>
                <w:bCs w:val="false"/>
                <w:i/>
                <w:iCs/>
                <w:kern w:val="0"/>
                <w:sz w:val="24"/>
                <w:szCs w:val="24"/>
                <w:lang w:val="ru-RU" w:eastAsia="en-US" w:bidi="ar-SA"/>
              </w:rPr>
              <w:t>(опциональная процедура закупки)</w:t>
            </w:r>
          </w:p>
        </w:tc>
        <w:tc>
          <w:tcPr>
            <w:tcW w:w="2409" w:type="dxa"/>
            <w:vMerge w:val="continue"/>
            <w:tcBorders/>
          </w:tcPr>
          <w:p>
            <w:pPr>
              <w:pStyle w:val="Style23"/>
              <w:widowControl/>
              <w:spacing w:lineRule="auto" w:line="240" w:before="40" w:after="40"/>
              <w:jc w:val="center"/>
              <w:rPr>
                <w:bCs/>
                <w:sz w:val="24"/>
                <w:szCs w:val="24"/>
              </w:rPr>
            </w:pPr>
            <w:r>
              <w:rPr>
                <w:bCs/>
                <w:sz w:val="24"/>
                <w:szCs w:val="24"/>
              </w:rPr>
            </w:r>
          </w:p>
        </w:tc>
        <w:tc>
          <w:tcPr>
            <w:tcW w:w="2267" w:type="dxa"/>
            <w:vMerge w:val="continue"/>
            <w:tcBorders/>
          </w:tcPr>
          <w:p>
            <w:pPr>
              <w:pStyle w:val="Style23"/>
              <w:widowControl/>
              <w:spacing w:lineRule="auto" w:line="240" w:before="40" w:after="40"/>
              <w:jc w:val="center"/>
              <w:rPr>
                <w:bCs/>
                <w:sz w:val="24"/>
                <w:szCs w:val="24"/>
              </w:rPr>
            </w:pPr>
            <w:r>
              <w:rPr>
                <w:bCs/>
                <w:sz w:val="24"/>
                <w:szCs w:val="24"/>
              </w:rPr>
            </w:r>
          </w:p>
        </w:tc>
        <w:tc>
          <w:tcPr>
            <w:tcW w:w="2230" w:type="dxa"/>
            <w:vMerge w:val="continue"/>
            <w:tcBorders>
              <w:right w:val="nil"/>
            </w:tcBorders>
            <w:vAlign w:val="bottom"/>
          </w:tcPr>
          <w:p>
            <w:pPr>
              <w:pStyle w:val="Style23"/>
              <w:widowControl/>
              <w:spacing w:lineRule="auto" w:line="240" w:before="40" w:after="40"/>
              <w:jc w:val="center"/>
              <w:rPr>
                <w:bCs/>
                <w:sz w:val="24"/>
                <w:szCs w:val="24"/>
              </w:rPr>
            </w:pPr>
            <w:r>
              <w:rPr>
                <w:bCs/>
                <w:sz w:val="24"/>
                <w:szCs w:val="24"/>
              </w:rPr>
            </w:r>
          </w:p>
        </w:tc>
      </w:tr>
      <w:tr>
        <w:trPr/>
        <w:tc>
          <w:tcPr>
            <w:tcW w:w="428" w:type="dxa"/>
            <w:tcBorders>
              <w:left w:val="nil"/>
            </w:tcBorders>
            <w:vAlign w:val="bottom"/>
          </w:tcPr>
          <w:p>
            <w:pPr>
              <w:pStyle w:val="Style23"/>
              <w:widowControl/>
              <w:spacing w:lineRule="auto" w:line="240" w:before="40" w:after="40"/>
              <w:jc w:val="center"/>
              <w:rPr>
                <w:rFonts w:ascii="Times New Roman" w:hAnsi="Times New Roman" w:cs="Times New Roman"/>
                <w:b w:val="false"/>
                <w:bCs w:val="false"/>
                <w:sz w:val="24"/>
                <w:szCs w:val="24"/>
              </w:rPr>
            </w:pPr>
            <w:r>
              <w:rPr>
                <w:rFonts w:eastAsia="Times New Roman" w:cs="Times New Roman"/>
                <w:b w:val="false"/>
                <w:bCs w:val="false"/>
                <w:kern w:val="0"/>
                <w:sz w:val="24"/>
                <w:szCs w:val="24"/>
                <w:lang w:val="ru-RU" w:eastAsia="en-US" w:bidi="ar-SA"/>
              </w:rPr>
              <w:t>Ô</w:t>
            </w:r>
          </w:p>
        </w:tc>
        <w:tc>
          <w:tcPr>
            <w:tcW w:w="11344" w:type="dxa"/>
            <w:gridSpan w:val="6"/>
            <w:tcBorders/>
          </w:tcPr>
          <w:p>
            <w:pPr>
              <w:pStyle w:val="Style23"/>
              <w:widowControl/>
              <w:spacing w:lineRule="auto" w:line="240" w:before="40" w:after="40"/>
              <w:jc w:val="center"/>
              <w:rPr>
                <w:rFonts w:ascii="Times New Roman" w:hAnsi="Times New Roman" w:cs="Times New Roman"/>
                <w:b w:val="false"/>
                <w:bCs w:val="false"/>
                <w:sz w:val="24"/>
                <w:szCs w:val="24"/>
              </w:rPr>
            </w:pPr>
            <w:r>
              <w:rPr>
                <w:rFonts w:eastAsia="Times New Roman" w:cs="Times New Roman"/>
                <w:b w:val="false"/>
                <w:bCs w:val="false"/>
                <w:kern w:val="0"/>
                <w:sz w:val="24"/>
                <w:szCs w:val="24"/>
                <w:lang w:val="ru-RU" w:eastAsia="en-US" w:bidi="ar-SA"/>
              </w:rPr>
              <w:t>Открытие доступа к заявкам (подраздел </w:t>
            </w:r>
            <w:r>
              <w:rPr>
                <w:rFonts w:eastAsia="Times New Roman" w:cs="Times New Roman"/>
                <w:b w:val="false"/>
                <w:bCs w:val="false"/>
                <w:kern w:val="0"/>
                <w:sz w:val="24"/>
                <w:szCs w:val="24"/>
                <w:lang w:val="ru-RU" w:eastAsia="en-US" w:bidi="ar-SA"/>
              </w:rPr>
              <w:fldChar w:fldCharType="begin"/>
            </w:r>
            <w:r>
              <w:rPr>
                <w:sz w:val="24"/>
                <w:b w:val="false"/>
                <w:kern w:val="0"/>
                <w:szCs w:val="24"/>
                <w:bCs w:val="false"/>
                <w:rFonts w:eastAsia="Times New Roman" w:cs="Times New Roman"/>
                <w:lang w:val="ru-RU" w:eastAsia="en-US" w:bidi="ar-SA"/>
              </w:rPr>
              <w:instrText xml:space="preserve"> REF _Ref130221619 \r \h </w:instrText>
            </w:r>
            <w:r>
              <w:rPr>
                <w:sz w:val="24"/>
                <w:b w:val="false"/>
                <w:kern w:val="0"/>
                <w:szCs w:val="24"/>
                <w:bCs w:val="false"/>
                <w:rFonts w:eastAsia="Times New Roman" w:cs="Times New Roman"/>
                <w:lang w:val="ru-RU" w:eastAsia="en-US" w:bidi="ar-SA"/>
              </w:rPr>
              <w:fldChar w:fldCharType="separate"/>
            </w:r>
            <w:r>
              <w:rPr>
                <w:sz w:val="24"/>
                <w:b w:val="false"/>
                <w:kern w:val="0"/>
                <w:szCs w:val="24"/>
                <w:bCs w:val="false"/>
                <w:rFonts w:eastAsia="Times New Roman" w:cs="Times New Roman"/>
                <w:lang w:val="ru-RU" w:eastAsia="en-US" w:bidi="ar-SA"/>
              </w:rPr>
              <w:t>4.8</w:t>
            </w:r>
            <w:r>
              <w:rPr>
                <w:sz w:val="24"/>
                <w:b w:val="false"/>
                <w:kern w:val="0"/>
                <w:szCs w:val="24"/>
                <w:bCs w:val="false"/>
                <w:rFonts w:eastAsia="Times New Roman" w:cs="Times New Roman"/>
                <w:lang w:val="ru-RU" w:eastAsia="en-US" w:bidi="ar-SA"/>
              </w:rPr>
              <w:fldChar w:fldCharType="end"/>
            </w:r>
            <w:r>
              <w:rPr>
                <w:rFonts w:eastAsia="Times New Roman" w:cs="Times New Roman"/>
                <w:b w:val="false"/>
                <w:bCs w:val="false"/>
                <w:kern w:val="0"/>
                <w:sz w:val="24"/>
                <w:szCs w:val="24"/>
                <w:lang w:val="ru-RU" w:eastAsia="en-US" w:bidi="ar-SA"/>
              </w:rPr>
              <w:t>)</w:t>
            </w:r>
          </w:p>
        </w:tc>
        <w:tc>
          <w:tcPr>
            <w:tcW w:w="2230" w:type="dxa"/>
            <w:vMerge w:val="restart"/>
            <w:tcBorders>
              <w:right w:val="nil"/>
            </w:tcBorders>
            <w:vAlign w:val="center"/>
          </w:tcPr>
          <w:p>
            <w:pPr>
              <w:pStyle w:val="Style23"/>
              <w:widowControl/>
              <w:spacing w:lineRule="auto" w:line="240" w:before="40" w:after="40"/>
              <w:jc w:val="center"/>
              <w:rPr>
                <w:rFonts w:ascii="Times New Roman" w:hAnsi="Times New Roman" w:cs="Times New Roman"/>
                <w:b w:val="false"/>
                <w:bCs w:val="false"/>
                <w:sz w:val="24"/>
                <w:szCs w:val="24"/>
              </w:rPr>
            </w:pPr>
            <w:r>
              <w:rPr>
                <w:rFonts w:eastAsia="Times New Roman" w:cs="Times New Roman"/>
                <w:b w:val="false"/>
                <w:bCs w:val="false"/>
                <w:kern w:val="0"/>
                <w:sz w:val="24"/>
                <w:szCs w:val="24"/>
                <w:lang w:val="ru-RU" w:eastAsia="en-US" w:bidi="ar-SA"/>
              </w:rPr>
              <w:t>Отказ от проведения закупки (отмена закупки) по обстоятельствам непреодолимой силы в соответствии с гражданским законодательством</w:t>
              <w:br/>
              <w:t>(подраздел </w:t>
            </w:r>
            <w:r>
              <w:rPr>
                <w:rFonts w:eastAsia="Times New Roman" w:cs="Times New Roman"/>
                <w:b w:val="false"/>
                <w:bCs w:val="false"/>
                <w:kern w:val="0"/>
                <w:sz w:val="24"/>
                <w:szCs w:val="24"/>
                <w:lang w:val="ru-RU" w:eastAsia="en-US" w:bidi="ar-SA"/>
              </w:rPr>
              <w:fldChar w:fldCharType="begin"/>
            </w:r>
            <w:r>
              <w:rPr>
                <w:sz w:val="24"/>
                <w:b w:val="false"/>
                <w:kern w:val="0"/>
                <w:szCs w:val="24"/>
                <w:bCs w:val="false"/>
                <w:rFonts w:eastAsia="Times New Roman" w:cs="Times New Roman"/>
                <w:lang w:val="ru-RU" w:eastAsia="en-US" w:bidi="ar-SA"/>
              </w:rPr>
              <w:instrText xml:space="preserve"> REF _Ref126141962 \r \h </w:instrText>
            </w:r>
            <w:r>
              <w:rPr>
                <w:sz w:val="24"/>
                <w:b w:val="false"/>
                <w:kern w:val="0"/>
                <w:szCs w:val="24"/>
                <w:bCs w:val="false"/>
                <w:rFonts w:eastAsia="Times New Roman" w:cs="Times New Roman"/>
                <w:lang w:val="ru-RU" w:eastAsia="en-US" w:bidi="ar-SA"/>
              </w:rPr>
              <w:fldChar w:fldCharType="separate"/>
            </w:r>
            <w:r>
              <w:rPr>
                <w:sz w:val="24"/>
                <w:b w:val="false"/>
                <w:kern w:val="0"/>
                <w:szCs w:val="24"/>
                <w:bCs w:val="false"/>
                <w:rFonts w:eastAsia="Times New Roman" w:cs="Times New Roman"/>
                <w:lang w:val="ru-RU" w:eastAsia="en-US" w:bidi="ar-SA"/>
              </w:rPr>
              <w:t>4.16</w:t>
            </w:r>
            <w:r>
              <w:rPr>
                <w:sz w:val="24"/>
                <w:b w:val="false"/>
                <w:kern w:val="0"/>
                <w:szCs w:val="24"/>
                <w:bCs w:val="false"/>
                <w:rFonts w:eastAsia="Times New Roman" w:cs="Times New Roman"/>
                <w:lang w:val="ru-RU" w:eastAsia="en-US" w:bidi="ar-SA"/>
              </w:rPr>
              <w:fldChar w:fldCharType="end"/>
            </w:r>
            <w:r>
              <w:rPr>
                <w:rFonts w:eastAsia="Times New Roman" w:cs="Times New Roman"/>
                <w:b w:val="false"/>
                <w:bCs w:val="false"/>
                <w:kern w:val="0"/>
                <w:sz w:val="24"/>
                <w:szCs w:val="24"/>
                <w:lang w:val="ru-RU" w:eastAsia="en-US" w:bidi="ar-SA"/>
              </w:rPr>
              <w:t>)</w:t>
              <w:br/>
            </w:r>
            <w:r>
              <w:rPr>
                <w:rFonts w:eastAsia="Times New Roman" w:cs="Times New Roman"/>
                <w:b w:val="false"/>
                <w:bCs w:val="false"/>
                <w:i/>
                <w:iCs/>
                <w:kern w:val="0"/>
                <w:sz w:val="24"/>
                <w:szCs w:val="24"/>
                <w:lang w:val="ru-RU" w:eastAsia="en-US" w:bidi="ar-SA"/>
              </w:rPr>
              <w:t>(опциональная процедура закупки)</w:t>
            </w:r>
          </w:p>
        </w:tc>
      </w:tr>
      <w:tr>
        <w:trPr>
          <w:trHeight w:val="276" w:hRule="atLeast"/>
        </w:trPr>
        <w:tc>
          <w:tcPr>
            <w:tcW w:w="428" w:type="dxa"/>
            <w:tcBorders>
              <w:left w:val="nil"/>
            </w:tcBorders>
            <w:vAlign w:val="bottom"/>
          </w:tcPr>
          <w:p>
            <w:pPr>
              <w:pStyle w:val="Style23"/>
              <w:widowControl/>
              <w:spacing w:lineRule="auto" w:line="240" w:before="40" w:after="40"/>
              <w:jc w:val="center"/>
              <w:rPr>
                <w:rFonts w:ascii="Times New Roman" w:hAnsi="Times New Roman" w:cs="Times New Roman"/>
                <w:b w:val="false"/>
                <w:bCs w:val="false"/>
                <w:sz w:val="24"/>
                <w:szCs w:val="24"/>
              </w:rPr>
            </w:pPr>
            <w:r>
              <w:rPr>
                <w:rFonts w:eastAsia="Times New Roman" w:cs="Times New Roman"/>
                <w:b w:val="false"/>
                <w:bCs w:val="false"/>
                <w:kern w:val="0"/>
                <w:sz w:val="24"/>
                <w:szCs w:val="24"/>
                <w:lang w:val="ru-RU" w:eastAsia="en-US" w:bidi="ar-SA"/>
              </w:rPr>
              <w:t>Ô</w:t>
            </w:r>
          </w:p>
        </w:tc>
        <w:tc>
          <w:tcPr>
            <w:tcW w:w="3330" w:type="dxa"/>
            <w:gridSpan w:val="2"/>
            <w:tcBorders/>
          </w:tcPr>
          <w:p>
            <w:pPr>
              <w:pStyle w:val="Style23"/>
              <w:widowControl/>
              <w:spacing w:lineRule="auto" w:line="240" w:before="40" w:after="40"/>
              <w:jc w:val="center"/>
              <w:rPr>
                <w:rFonts w:ascii="Times New Roman" w:hAnsi="Times New Roman" w:cs="Times New Roman"/>
                <w:b w:val="false"/>
                <w:bCs w:val="false"/>
                <w:sz w:val="24"/>
                <w:szCs w:val="24"/>
              </w:rPr>
            </w:pPr>
            <w:r>
              <w:rPr>
                <w:rFonts w:eastAsia="Times New Roman" w:cs="Times New Roman"/>
                <w:b w:val="false"/>
                <w:bCs w:val="false"/>
                <w:kern w:val="0"/>
                <w:sz w:val="24"/>
                <w:szCs w:val="24"/>
                <w:lang w:val="ru-RU" w:eastAsia="en-US" w:bidi="ar-SA"/>
              </w:rPr>
              <w:t>Рассмотрение заявок (отборочная стадия), в том числе (при необходимости) проведение аккредитации (подраздел </w:t>
            </w:r>
            <w:r>
              <w:rPr>
                <w:rFonts w:eastAsia="Times New Roman" w:cs="Times New Roman"/>
                <w:b w:val="false"/>
                <w:bCs w:val="false"/>
                <w:kern w:val="0"/>
                <w:sz w:val="24"/>
                <w:szCs w:val="24"/>
                <w:lang w:val="ru-RU" w:eastAsia="en-US" w:bidi="ar-SA"/>
              </w:rPr>
              <w:fldChar w:fldCharType="begin"/>
            </w:r>
            <w:r>
              <w:rPr>
                <w:sz w:val="24"/>
                <w:b w:val="false"/>
                <w:kern w:val="0"/>
                <w:szCs w:val="24"/>
                <w:bCs w:val="false"/>
                <w:rFonts w:eastAsia="Times New Roman" w:cs="Times New Roman"/>
                <w:lang w:val="ru-RU" w:eastAsia="en-US" w:bidi="ar-SA"/>
              </w:rPr>
              <w:instrText xml:space="preserve"> REF _Ref125362364 \r \h </w:instrText>
            </w:r>
            <w:r>
              <w:rPr>
                <w:sz w:val="24"/>
                <w:b w:val="false"/>
                <w:kern w:val="0"/>
                <w:szCs w:val="24"/>
                <w:bCs w:val="false"/>
                <w:rFonts w:eastAsia="Times New Roman" w:cs="Times New Roman"/>
                <w:lang w:val="ru-RU" w:eastAsia="en-US" w:bidi="ar-SA"/>
              </w:rPr>
              <w:fldChar w:fldCharType="separate"/>
            </w:r>
            <w:r>
              <w:rPr>
                <w:sz w:val="24"/>
                <w:b w:val="false"/>
                <w:kern w:val="0"/>
                <w:szCs w:val="24"/>
                <w:bCs w:val="false"/>
                <w:rFonts w:eastAsia="Times New Roman" w:cs="Times New Roman"/>
                <w:lang w:val="ru-RU" w:eastAsia="en-US" w:bidi="ar-SA"/>
              </w:rPr>
              <w:t>4.9</w:t>
            </w:r>
            <w:r>
              <w:rPr>
                <w:sz w:val="24"/>
                <w:b w:val="false"/>
                <w:kern w:val="0"/>
                <w:szCs w:val="24"/>
                <w:bCs w:val="false"/>
                <w:rFonts w:eastAsia="Times New Roman" w:cs="Times New Roman"/>
                <w:lang w:val="ru-RU" w:eastAsia="en-US" w:bidi="ar-SA"/>
              </w:rPr>
              <w:fldChar w:fldCharType="end"/>
            </w:r>
            <w:r>
              <w:rPr>
                <w:rFonts w:eastAsia="Times New Roman" w:cs="Times New Roman"/>
                <w:b w:val="false"/>
                <w:bCs w:val="false"/>
                <w:kern w:val="0"/>
                <w:sz w:val="24"/>
                <w:szCs w:val="24"/>
                <w:lang w:val="ru-RU" w:eastAsia="en-US" w:bidi="ar-SA"/>
              </w:rPr>
              <w:t>)</w:t>
            </w:r>
          </w:p>
        </w:tc>
        <w:tc>
          <w:tcPr>
            <w:tcW w:w="3338" w:type="dxa"/>
            <w:gridSpan w:val="2"/>
            <w:tcBorders/>
          </w:tcPr>
          <w:p>
            <w:pPr>
              <w:pStyle w:val="Style23"/>
              <w:widowControl/>
              <w:spacing w:lineRule="auto" w:line="240" w:before="40" w:after="40"/>
              <w:jc w:val="center"/>
              <w:rPr>
                <w:rFonts w:ascii="Times New Roman" w:hAnsi="Times New Roman" w:cs="Times New Roman"/>
                <w:b w:val="false"/>
                <w:bCs w:val="false"/>
                <w:sz w:val="24"/>
                <w:szCs w:val="24"/>
              </w:rPr>
            </w:pPr>
            <w:r>
              <w:rPr>
                <w:rFonts w:eastAsia="Times New Roman" w:cs="Times New Roman"/>
                <w:b w:val="false"/>
                <w:bCs w:val="false"/>
                <w:kern w:val="0"/>
                <w:sz w:val="24"/>
                <w:szCs w:val="24"/>
                <w:lang w:val="ru-RU" w:eastAsia="en-US" w:bidi="ar-SA"/>
              </w:rPr>
              <w:t>Применение законодательства о национальном режиме</w:t>
              <w:br/>
              <w:t>(предоставление национального режима / запрета, ограничения)</w:t>
              <w:br/>
              <w:t>(подраздел </w:t>
            </w:r>
            <w:r>
              <w:rPr>
                <w:rFonts w:eastAsia="Times New Roman" w:cs="Times New Roman"/>
                <w:b w:val="false"/>
                <w:bCs w:val="false"/>
                <w:kern w:val="0"/>
                <w:sz w:val="24"/>
                <w:szCs w:val="24"/>
                <w:lang w:val="ru-RU" w:eastAsia="en-US" w:bidi="ar-SA"/>
              </w:rPr>
              <w:fldChar w:fldCharType="begin"/>
            </w:r>
            <w:r>
              <w:rPr>
                <w:sz w:val="24"/>
                <w:b w:val="false"/>
                <w:kern w:val="0"/>
                <w:szCs w:val="24"/>
                <w:bCs w:val="false"/>
                <w:rFonts w:eastAsia="Times New Roman" w:cs="Times New Roman"/>
                <w:lang w:val="ru-RU" w:eastAsia="en-US" w:bidi="ar-SA"/>
              </w:rPr>
              <w:instrText xml:space="preserve"> REF _Ref130985951 \r \h </w:instrText>
            </w:r>
            <w:r>
              <w:rPr>
                <w:sz w:val="24"/>
                <w:b w:val="false"/>
                <w:kern w:val="0"/>
                <w:szCs w:val="24"/>
                <w:bCs w:val="false"/>
                <w:rFonts w:eastAsia="Times New Roman" w:cs="Times New Roman"/>
                <w:lang w:val="ru-RU" w:eastAsia="en-US" w:bidi="ar-SA"/>
              </w:rPr>
              <w:fldChar w:fldCharType="separate"/>
            </w:r>
            <w:r>
              <w:rPr>
                <w:sz w:val="24"/>
                <w:b w:val="false"/>
                <w:kern w:val="0"/>
                <w:szCs w:val="24"/>
                <w:bCs w:val="false"/>
                <w:rFonts w:eastAsia="Times New Roman" w:cs="Times New Roman"/>
                <w:lang w:val="ru-RU" w:eastAsia="en-US" w:bidi="ar-SA"/>
              </w:rPr>
              <w:t>4.13</w:t>
            </w:r>
            <w:r>
              <w:rPr>
                <w:sz w:val="24"/>
                <w:b w:val="false"/>
                <w:kern w:val="0"/>
                <w:szCs w:val="24"/>
                <w:bCs w:val="false"/>
                <w:rFonts w:eastAsia="Times New Roman" w:cs="Times New Roman"/>
                <w:lang w:val="ru-RU" w:eastAsia="en-US" w:bidi="ar-SA"/>
              </w:rPr>
              <w:fldChar w:fldCharType="end"/>
            </w:r>
            <w:r>
              <w:rPr>
                <w:rFonts w:eastAsia="Times New Roman" w:cs="Times New Roman"/>
                <w:b w:val="false"/>
                <w:bCs w:val="false"/>
                <w:kern w:val="0"/>
                <w:sz w:val="24"/>
                <w:szCs w:val="24"/>
                <w:lang w:val="ru-RU" w:eastAsia="en-US" w:bidi="ar-SA"/>
              </w:rPr>
              <w:t>)</w:t>
            </w:r>
          </w:p>
        </w:tc>
        <w:tc>
          <w:tcPr>
            <w:tcW w:w="2409" w:type="dxa"/>
            <w:vMerge w:val="restart"/>
            <w:tcBorders/>
            <w:vAlign w:val="center"/>
          </w:tcPr>
          <w:p>
            <w:pPr>
              <w:pStyle w:val="Style23"/>
              <w:widowControl/>
              <w:spacing w:lineRule="auto" w:line="240" w:before="40" w:after="40"/>
              <w:jc w:val="center"/>
              <w:rPr>
                <w:rFonts w:ascii="Times New Roman" w:hAnsi="Times New Roman" w:cs="Times New Roman"/>
                <w:b w:val="false"/>
                <w:bCs w:val="false"/>
                <w:sz w:val="24"/>
                <w:szCs w:val="24"/>
              </w:rPr>
            </w:pPr>
            <w:r>
              <w:rPr>
                <w:rFonts w:eastAsia="Times New Roman" w:cs="Times New Roman"/>
                <w:b w:val="false"/>
                <w:bCs w:val="false"/>
                <w:kern w:val="0"/>
                <w:sz w:val="24"/>
                <w:szCs w:val="24"/>
                <w:lang w:val="ru-RU" w:eastAsia="en-US" w:bidi="ar-SA"/>
              </w:rPr>
              <w:t>Направление дополнительных запросов разъяснений заявок</w:t>
              <w:br/>
              <w:t>(подраздел </w:t>
            </w:r>
            <w:r>
              <w:rPr>
                <w:rFonts w:eastAsia="Times New Roman" w:cs="Times New Roman"/>
                <w:b w:val="false"/>
                <w:bCs w:val="false"/>
                <w:kern w:val="0"/>
                <w:sz w:val="24"/>
                <w:szCs w:val="24"/>
                <w:lang w:val="ru-RU" w:eastAsia="en-US" w:bidi="ar-SA"/>
              </w:rPr>
              <w:fldChar w:fldCharType="begin"/>
            </w:r>
            <w:r>
              <w:rPr>
                <w:sz w:val="24"/>
                <w:b w:val="false"/>
                <w:kern w:val="0"/>
                <w:szCs w:val="24"/>
                <w:bCs w:val="false"/>
                <w:rFonts w:eastAsia="Times New Roman" w:cs="Times New Roman"/>
                <w:lang w:val="ru-RU" w:eastAsia="en-US" w:bidi="ar-SA"/>
              </w:rPr>
              <w:instrText xml:space="preserve"> REF _Ref125362381 \r \h </w:instrText>
            </w:r>
            <w:r>
              <w:rPr>
                <w:sz w:val="24"/>
                <w:b w:val="false"/>
                <w:kern w:val="0"/>
                <w:szCs w:val="24"/>
                <w:bCs w:val="false"/>
                <w:rFonts w:eastAsia="Times New Roman" w:cs="Times New Roman"/>
                <w:lang w:val="ru-RU" w:eastAsia="en-US" w:bidi="ar-SA"/>
              </w:rPr>
              <w:fldChar w:fldCharType="separate"/>
            </w:r>
            <w:r>
              <w:rPr>
                <w:sz w:val="24"/>
                <w:b w:val="false"/>
                <w:kern w:val="0"/>
                <w:szCs w:val="24"/>
                <w:bCs w:val="false"/>
                <w:rFonts w:eastAsia="Times New Roman" w:cs="Times New Roman"/>
                <w:lang w:val="ru-RU" w:eastAsia="en-US" w:bidi="ar-SA"/>
              </w:rPr>
              <w:t>4.10</w:t>
            </w:r>
            <w:r>
              <w:rPr>
                <w:sz w:val="24"/>
                <w:b w:val="false"/>
                <w:kern w:val="0"/>
                <w:szCs w:val="24"/>
                <w:bCs w:val="false"/>
                <w:rFonts w:eastAsia="Times New Roman" w:cs="Times New Roman"/>
                <w:lang w:val="ru-RU" w:eastAsia="en-US" w:bidi="ar-SA"/>
              </w:rPr>
              <w:fldChar w:fldCharType="end"/>
            </w:r>
            <w:r>
              <w:rPr>
                <w:rFonts w:eastAsia="Times New Roman" w:cs="Times New Roman"/>
                <w:b w:val="false"/>
                <w:bCs w:val="false"/>
                <w:kern w:val="0"/>
                <w:sz w:val="24"/>
                <w:szCs w:val="24"/>
                <w:lang w:val="ru-RU" w:eastAsia="en-US" w:bidi="ar-SA"/>
              </w:rPr>
              <w:t>)</w:t>
              <w:br/>
            </w:r>
            <w:r>
              <w:rPr>
                <w:rFonts w:eastAsia="Times New Roman" w:cs="Times New Roman"/>
                <w:b w:val="false"/>
                <w:bCs w:val="false"/>
                <w:i/>
                <w:iCs/>
                <w:kern w:val="0"/>
                <w:sz w:val="24"/>
                <w:szCs w:val="24"/>
                <w:lang w:val="ru-RU" w:eastAsia="en-US" w:bidi="ar-SA"/>
              </w:rPr>
              <w:t>(опциональная процедура закупки)</w:t>
            </w:r>
          </w:p>
        </w:tc>
        <w:tc>
          <w:tcPr>
            <w:tcW w:w="2267" w:type="dxa"/>
            <w:vMerge w:val="restart"/>
            <w:tcBorders/>
            <w:vAlign w:val="center"/>
          </w:tcPr>
          <w:p>
            <w:pPr>
              <w:pStyle w:val="Style23"/>
              <w:widowControl/>
              <w:spacing w:lineRule="auto" w:line="240" w:before="40" w:after="40"/>
              <w:jc w:val="center"/>
              <w:rPr>
                <w:rFonts w:ascii="Times New Roman" w:hAnsi="Times New Roman" w:cs="Times New Roman"/>
                <w:b w:val="false"/>
                <w:bCs w:val="false"/>
                <w:sz w:val="24"/>
                <w:szCs w:val="24"/>
              </w:rPr>
            </w:pPr>
            <w:r>
              <w:rPr>
                <w:rFonts w:eastAsia="Times New Roman" w:cs="Times New Roman"/>
                <w:b w:val="false"/>
                <w:bCs w:val="false"/>
                <w:kern w:val="0"/>
                <w:sz w:val="24"/>
                <w:szCs w:val="24"/>
                <w:lang w:val="ru-RU" w:eastAsia="en-US" w:bidi="ar-SA"/>
              </w:rPr>
              <w:t>Признание закупки</w:t>
              <w:br/>
              <w:t>несостоявшейся</w:t>
              <w:br/>
              <w:t>(подраздел </w:t>
            </w:r>
            <w:r>
              <w:rPr>
                <w:rFonts w:eastAsia="Times New Roman" w:cs="Times New Roman"/>
                <w:b w:val="false"/>
                <w:bCs w:val="false"/>
                <w:kern w:val="0"/>
                <w:sz w:val="24"/>
                <w:szCs w:val="24"/>
                <w:lang w:val="ru-RU" w:eastAsia="en-US" w:bidi="ar-SA"/>
              </w:rPr>
              <w:fldChar w:fldCharType="begin"/>
            </w:r>
            <w:r>
              <w:rPr>
                <w:sz w:val="24"/>
                <w:b w:val="false"/>
                <w:kern w:val="0"/>
                <w:szCs w:val="24"/>
                <w:bCs w:val="false"/>
                <w:rFonts w:eastAsia="Times New Roman" w:cs="Times New Roman"/>
                <w:lang w:val="ru-RU" w:eastAsia="en-US" w:bidi="ar-SA"/>
              </w:rPr>
              <w:instrText xml:space="preserve"> REF _Ref125364149 \r \h </w:instrText>
            </w:r>
            <w:r>
              <w:rPr>
                <w:sz w:val="24"/>
                <w:b w:val="false"/>
                <w:kern w:val="0"/>
                <w:szCs w:val="24"/>
                <w:bCs w:val="false"/>
                <w:rFonts w:eastAsia="Times New Roman" w:cs="Times New Roman"/>
                <w:lang w:val="ru-RU" w:eastAsia="en-US" w:bidi="ar-SA"/>
              </w:rPr>
              <w:fldChar w:fldCharType="separate"/>
            </w:r>
            <w:r>
              <w:rPr>
                <w:sz w:val="24"/>
                <w:b w:val="false"/>
                <w:kern w:val="0"/>
                <w:szCs w:val="24"/>
                <w:bCs w:val="false"/>
                <w:rFonts w:eastAsia="Times New Roman" w:cs="Times New Roman"/>
                <w:lang w:val="ru-RU" w:eastAsia="en-US" w:bidi="ar-SA"/>
              </w:rPr>
              <w:t>4.15</w:t>
            </w:r>
            <w:r>
              <w:rPr>
                <w:sz w:val="24"/>
                <w:b w:val="false"/>
                <w:kern w:val="0"/>
                <w:szCs w:val="24"/>
                <w:bCs w:val="false"/>
                <w:rFonts w:eastAsia="Times New Roman" w:cs="Times New Roman"/>
                <w:lang w:val="ru-RU" w:eastAsia="en-US" w:bidi="ar-SA"/>
              </w:rPr>
              <w:fldChar w:fldCharType="end"/>
            </w:r>
            <w:r>
              <w:rPr>
                <w:rFonts w:eastAsia="Times New Roman" w:cs="Times New Roman"/>
                <w:b w:val="false"/>
                <w:bCs w:val="false"/>
                <w:kern w:val="0"/>
                <w:sz w:val="24"/>
                <w:szCs w:val="24"/>
                <w:lang w:val="ru-RU" w:eastAsia="en-US" w:bidi="ar-SA"/>
              </w:rPr>
              <w:t>)</w:t>
              <w:br/>
            </w:r>
            <w:r>
              <w:rPr>
                <w:rFonts w:eastAsia="Times New Roman" w:cs="Times New Roman"/>
                <w:b w:val="false"/>
                <w:bCs w:val="false"/>
                <w:i/>
                <w:iCs/>
                <w:kern w:val="0"/>
                <w:sz w:val="24"/>
                <w:szCs w:val="24"/>
                <w:lang w:val="ru-RU" w:eastAsia="en-US" w:bidi="ar-SA"/>
              </w:rPr>
              <w:t>(опциональная процедура закупки)</w:t>
            </w:r>
          </w:p>
        </w:tc>
        <w:tc>
          <w:tcPr>
            <w:tcW w:w="2230" w:type="dxa"/>
            <w:vMerge w:val="continue"/>
            <w:tcBorders>
              <w:right w:val="nil"/>
            </w:tcBorders>
          </w:tcPr>
          <w:p>
            <w:pPr>
              <w:pStyle w:val="Style23"/>
              <w:widowControl/>
              <w:spacing w:lineRule="auto" w:line="240" w:before="40" w:after="40"/>
              <w:jc w:val="center"/>
              <w:rPr>
                <w:bCs/>
                <w:sz w:val="24"/>
                <w:szCs w:val="24"/>
              </w:rPr>
            </w:pPr>
            <w:r>
              <w:rPr>
                <w:bCs/>
                <w:sz w:val="24"/>
                <w:szCs w:val="24"/>
              </w:rPr>
            </w:r>
          </w:p>
        </w:tc>
      </w:tr>
      <w:tr>
        <w:trPr/>
        <w:tc>
          <w:tcPr>
            <w:tcW w:w="428" w:type="dxa"/>
            <w:tcBorders>
              <w:left w:val="nil"/>
            </w:tcBorders>
            <w:vAlign w:val="bottom"/>
          </w:tcPr>
          <w:p>
            <w:pPr>
              <w:pStyle w:val="Style23"/>
              <w:widowControl/>
              <w:spacing w:lineRule="auto" w:line="240" w:before="40" w:after="40"/>
              <w:jc w:val="center"/>
              <w:rPr>
                <w:rFonts w:ascii="Times New Roman" w:hAnsi="Times New Roman" w:cs="Times New Roman"/>
                <w:b w:val="false"/>
                <w:bCs w:val="false"/>
                <w:sz w:val="24"/>
                <w:szCs w:val="24"/>
              </w:rPr>
            </w:pPr>
            <w:r>
              <w:rPr>
                <w:rFonts w:eastAsia="Times New Roman" w:cs="Times New Roman"/>
                <w:b w:val="false"/>
                <w:bCs w:val="false"/>
                <w:kern w:val="0"/>
                <w:sz w:val="24"/>
                <w:szCs w:val="24"/>
                <w:lang w:val="ru-RU" w:eastAsia="en-US" w:bidi="ar-SA"/>
              </w:rPr>
              <w:t>Ô</w:t>
            </w:r>
          </w:p>
        </w:tc>
        <w:tc>
          <w:tcPr>
            <w:tcW w:w="6668" w:type="dxa"/>
            <w:gridSpan w:val="4"/>
            <w:tcBorders/>
          </w:tcPr>
          <w:p>
            <w:pPr>
              <w:pStyle w:val="Style23"/>
              <w:widowControl/>
              <w:spacing w:lineRule="auto" w:line="240" w:before="40" w:after="40"/>
              <w:jc w:val="center"/>
              <w:rPr>
                <w:rFonts w:ascii="Times New Roman" w:hAnsi="Times New Roman" w:cs="Times New Roman"/>
                <w:b w:val="false"/>
                <w:bCs w:val="false"/>
                <w:sz w:val="24"/>
                <w:szCs w:val="24"/>
              </w:rPr>
            </w:pPr>
            <w:r>
              <w:rPr>
                <w:rFonts w:eastAsia="Times New Roman" w:cs="Times New Roman"/>
                <w:b w:val="false"/>
                <w:bCs w:val="false"/>
                <w:kern w:val="0"/>
                <w:sz w:val="24"/>
                <w:szCs w:val="24"/>
                <w:lang w:val="ru-RU" w:eastAsia="en-US" w:bidi="ar-SA"/>
              </w:rPr>
              <w:t>Переторжка (подраздел </w:t>
            </w:r>
            <w:r>
              <w:rPr>
                <w:rFonts w:eastAsia="Times New Roman" w:cs="Times New Roman"/>
                <w:b w:val="false"/>
                <w:bCs w:val="false"/>
                <w:kern w:val="0"/>
                <w:sz w:val="24"/>
                <w:szCs w:val="24"/>
                <w:lang w:val="ru-RU" w:eastAsia="en-US" w:bidi="ar-SA"/>
              </w:rPr>
              <w:fldChar w:fldCharType="begin"/>
            </w:r>
            <w:r>
              <w:rPr>
                <w:sz w:val="24"/>
                <w:b w:val="false"/>
                <w:kern w:val="0"/>
                <w:szCs w:val="24"/>
                <w:bCs w:val="false"/>
                <w:rFonts w:eastAsia="Times New Roman" w:cs="Times New Roman"/>
                <w:lang w:val="ru-RU" w:eastAsia="en-US" w:bidi="ar-SA"/>
              </w:rPr>
              <w:instrText xml:space="preserve"> REF _Ref127536359 \r \h </w:instrText>
            </w:r>
            <w:r>
              <w:rPr>
                <w:sz w:val="24"/>
                <w:b w:val="false"/>
                <w:kern w:val="0"/>
                <w:szCs w:val="24"/>
                <w:bCs w:val="false"/>
                <w:rFonts w:eastAsia="Times New Roman" w:cs="Times New Roman"/>
                <w:lang w:val="ru-RU" w:eastAsia="en-US" w:bidi="ar-SA"/>
              </w:rPr>
              <w:fldChar w:fldCharType="separate"/>
            </w:r>
            <w:r>
              <w:rPr>
                <w:sz w:val="24"/>
                <w:b w:val="false"/>
                <w:kern w:val="0"/>
                <w:szCs w:val="24"/>
                <w:bCs w:val="false"/>
                <w:rFonts w:eastAsia="Times New Roman" w:cs="Times New Roman"/>
                <w:lang w:val="ru-RU" w:eastAsia="en-US" w:bidi="ar-SA"/>
              </w:rPr>
              <w:t>4.11</w:t>
            </w:r>
            <w:r>
              <w:rPr>
                <w:sz w:val="24"/>
                <w:b w:val="false"/>
                <w:kern w:val="0"/>
                <w:szCs w:val="24"/>
                <w:bCs w:val="false"/>
                <w:rFonts w:eastAsia="Times New Roman" w:cs="Times New Roman"/>
                <w:lang w:val="ru-RU" w:eastAsia="en-US" w:bidi="ar-SA"/>
              </w:rPr>
              <w:fldChar w:fldCharType="end"/>
            </w:r>
            <w:r>
              <w:rPr>
                <w:rFonts w:eastAsia="Times New Roman" w:cs="Times New Roman"/>
                <w:b w:val="false"/>
                <w:bCs w:val="false"/>
                <w:kern w:val="0"/>
                <w:sz w:val="24"/>
                <w:szCs w:val="24"/>
                <w:lang w:val="ru-RU" w:eastAsia="en-US" w:bidi="ar-SA"/>
              </w:rPr>
              <w:t>)</w:t>
              <w:br/>
            </w:r>
            <w:r>
              <w:rPr>
                <w:rFonts w:eastAsia="Times New Roman" w:cs="Times New Roman"/>
                <w:b w:val="false"/>
                <w:bCs w:val="false"/>
                <w:i/>
                <w:iCs/>
                <w:kern w:val="0"/>
                <w:sz w:val="24"/>
                <w:szCs w:val="24"/>
                <w:lang w:val="ru-RU" w:eastAsia="en-US" w:bidi="ar-SA"/>
              </w:rPr>
              <w:t>(опциональная процедура закупки)</w:t>
            </w:r>
          </w:p>
        </w:tc>
        <w:tc>
          <w:tcPr>
            <w:tcW w:w="2409" w:type="dxa"/>
            <w:vMerge w:val="continue"/>
            <w:tcBorders/>
          </w:tcPr>
          <w:p>
            <w:pPr>
              <w:pStyle w:val="Style23"/>
              <w:widowControl/>
              <w:spacing w:lineRule="auto" w:line="240" w:before="40" w:after="40"/>
              <w:jc w:val="center"/>
              <w:rPr>
                <w:bCs/>
                <w:sz w:val="24"/>
                <w:szCs w:val="24"/>
              </w:rPr>
            </w:pPr>
            <w:r>
              <w:rPr>
                <w:bCs/>
                <w:sz w:val="24"/>
                <w:szCs w:val="24"/>
              </w:rPr>
            </w:r>
          </w:p>
        </w:tc>
        <w:tc>
          <w:tcPr>
            <w:tcW w:w="2267" w:type="dxa"/>
            <w:vMerge w:val="continue"/>
            <w:tcBorders/>
          </w:tcPr>
          <w:p>
            <w:pPr>
              <w:pStyle w:val="Style23"/>
              <w:widowControl/>
              <w:spacing w:lineRule="auto" w:line="240" w:before="40" w:after="40"/>
              <w:jc w:val="center"/>
              <w:rPr>
                <w:bCs/>
                <w:sz w:val="24"/>
                <w:szCs w:val="24"/>
              </w:rPr>
            </w:pPr>
            <w:r>
              <w:rPr>
                <w:bCs/>
                <w:sz w:val="24"/>
                <w:szCs w:val="24"/>
              </w:rPr>
            </w:r>
          </w:p>
        </w:tc>
        <w:tc>
          <w:tcPr>
            <w:tcW w:w="2230" w:type="dxa"/>
            <w:vMerge w:val="continue"/>
            <w:tcBorders>
              <w:right w:val="nil"/>
            </w:tcBorders>
          </w:tcPr>
          <w:p>
            <w:pPr>
              <w:pStyle w:val="Style23"/>
              <w:widowControl/>
              <w:spacing w:lineRule="auto" w:line="240" w:before="40" w:after="40"/>
              <w:jc w:val="center"/>
              <w:rPr>
                <w:bCs/>
                <w:sz w:val="24"/>
                <w:szCs w:val="24"/>
              </w:rPr>
            </w:pPr>
            <w:r>
              <w:rPr>
                <w:bCs/>
                <w:sz w:val="24"/>
                <w:szCs w:val="24"/>
              </w:rPr>
            </w:r>
          </w:p>
        </w:tc>
      </w:tr>
      <w:tr>
        <w:trPr>
          <w:trHeight w:val="881" w:hRule="atLeast"/>
        </w:trPr>
        <w:tc>
          <w:tcPr>
            <w:tcW w:w="428" w:type="dxa"/>
            <w:tcBorders>
              <w:left w:val="nil"/>
            </w:tcBorders>
            <w:vAlign w:val="bottom"/>
          </w:tcPr>
          <w:p>
            <w:pPr>
              <w:pStyle w:val="Style23"/>
              <w:widowControl/>
              <w:spacing w:lineRule="auto" w:line="240" w:before="40" w:after="40"/>
              <w:jc w:val="center"/>
              <w:rPr>
                <w:rFonts w:ascii="Times New Roman" w:hAnsi="Times New Roman" w:cs="Times New Roman"/>
                <w:b w:val="false"/>
                <w:bCs w:val="false"/>
                <w:sz w:val="24"/>
                <w:szCs w:val="24"/>
              </w:rPr>
            </w:pPr>
            <w:r>
              <w:rPr>
                <w:rFonts w:eastAsia="Times New Roman" w:cs="Times New Roman"/>
                <w:b w:val="false"/>
                <w:bCs w:val="false"/>
                <w:kern w:val="0"/>
                <w:sz w:val="24"/>
                <w:szCs w:val="24"/>
                <w:lang w:val="ru-RU" w:eastAsia="en-US" w:bidi="ar-SA"/>
              </w:rPr>
              <w:t>Ô</w:t>
            </w:r>
          </w:p>
        </w:tc>
        <w:tc>
          <w:tcPr>
            <w:tcW w:w="2221" w:type="dxa"/>
            <w:tcBorders/>
            <w:vAlign w:val="center"/>
          </w:tcPr>
          <w:p>
            <w:pPr>
              <w:pStyle w:val="Style23"/>
              <w:widowControl/>
              <w:spacing w:lineRule="auto" w:line="240" w:before="40" w:after="40"/>
              <w:jc w:val="center"/>
              <w:rPr>
                <w:rFonts w:ascii="Times New Roman" w:hAnsi="Times New Roman" w:cs="Times New Roman"/>
                <w:b w:val="false"/>
                <w:bCs w:val="false"/>
                <w:sz w:val="24"/>
                <w:szCs w:val="24"/>
              </w:rPr>
            </w:pPr>
            <w:r>
              <w:rPr>
                <w:rFonts w:eastAsia="Times New Roman" w:cs="Times New Roman"/>
                <w:b w:val="false"/>
                <w:bCs w:val="false"/>
                <w:kern w:val="0"/>
                <w:sz w:val="24"/>
                <w:szCs w:val="24"/>
                <w:lang w:val="ru-RU" w:eastAsia="en-US" w:bidi="ar-SA"/>
              </w:rPr>
              <w:t>Оценка и сопоставление заявок</w:t>
              <w:br/>
              <w:t>(подраздел </w:t>
            </w:r>
            <w:r>
              <w:rPr>
                <w:rFonts w:eastAsia="Times New Roman" w:cs="Times New Roman"/>
                <w:b w:val="false"/>
                <w:bCs w:val="false"/>
                <w:kern w:val="0"/>
                <w:sz w:val="24"/>
                <w:szCs w:val="24"/>
                <w:lang w:val="ru-RU" w:eastAsia="en-US" w:bidi="ar-SA"/>
              </w:rPr>
              <w:fldChar w:fldCharType="begin"/>
            </w:r>
            <w:r>
              <w:rPr>
                <w:sz w:val="24"/>
                <w:b w:val="false"/>
                <w:kern w:val="0"/>
                <w:szCs w:val="24"/>
                <w:bCs w:val="false"/>
                <w:rFonts w:eastAsia="Times New Roman" w:cs="Times New Roman"/>
                <w:lang w:val="ru-RU" w:eastAsia="en-US" w:bidi="ar-SA"/>
              </w:rPr>
              <w:instrText xml:space="preserve"> REF _Ref125362626 \r \h </w:instrText>
            </w:r>
            <w:r>
              <w:rPr>
                <w:sz w:val="24"/>
                <w:b w:val="false"/>
                <w:kern w:val="0"/>
                <w:szCs w:val="24"/>
                <w:bCs w:val="false"/>
                <w:rFonts w:eastAsia="Times New Roman" w:cs="Times New Roman"/>
                <w:lang w:val="ru-RU" w:eastAsia="en-US" w:bidi="ar-SA"/>
              </w:rPr>
              <w:fldChar w:fldCharType="separate"/>
            </w:r>
            <w:r>
              <w:rPr>
                <w:sz w:val="24"/>
                <w:b w:val="false"/>
                <w:kern w:val="0"/>
                <w:szCs w:val="24"/>
                <w:bCs w:val="false"/>
                <w:rFonts w:eastAsia="Times New Roman" w:cs="Times New Roman"/>
                <w:lang w:val="ru-RU" w:eastAsia="en-US" w:bidi="ar-SA"/>
              </w:rPr>
              <w:t>4.12</w:t>
            </w:r>
            <w:r>
              <w:rPr>
                <w:sz w:val="24"/>
                <w:b w:val="false"/>
                <w:kern w:val="0"/>
                <w:szCs w:val="24"/>
                <w:bCs w:val="false"/>
                <w:rFonts w:eastAsia="Times New Roman" w:cs="Times New Roman"/>
                <w:lang w:val="ru-RU" w:eastAsia="en-US" w:bidi="ar-SA"/>
              </w:rPr>
              <w:fldChar w:fldCharType="end"/>
            </w:r>
            <w:r>
              <w:rPr>
                <w:rFonts w:eastAsia="Times New Roman" w:cs="Times New Roman"/>
                <w:b w:val="false"/>
                <w:bCs w:val="false"/>
                <w:kern w:val="0"/>
                <w:sz w:val="24"/>
                <w:szCs w:val="24"/>
                <w:lang w:val="ru-RU" w:eastAsia="en-US" w:bidi="ar-SA"/>
              </w:rPr>
              <w:t>)</w:t>
            </w:r>
          </w:p>
        </w:tc>
        <w:tc>
          <w:tcPr>
            <w:tcW w:w="4447" w:type="dxa"/>
            <w:gridSpan w:val="3"/>
            <w:tcBorders/>
          </w:tcPr>
          <w:p>
            <w:pPr>
              <w:pStyle w:val="Style23"/>
              <w:widowControl/>
              <w:spacing w:lineRule="auto" w:line="240" w:before="40" w:after="40"/>
              <w:jc w:val="center"/>
              <w:rPr>
                <w:rFonts w:ascii="Times New Roman" w:hAnsi="Times New Roman" w:cs="Times New Roman"/>
                <w:b w:val="false"/>
                <w:bCs w:val="false"/>
                <w:sz w:val="24"/>
                <w:szCs w:val="24"/>
              </w:rPr>
            </w:pPr>
            <w:r>
              <w:rPr>
                <w:rFonts w:eastAsia="Times New Roman" w:cs="Times New Roman"/>
                <w:b w:val="false"/>
                <w:bCs w:val="false"/>
                <w:kern w:val="0"/>
                <w:sz w:val="24"/>
                <w:szCs w:val="24"/>
                <w:lang w:val="ru-RU" w:eastAsia="en-US" w:bidi="ar-SA"/>
              </w:rPr>
              <w:t>Применение законодательства о национальном режиме</w:t>
              <w:br/>
              <w:t>(в части учета установленного преимущества в цене предложения, если применимо)</w:t>
              <w:br/>
              <w:t>(подраздел </w:t>
            </w:r>
            <w:r>
              <w:rPr>
                <w:rFonts w:eastAsia="Times New Roman" w:cs="Times New Roman"/>
                <w:b w:val="false"/>
                <w:bCs w:val="false"/>
                <w:kern w:val="0"/>
                <w:sz w:val="24"/>
                <w:szCs w:val="24"/>
                <w:lang w:val="ru-RU" w:eastAsia="en-US" w:bidi="ar-SA"/>
              </w:rPr>
              <w:fldChar w:fldCharType="begin"/>
            </w:r>
            <w:r>
              <w:rPr>
                <w:sz w:val="24"/>
                <w:b w:val="false"/>
                <w:kern w:val="0"/>
                <w:szCs w:val="24"/>
                <w:bCs w:val="false"/>
                <w:rFonts w:eastAsia="Times New Roman" w:cs="Times New Roman"/>
                <w:lang w:val="ru-RU" w:eastAsia="en-US" w:bidi="ar-SA"/>
              </w:rPr>
              <w:instrText xml:space="preserve"> REF _Ref130985951 \r \h </w:instrText>
            </w:r>
            <w:r>
              <w:rPr>
                <w:sz w:val="24"/>
                <w:b w:val="false"/>
                <w:kern w:val="0"/>
                <w:szCs w:val="24"/>
                <w:bCs w:val="false"/>
                <w:rFonts w:eastAsia="Times New Roman" w:cs="Times New Roman"/>
                <w:lang w:val="ru-RU" w:eastAsia="en-US" w:bidi="ar-SA"/>
              </w:rPr>
              <w:fldChar w:fldCharType="separate"/>
            </w:r>
            <w:r>
              <w:rPr>
                <w:sz w:val="24"/>
                <w:b w:val="false"/>
                <w:kern w:val="0"/>
                <w:szCs w:val="24"/>
                <w:bCs w:val="false"/>
                <w:rFonts w:eastAsia="Times New Roman" w:cs="Times New Roman"/>
                <w:lang w:val="ru-RU" w:eastAsia="en-US" w:bidi="ar-SA"/>
              </w:rPr>
              <w:t>4.13</w:t>
            </w:r>
            <w:r>
              <w:rPr>
                <w:sz w:val="24"/>
                <w:b w:val="false"/>
                <w:kern w:val="0"/>
                <w:szCs w:val="24"/>
                <w:bCs w:val="false"/>
                <w:rFonts w:eastAsia="Times New Roman" w:cs="Times New Roman"/>
                <w:lang w:val="ru-RU" w:eastAsia="en-US" w:bidi="ar-SA"/>
              </w:rPr>
              <w:fldChar w:fldCharType="end"/>
            </w:r>
            <w:r>
              <w:rPr>
                <w:rFonts w:eastAsia="Times New Roman" w:cs="Times New Roman"/>
                <w:b w:val="false"/>
                <w:bCs w:val="false"/>
                <w:kern w:val="0"/>
                <w:sz w:val="24"/>
                <w:szCs w:val="24"/>
                <w:lang w:val="ru-RU" w:eastAsia="en-US" w:bidi="ar-SA"/>
              </w:rPr>
              <w:t>)</w:t>
            </w:r>
          </w:p>
        </w:tc>
        <w:tc>
          <w:tcPr>
            <w:tcW w:w="2409" w:type="dxa"/>
            <w:vMerge w:val="continue"/>
            <w:tcBorders/>
          </w:tcPr>
          <w:p>
            <w:pPr>
              <w:pStyle w:val="Style23"/>
              <w:widowControl/>
              <w:spacing w:lineRule="auto" w:line="240" w:before="40" w:after="40"/>
              <w:jc w:val="center"/>
              <w:rPr>
                <w:bCs/>
                <w:sz w:val="24"/>
                <w:szCs w:val="24"/>
              </w:rPr>
            </w:pPr>
            <w:r>
              <w:rPr>
                <w:bCs/>
                <w:sz w:val="24"/>
                <w:szCs w:val="24"/>
              </w:rPr>
            </w:r>
          </w:p>
        </w:tc>
        <w:tc>
          <w:tcPr>
            <w:tcW w:w="2267" w:type="dxa"/>
            <w:vMerge w:val="continue"/>
            <w:tcBorders/>
          </w:tcPr>
          <w:p>
            <w:pPr>
              <w:pStyle w:val="Style23"/>
              <w:widowControl/>
              <w:spacing w:lineRule="auto" w:line="240" w:before="40" w:after="40"/>
              <w:jc w:val="center"/>
              <w:rPr>
                <w:bCs/>
                <w:sz w:val="24"/>
                <w:szCs w:val="24"/>
              </w:rPr>
            </w:pPr>
            <w:r>
              <w:rPr>
                <w:bCs/>
                <w:sz w:val="24"/>
                <w:szCs w:val="24"/>
              </w:rPr>
            </w:r>
          </w:p>
        </w:tc>
        <w:tc>
          <w:tcPr>
            <w:tcW w:w="2230" w:type="dxa"/>
            <w:vMerge w:val="continue"/>
            <w:tcBorders>
              <w:right w:val="nil"/>
            </w:tcBorders>
          </w:tcPr>
          <w:p>
            <w:pPr>
              <w:pStyle w:val="Style23"/>
              <w:widowControl/>
              <w:spacing w:lineRule="auto" w:line="240" w:before="40" w:after="40"/>
              <w:jc w:val="center"/>
              <w:rPr>
                <w:bCs/>
                <w:sz w:val="24"/>
                <w:szCs w:val="24"/>
              </w:rPr>
            </w:pPr>
            <w:r>
              <w:rPr>
                <w:bCs/>
                <w:sz w:val="24"/>
                <w:szCs w:val="24"/>
              </w:rPr>
            </w:r>
          </w:p>
        </w:tc>
      </w:tr>
      <w:tr>
        <w:trPr/>
        <w:tc>
          <w:tcPr>
            <w:tcW w:w="428" w:type="dxa"/>
            <w:tcBorders>
              <w:left w:val="nil"/>
            </w:tcBorders>
            <w:vAlign w:val="bottom"/>
          </w:tcPr>
          <w:p>
            <w:pPr>
              <w:pStyle w:val="Style23"/>
              <w:widowControl/>
              <w:spacing w:lineRule="auto" w:line="240" w:before="40" w:after="40"/>
              <w:jc w:val="center"/>
              <w:rPr>
                <w:rFonts w:ascii="Times New Roman" w:hAnsi="Times New Roman" w:cs="Times New Roman"/>
                <w:b w:val="false"/>
                <w:bCs w:val="false"/>
                <w:sz w:val="24"/>
                <w:szCs w:val="24"/>
              </w:rPr>
            </w:pPr>
            <w:r>
              <w:rPr>
                <w:rFonts w:eastAsia="Times New Roman" w:cs="Times New Roman"/>
                <w:b w:val="false"/>
                <w:bCs w:val="false"/>
                <w:kern w:val="0"/>
                <w:sz w:val="24"/>
                <w:szCs w:val="24"/>
                <w:lang w:val="ru-RU" w:eastAsia="en-US" w:bidi="ar-SA"/>
              </w:rPr>
              <w:t>Ô</w:t>
            </w:r>
          </w:p>
        </w:tc>
        <w:tc>
          <w:tcPr>
            <w:tcW w:w="9077" w:type="dxa"/>
            <w:gridSpan w:val="5"/>
            <w:tcBorders/>
          </w:tcPr>
          <w:p>
            <w:pPr>
              <w:pStyle w:val="Style23"/>
              <w:widowControl/>
              <w:spacing w:lineRule="auto" w:line="240" w:before="40" w:after="40"/>
              <w:jc w:val="center"/>
              <w:rPr>
                <w:rFonts w:ascii="Times New Roman" w:hAnsi="Times New Roman" w:cs="Times New Roman"/>
                <w:b w:val="false"/>
                <w:bCs w:val="false"/>
                <w:sz w:val="24"/>
                <w:szCs w:val="24"/>
              </w:rPr>
            </w:pPr>
            <w:r>
              <w:rPr>
                <w:rFonts w:eastAsia="Times New Roman" w:cs="Times New Roman"/>
                <w:b w:val="false"/>
                <w:bCs w:val="false"/>
                <w:kern w:val="0"/>
                <w:sz w:val="24"/>
                <w:szCs w:val="24"/>
                <w:lang w:val="ru-RU" w:eastAsia="en-US" w:bidi="ar-SA"/>
              </w:rPr>
              <w:t>Подведение итогов закупки (определение Победителя) (подраздел </w:t>
            </w:r>
            <w:r>
              <w:rPr>
                <w:rFonts w:eastAsia="Times New Roman" w:cs="Times New Roman"/>
                <w:b w:val="false"/>
                <w:bCs w:val="false"/>
                <w:kern w:val="0"/>
                <w:sz w:val="24"/>
                <w:szCs w:val="24"/>
                <w:lang w:val="ru-RU" w:eastAsia="en-US" w:bidi="ar-SA"/>
              </w:rPr>
              <w:fldChar w:fldCharType="begin"/>
            </w:r>
            <w:r>
              <w:rPr>
                <w:sz w:val="24"/>
                <w:b w:val="false"/>
                <w:kern w:val="0"/>
                <w:szCs w:val="24"/>
                <w:bCs w:val="false"/>
                <w:rFonts w:eastAsia="Times New Roman" w:cs="Times New Roman"/>
                <w:lang w:val="ru-RU" w:eastAsia="en-US" w:bidi="ar-SA"/>
              </w:rPr>
              <w:instrText xml:space="preserve"> REF _Ref125362658 \r \h </w:instrText>
            </w:r>
            <w:r>
              <w:rPr>
                <w:sz w:val="24"/>
                <w:b w:val="false"/>
                <w:kern w:val="0"/>
                <w:szCs w:val="24"/>
                <w:bCs w:val="false"/>
                <w:rFonts w:eastAsia="Times New Roman" w:cs="Times New Roman"/>
                <w:lang w:val="ru-RU" w:eastAsia="en-US" w:bidi="ar-SA"/>
              </w:rPr>
              <w:fldChar w:fldCharType="separate"/>
            </w:r>
            <w:r>
              <w:rPr>
                <w:sz w:val="24"/>
                <w:b w:val="false"/>
                <w:kern w:val="0"/>
                <w:szCs w:val="24"/>
                <w:bCs w:val="false"/>
                <w:rFonts w:eastAsia="Times New Roman" w:cs="Times New Roman"/>
                <w:lang w:val="ru-RU" w:eastAsia="en-US" w:bidi="ar-SA"/>
              </w:rPr>
              <w:t>4.14</w:t>
            </w:r>
            <w:r>
              <w:rPr>
                <w:sz w:val="24"/>
                <w:b w:val="false"/>
                <w:kern w:val="0"/>
                <w:szCs w:val="24"/>
                <w:bCs w:val="false"/>
                <w:rFonts w:eastAsia="Times New Roman" w:cs="Times New Roman"/>
                <w:lang w:val="ru-RU" w:eastAsia="en-US" w:bidi="ar-SA"/>
              </w:rPr>
              <w:fldChar w:fldCharType="end"/>
            </w:r>
            <w:r>
              <w:rPr>
                <w:rFonts w:eastAsia="Times New Roman" w:cs="Times New Roman"/>
                <w:b w:val="false"/>
                <w:bCs w:val="false"/>
                <w:kern w:val="0"/>
                <w:sz w:val="24"/>
                <w:szCs w:val="24"/>
                <w:lang w:val="ru-RU" w:eastAsia="en-US" w:bidi="ar-SA"/>
              </w:rPr>
              <w:t>)</w:t>
            </w:r>
          </w:p>
        </w:tc>
        <w:tc>
          <w:tcPr>
            <w:tcW w:w="2267" w:type="dxa"/>
            <w:vMerge w:val="continue"/>
            <w:tcBorders/>
          </w:tcPr>
          <w:p>
            <w:pPr>
              <w:pStyle w:val="Style23"/>
              <w:widowControl/>
              <w:spacing w:lineRule="auto" w:line="240" w:before="40" w:after="40"/>
              <w:jc w:val="center"/>
              <w:rPr>
                <w:bCs/>
                <w:sz w:val="24"/>
                <w:szCs w:val="24"/>
              </w:rPr>
            </w:pPr>
            <w:r>
              <w:rPr>
                <w:bCs/>
                <w:sz w:val="24"/>
                <w:szCs w:val="24"/>
              </w:rPr>
            </w:r>
          </w:p>
        </w:tc>
        <w:tc>
          <w:tcPr>
            <w:tcW w:w="2230" w:type="dxa"/>
            <w:vMerge w:val="continue"/>
            <w:tcBorders>
              <w:right w:val="nil"/>
            </w:tcBorders>
          </w:tcPr>
          <w:p>
            <w:pPr>
              <w:pStyle w:val="Style23"/>
              <w:widowControl/>
              <w:spacing w:lineRule="auto" w:line="240" w:before="40" w:after="40"/>
              <w:jc w:val="center"/>
              <w:rPr>
                <w:bCs/>
                <w:sz w:val="24"/>
                <w:szCs w:val="24"/>
              </w:rPr>
            </w:pPr>
            <w:r>
              <w:rPr>
                <w:bCs/>
                <w:sz w:val="24"/>
                <w:szCs w:val="24"/>
              </w:rPr>
            </w:r>
          </w:p>
        </w:tc>
      </w:tr>
      <w:tr>
        <w:trPr/>
        <w:tc>
          <w:tcPr>
            <w:tcW w:w="428" w:type="dxa"/>
            <w:tcBorders>
              <w:left w:val="nil"/>
            </w:tcBorders>
            <w:vAlign w:val="bottom"/>
          </w:tcPr>
          <w:p>
            <w:pPr>
              <w:pStyle w:val="Style23"/>
              <w:widowControl/>
              <w:spacing w:lineRule="auto" w:line="240" w:before="40" w:after="40"/>
              <w:jc w:val="center"/>
              <w:rPr>
                <w:rFonts w:ascii="Times New Roman" w:hAnsi="Times New Roman" w:cs="Times New Roman"/>
                <w:b w:val="false"/>
                <w:bCs w:val="false"/>
                <w:sz w:val="24"/>
                <w:szCs w:val="24"/>
                <w:u w:val="single"/>
              </w:rPr>
            </w:pPr>
            <w:r>
              <w:rPr>
                <w:rFonts w:eastAsia="Times New Roman" w:cs="Times New Roman"/>
                <w:b w:val="false"/>
                <w:bCs w:val="false"/>
                <w:kern w:val="0"/>
                <w:sz w:val="24"/>
                <w:szCs w:val="24"/>
                <w:u w:val="single"/>
                <w:lang w:val="ru-RU" w:eastAsia="en-US" w:bidi="ar-SA"/>
              </w:rPr>
              <w:t>Ô</w:t>
            </w:r>
          </w:p>
        </w:tc>
        <w:tc>
          <w:tcPr>
            <w:tcW w:w="4442" w:type="dxa"/>
            <w:gridSpan w:val="3"/>
            <w:tcBorders/>
          </w:tcPr>
          <w:p>
            <w:pPr>
              <w:pStyle w:val="Style23"/>
              <w:widowControl/>
              <w:spacing w:lineRule="auto" w:line="240" w:before="40" w:after="40"/>
              <w:jc w:val="center"/>
              <w:rPr>
                <w:rFonts w:ascii="Times New Roman" w:hAnsi="Times New Roman" w:cs="Times New Roman"/>
                <w:b w:val="false"/>
                <w:bCs w:val="false"/>
                <w:sz w:val="24"/>
                <w:szCs w:val="24"/>
              </w:rPr>
            </w:pPr>
            <w:r>
              <w:rPr>
                <w:rFonts w:eastAsia="Times New Roman" w:cs="Times New Roman"/>
                <w:b w:val="false"/>
                <w:bCs w:val="false"/>
                <w:kern w:val="0"/>
                <w:sz w:val="24"/>
                <w:szCs w:val="24"/>
                <w:lang w:val="ru-RU" w:eastAsia="en-US" w:bidi="ar-SA"/>
              </w:rPr>
              <w:t>Заключение Договора</w:t>
              <w:br/>
              <w:t>(подраздел </w:t>
            </w:r>
            <w:r>
              <w:rPr>
                <w:rFonts w:eastAsia="Times New Roman" w:cs="Times New Roman"/>
                <w:b w:val="false"/>
                <w:bCs w:val="false"/>
                <w:kern w:val="0"/>
                <w:sz w:val="24"/>
                <w:szCs w:val="24"/>
                <w:lang w:val="ru-RU" w:eastAsia="en-US" w:bidi="ar-SA"/>
              </w:rPr>
              <w:fldChar w:fldCharType="begin"/>
            </w:r>
            <w:r>
              <w:rPr>
                <w:sz w:val="24"/>
                <w:b w:val="false"/>
                <w:kern w:val="0"/>
                <w:szCs w:val="24"/>
                <w:bCs w:val="false"/>
                <w:rFonts w:eastAsia="Times New Roman" w:cs="Times New Roman"/>
                <w:lang w:val="ru-RU" w:eastAsia="en-US" w:bidi="ar-SA"/>
              </w:rPr>
              <w:instrText xml:space="preserve"> REF _Ref138232981 \r \h </w:instrText>
            </w:r>
            <w:r>
              <w:rPr>
                <w:sz w:val="24"/>
                <w:b w:val="false"/>
                <w:kern w:val="0"/>
                <w:szCs w:val="24"/>
                <w:bCs w:val="false"/>
                <w:rFonts w:eastAsia="Times New Roman" w:cs="Times New Roman"/>
                <w:lang w:val="ru-RU" w:eastAsia="en-US" w:bidi="ar-SA"/>
              </w:rPr>
              <w:fldChar w:fldCharType="separate"/>
            </w:r>
            <w:r>
              <w:rPr>
                <w:sz w:val="24"/>
                <w:b w:val="false"/>
                <w:kern w:val="0"/>
                <w:szCs w:val="24"/>
                <w:bCs w:val="false"/>
                <w:rFonts w:eastAsia="Times New Roman" w:cs="Times New Roman"/>
                <w:lang w:val="ru-RU" w:eastAsia="en-US" w:bidi="ar-SA"/>
              </w:rPr>
              <w:t>5.2</w:t>
            </w:r>
            <w:r>
              <w:rPr>
                <w:sz w:val="24"/>
                <w:b w:val="false"/>
                <w:kern w:val="0"/>
                <w:szCs w:val="24"/>
                <w:bCs w:val="false"/>
                <w:rFonts w:eastAsia="Times New Roman" w:cs="Times New Roman"/>
                <w:lang w:val="ru-RU" w:eastAsia="en-US" w:bidi="ar-SA"/>
              </w:rPr>
              <w:fldChar w:fldCharType="end"/>
            </w:r>
            <w:r>
              <w:rPr>
                <w:rFonts w:eastAsia="Times New Roman" w:cs="Times New Roman"/>
                <w:b w:val="false"/>
                <w:bCs w:val="false"/>
                <w:kern w:val="0"/>
                <w:sz w:val="24"/>
                <w:szCs w:val="24"/>
                <w:lang w:val="ru-RU" w:eastAsia="en-US" w:bidi="ar-SA"/>
              </w:rPr>
              <w:t>)</w:t>
            </w:r>
          </w:p>
          <w:p>
            <w:pPr>
              <w:pStyle w:val="Style23"/>
              <w:widowControl/>
              <w:spacing w:lineRule="auto" w:line="240" w:before="40" w:after="40"/>
              <w:jc w:val="center"/>
              <w:rPr>
                <w:rFonts w:ascii="Times New Roman" w:hAnsi="Times New Roman" w:cs="Times New Roman"/>
                <w:b w:val="false"/>
                <w:bCs w:val="false"/>
                <w:sz w:val="24"/>
                <w:szCs w:val="24"/>
              </w:rPr>
            </w:pPr>
            <w:r>
              <w:rPr>
                <w:rFonts w:cs="Times New Roman"/>
                <w:b w:val="false"/>
                <w:bCs w:val="false"/>
                <w:sz w:val="24"/>
                <w:szCs w:val="24"/>
              </w:rPr>
            </w:r>
          </w:p>
        </w:tc>
        <w:tc>
          <w:tcPr>
            <w:tcW w:w="4635" w:type="dxa"/>
            <w:gridSpan w:val="2"/>
            <w:tcBorders/>
          </w:tcPr>
          <w:p>
            <w:pPr>
              <w:pStyle w:val="Style23"/>
              <w:widowControl/>
              <w:spacing w:lineRule="auto" w:line="240" w:before="40" w:after="40"/>
              <w:jc w:val="center"/>
              <w:rPr>
                <w:rFonts w:ascii="Times New Roman" w:hAnsi="Times New Roman" w:cs="Times New Roman"/>
                <w:b w:val="false"/>
                <w:bCs w:val="false"/>
                <w:sz w:val="24"/>
                <w:szCs w:val="24"/>
              </w:rPr>
            </w:pPr>
            <w:r>
              <w:rPr>
                <w:rFonts w:eastAsia="Times New Roman" w:cs="Times New Roman"/>
                <w:b w:val="false"/>
                <w:bCs w:val="false"/>
                <w:kern w:val="0"/>
                <w:sz w:val="24"/>
                <w:szCs w:val="24"/>
                <w:lang w:val="ru-RU" w:eastAsia="en-US" w:bidi="ar-SA"/>
              </w:rPr>
              <w:t>Проведение преддоговорных переговоров</w:t>
              <w:br/>
              <w:t>(подраздел </w:t>
            </w:r>
            <w:r>
              <w:rPr>
                <w:rFonts w:eastAsia="Times New Roman" w:cs="Times New Roman"/>
                <w:b w:val="false"/>
                <w:bCs w:val="false"/>
                <w:kern w:val="0"/>
                <w:sz w:val="24"/>
                <w:szCs w:val="24"/>
                <w:lang w:val="ru-RU" w:eastAsia="en-US" w:bidi="ar-SA"/>
              </w:rPr>
              <w:fldChar w:fldCharType="begin"/>
            </w:r>
            <w:r>
              <w:rPr>
                <w:sz w:val="24"/>
                <w:b w:val="false"/>
                <w:kern w:val="0"/>
                <w:szCs w:val="24"/>
                <w:bCs w:val="false"/>
                <w:rFonts w:eastAsia="Times New Roman" w:cs="Times New Roman"/>
                <w:lang w:val="ru-RU" w:eastAsia="en-US" w:bidi="ar-SA"/>
              </w:rPr>
              <w:instrText xml:space="preserve"> REF _Ref125552570 \r \h </w:instrText>
            </w:r>
            <w:r>
              <w:rPr>
                <w:sz w:val="24"/>
                <w:b w:val="false"/>
                <w:kern w:val="0"/>
                <w:szCs w:val="24"/>
                <w:bCs w:val="false"/>
                <w:rFonts w:eastAsia="Times New Roman" w:cs="Times New Roman"/>
                <w:lang w:val="ru-RU" w:eastAsia="en-US" w:bidi="ar-SA"/>
              </w:rPr>
              <w:fldChar w:fldCharType="separate"/>
            </w:r>
            <w:r>
              <w:rPr>
                <w:sz w:val="24"/>
                <w:b w:val="false"/>
                <w:kern w:val="0"/>
                <w:szCs w:val="24"/>
                <w:bCs w:val="false"/>
                <w:rFonts w:eastAsia="Times New Roman" w:cs="Times New Roman"/>
                <w:lang w:val="ru-RU" w:eastAsia="en-US" w:bidi="ar-SA"/>
              </w:rPr>
              <w:t>5.3</w:t>
            </w:r>
            <w:r>
              <w:rPr>
                <w:sz w:val="24"/>
                <w:b w:val="false"/>
                <w:kern w:val="0"/>
                <w:szCs w:val="24"/>
                <w:bCs w:val="false"/>
                <w:rFonts w:eastAsia="Times New Roman" w:cs="Times New Roman"/>
                <w:lang w:val="ru-RU" w:eastAsia="en-US" w:bidi="ar-SA"/>
              </w:rPr>
              <w:fldChar w:fldCharType="end"/>
            </w:r>
            <w:r>
              <w:rPr>
                <w:rFonts w:eastAsia="Times New Roman" w:cs="Times New Roman"/>
                <w:b w:val="false"/>
                <w:bCs w:val="false"/>
                <w:kern w:val="0"/>
                <w:sz w:val="24"/>
                <w:szCs w:val="24"/>
                <w:lang w:val="ru-RU" w:eastAsia="en-US" w:bidi="ar-SA"/>
              </w:rPr>
              <w:t>)</w:t>
              <w:br/>
            </w:r>
            <w:r>
              <w:rPr>
                <w:rFonts w:eastAsia="Times New Roman" w:cs="Times New Roman"/>
                <w:b w:val="false"/>
                <w:bCs w:val="false"/>
                <w:i/>
                <w:iCs/>
                <w:kern w:val="0"/>
                <w:sz w:val="24"/>
                <w:szCs w:val="24"/>
                <w:lang w:val="ru-RU" w:eastAsia="en-US" w:bidi="ar-SA"/>
              </w:rPr>
              <w:t>(опциональная процедура закупки)</w:t>
            </w:r>
          </w:p>
        </w:tc>
        <w:tc>
          <w:tcPr>
            <w:tcW w:w="4497" w:type="dxa"/>
            <w:gridSpan w:val="2"/>
            <w:tcBorders>
              <w:right w:val="nil"/>
            </w:tcBorders>
          </w:tcPr>
          <w:p>
            <w:pPr>
              <w:pStyle w:val="Style23"/>
              <w:widowControl/>
              <w:spacing w:lineRule="auto" w:line="240" w:before="40" w:after="40"/>
              <w:jc w:val="center"/>
              <w:rPr>
                <w:rFonts w:ascii="Times New Roman" w:hAnsi="Times New Roman" w:cs="Times New Roman"/>
                <w:b w:val="false"/>
                <w:bCs w:val="false"/>
                <w:sz w:val="24"/>
                <w:szCs w:val="24"/>
              </w:rPr>
            </w:pPr>
            <w:r>
              <w:rPr>
                <w:rFonts w:eastAsia="Times New Roman" w:cs="Times New Roman"/>
                <w:b w:val="false"/>
                <w:bCs w:val="false"/>
                <w:kern w:val="0"/>
                <w:sz w:val="24"/>
                <w:szCs w:val="24"/>
                <w:lang w:val="ru-RU" w:eastAsia="en-US" w:bidi="ar-SA"/>
              </w:rPr>
              <w:t>Уклонение Победителя</w:t>
              <w:br/>
              <w:t>от заключения Договора (подраздел </w:t>
            </w:r>
            <w:r>
              <w:rPr>
                <w:rFonts w:eastAsia="Times New Roman" w:cs="Times New Roman"/>
                <w:b w:val="false"/>
                <w:bCs w:val="false"/>
                <w:kern w:val="0"/>
                <w:sz w:val="24"/>
                <w:szCs w:val="24"/>
                <w:lang w:val="ru-RU" w:eastAsia="en-US" w:bidi="ar-SA"/>
              </w:rPr>
              <w:fldChar w:fldCharType="begin"/>
            </w:r>
            <w:r>
              <w:rPr>
                <w:sz w:val="24"/>
                <w:b w:val="false"/>
                <w:kern w:val="0"/>
                <w:szCs w:val="24"/>
                <w:bCs w:val="false"/>
                <w:rFonts w:eastAsia="Times New Roman" w:cs="Times New Roman"/>
                <w:lang w:val="ru-RU" w:eastAsia="en-US" w:bidi="ar-SA"/>
              </w:rPr>
              <w:instrText xml:space="preserve"> REF _Ref125367068 \r \h </w:instrText>
            </w:r>
            <w:r>
              <w:rPr>
                <w:sz w:val="24"/>
                <w:b w:val="false"/>
                <w:kern w:val="0"/>
                <w:szCs w:val="24"/>
                <w:bCs w:val="false"/>
                <w:rFonts w:eastAsia="Times New Roman" w:cs="Times New Roman"/>
                <w:lang w:val="ru-RU" w:eastAsia="en-US" w:bidi="ar-SA"/>
              </w:rPr>
              <w:fldChar w:fldCharType="separate"/>
            </w:r>
            <w:r>
              <w:rPr>
                <w:sz w:val="24"/>
                <w:b w:val="false"/>
                <w:kern w:val="0"/>
                <w:szCs w:val="24"/>
                <w:bCs w:val="false"/>
                <w:rFonts w:eastAsia="Times New Roman" w:cs="Times New Roman"/>
                <w:lang w:val="ru-RU" w:eastAsia="en-US" w:bidi="ar-SA"/>
              </w:rPr>
              <w:t>5.4</w:t>
            </w:r>
            <w:r>
              <w:rPr>
                <w:sz w:val="24"/>
                <w:b w:val="false"/>
                <w:kern w:val="0"/>
                <w:szCs w:val="24"/>
                <w:bCs w:val="false"/>
                <w:rFonts w:eastAsia="Times New Roman" w:cs="Times New Roman"/>
                <w:lang w:val="ru-RU" w:eastAsia="en-US" w:bidi="ar-SA"/>
              </w:rPr>
              <w:fldChar w:fldCharType="end"/>
            </w:r>
            <w:r>
              <w:rPr>
                <w:rFonts w:eastAsia="Times New Roman" w:cs="Times New Roman"/>
                <w:b w:val="false"/>
                <w:bCs w:val="false"/>
                <w:kern w:val="0"/>
                <w:sz w:val="24"/>
                <w:szCs w:val="24"/>
                <w:lang w:val="ru-RU" w:eastAsia="en-US" w:bidi="ar-SA"/>
              </w:rPr>
              <w:t>)</w:t>
              <w:br/>
            </w:r>
            <w:r>
              <w:rPr>
                <w:rFonts w:eastAsia="Times New Roman" w:cs="Times New Roman"/>
                <w:b w:val="false"/>
                <w:bCs w:val="false"/>
                <w:i/>
                <w:iCs/>
                <w:kern w:val="0"/>
                <w:sz w:val="24"/>
                <w:szCs w:val="24"/>
                <w:lang w:val="ru-RU" w:eastAsia="en-US" w:bidi="ar-SA"/>
              </w:rPr>
              <w:t>(опциональная процедура закупки)</w:t>
            </w:r>
          </w:p>
        </w:tc>
      </w:tr>
    </w:tbl>
    <w:p>
      <w:pPr>
        <w:sectPr>
          <w:headerReference w:type="default" r:id="rId8"/>
          <w:headerReference w:type="first" r:id="rId9"/>
          <w:footerReference w:type="default" r:id="rId10"/>
          <w:footerReference w:type="first" r:id="rId11"/>
          <w:footnotePr>
            <w:numFmt w:val="decimal"/>
          </w:footnotePr>
          <w:type w:val="nextPage"/>
          <w:pgSz w:orient="landscape" w:w="16838" w:h="11906"/>
          <w:pgMar w:left="851" w:right="851" w:gutter="0" w:header="567" w:top="1134" w:footer="567" w:bottom="850"/>
          <w:pgNumType w:fmt="decimal"/>
          <w:formProt w:val="false"/>
          <w:textDirection w:val="lrTb"/>
          <w:docGrid w:type="default" w:linePitch="360" w:charSpace="0"/>
        </w:sectPr>
      </w:pPr>
    </w:p>
    <w:p>
      <w:pPr>
        <w:pStyle w:val="Style18"/>
        <w:spacing w:before="360" w:after="0"/>
        <w:rPr/>
      </w:pPr>
      <w:bookmarkStart w:id="104" w:name="_Ref130286532"/>
      <w:bookmarkStart w:id="105" w:name="_Toc230928843"/>
      <w:r>
        <w:rPr/>
        <w:t>Официальное размещение Извещения и Документации о закупке</w:t>
      </w:r>
      <w:bookmarkEnd w:id="104"/>
      <w:bookmarkEnd w:id="105"/>
    </w:p>
    <w:p>
      <w:pPr>
        <w:pStyle w:val="Style19"/>
        <w:spacing w:before="120" w:after="0"/>
        <w:rPr/>
      </w:pPr>
      <w:r>
        <w:rPr/>
        <w:t>Извещение и Документация о закупке официально размещены на Официальном сайте (ЕИС) и доступны для ознакомления без взимания платы. Иные публикации не влекут для Организатора никаких последствий.</w:t>
      </w:r>
    </w:p>
    <w:p>
      <w:pPr>
        <w:pStyle w:val="Style19"/>
        <w:spacing w:before="0" w:after="0"/>
        <w:rPr/>
      </w:pPr>
      <w:r>
        <w:rPr/>
        <w:t>При возникновении технических или иных неполадок, блокирующих доступ к Официальному сайту (ЕИС) в течение более чем 1 (одного) рабочего дня, информация размещается на официальном сайте Заказчика с последующим размещением ее на Официальном сайте (ЕИС) в течение 1 (одного) рабочего дня со дня устранения указанных неполадок.</w:t>
      </w:r>
    </w:p>
    <w:p>
      <w:pPr>
        <w:pStyle w:val="Style19"/>
        <w:spacing w:before="0" w:after="0"/>
        <w:rPr/>
      </w:pPr>
      <w:bookmarkStart w:id="106" w:name="_Ref125362785"/>
      <w:r>
        <w:rPr/>
        <w:t>Участники могут получить Документацию о закупке также через ЭП. Порядок получения информации через ЭП определяется Регламентом ЭП, с использованием которой проводится закупка.</w:t>
      </w:r>
      <w:bookmarkEnd w:id="106"/>
    </w:p>
    <w:p>
      <w:pPr>
        <w:pStyle w:val="Style19"/>
        <w:spacing w:before="0" w:after="0"/>
        <w:rPr/>
      </w:pPr>
      <w:r>
        <w:rPr/>
        <w:t>Участники обязаны самостоятельно отслеживать официально размещенные разъяснения и изменения Извещения, Документации о закупке, а также информацию о принятых в ходе проведения закупки решениях.</w:t>
      </w:r>
    </w:p>
    <w:p>
      <w:pPr>
        <w:pStyle w:val="Style18"/>
        <w:spacing w:before="360" w:after="0"/>
        <w:rPr/>
      </w:pPr>
      <w:bookmarkStart w:id="107" w:name="_Ref130281199"/>
      <w:bookmarkStart w:id="108" w:name="_Ref130394681"/>
      <w:bookmarkStart w:id="109" w:name="_Toc230928844"/>
      <w:r>
        <w:rPr/>
        <w:t>Подготовка заявки</w:t>
      </w:r>
      <w:bookmarkEnd w:id="107"/>
      <w:bookmarkEnd w:id="108"/>
      <w:bookmarkEnd w:id="109"/>
    </w:p>
    <w:p>
      <w:pPr>
        <w:pStyle w:val="Style19"/>
        <w:spacing w:before="120" w:after="0"/>
        <w:rPr/>
      </w:pPr>
      <w:r>
        <w:rPr/>
        <w:t>Участник должен подготовить заявку с учетом требований Документации о закупке.</w:t>
      </w:r>
    </w:p>
    <w:p>
      <w:pPr>
        <w:pStyle w:val="Style19"/>
        <w:spacing w:before="0" w:after="0"/>
        <w:rPr/>
      </w:pPr>
      <w:r>
        <w:rPr/>
        <w:t>Участник самостоятельно несет все расходы, связанные с подготовкой и подачей заявки (подраздел </w:t>
      </w:r>
      <w:r>
        <w:rPr/>
        <w:fldChar w:fldCharType="begin"/>
      </w:r>
      <w:r>
        <w:rPr/>
        <w:instrText xml:space="preserve"> REF _Ref125362119 \r \h </w:instrText>
      </w:r>
      <w:r>
        <w:rPr/>
        <w:fldChar w:fldCharType="separate"/>
      </w:r>
      <w:r>
        <w:rPr/>
        <w:t>4.6</w:t>
      </w:r>
      <w:r>
        <w:rPr/>
        <w:fldChar w:fldCharType="end"/>
      </w:r>
      <w:r>
        <w:rPr/>
        <w:t>), а Организатор (Заказчик) по этим расходам не отвечает и не имеет обязательств (в том числе по возврату Участнику материалов и документов, входящих в состав его заявки), независимо от хода и результатов закупки, за исключением случаев, прямо предусмотренных Положением о закупке или Документацией о закупке.</w:t>
      </w:r>
    </w:p>
    <w:p>
      <w:pPr>
        <w:pStyle w:val="Style19"/>
        <w:spacing w:before="0" w:after="0"/>
        <w:rPr/>
      </w:pPr>
      <w:r>
        <w:rPr/>
        <w:t xml:space="preserve">Участник должен подготовить заявку, включающую в себя полный комплект документов согласно перечню, определенному </w:t>
      </w:r>
      <w:hyperlink w:anchor="Прил06_СоставЗаявки" w:tgtFrame="#Прил06_СоставЗаявки">
        <w:r>
          <w:rPr>
            <w:color w:val="000000"/>
            <w:spacing w:val="0"/>
            <w:u w:val="single"/>
            <w:shd w:fill="auto" w:val="clear"/>
            <w:lang w:val="ru-RU"/>
          </w:rPr>
          <w:t>Приложением № 6 – Состав заявки</w:t>
        </w:r>
      </w:hyperlink>
      <w:r>
        <w:rPr/>
        <w:t xml:space="preserve">. Образцы форм документов, включаемых в состав заявки, а также инструкции по их подготовке, приведены в </w:t>
      </w:r>
      <w:hyperlink w:anchor="Прил04_ФормыЗаявки" w:tgtFrame="#Прил04_ФормыЗаявки">
        <w:r>
          <w:rPr>
            <w:color w:val="000000"/>
            <w:spacing w:val="0"/>
            <w:u w:val="single"/>
            <w:shd w:fill="auto" w:val="clear"/>
            <w:lang w:val="ru-RU"/>
          </w:rPr>
          <w:t>Приложение № 4</w:t>
        </w:r>
      </w:hyperlink>
      <w:r>
        <w:rPr/>
        <w:t>.</w:t>
      </w:r>
    </w:p>
    <w:p>
      <w:pPr>
        <w:pStyle w:val="Style19"/>
        <w:spacing w:before="0" w:after="0"/>
        <w:rPr/>
      </w:pPr>
      <w:bookmarkStart w:id="110" w:name="_Ref130394854"/>
      <w:bookmarkStart w:id="111" w:name="_Ref125365866"/>
      <w:r>
        <w:rPr/>
        <w:t>Участник имеет право подать только одну заявку. При этом не допускается подача заявки на часть лота по отдельным видам или объемам продукции. В случае нарушения этого требования (при получении заявки на часть лота и (или) при получении двух и более заявок от одного Участника в рамках одного лота) все поданные им заявки подлежат отклонению.</w:t>
      </w:r>
      <w:bookmarkEnd w:id="110"/>
      <w:bookmarkEnd w:id="111"/>
    </w:p>
    <w:p>
      <w:pPr>
        <w:pStyle w:val="Style19"/>
        <w:spacing w:before="0" w:after="0"/>
        <w:rPr/>
      </w:pPr>
      <w:r>
        <w:rPr/>
        <w:t>Заявка должна быть действительна в течение срока проведения закупки и до истечения срока, отведенного на заключение Договора (пункт </w:t>
      </w:r>
      <w:r>
        <w:rPr/>
        <w:fldChar w:fldCharType="begin"/>
      </w:r>
      <w:r>
        <w:rPr/>
        <w:instrText xml:space="preserve"> REF _Ref130293821 \r \h </w:instrText>
      </w:r>
      <w:r>
        <w:rPr/>
        <w:fldChar w:fldCharType="separate"/>
      </w:r>
      <w:r>
        <w:rPr/>
        <w:t>5.2.1</w:t>
      </w:r>
      <w:r>
        <w:rPr/>
        <w:fldChar w:fldCharType="end"/>
      </w:r>
      <w:r>
        <w:rPr/>
        <w:t>). В любом случае этот срок должен быть не менее чем 90 (девяносто) календарных дней с даты окончания срока подачи заявок (подраздел </w:t>
      </w:r>
      <w:r>
        <w:rPr/>
        <w:fldChar w:fldCharType="begin"/>
      </w:r>
      <w:r>
        <w:rPr/>
        <w:instrText xml:space="preserve"> REF _Ref125359973 \r \h </w:instrText>
      </w:r>
      <w:r>
        <w:rPr/>
        <w:fldChar w:fldCharType="separate"/>
      </w:r>
      <w:r>
        <w:rPr/>
        <w:t>1.2</w:t>
      </w:r>
      <w:r>
        <w:rPr/>
        <w:fldChar w:fldCharType="end"/>
      </w:r>
      <w:r>
        <w:rPr/>
        <w:t>). Указание меньшего срока действия заявки в Письме о подаче оферты (форма 2) (</w:t>
      </w:r>
      <w:hyperlink w:anchor="Прил04_ФормыЗаявки" w:tgtFrame="#Прил04_ФормыЗаявки">
        <w:r>
          <w:rPr>
            <w:color w:val="000000"/>
            <w:spacing w:val="0"/>
            <w:u w:val="single"/>
            <w:shd w:fill="auto" w:val="clear"/>
            <w:lang w:val="ru-RU"/>
          </w:rPr>
          <w:t>Приложение № 4</w:t>
        </w:r>
      </w:hyperlink>
      <w:r>
        <w:rPr/>
        <w:t>) может служить основанием для отклонения заявки.</w:t>
      </w:r>
    </w:p>
    <w:p>
      <w:pPr>
        <w:pStyle w:val="Style19"/>
        <w:spacing w:before="0" w:after="0"/>
        <w:rPr/>
      </w:pPr>
      <w:r>
        <w:rPr/>
        <w:t>Все документы, входящие в состав заявки, должны быть подготовлены на русском языке. Исключение составляют документы, оригиналы которых выданы Участнику третьими лицами на ином языке: они могут быть представлены на языке оригинала при условии, что к ним приложен перевод этих документов на русский язык (в специально оговоренных случаях – с апостилем согласно Гаагской конвенции 1961 года). Наличие противоречий между оригиналом документа и его переводом, которые искажают содержание представленного документа, будет расцениваться Организатором как предоставление недостоверных сведений. Организатор вправе не рассматривать документы, не переведенные на русский язык.</w:t>
      </w:r>
    </w:p>
    <w:p>
      <w:pPr>
        <w:pStyle w:val="Style19"/>
        <w:spacing w:before="0" w:after="0"/>
        <w:rPr/>
      </w:pPr>
      <w:r>
        <w:rPr/>
        <w:t>Все суммы денежных средств в документах, входящих в состав заявки, должны быть выражены в российских рублях. Исключение составляют документы, оригиналы которых выданы Участнику третьими лицами с выражением сумм денежных средств в иных валютах: они могут быть представлены в валюте оригинала при условии, что к ним будут приложены комментарии с переводом этих сумм в российские рубли (по официальному курсу валюты, установленному Центральным банком Российской Федерации на дату выдачи документа, с указанием такого курса).</w:t>
      </w:r>
    </w:p>
    <w:p>
      <w:pPr>
        <w:pStyle w:val="Style19"/>
        <w:spacing w:before="0" w:after="0"/>
        <w:rPr/>
      </w:pPr>
      <w:bookmarkStart w:id="112" w:name="_Ref125370708"/>
      <w:bookmarkStart w:id="113" w:name="_Ref125370700"/>
      <w:bookmarkEnd w:id="112"/>
      <w:bookmarkEnd w:id="113"/>
      <w:r>
        <w:rPr/>
        <w:t>Итоговая стоимость заявки (цена Договора) без учета НДС не должна превышать установленную Заказчиком НМЦ (подраздел </w:t>
      </w:r>
      <w:r>
        <w:rPr/>
        <w:fldChar w:fldCharType="begin"/>
      </w:r>
      <w:r>
        <w:rPr/>
        <w:instrText xml:space="preserve"> REF _Ref125359973 \r \h </w:instrText>
      </w:r>
      <w:r>
        <w:rPr/>
        <w:fldChar w:fldCharType="separate"/>
      </w:r>
      <w:r>
        <w:rPr/>
        <w:t>1.2</w:t>
      </w:r>
      <w:r>
        <w:rPr/>
        <w:fldChar w:fldCharType="end"/>
      </w:r>
      <w:r>
        <w:rPr/>
        <w:t>), в противном случае заявка будет отклонена.</w:t>
      </w:r>
    </w:p>
    <w:p>
      <w:pPr>
        <w:pStyle w:val="Style19"/>
        <w:spacing w:before="0" w:after="0"/>
        <w:rPr/>
      </w:pPr>
      <w:r>
        <w:rPr/>
        <w:t xml:space="preserve">Итоговая стоимость заявки (цена Договора) должна включать в себя сумму всех расходов, предусмотренных </w:t>
      </w:r>
      <w:hyperlink w:anchor="Прил01_ТехТребования" w:tgtFrame="#Прил01_ТехТребования">
        <w:r>
          <w:rPr>
            <w:color w:val="000000"/>
            <w:spacing w:val="0"/>
            <w:u w:val="single"/>
            <w:shd w:fill="auto" w:val="clear"/>
            <w:lang w:val="ru-RU"/>
          </w:rPr>
          <w:t>Техническими требованиями (Приложение № 1)</w:t>
        </w:r>
      </w:hyperlink>
      <w:r>
        <w:rPr/>
        <w:t xml:space="preserve"> и </w:t>
      </w:r>
      <w:hyperlink w:anchor="Прил02_ПроектДоговора" w:tgtFrame="#Прил02_ПроектДоговора">
        <w:r>
          <w:rPr>
            <w:color w:val="000000"/>
            <w:spacing w:val="0"/>
            <w:u w:val="single"/>
            <w:shd w:fill="auto" w:val="clear"/>
            <w:lang w:val="ru-RU"/>
          </w:rPr>
          <w:t>Проектом договора (Приложение № 2)</w:t>
        </w:r>
      </w:hyperlink>
      <w:r>
        <w:rPr/>
        <w:t>, а также сумму налогов (</w:t>
      </w:r>
      <w:r>
        <w:rPr>
          <w:rFonts w:cs="Times New Roman"/>
        </w:rPr>
        <w:t>за исключением НДС, в случае его уплаты)</w:t>
      </w:r>
      <w:r>
        <w:rPr/>
        <w:t xml:space="preserve"> и других обязательных платежей, подлежащих уплате в соответствии с нормами законодательства (если иное не установлено Документацией о закупке). При этом сумма НДС (в случае его уплаты) выделяется отдельно и не входит в итоговую стоимость заявки Участника, являющегося плательщиком НДС.</w:t>
      </w:r>
    </w:p>
    <w:p>
      <w:pPr>
        <w:pStyle w:val="Style19"/>
        <w:spacing w:before="0" w:after="0"/>
        <w:rPr/>
      </w:pPr>
      <w:bookmarkStart w:id="114" w:name="_Ref164248735"/>
      <w:bookmarkStart w:id="115" w:name="_Ref125370700_Копия_1"/>
      <w:bookmarkStart w:id="116" w:name="_Ref125370708_Копия_1"/>
      <w:bookmarkEnd w:id="115"/>
      <w:bookmarkEnd w:id="116"/>
      <w:r>
        <w:rPr/>
        <w:t>Нормы настоящего пункта применяются только, если подразделом </w:t>
      </w:r>
      <w:r>
        <w:rPr/>
        <w:fldChar w:fldCharType="begin"/>
      </w:r>
      <w:r>
        <w:rPr/>
        <w:instrText xml:space="preserve"> REF _Ref125359973 \r \h </w:instrText>
      </w:r>
      <w:r>
        <w:rPr/>
        <w:fldChar w:fldCharType="separate"/>
      </w:r>
      <w:r>
        <w:rPr/>
        <w:t>1.2</w:t>
      </w:r>
      <w:r>
        <w:rPr/>
        <w:fldChar w:fldCharType="end"/>
      </w:r>
      <w:r>
        <w:rPr/>
        <w:t xml:space="preserve"> в части требований к описанию продукции предусмотрено предоставление Участником в составе заявки Технического предложения, подготовленного в соответствии с установленной формой (форма 4; </w:t>
      </w:r>
      <w:hyperlink w:anchor="Прил04_ФормыЗаявки" w:tgtFrame="#Прил04_ФормыЗаявки">
        <w:r>
          <w:rPr>
            <w:color w:val="000000"/>
            <w:spacing w:val="0"/>
            <w:u w:val="single"/>
            <w:shd w:fill="auto" w:val="clear"/>
            <w:lang w:val="ru-RU"/>
          </w:rPr>
          <w:t>Приложение № 4</w:t>
        </w:r>
      </w:hyperlink>
      <w:r>
        <w:rPr/>
        <w:t xml:space="preserve">), в виде согласия (декларации) на поставку продукции на условиях, указанных в Документации о закупке, в том числе в </w:t>
      </w:r>
      <w:hyperlink w:anchor="Прил01_ТехТребования" w:tgtFrame="#Прил01_ТехТребования">
        <w:r>
          <w:rPr>
            <w:color w:val="000000"/>
            <w:spacing w:val="0"/>
            <w:u w:val="single"/>
            <w:shd w:fill="auto" w:val="clear"/>
            <w:lang w:val="ru-RU"/>
          </w:rPr>
          <w:t>Технических требованиях (Приложение № 1)</w:t>
        </w:r>
      </w:hyperlink>
      <w:r>
        <w:rPr/>
        <w:t>, и не подлежащих изменению по результатам проведения закупки (без подробных предложений). В случае нарушения Участником требований к описанию продукции Организатор вправе отклонить заявку такого Участника от дальнейшего участия в закупке.</w:t>
      </w:r>
      <w:bookmarkEnd w:id="114"/>
    </w:p>
    <w:p>
      <w:pPr>
        <w:pStyle w:val="Style19"/>
        <w:spacing w:before="0" w:after="0"/>
        <w:rPr/>
      </w:pPr>
      <w:bookmarkStart w:id="117" w:name="_Ref130379863"/>
      <w:r>
        <w:rPr/>
        <w:t>Нормы настоящего пункта и пунктов </w:t>
      </w:r>
      <w:r>
        <w:rPr/>
        <w:fldChar w:fldCharType="begin"/>
      </w:r>
      <w:r>
        <w:rPr/>
        <w:instrText xml:space="preserve"> REF _Ref164248775 \r \h </w:instrText>
      </w:r>
      <w:r>
        <w:rPr/>
        <w:fldChar w:fldCharType="separate"/>
      </w:r>
      <w:r>
        <w:rPr/>
        <w:t>4.3.12</w:t>
      </w:r>
      <w:r>
        <w:rPr/>
        <w:fldChar w:fldCharType="end"/>
      </w:r>
      <w:r>
        <w:rPr/>
        <w:t xml:space="preserve"> – </w:t>
      </w:r>
      <w:r>
        <w:rPr/>
        <w:fldChar w:fldCharType="begin"/>
      </w:r>
      <w:r>
        <w:rPr/>
        <w:instrText xml:space="preserve"> REF _Ref130455500 \r \h </w:instrText>
      </w:r>
      <w:r>
        <w:rPr/>
        <w:fldChar w:fldCharType="separate"/>
      </w:r>
      <w:r>
        <w:rPr/>
        <w:t>4.3.15</w:t>
      </w:r>
      <w:r>
        <w:rPr/>
        <w:fldChar w:fldCharType="end"/>
      </w:r>
      <w:r>
        <w:rPr/>
        <w:t xml:space="preserve"> применяются только, если подразделом </w:t>
      </w:r>
      <w:r>
        <w:rPr/>
        <w:fldChar w:fldCharType="begin"/>
      </w:r>
      <w:r>
        <w:rPr/>
        <w:instrText xml:space="preserve"> REF _Ref125359973 \r \h </w:instrText>
      </w:r>
      <w:r>
        <w:rPr/>
        <w:fldChar w:fldCharType="separate"/>
      </w:r>
      <w:r>
        <w:rPr/>
        <w:t>1.2</w:t>
      </w:r>
      <w:r>
        <w:rPr/>
        <w:fldChar w:fldCharType="end"/>
      </w:r>
      <w:r>
        <w:rPr/>
        <w:t xml:space="preserve"> в части требований к описанию продукции предусмотрено предоставление Участником в составе заявки Технического предложения, подготовленного в соответствии с установленной формой (форма 4; </w:t>
      </w:r>
      <w:hyperlink w:anchor="Прил04_ФормыЗаявки" w:tgtFrame="#Прил04_ФормыЗаявки">
        <w:r>
          <w:rPr>
            <w:color w:val="000000"/>
            <w:spacing w:val="0"/>
            <w:u w:val="single"/>
            <w:shd w:fill="auto" w:val="clear"/>
            <w:lang w:val="ru-RU"/>
          </w:rPr>
          <w:t>Приложение № 4</w:t>
        </w:r>
      </w:hyperlink>
      <w:r>
        <w:rPr/>
        <w:t>), в виде подробного предложения в отношении поставляемой продукции на условиях, указанных в Документации о закупке, в том числе в </w:t>
      </w:r>
      <w:hyperlink w:anchor="Прил01_ТехТребования" w:tgtFrame="#Прил01_ТехТребования">
        <w:r>
          <w:rPr>
            <w:color w:val="000000"/>
            <w:spacing w:val="0"/>
            <w:u w:val="single"/>
            <w:shd w:fill="auto" w:val="clear"/>
            <w:lang w:val="ru-RU"/>
          </w:rPr>
          <w:t>Технических требованиях (Приложение № 1)</w:t>
        </w:r>
      </w:hyperlink>
      <w:r>
        <w:rPr/>
        <w:t>.</w:t>
      </w:r>
      <w:bookmarkEnd w:id="117"/>
    </w:p>
    <w:p>
      <w:pPr>
        <w:pStyle w:val="Style19"/>
        <w:spacing w:before="0" w:after="0"/>
        <w:rPr/>
      </w:pPr>
      <w:bookmarkStart w:id="118" w:name="_Ref164248775"/>
      <w:r>
        <w:rPr/>
        <w:t xml:space="preserve">При описании продукции Участник обязан подтвердить соответствие поставляемой продукции требованиям Документации о закупке, в том числе требованиям, установленным в </w:t>
      </w:r>
      <w:hyperlink w:anchor="Прил01_ТехТребования" w:tgtFrame="#Прил01_ТехТребования">
        <w:r>
          <w:rPr>
            <w:color w:val="000000"/>
            <w:spacing w:val="0"/>
            <w:u w:val="single"/>
            <w:shd w:fill="auto" w:val="clear"/>
            <w:lang w:val="ru-RU"/>
          </w:rPr>
          <w:t>Технических требованиях (Приложение № 1)</w:t>
        </w:r>
      </w:hyperlink>
      <w:r>
        <w:rPr/>
        <w:t>, в отношении всех показателей, которые в ней установлены. При этом должны указываться точные и не допускающие двусмысленного толкования показатели.</w:t>
      </w:r>
      <w:bookmarkEnd w:id="118"/>
    </w:p>
    <w:p>
      <w:pPr>
        <w:pStyle w:val="Style19"/>
        <w:spacing w:before="0" w:after="0"/>
        <w:rPr/>
      </w:pPr>
      <w:r>
        <w:rPr/>
        <w:t xml:space="preserve">Если в </w:t>
      </w:r>
      <w:hyperlink w:anchor="Прил01_ТехТребования" w:tgtFrame="#Прил01_ТехТребования">
        <w:r>
          <w:rPr>
            <w:color w:val="000000"/>
            <w:spacing w:val="0"/>
            <w:u w:val="single"/>
            <w:shd w:fill="auto" w:val="clear"/>
            <w:lang w:val="ru-RU"/>
          </w:rPr>
          <w:t>Технических требованиях (Приложение № 1)</w:t>
        </w:r>
      </w:hyperlink>
      <w:r>
        <w:rPr/>
        <w:t xml:space="preserve"> указаны товарные знаки, знаки обслуживания, фирменные наименования, патенты, полезные модели, промышленные образцы, наименование страны происхождения товара или наименование производителя, сопровождаемые словами «или эквивалент», и Участник предлагает продукцию, являющуюся эквивалентом требуемой, то он при описании продукции обязан подтвердить соответствие предлагаемой продукции показателям эквивалентности, установленным в </w:t>
      </w:r>
      <w:hyperlink w:anchor="Прил01_ТехТребования" w:tgtFrame="#Прил01_ТехТребования">
        <w:r>
          <w:rPr>
            <w:color w:val="000000"/>
            <w:spacing w:val="0"/>
            <w:u w:val="single"/>
            <w:shd w:fill="auto" w:val="clear"/>
            <w:lang w:val="ru-RU"/>
          </w:rPr>
          <w:t>Технических требованиях (Приложение № 1)</w:t>
        </w:r>
      </w:hyperlink>
      <w:r>
        <w:rPr/>
        <w:t>.</w:t>
      </w:r>
    </w:p>
    <w:p>
      <w:pPr>
        <w:pStyle w:val="Style19"/>
        <w:spacing w:before="0" w:after="0"/>
        <w:rPr/>
      </w:pPr>
      <w:bookmarkStart w:id="119" w:name="_Ref130379876"/>
      <w:r>
        <w:rPr/>
        <w:t xml:space="preserve">При описании продукции Участник должен использовать общеизвестные (стандартные) показатели, термины и сокращения в соответствии с законодательством и </w:t>
      </w:r>
      <w:hyperlink w:anchor="Прил01_ТехТребования" w:tgtFrame="#Прил01_ТехТребования">
        <w:r>
          <w:rPr>
            <w:color w:val="000000"/>
            <w:spacing w:val="0"/>
            <w:u w:val="single"/>
            <w:shd w:fill="auto" w:val="clear"/>
            <w:lang w:val="ru-RU"/>
          </w:rPr>
          <w:t>Техническими требованиями (Приложение № 1)</w:t>
        </w:r>
      </w:hyperlink>
      <w:r>
        <w:rPr/>
        <w:t>.</w:t>
      </w:r>
      <w:bookmarkEnd w:id="119"/>
    </w:p>
    <w:p>
      <w:pPr>
        <w:pStyle w:val="Style19"/>
        <w:spacing w:before="0" w:after="0"/>
        <w:rPr/>
      </w:pPr>
      <w:bookmarkStart w:id="120" w:name="_Ref130455500"/>
      <w:r>
        <w:rPr/>
        <w:t>В случае нарушения Участником требований к описанию продукции (пункты </w:t>
      </w:r>
      <w:r>
        <w:rPr/>
        <w:fldChar w:fldCharType="begin"/>
      </w:r>
      <w:r>
        <w:rPr/>
        <w:instrText xml:space="preserve"> REF _Ref130379863 \r \h </w:instrText>
      </w:r>
      <w:r>
        <w:rPr/>
        <w:fldChar w:fldCharType="separate"/>
      </w:r>
      <w:r>
        <w:rPr/>
        <w:t>4.3.11</w:t>
      </w:r>
      <w:r>
        <w:rPr/>
        <w:fldChar w:fldCharType="end"/>
      </w:r>
      <w:r>
        <w:rPr/>
        <w:t xml:space="preserve"> – </w:t>
      </w:r>
      <w:r>
        <w:rPr/>
        <w:fldChar w:fldCharType="begin"/>
      </w:r>
      <w:r>
        <w:rPr/>
        <w:instrText xml:space="preserve"> REF _Ref130379876 \r \h </w:instrText>
      </w:r>
      <w:r>
        <w:rPr/>
        <w:fldChar w:fldCharType="separate"/>
      </w:r>
      <w:r>
        <w:rPr/>
        <w:t>4.3.14</w:t>
      </w:r>
      <w:r>
        <w:rPr/>
        <w:fldChar w:fldCharType="end"/>
      </w:r>
      <w:r>
        <w:rPr/>
        <w:t>) Организатор вправе отклонить заявку такого Участника от дальнейшего участия в закупке.</w:t>
      </w:r>
      <w:bookmarkEnd w:id="120"/>
    </w:p>
    <w:p>
      <w:pPr>
        <w:pStyle w:val="Style19"/>
        <w:keepNext w:val="true"/>
        <w:spacing w:before="0" w:after="0"/>
        <w:rPr/>
      </w:pPr>
      <w:r>
        <w:rPr/>
        <w:t>При подготовке заявки необходимо также учитывать требования в отношении применения законодательства о национальном режиме (подраздел </w:t>
      </w:r>
      <w:r>
        <w:rPr/>
        <w:fldChar w:fldCharType="begin"/>
      </w:r>
      <w:r>
        <w:rPr/>
        <w:instrText xml:space="preserve"> REF _Ref125359973 \r \h </w:instrText>
      </w:r>
      <w:r>
        <w:rPr/>
        <w:fldChar w:fldCharType="separate"/>
      </w:r>
      <w:r>
        <w:rPr/>
        <w:t>1.2</w:t>
      </w:r>
      <w:r>
        <w:rPr/>
        <w:fldChar w:fldCharType="end"/>
      </w:r>
      <w:r>
        <w:rPr/>
        <w:t>).</w:t>
      </w:r>
    </w:p>
    <w:p>
      <w:pPr>
        <w:pStyle w:val="Style19"/>
        <w:keepNext w:val="true"/>
        <w:spacing w:before="0" w:after="0"/>
        <w:rPr/>
      </w:pPr>
      <w:r>
        <w:rPr/>
        <w:t>Документы, входящие в заявку, не должны содержать недостоверные сведения или намеренно искаженную информацию. Также должны отсутствовать:</w:t>
      </w:r>
    </w:p>
    <w:p>
      <w:pPr>
        <w:pStyle w:val="Style20"/>
        <w:spacing w:before="120" w:after="0"/>
        <w:rPr/>
      </w:pPr>
      <w:r>
        <w:rPr/>
        <w:t>внутренние противоречия между различными частями и (или) документами заявки, в том числе по тексту внутри одного документа;</w:t>
      </w:r>
    </w:p>
    <w:p>
      <w:pPr>
        <w:pStyle w:val="Style20"/>
        <w:spacing w:before="0" w:after="0"/>
        <w:rPr/>
      </w:pPr>
      <w:bookmarkStart w:id="121" w:name="_Ref125370398"/>
      <w:bookmarkStart w:id="122" w:name="_Ref125714384"/>
      <w:r>
        <w:rPr/>
        <w:t>противоречия между документами заявки и сведениями, указанными Участником в структурированных формах на ЭП.</w:t>
      </w:r>
      <w:bookmarkEnd w:id="121"/>
      <w:bookmarkEnd w:id="122"/>
    </w:p>
    <w:p>
      <w:pPr>
        <w:pStyle w:val="Style19"/>
        <w:spacing w:before="120" w:after="0"/>
        <w:rPr/>
      </w:pPr>
      <w:r>
        <w:rPr/>
        <w:t>Представленные в составе заявки документы, оформленные / выданные государственными, лицензирующими, сертификационными, аккредитационными органами и (или) саморегулируемыми организациями, должны соответствовать императивным требованиям (при наличии) законодательства в отношении:</w:t>
      </w:r>
    </w:p>
    <w:p>
      <w:pPr>
        <w:pStyle w:val="Style20"/>
        <w:spacing w:before="120" w:after="0"/>
        <w:rPr/>
      </w:pPr>
      <w:r>
        <w:rPr/>
        <w:t>полномочий таких органов / лиц на оформление этих документов;</w:t>
      </w:r>
    </w:p>
    <w:p>
      <w:pPr>
        <w:pStyle w:val="Style20"/>
        <w:spacing w:before="0" w:after="0"/>
        <w:rPr/>
      </w:pPr>
      <w:r>
        <w:rPr/>
        <w:t>формы, объема и содержания этих документов.</w:t>
      </w:r>
    </w:p>
    <w:p>
      <w:pPr>
        <w:pStyle w:val="Style19"/>
        <w:keepNext w:val="true"/>
        <w:spacing w:before="120" w:after="0"/>
        <w:rPr/>
      </w:pPr>
      <w:r>
        <w:rPr/>
        <w:t>Участник должен подготовить заявку с соблюдением следующих условий:</w:t>
      </w:r>
    </w:p>
    <w:p>
      <w:pPr>
        <w:pStyle w:val="Style20"/>
        <w:spacing w:before="120" w:after="0"/>
        <w:rPr/>
      </w:pPr>
      <w:r>
        <w:rPr/>
        <w:t>документы заявки могут предоставляться как в графическом виде (в том числе в виде скан-копии; рекомендуемый формат: Portable Document Format (*.</w:t>
      </w:r>
      <w:r>
        <w:rPr>
          <w:lang w:val="en-US"/>
        </w:rPr>
        <w:t>pdf</w:t>
      </w:r>
      <w:r>
        <w:rPr/>
        <w:t>); так и в электронном виде (в формате Microsoft Word (*.doc</w:t>
      </w:r>
      <w:r>
        <w:rPr>
          <w:lang w:val="en-US"/>
        </w:rPr>
        <w:t>x</w:t>
      </w:r>
      <w:r>
        <w:rPr/>
        <w:t>), Microsoft Excel (*.xls</w:t>
      </w:r>
      <w:r>
        <w:rPr>
          <w:lang w:val="en-US"/>
        </w:rPr>
        <w:t>x</w:t>
      </w:r>
      <w:r>
        <w:rPr/>
        <w:t>), и других). Исключение составляют Письмо о подаче оферты, а также документы, выданные Участнику третьими лицами (в том числе, бухгалтерская (финансовая) отчетность, соглашение о создании коллективного участника и т.п.), которые должны быть предоставлены только в графическом виде (в том числе в виде скан-копии; рекомендуемый формат: Portable Document Format (*.</w:t>
      </w:r>
      <w:r>
        <w:rPr>
          <w:lang w:val="en-US"/>
        </w:rPr>
        <w:t>pdf</w:t>
      </w:r>
      <w:r>
        <w:rPr/>
        <w:t>));</w:t>
      </w:r>
    </w:p>
    <w:p>
      <w:pPr>
        <w:pStyle w:val="Style20"/>
        <w:spacing w:before="0" w:after="0"/>
        <w:rPr/>
      </w:pPr>
      <w:r>
        <w:rPr/>
        <w:t>электронные копии документов, заверенные третьей стороной, должны включать в себя, в том числе, страницы с требуемой отметкой по форме заверения документа (электронная подпись / отметка ИФНС / отметка нотариуса и т.п.);</w:t>
      </w:r>
    </w:p>
    <w:p>
      <w:pPr>
        <w:pStyle w:val="Style20"/>
        <w:spacing w:before="0" w:after="0"/>
        <w:rPr/>
      </w:pPr>
      <w:r>
        <w:rPr/>
        <w:t>все файлы не должны иметь защиты от их открытия, изменения, копирования их содержимого или их печати;</w:t>
      </w:r>
    </w:p>
    <w:p>
      <w:pPr>
        <w:pStyle w:val="Style20"/>
        <w:spacing w:before="0" w:after="0"/>
        <w:rPr/>
      </w:pPr>
      <w:r>
        <w:rPr/>
        <w:t>файлы электронной заявки рекомендуется именовать так, чтобы было можно идентифицировать содержание данного файла заявки (указать в названии файла содержащийся в нем документ). Каждый документ рекомендуется размещать в отдельном файле;</w:t>
      </w:r>
    </w:p>
    <w:p>
      <w:pPr>
        <w:pStyle w:val="Style20"/>
        <w:spacing w:before="0" w:after="0"/>
        <w:rPr/>
      </w:pPr>
      <w:r>
        <w:rPr/>
        <w:t>если какой-либо документ представлен в нечитаемом виде, данный документ считается непредставленным.</w:t>
      </w:r>
    </w:p>
    <w:p>
      <w:pPr>
        <w:pStyle w:val="Style19"/>
        <w:spacing w:before="120" w:after="0"/>
        <w:rPr/>
      </w:pPr>
      <w:r>
        <w:rPr/>
        <w:t>Никакие исправления в документах заявки не имеют силу, за исключением тех случаев, когда эти исправления заверены надписью «исправленному верить» и собственноручной подписью уполномоченного лица Участника, расположенной рядом с каждым исправлением.</w:t>
      </w:r>
    </w:p>
    <w:p>
      <w:pPr>
        <w:pStyle w:val="Style18"/>
        <w:spacing w:before="360" w:after="0"/>
        <w:rPr/>
      </w:pPr>
      <w:bookmarkStart w:id="123" w:name="_Ref125366672"/>
      <w:bookmarkStart w:id="124" w:name="_Ref125362071"/>
      <w:bookmarkStart w:id="125" w:name="_Ref125361260"/>
      <w:bookmarkStart w:id="126" w:name="_Toc230928845"/>
      <w:bookmarkStart w:id="127" w:name="_Ref130394785"/>
      <w:bookmarkStart w:id="128" w:name="_Ref130394802"/>
      <w:bookmarkStart w:id="129" w:name="_Ref130394205"/>
      <w:r>
        <w:rPr/>
        <w:t>Разъяснение Документации о закупке</w:t>
      </w:r>
      <w:bookmarkEnd w:id="123"/>
      <w:bookmarkEnd w:id="124"/>
      <w:bookmarkEnd w:id="125"/>
      <w:bookmarkEnd w:id="126"/>
      <w:bookmarkEnd w:id="127"/>
      <w:bookmarkEnd w:id="128"/>
      <w:bookmarkEnd w:id="129"/>
    </w:p>
    <w:p>
      <w:pPr>
        <w:pStyle w:val="Style19"/>
        <w:spacing w:before="120" w:after="0"/>
        <w:rPr/>
      </w:pPr>
      <w:r>
        <w:rPr/>
        <w:t>Участники вправе обратиться к Организатору за разъяснениями Документации о закупке.</w:t>
      </w:r>
    </w:p>
    <w:p>
      <w:pPr>
        <w:pStyle w:val="Style19"/>
        <w:spacing w:before="0" w:after="0"/>
        <w:rPr/>
      </w:pPr>
      <w:r>
        <w:rPr/>
        <w:t>Запросы подаются в соответствии с Регламентами и инструкциями Оператора ЭП, опубликованными на сайте соответствующей ЭП.</w:t>
      </w:r>
    </w:p>
    <w:p>
      <w:pPr>
        <w:pStyle w:val="Style19"/>
        <w:spacing w:before="0" w:after="0"/>
        <w:rPr/>
      </w:pPr>
      <w:r>
        <w:rPr/>
        <w:t>Организатор обязуется ответить на любой вопрос, поступивший не позднее чем за 3 (три) рабочих дня до даты окончания срока подачи заявок. В случае поступления вопросов с нарушением установленного срока Организатор вправе не предоставлять разъяснения.</w:t>
      </w:r>
    </w:p>
    <w:p>
      <w:pPr>
        <w:pStyle w:val="Style19"/>
        <w:spacing w:before="0" w:after="0"/>
        <w:rPr/>
      </w:pPr>
      <w:r>
        <w:rPr/>
        <w:t>Ответы на поступившие вопросы официально размещаются (с указанием предмета запроса, но без указания Участника, от которого поступил вопрос) в сроки, установленные подразделом </w:t>
      </w:r>
      <w:r>
        <w:rPr/>
        <w:fldChar w:fldCharType="begin"/>
      </w:r>
      <w:r>
        <w:rPr/>
        <w:instrText xml:space="preserve"> REF _Ref125359973 \r \h </w:instrText>
      </w:r>
      <w:r>
        <w:rPr/>
        <w:fldChar w:fldCharType="separate"/>
      </w:r>
      <w:r>
        <w:rPr/>
        <w:t>1.2</w:t>
      </w:r>
      <w:r>
        <w:rPr/>
        <w:fldChar w:fldCharType="end"/>
      </w:r>
      <w:r>
        <w:rPr/>
        <w:t>, но в любом случае не позднее чем в течение 3 (трех) рабочих дней с даты поступления такого запроса. Копия ответа размещается Организатором на ЭП.</w:t>
      </w:r>
    </w:p>
    <w:p>
      <w:pPr>
        <w:pStyle w:val="Style19"/>
        <w:spacing w:before="0" w:after="0"/>
        <w:rPr/>
      </w:pPr>
      <w:r>
        <w:rPr/>
        <w:t>Организатор также вправе по собственной инициативе (без получения запросов от Участников) официально разместить разъяснения Документации о закупке.</w:t>
      </w:r>
    </w:p>
    <w:p>
      <w:pPr>
        <w:pStyle w:val="Style19"/>
        <w:spacing w:before="0" w:after="0"/>
        <w:rPr/>
      </w:pPr>
      <w:r>
        <w:rPr/>
        <w:t xml:space="preserve">Разъяснения Документации о закупке носят справочный характер и не могут изменять предмет закупки и условия </w:t>
      </w:r>
      <w:hyperlink w:anchor="Прил02_ПроектДоговора" w:tgtFrame="#Прил02_ПроектДоговора">
        <w:r>
          <w:rPr>
            <w:color w:val="000000"/>
            <w:spacing w:val="0"/>
            <w:u w:val="single"/>
            <w:shd w:fill="auto" w:val="clear"/>
            <w:lang w:val="ru-RU"/>
          </w:rPr>
          <w:t>Проекта договора (Приложения № 2)</w:t>
        </w:r>
      </w:hyperlink>
      <w:r>
        <w:rPr>
          <w:rStyle w:val="Style6"/>
        </w:rPr>
        <w:t>,</w:t>
      </w:r>
      <w:r>
        <w:rPr/>
        <w:t xml:space="preserve"> в противном случае вносятся изменения в Документацию о закупке. При этом Участники обязаны учитывать разъяснения Организатора при подготовке своих заявок. Все риски и последствия за подачу заявки без учета официально размещенных разъяснений несет Участник.</w:t>
      </w:r>
    </w:p>
    <w:p>
      <w:pPr>
        <w:pStyle w:val="Style19"/>
        <w:spacing w:before="0" w:after="0"/>
        <w:rPr/>
      </w:pPr>
      <w:r>
        <w:rPr/>
        <w:t>В случае получения Участником любой иной информации в отношении условий проводимой закупки в порядке, не предусмотренном настоящим подразделом, такая информация не считается официальной, и Участник не вправе на нее ссылаться.</w:t>
      </w:r>
    </w:p>
    <w:p>
      <w:pPr>
        <w:pStyle w:val="Style18"/>
        <w:spacing w:before="360" w:after="0"/>
        <w:rPr/>
      </w:pPr>
      <w:bookmarkStart w:id="130" w:name="_Ref125362076"/>
      <w:bookmarkStart w:id="131" w:name="_Ref125363891"/>
      <w:bookmarkStart w:id="132" w:name="_Ref125364404"/>
      <w:bookmarkStart w:id="133" w:name="_Toc230928846"/>
      <w:r>
        <w:rPr/>
        <w:t>Изменения Извещения и (или) Документации о закупке</w:t>
      </w:r>
      <w:bookmarkEnd w:id="130"/>
      <w:bookmarkEnd w:id="131"/>
      <w:bookmarkEnd w:id="132"/>
      <w:bookmarkEnd w:id="133"/>
    </w:p>
    <w:p>
      <w:pPr>
        <w:pStyle w:val="Style19"/>
        <w:spacing w:before="120" w:after="0"/>
        <w:rPr/>
      </w:pPr>
      <w:r>
        <w:rPr/>
        <w:t>Организатор в любой момент до окончания срока подачи заявок (подраздел </w:t>
      </w:r>
      <w:r>
        <w:rPr/>
        <w:fldChar w:fldCharType="begin"/>
      </w:r>
      <w:r>
        <w:rPr/>
        <w:instrText xml:space="preserve"> REF _Ref125359973 \r \h </w:instrText>
      </w:r>
      <w:r>
        <w:rPr/>
        <w:fldChar w:fldCharType="separate"/>
      </w:r>
      <w:r>
        <w:rPr/>
        <w:t>1.2</w:t>
      </w:r>
      <w:r>
        <w:rPr/>
        <w:fldChar w:fldCharType="end"/>
      </w:r>
      <w:r>
        <w:rPr/>
        <w:t>) вправе внести изменения в Извещение и (или) Документацию о закупке. При этом официальному размещению подлежит обновленная редакция Извещения и (или) Документации о закупке, а также перечень внесенных изменений в них.</w:t>
      </w:r>
    </w:p>
    <w:p>
      <w:pPr>
        <w:pStyle w:val="Style19"/>
        <w:spacing w:before="0" w:after="0"/>
        <w:rPr/>
      </w:pPr>
      <w:bookmarkStart w:id="134" w:name="_Ref125550844"/>
      <w:r>
        <w:rPr/>
        <w:t>После окончания срока подачи заявок допускается изменение только в части установленных Документацией о закупке дат рассмотрения заявок и подведения итогов закупки (подраздел </w:t>
      </w:r>
      <w:r>
        <w:rPr/>
        <w:fldChar w:fldCharType="begin"/>
      </w:r>
      <w:r>
        <w:rPr/>
        <w:instrText xml:space="preserve"> REF _Ref125359973 \r \h </w:instrText>
      </w:r>
      <w:r>
        <w:rPr/>
        <w:fldChar w:fldCharType="separate"/>
      </w:r>
      <w:r>
        <w:rPr/>
        <w:t>1.2</w:t>
      </w:r>
      <w:r>
        <w:rPr/>
        <w:fldChar w:fldCharType="end"/>
      </w:r>
      <w:r>
        <w:rPr/>
        <w:t>) в пределах срока действия заявок и с уведомлением Участников, подавших заявки.</w:t>
      </w:r>
      <w:bookmarkEnd w:id="134"/>
    </w:p>
    <w:p>
      <w:pPr>
        <w:pStyle w:val="Style19"/>
        <w:spacing w:before="0" w:after="0"/>
        <w:rPr/>
      </w:pPr>
      <w:r>
        <w:rPr/>
        <w:t>Текст изменений официально размещается в течение 3 (трех) календарных дней со дня принятия решения о внесении указанных изменений. Все Участники, официально получившие Документацию о закупке через ЭП, получат соответствующие уведомления в порядке, установленном Регламентом ЭП.</w:t>
      </w:r>
    </w:p>
    <w:p>
      <w:pPr>
        <w:pStyle w:val="Style19"/>
        <w:spacing w:before="0" w:after="0"/>
        <w:rPr/>
      </w:pPr>
      <w:bookmarkStart w:id="135" w:name="_Hlk135643673"/>
      <w:r>
        <w:rPr/>
        <w:t>При внесении изменений в Документацию о закупке (за исключением указанного в пункте </w:t>
      </w:r>
      <w:r>
        <w:rPr/>
        <w:fldChar w:fldCharType="begin"/>
      </w:r>
      <w:r>
        <w:rPr/>
        <w:instrText xml:space="preserve"> REF _Ref125550844 \r \h </w:instrText>
      </w:r>
      <w:r>
        <w:rPr/>
        <w:fldChar w:fldCharType="separate"/>
      </w:r>
      <w:r>
        <w:rPr/>
        <w:t>4.5.2</w:t>
      </w:r>
      <w:r>
        <w:rPr/>
        <w:fldChar w:fldCharType="end"/>
      </w:r>
      <w:r>
        <w:rPr/>
        <w:t>), срок подачи заявок будет продлен таким образом, чтобы со дня официального размещения таких изменений до даты окончания подачи заявок оставалось не менее половины от минимального срока подачи заявок, установленного в Положении о закупке для данного способа, а именно не менее</w:t>
      </w:r>
      <w:bookmarkEnd w:id="135"/>
      <w:r>
        <w:rPr/>
        <w:t xml:space="preserve"> 8 (восьми) календарных дней.</w:t>
      </w:r>
    </w:p>
    <w:p>
      <w:pPr>
        <w:pStyle w:val="Style19"/>
        <w:spacing w:before="0" w:after="0"/>
        <w:rPr/>
      </w:pPr>
      <w:r>
        <w:rPr/>
        <w:t>Участники обязаны учитывать внесенные изменения при подготовке своих заявок. Все риски и последствия за подачу заявки без учета официально размещенных изменений несет Участник.</w:t>
      </w:r>
    </w:p>
    <w:p>
      <w:pPr>
        <w:pStyle w:val="Style18"/>
        <w:spacing w:before="360" w:after="0"/>
        <w:rPr/>
      </w:pPr>
      <w:bookmarkStart w:id="136" w:name="_Ref125362119"/>
      <w:bookmarkStart w:id="137" w:name="_Toc230928847"/>
      <w:r>
        <w:rPr/>
        <w:t>Подача заявок и их прием</w:t>
      </w:r>
      <w:bookmarkEnd w:id="136"/>
      <w:bookmarkEnd w:id="137"/>
    </w:p>
    <w:p>
      <w:pPr>
        <w:pStyle w:val="Style19"/>
        <w:spacing w:before="120" w:after="0"/>
        <w:rPr/>
      </w:pPr>
      <w:r>
        <w:rPr/>
        <w:t>Участник вправе подать одну подготовленную заявку на участие в закупке в любое время начиная с даты официального размещения Извещения и до окончания срока подачи заявок (подраздел </w:t>
      </w:r>
      <w:r>
        <w:rPr/>
        <w:fldChar w:fldCharType="begin"/>
      </w:r>
      <w:r>
        <w:rPr/>
        <w:instrText xml:space="preserve"> REF _Ref125359973 \r \h </w:instrText>
      </w:r>
      <w:r>
        <w:rPr/>
        <w:fldChar w:fldCharType="separate"/>
      </w:r>
      <w:r>
        <w:rPr/>
        <w:t>1.2</w:t>
      </w:r>
      <w:r>
        <w:rPr/>
        <w:fldChar w:fldCharType="end"/>
      </w:r>
      <w:r>
        <w:rPr/>
        <w:t>). Заявки, поданные позднее установленного срока, не могут быть приняты Организатором, независимо от причин опоздания.</w:t>
      </w:r>
    </w:p>
    <w:p>
      <w:pPr>
        <w:pStyle w:val="Style19"/>
        <w:spacing w:before="0" w:after="0"/>
        <w:rPr/>
      </w:pPr>
      <w:r>
        <w:rPr/>
        <w:t>Подача Участником заявки означает его безоговорочное согласие с условиями участия в закупке, содержащимися в Документации о закупке, а также изучение им Положения о закупке Заказчика и Документации о закупке (включая все приложения к ней).</w:t>
      </w:r>
    </w:p>
    <w:p>
      <w:pPr>
        <w:pStyle w:val="Style19"/>
        <w:spacing w:before="0" w:after="0"/>
        <w:rPr/>
      </w:pPr>
      <w:r>
        <w:rPr/>
        <w:t>Заявка должна быть подготовлена в форме электронного документа и подана с использованием функционала ЭП в доступном для прочтения формате. При этом Участник должен сканировать документы после того, как они будут оформлены в соответствии с требованиями Документации о закупке.</w:t>
      </w:r>
    </w:p>
    <w:p>
      <w:pPr>
        <w:pStyle w:val="Style19"/>
        <w:spacing w:before="0" w:after="0"/>
        <w:rPr/>
      </w:pPr>
      <w:r>
        <w:rPr/>
        <w:t>Заявка должна быть подписана усиленной квалифицированной электронной подписью лица, которое является уполномоченным представителем Участника.</w:t>
      </w:r>
    </w:p>
    <w:p>
      <w:pPr>
        <w:pStyle w:val="Style19"/>
        <w:spacing w:before="0" w:after="0"/>
        <w:rPr/>
      </w:pPr>
      <w:r>
        <w:rPr/>
        <w:t>Правила подачи заявок также определяются Регламентом ЭП. Заявки, поданные через ЭП, дублировать в адрес Организатора по почте, электронной почте и другими способами не требуется. Заявки, полученные Организатором не через ЭП, не рассматриваются.</w:t>
      </w:r>
    </w:p>
    <w:p>
      <w:pPr>
        <w:pStyle w:val="Style19"/>
        <w:spacing w:before="0" w:after="0"/>
        <w:rPr/>
      </w:pPr>
      <w:r>
        <w:rPr/>
        <w:t>Если Регламентом ЭП предусмотрено направление в составе заявки документов, представленных в момент аккредитации Участника на ЭП, Участник обязан обеспечить актуальность направляемых вместе с заявкой сведений.</w:t>
      </w:r>
    </w:p>
    <w:p>
      <w:pPr>
        <w:pStyle w:val="Style19"/>
        <w:spacing w:before="0" w:after="0"/>
        <w:rPr/>
      </w:pPr>
      <w:r>
        <w:rPr/>
        <w:t>Оператор ЭП до окончания срока подачи заявок обеспечивает конфиденциальность информации, содержащейся в поданных заявках.</w:t>
      </w:r>
    </w:p>
    <w:p>
      <w:pPr>
        <w:pStyle w:val="Style18"/>
        <w:spacing w:before="360" w:after="0"/>
        <w:rPr/>
      </w:pPr>
      <w:bookmarkStart w:id="138" w:name="_Ref125365136"/>
      <w:bookmarkStart w:id="139" w:name="_Toc230928848"/>
      <w:bookmarkStart w:id="140" w:name="_Ref125363819"/>
      <w:bookmarkStart w:id="141" w:name="_Ref125362192"/>
      <w:bookmarkStart w:id="142" w:name="_Ref125362130"/>
      <w:r>
        <w:rPr/>
        <w:t>Изменение и отзыв заявок</w:t>
      </w:r>
      <w:bookmarkEnd w:id="138"/>
      <w:bookmarkEnd w:id="139"/>
      <w:bookmarkEnd w:id="140"/>
      <w:bookmarkEnd w:id="141"/>
      <w:bookmarkEnd w:id="142"/>
    </w:p>
    <w:p>
      <w:pPr>
        <w:pStyle w:val="Style19"/>
        <w:spacing w:before="120" w:after="0"/>
        <w:rPr/>
      </w:pPr>
      <w:r>
        <w:rPr/>
        <w:t>Участник вправе изменить или отозвать поданную им ранее заявку до момента окончания срока подачи заявок. Внесение изменений в заявку, отзыв заявки после этого времени не допускаются, кроме случаев, прямо предусмотренных Документацией о закупке.</w:t>
      </w:r>
    </w:p>
    <w:p>
      <w:pPr>
        <w:pStyle w:val="Style19"/>
        <w:spacing w:before="0" w:after="0"/>
        <w:rPr/>
      </w:pPr>
      <w:r>
        <w:rPr/>
        <w:t>Отзыв Участником ранее поданной заявки является отказом от участия в закупке, отозванные заявки не рассматриваются Организатором по существу.</w:t>
      </w:r>
    </w:p>
    <w:p>
      <w:pPr>
        <w:pStyle w:val="Style19"/>
        <w:spacing w:before="0" w:after="0"/>
        <w:rPr/>
      </w:pPr>
      <w:r>
        <w:rPr/>
        <w:t>Изменение и отзыв Участником ранее поданной заявки осуществляется в порядке, аналогичном порядку подачи и приема заявок, установленному в подразделе </w:t>
      </w:r>
      <w:r>
        <w:rPr/>
        <w:fldChar w:fldCharType="begin"/>
      </w:r>
      <w:r>
        <w:rPr/>
        <w:instrText xml:space="preserve"> REF _Ref125362119 \w \h </w:instrText>
      </w:r>
      <w:r>
        <w:rPr/>
        <w:fldChar w:fldCharType="separate"/>
      </w:r>
      <w:r>
        <w:rPr/>
        <w:t>4.6</w:t>
      </w:r>
      <w:r>
        <w:rPr/>
        <w:fldChar w:fldCharType="end"/>
      </w:r>
      <w:r>
        <w:rPr/>
        <w:t>.</w:t>
      </w:r>
    </w:p>
    <w:p>
      <w:pPr>
        <w:pStyle w:val="Style19"/>
        <w:spacing w:before="0" w:after="0"/>
        <w:rPr/>
      </w:pPr>
      <w:r>
        <w:rPr/>
        <w:t>Изменения и отзыв заявки осуществляется посредством функционала ЭП (подробный порядок определяется Регламентом ЭП).</w:t>
      </w:r>
    </w:p>
    <w:p>
      <w:pPr>
        <w:pStyle w:val="Style18"/>
        <w:spacing w:before="360" w:after="0"/>
        <w:rPr/>
      </w:pPr>
      <w:bookmarkStart w:id="143" w:name="_Ref130221619"/>
      <w:bookmarkStart w:id="144" w:name="_Toc230928849"/>
      <w:bookmarkStart w:id="145" w:name="_Ref125364340"/>
      <w:bookmarkEnd w:id="145"/>
      <w:r>
        <w:rPr/>
        <w:t>Открытие доступа к заявкам</w:t>
      </w:r>
      <w:bookmarkEnd w:id="143"/>
      <w:bookmarkEnd w:id="144"/>
    </w:p>
    <w:p>
      <w:pPr>
        <w:pStyle w:val="Style19"/>
        <w:spacing w:before="120" w:after="0"/>
        <w:rPr/>
      </w:pPr>
      <w:r>
        <w:rPr/>
        <w:t>Открытие доступа к заявкам («вскрытие» поступивших электронных конвертов с заявками) не является публичным и происходит автоматически в порядке, предусмотренном Регламентом ЭП, сразу после окончания срока подачи заявок (подраздел </w:t>
      </w:r>
      <w:r>
        <w:rPr/>
        <w:fldChar w:fldCharType="begin"/>
      </w:r>
      <w:r>
        <w:rPr/>
        <w:instrText xml:space="preserve"> REF _Ref125359973 \r \h </w:instrText>
      </w:r>
      <w:r>
        <w:rPr/>
        <w:fldChar w:fldCharType="separate"/>
      </w:r>
      <w:r>
        <w:rPr/>
        <w:t>1.2</w:t>
      </w:r>
      <w:r>
        <w:rPr/>
        <w:fldChar w:fldCharType="end"/>
      </w:r>
      <w:r>
        <w:rPr/>
        <w:t>).</w:t>
      </w:r>
    </w:p>
    <w:p>
      <w:pPr>
        <w:pStyle w:val="Style19"/>
        <w:spacing w:before="0" w:after="0"/>
        <w:rPr/>
      </w:pPr>
      <w:r>
        <w:rPr/>
        <w:t>Оператор ЭП предоставляет Организатору доступ одновременно ко всем поданным заявкам в полном объеме.</w:t>
      </w:r>
    </w:p>
    <w:p>
      <w:pPr>
        <w:pStyle w:val="Style19"/>
        <w:keepNext w:val="true"/>
        <w:spacing w:before="0" w:after="0"/>
        <w:rPr/>
      </w:pPr>
      <w:r>
        <w:rPr/>
        <w:t>Организатор по результатам открытия доступа к заявкам формирует соответствующий протокол с указанием в нем, как минимум, следующей информации</w:t>
      </w:r>
      <w:r>
        <w:rPr>
          <w:rStyle w:val="FootnoteReference"/>
        </w:rPr>
        <w:footnoteReference w:id="4"/>
      </w:r>
      <w:r>
        <w:rPr/>
        <w:t>:</w:t>
      </w:r>
    </w:p>
    <w:p>
      <w:pPr>
        <w:pStyle w:val="Style20"/>
        <w:spacing w:before="120" w:after="0"/>
        <w:rPr/>
      </w:pPr>
      <w:r>
        <w:rPr/>
        <w:t>дата подписания протокола;</w:t>
      </w:r>
    </w:p>
    <w:p>
      <w:pPr>
        <w:pStyle w:val="Style20"/>
        <w:spacing w:before="0" w:after="0"/>
        <w:rPr/>
      </w:pPr>
      <w:r>
        <w:rPr/>
        <w:t>общее количество поступивших заявок, а также дата и время регистрации каждой заявки (по факту последнего изменения заявки до окончания срока подачи заявок);</w:t>
      </w:r>
    </w:p>
    <w:p>
      <w:pPr>
        <w:pStyle w:val="Style20"/>
        <w:spacing w:before="0" w:after="0"/>
        <w:rPr/>
      </w:pPr>
      <w:r>
        <w:rPr/>
        <w:t>наименование и адрес регистрации Участников, подавших заявки, и (или) их идентификационные номера, присваиваемые Оператором ЭП;</w:t>
      </w:r>
    </w:p>
    <w:p>
      <w:pPr>
        <w:pStyle w:val="Style20"/>
        <w:spacing w:before="0" w:after="0"/>
        <w:rPr/>
      </w:pPr>
      <w:r>
        <w:rPr/>
        <w:t>стоимости заявок (или иное указание на общую стоимость заявки);</w:t>
      </w:r>
    </w:p>
    <w:p>
      <w:pPr>
        <w:pStyle w:val="Style20"/>
        <w:spacing w:before="0" w:after="0"/>
        <w:rPr/>
      </w:pPr>
      <w:r>
        <w:rPr/>
        <w:t>причины, по которым закупка признана несостоявшейся в соответствии с подразделом </w:t>
      </w:r>
      <w:r>
        <w:rPr/>
        <w:fldChar w:fldCharType="begin"/>
      </w:r>
      <w:r>
        <w:rPr/>
        <w:instrText xml:space="preserve"> REF _Ref125364149 \w \h </w:instrText>
      </w:r>
      <w:r>
        <w:rPr/>
        <w:fldChar w:fldCharType="separate"/>
      </w:r>
      <w:r>
        <w:rPr/>
        <w:t>4.15</w:t>
      </w:r>
      <w:r>
        <w:rPr/>
        <w:fldChar w:fldCharType="end"/>
      </w:r>
      <w:r>
        <w:rPr/>
        <w:t xml:space="preserve"> (в случае ее признания таковой),</w:t>
      </w:r>
    </w:p>
    <w:p>
      <w:pPr>
        <w:pStyle w:val="Style23"/>
        <w:ind w:left="1134"/>
        <w:rPr/>
      </w:pPr>
      <w:r>
        <w:rPr/>
        <w:t>после чего официально размещает его в течение 3 (трех) календарных дней с даты подписания такого протокола. Заседание Закупочной комиссии при этом не проводится.</w:t>
      </w:r>
    </w:p>
    <w:p>
      <w:pPr>
        <w:pStyle w:val="Style19"/>
        <w:spacing w:before="120" w:after="0"/>
        <w:rPr/>
      </w:pPr>
      <w:r>
        <w:rPr/>
        <w:t>Протокол открытия доступа к заявкам может формироваться автоматически Оператором ЭП, после чего официально размещаться в установленном порядке. В этом случае протокол считается подписанным уполномоченным лицом Организатора.</w:t>
      </w:r>
    </w:p>
    <w:p>
      <w:pPr>
        <w:pStyle w:val="Style19"/>
        <w:spacing w:before="0" w:after="0"/>
        <w:rPr/>
      </w:pPr>
      <w:r>
        <w:rPr/>
        <w:t>Порядок получения Участниками информации о поступивших заявках через ЭП определяется Регламентом ЭП.</w:t>
      </w:r>
    </w:p>
    <w:p>
      <w:pPr>
        <w:pStyle w:val="Style18"/>
        <w:spacing w:before="360" w:after="0"/>
        <w:rPr/>
      </w:pPr>
      <w:bookmarkStart w:id="146" w:name="_Ref135749133"/>
      <w:bookmarkStart w:id="147" w:name="_Toc230928850"/>
      <w:bookmarkStart w:id="148" w:name="_Ref125362364"/>
      <w:bookmarkStart w:id="149" w:name="_Ref125366689"/>
      <w:bookmarkStart w:id="150" w:name="_Ref125364340_Копия_1"/>
      <w:bookmarkEnd w:id="150"/>
      <w:r>
        <w:rPr/>
        <w:t>Рассмотрение заявок (отборочная стадия)</w:t>
      </w:r>
      <w:bookmarkEnd w:id="148"/>
      <w:bookmarkEnd w:id="149"/>
      <w:r>
        <w:rPr/>
        <w:t>, в том числе (при необходимости) проведение аккредитации</w:t>
      </w:r>
      <w:bookmarkEnd w:id="146"/>
      <w:bookmarkEnd w:id="147"/>
    </w:p>
    <w:p>
      <w:pPr>
        <w:pStyle w:val="Style19"/>
        <w:spacing w:before="120" w:after="0"/>
        <w:rPr/>
      </w:pPr>
      <w:r>
        <w:rPr/>
        <w:t>Дата окончания срока рассмотрения заявок установлена в подразделе </w:t>
      </w:r>
      <w:r>
        <w:rPr/>
        <w:fldChar w:fldCharType="begin"/>
      </w:r>
      <w:r>
        <w:rPr/>
        <w:instrText xml:space="preserve"> REF _Ref125359973 \r \h </w:instrText>
      </w:r>
      <w:r>
        <w:rPr/>
        <w:fldChar w:fldCharType="separate"/>
      </w:r>
      <w:r>
        <w:rPr/>
        <w:t>1.2</w:t>
      </w:r>
      <w:r>
        <w:rPr/>
        <w:fldChar w:fldCharType="end"/>
      </w:r>
      <w:r>
        <w:rPr/>
        <w:t>. Организатор по согласованию с Заказчиком вправе, при необходимости, изменить ее, официально разместив информацию об этом.</w:t>
      </w:r>
    </w:p>
    <w:p>
      <w:pPr>
        <w:pStyle w:val="Style19"/>
        <w:spacing w:before="0" w:after="0"/>
        <w:rPr/>
      </w:pPr>
      <w:r>
        <w:rPr/>
        <w:t xml:space="preserve">В рамках рассмотрения заявок (отборочной стадии) осуществляется проверка каждой заявки на предмет соответствия </w:t>
      </w:r>
      <w:hyperlink w:anchor="Прил07_ОтборочныеКритерии" w:tgtFrame="#Прил07_ОтборочныеКритерии">
        <w:r>
          <w:rPr>
            <w:color w:val="000000"/>
            <w:spacing w:val="0"/>
            <w:u w:val="single"/>
            <w:shd w:fill="auto" w:val="clear"/>
            <w:lang w:val="ru-RU"/>
          </w:rPr>
          <w:t>Отборочным критериям рассмотрения заявок (Приложение № 7)</w:t>
        </w:r>
      </w:hyperlink>
      <w:r>
        <w:rPr/>
        <w:t>, в том числе проводится процедура аккредитации Участников (при необходимости).</w:t>
      </w:r>
    </w:p>
    <w:p>
      <w:pPr>
        <w:pStyle w:val="Style19"/>
        <w:spacing w:before="0" w:after="0"/>
        <w:rPr/>
      </w:pPr>
      <w:r>
        <w:rPr/>
        <w:t>Рассмотрение заявок проводится на основании представленных в составе заявки документов и сведений. Проверка актуальности и достоверности предоставленных документов и сведений осуществляется с использованием официальных сервисов органов государственной власти, или иным законным способом.</w:t>
      </w:r>
    </w:p>
    <w:p>
      <w:pPr>
        <w:pStyle w:val="Style19"/>
        <w:keepNext w:val="true"/>
        <w:spacing w:before="0" w:after="0"/>
        <w:rPr/>
      </w:pPr>
      <w:bookmarkStart w:id="151" w:name="_Ref224833137"/>
      <w:r>
        <w:rPr/>
        <w:t>При выявлении в рамках рассмотрения заявок наличия арифметических ошибок, в том числе:</w:t>
      </w:r>
      <w:bookmarkEnd w:id="151"/>
    </w:p>
    <w:p>
      <w:pPr>
        <w:pStyle w:val="Style20"/>
        <w:spacing w:before="120" w:after="0"/>
        <w:rPr/>
      </w:pPr>
      <w:r>
        <w:rPr/>
        <w:t>в результате суммирования единичных расценок;</w:t>
      </w:r>
    </w:p>
    <w:p>
      <w:pPr>
        <w:pStyle w:val="Style20"/>
        <w:spacing w:before="0" w:after="0"/>
        <w:rPr/>
      </w:pPr>
      <w:r>
        <w:rPr/>
        <w:t>в итогах умножения единичных расценок на объем продукции;</w:t>
      </w:r>
    </w:p>
    <w:p>
      <w:pPr>
        <w:pStyle w:val="Style20"/>
        <w:spacing w:before="0" w:after="0"/>
        <w:rPr/>
      </w:pPr>
      <w:r>
        <w:rPr/>
        <w:t>в вычислении суммы НДС и итоговой стоимости заявки с учетом НДС;</w:t>
      </w:r>
    </w:p>
    <w:p>
      <w:pPr>
        <w:pStyle w:val="Style20"/>
        <w:spacing w:before="0" w:after="0"/>
        <w:rPr/>
      </w:pPr>
      <w:r>
        <w:rPr/>
        <w:t>иных внутренних противоречий в составе заявки,</w:t>
      </w:r>
    </w:p>
    <w:p>
      <w:pPr>
        <w:pStyle w:val="Style23"/>
        <w:ind w:left="1134"/>
        <w:rPr/>
      </w:pPr>
      <w:r>
        <w:rPr/>
        <w:t>Организатор исходит из преимущества общей итоговой стоимости (без учета НДС), указанной в структурированных формах на ЭП (последней по времени подачи) и подписанной усиленной квалифицированной электронной подписью уполномоченного лица Участника. При уклонении Участника от заключения договора на вышеуказанных условиях заявка такого Участника подлежит отклонению решением Закупочной комиссии.</w:t>
      </w:r>
    </w:p>
    <w:p>
      <w:pPr>
        <w:pStyle w:val="Style19"/>
        <w:keepNext w:val="true"/>
        <w:spacing w:before="120" w:after="0"/>
        <w:rPr/>
      </w:pPr>
      <w:bookmarkStart w:id="152" w:name="_Ref125551456"/>
      <w:r>
        <w:rPr/>
        <w:t>По результатам рассмотрения заявок (проведения отборочной стадии) Закупочная комиссия отклоняет заявки по следующим основаниям:</w:t>
      </w:r>
      <w:bookmarkEnd w:id="152"/>
    </w:p>
    <w:p>
      <w:pPr>
        <w:pStyle w:val="Style20"/>
        <w:spacing w:before="120" w:after="0"/>
        <w:rPr/>
      </w:pPr>
      <w:r>
        <w:rPr/>
        <w:t>несоответствие по составу</w:t>
      </w:r>
      <w:r>
        <w:rPr>
          <w:rStyle w:val="FootnoteReference"/>
        </w:rPr>
        <w:footnoteReference w:id="5"/>
      </w:r>
      <w:r>
        <w:rPr/>
        <w:t>, содержанию и соблюдению требований Документации о закупке к подготовке (оформлению) заявки, в том числе наличие:</w:t>
      </w:r>
    </w:p>
    <w:p>
      <w:pPr>
        <w:pStyle w:val="Style21"/>
        <w:spacing w:before="120" w:after="0"/>
        <w:rPr/>
      </w:pPr>
      <w:r>
        <w:rPr/>
        <w:t>недостоверных сведений</w:t>
      </w:r>
      <w:r>
        <w:rPr>
          <w:rStyle w:val="FootnoteReference"/>
        </w:rPr>
        <w:footnoteReference w:id="6"/>
      </w:r>
      <w:r>
        <w:rPr/>
        <w:t xml:space="preserve"> или намеренно искаженной информации или документов;</w:t>
      </w:r>
    </w:p>
    <w:p>
      <w:pPr>
        <w:pStyle w:val="Style21"/>
        <w:spacing w:before="0" w:after="0"/>
        <w:rPr/>
      </w:pPr>
      <w:r>
        <w:rPr/>
        <w:t xml:space="preserve">внутренних противоречий между различными частями и (или) документами заявки, в том числе по тексту внутри одного документа (за исключением ошибок, предусмотренных пунктом </w:t>
      </w:r>
      <w:r>
        <w:rPr/>
        <w:fldChar w:fldCharType="begin"/>
      </w:r>
      <w:r>
        <w:rPr/>
        <w:instrText xml:space="preserve"> REF _Ref224833137 \r \h </w:instrText>
      </w:r>
      <w:r>
        <w:rPr/>
        <w:fldChar w:fldCharType="separate"/>
      </w:r>
      <w:r>
        <w:rPr/>
        <w:t>4.9.4</w:t>
      </w:r>
      <w:r>
        <w:rPr/>
        <w:fldChar w:fldCharType="end"/>
      </w:r>
      <w:r>
        <w:rPr/>
        <w:t>);</w:t>
      </w:r>
    </w:p>
    <w:p>
      <w:pPr>
        <w:pStyle w:val="Style20"/>
        <w:spacing w:before="120" w:after="0"/>
        <w:rPr/>
      </w:pPr>
      <w:r>
        <w:rPr/>
        <w:t>несоответствие Участников требованиям Документации о закупке;</w:t>
      </w:r>
    </w:p>
    <w:p>
      <w:pPr>
        <w:pStyle w:val="Style20"/>
        <w:spacing w:before="0" w:after="0"/>
        <w:rPr/>
      </w:pPr>
      <w:r>
        <w:rPr/>
        <w:t>несоответствие привлекаемых субподрядчиков (соисполнителей) требованиям Документации о закупке;</w:t>
      </w:r>
    </w:p>
    <w:p>
      <w:pPr>
        <w:pStyle w:val="Style20"/>
        <w:spacing w:before="0" w:after="0"/>
        <w:rPr/>
      </w:pPr>
      <w:r>
        <w:rPr/>
        <w:t>несоответствие предлагаемой продукции требованиям Документации о закупке, в том числе порядка описания такой продукции;</w:t>
      </w:r>
    </w:p>
    <w:p>
      <w:pPr>
        <w:pStyle w:val="Style20"/>
        <w:spacing w:before="0" w:after="0"/>
        <w:rPr/>
      </w:pPr>
      <w:r>
        <w:rPr/>
        <w:t>несоответствие предлагаемых договорных условий требованиям Документации о закупке, в том числе превышение стоимости заявки (цены Договора) над установленным размером НМЦ;</w:t>
      </w:r>
    </w:p>
    <w:p>
      <w:pPr>
        <w:pStyle w:val="Style20"/>
        <w:spacing w:before="0" w:after="0"/>
        <w:rPr/>
      </w:pPr>
      <w:r>
        <w:rPr/>
        <w:t>несоответствие размера, формы, условий и порядка предоставления обеспечения заявки.</w:t>
      </w:r>
    </w:p>
    <w:p>
      <w:pPr>
        <w:pStyle w:val="Style19"/>
        <w:spacing w:before="120" w:after="0"/>
        <w:rPr/>
      </w:pPr>
      <w:r>
        <w:rPr/>
        <w:t>По результатам рассмотрения заявок также может осуществляться предварительная оценка и сопоставление допущенных заявок, если после отборочной стадии планируется проведение переторжки (подраздел </w:t>
      </w:r>
      <w:r>
        <w:rPr/>
        <w:fldChar w:fldCharType="begin"/>
      </w:r>
      <w:r>
        <w:rPr/>
        <w:instrText xml:space="preserve"> REF _Ref125359973 \r \h </w:instrText>
      </w:r>
      <w:r>
        <w:rPr/>
        <w:fldChar w:fldCharType="separate"/>
      </w:r>
      <w:r>
        <w:rPr/>
        <w:t>1.2</w:t>
      </w:r>
      <w:r>
        <w:rPr/>
        <w:fldChar w:fldCharType="end"/>
      </w:r>
      <w:r>
        <w:rPr/>
        <w:t>, подраздел </w:t>
      </w:r>
      <w:r>
        <w:rPr/>
        <w:fldChar w:fldCharType="begin"/>
      </w:r>
      <w:r>
        <w:rPr/>
        <w:instrText xml:space="preserve"> REF _Ref125362430 \r \h </w:instrText>
      </w:r>
      <w:r>
        <w:rPr/>
        <w:fldChar w:fldCharType="separate"/>
      </w:r>
      <w:r>
        <w:rPr/>
        <w:t>4.11</w:t>
      </w:r>
      <w:r>
        <w:rPr/>
        <w:fldChar w:fldCharType="end"/>
      </w:r>
      <w:r>
        <w:rPr/>
        <w:t>). В данном случае оценка и сопоставление заявок, а также их предварительная ранжировка осуществляются в соответствии с подразделами </w:t>
      </w:r>
      <w:r>
        <w:rPr/>
        <w:fldChar w:fldCharType="begin"/>
      </w:r>
      <w:r>
        <w:rPr/>
        <w:instrText xml:space="preserve"> REF _Ref125362626 \w \h </w:instrText>
      </w:r>
      <w:r>
        <w:rPr/>
        <w:fldChar w:fldCharType="separate"/>
      </w:r>
      <w:r>
        <w:rPr/>
        <w:t>4.12</w:t>
      </w:r>
      <w:r>
        <w:rPr/>
        <w:fldChar w:fldCharType="end"/>
      </w:r>
      <w:r>
        <w:rPr/>
        <w:t xml:space="preserve">, </w:t>
      </w:r>
      <w:r>
        <w:rPr/>
        <w:fldChar w:fldCharType="begin"/>
      </w:r>
      <w:r>
        <w:rPr/>
        <w:instrText xml:space="preserve"> REF _Ref130985951 \r \h </w:instrText>
      </w:r>
      <w:r>
        <w:rPr/>
        <w:fldChar w:fldCharType="separate"/>
      </w:r>
      <w:r>
        <w:rPr/>
        <w:t>4.13</w:t>
      </w:r>
      <w:r>
        <w:rPr/>
        <w:fldChar w:fldCharType="end"/>
      </w:r>
      <w:r>
        <w:rPr/>
        <w:t>, на основании представленных в составе заявки документов и сведений (включая стоимость заявки (цену Договора)).</w:t>
      </w:r>
    </w:p>
    <w:p>
      <w:pPr>
        <w:pStyle w:val="Style19"/>
        <w:keepNext w:val="true"/>
        <w:spacing w:before="0" w:after="0"/>
        <w:rPr/>
      </w:pPr>
      <w:r>
        <w:rPr/>
        <w:t>Решение Закупочной комиссии по рассмотрению заявок оформляется протоколом, в котором, как минимум, указываются</w:t>
      </w:r>
      <w:r>
        <w:rPr>
          <w:rStyle w:val="FootnoteReference"/>
        </w:rPr>
        <w:footnoteReference w:id="7"/>
      </w:r>
      <w:r>
        <w:rPr/>
        <w:t>:</w:t>
      </w:r>
    </w:p>
    <w:p>
      <w:pPr>
        <w:pStyle w:val="Style20"/>
        <w:spacing w:before="120" w:after="0"/>
        <w:rPr/>
      </w:pPr>
      <w:r>
        <w:rPr/>
        <w:t>дата подписания протокола;</w:t>
      </w:r>
    </w:p>
    <w:p>
      <w:pPr>
        <w:pStyle w:val="Style20"/>
        <w:spacing w:before="0" w:after="0"/>
        <w:rPr/>
      </w:pPr>
      <w:r>
        <w:rPr/>
        <w:t>общее количество поступивших заявок, а также дата и время регистрации каждой заявки (по факту последнего изменения заявки до окончания срока подачи заявок);</w:t>
      </w:r>
    </w:p>
    <w:p>
      <w:pPr>
        <w:pStyle w:val="Style20"/>
        <w:spacing w:before="0" w:after="0"/>
        <w:rPr/>
      </w:pPr>
      <w:r>
        <w:rPr/>
        <w:t>наименования Участников, подавших заявки, и (или) их идентификационные номера, присваиваемые Оператором ЭП;</w:t>
      </w:r>
    </w:p>
    <w:p>
      <w:pPr>
        <w:pStyle w:val="Style20"/>
        <w:keepNext w:val="true"/>
        <w:spacing w:before="0" w:after="0"/>
        <w:rPr/>
      </w:pPr>
      <w:r>
        <w:rPr/>
        <w:t>результаты рассмотрения заявок с указанием, в том числе:</w:t>
      </w:r>
    </w:p>
    <w:p>
      <w:pPr>
        <w:pStyle w:val="Style21"/>
        <w:spacing w:before="120" w:after="0"/>
        <w:rPr/>
      </w:pPr>
      <w:r>
        <w:rPr/>
        <w:t>количества заявок, которые были отклонены;</w:t>
      </w:r>
    </w:p>
    <w:p>
      <w:pPr>
        <w:pStyle w:val="Style21"/>
        <w:spacing w:before="0" w:after="0"/>
        <w:rPr/>
      </w:pPr>
      <w:r>
        <w:rPr/>
        <w:t>оснований отклонения каждой заявки с указанием положений Документации о закупке, которым не соответствует такая заявка;</w:t>
      </w:r>
    </w:p>
    <w:p>
      <w:pPr>
        <w:pStyle w:val="Style20"/>
        <w:spacing w:before="120" w:after="0"/>
        <w:rPr/>
      </w:pPr>
      <w:r>
        <w:rPr/>
        <w:t>причины, по которым закупка признана несостоявшейся в соответствии с подразделом </w:t>
      </w:r>
      <w:r>
        <w:rPr/>
        <w:fldChar w:fldCharType="begin"/>
      </w:r>
      <w:r>
        <w:rPr/>
        <w:instrText xml:space="preserve"> REF _Ref125364149 \w \h </w:instrText>
      </w:r>
      <w:r>
        <w:rPr/>
        <w:fldChar w:fldCharType="separate"/>
      </w:r>
      <w:r>
        <w:rPr/>
        <w:t>4.15</w:t>
      </w:r>
      <w:r>
        <w:rPr/>
        <w:fldChar w:fldCharType="end"/>
      </w:r>
      <w:r>
        <w:rPr/>
        <w:t xml:space="preserve"> (в случае ее признания таковой);</w:t>
      </w:r>
    </w:p>
    <w:p>
      <w:pPr>
        <w:pStyle w:val="Style20"/>
        <w:keepNext w:val="true"/>
        <w:spacing w:before="0" w:after="0"/>
        <w:rPr/>
      </w:pPr>
      <w:r>
        <w:rPr/>
        <w:t>результаты предварительной оценки и сопоставления допущенных заявок – в случае принятия решения о проведении переторжки, с указанием, в том числе:</w:t>
      </w:r>
    </w:p>
    <w:p>
      <w:pPr>
        <w:pStyle w:val="Style21"/>
        <w:spacing w:before="120" w:after="0"/>
        <w:rPr/>
      </w:pPr>
      <w:r>
        <w:rPr/>
        <w:t>значения (в баллах), присвоенного каждой заявке по каждому из предусмотренных критериев оценки, установленных в Документации о закупке;</w:t>
      </w:r>
    </w:p>
    <w:p>
      <w:pPr>
        <w:pStyle w:val="Style21"/>
        <w:spacing w:before="0" w:after="0"/>
        <w:rPr/>
      </w:pPr>
      <w:r>
        <w:rPr/>
        <w:t>порядкового номера каждой допущенной заявки в предварительной ранжировке заявок, включая стоимость заявки (цену Договора);</w:t>
      </w:r>
    </w:p>
    <w:p>
      <w:pPr>
        <w:pStyle w:val="Style20"/>
        <w:rPr/>
      </w:pPr>
      <w:bookmarkStart w:id="153" w:name="_Ref125551524"/>
      <w:r>
        <w:rPr/>
        <w:t>решение о проведении или непроведении переторжки,</w:t>
      </w:r>
      <w:bookmarkEnd w:id="153"/>
    </w:p>
    <w:p>
      <w:pPr>
        <w:pStyle w:val="Style23"/>
        <w:ind w:left="1134"/>
        <w:rPr/>
      </w:pPr>
      <w:r>
        <w:rPr/>
        <w:t>после чего Организатор официально размещает его в течение 3 (трех) календарных дней с даты подписания такого протокола.</w:t>
      </w:r>
    </w:p>
    <w:p>
      <w:pPr>
        <w:pStyle w:val="Style19"/>
        <w:spacing w:before="120" w:after="0"/>
        <w:rPr/>
      </w:pPr>
      <w:r>
        <w:rPr/>
        <w:t>Любой Участник после официального размещения протокола рассмотрения заявок вправе направить Организатору запрос о разъяснении результатов рассмотрения и (или) оценки и сопоставления своей заявки в порядке, аналогичном порядку направления запросов на разъяснение Документации о закупке (подраздел </w:t>
      </w:r>
      <w:r>
        <w:rPr/>
        <w:fldChar w:fldCharType="begin"/>
      </w:r>
      <w:r>
        <w:rPr/>
        <w:instrText xml:space="preserve"> REF _Ref130394785 \r \h </w:instrText>
      </w:r>
      <w:r>
        <w:rPr/>
        <w:fldChar w:fldCharType="separate"/>
      </w:r>
      <w:r>
        <w:rPr/>
        <w:t>4.4</w:t>
      </w:r>
      <w:r>
        <w:rPr/>
        <w:fldChar w:fldCharType="end"/>
      </w:r>
      <w:r>
        <w:rPr/>
        <w:t>). Организатор в течение 10 (десяти) рабочих дней со дня поступления такого запроса обязан предоставить такому Участнику соответствующие разъяснения. При этом в отношении иных Участников разъяснения не предоставляются.</w:t>
      </w:r>
    </w:p>
    <w:p>
      <w:pPr>
        <w:pStyle w:val="Style19"/>
        <w:spacing w:before="0" w:after="0"/>
        <w:rPr/>
      </w:pPr>
      <w:r>
        <w:rPr/>
        <w:t>Если рассмотрение заявок, оценка и сопоставление заявок, а также подведение итогов закупки осуществляются одновременно, отдельный протокол по результатам рассмотрения заявок может не оформляться, а соответствующая информация подлежит обязательному включению в итоговый протокол по результатам закупки.</w:t>
      </w:r>
    </w:p>
    <w:p>
      <w:pPr>
        <w:pStyle w:val="Style19"/>
        <w:spacing w:before="0" w:after="0"/>
        <w:rPr/>
      </w:pPr>
      <w:r>
        <w:rPr/>
        <w:t>Если основания для отклонения заявки, указанные в пункте </w:t>
      </w:r>
      <w:r>
        <w:rPr/>
        <w:fldChar w:fldCharType="begin"/>
      </w:r>
      <w:r>
        <w:rPr/>
        <w:instrText xml:space="preserve"> REF _Ref125551456 \w \h </w:instrText>
      </w:r>
      <w:r>
        <w:rPr/>
        <w:fldChar w:fldCharType="separate"/>
      </w:r>
      <w:r>
        <w:rPr/>
        <w:t>4.9.5</w:t>
      </w:r>
      <w:r>
        <w:rPr/>
        <w:fldChar w:fldCharType="end"/>
      </w:r>
      <w:r>
        <w:rPr/>
        <w:t>, обнаружены позже даты проведения рассмотрения заявок, Организатор осуществляет отклонение такой заявки с внесением соответствующей информации в отдельный или ближайший ко времени события протокол закупки.</w:t>
      </w:r>
    </w:p>
    <w:p>
      <w:pPr>
        <w:pStyle w:val="Style18"/>
        <w:spacing w:before="360" w:after="0"/>
        <w:rPr/>
      </w:pPr>
      <w:bookmarkStart w:id="154" w:name="_Ref125362425"/>
      <w:bookmarkStart w:id="155" w:name="_Ref125362464"/>
      <w:bookmarkStart w:id="156" w:name="_Ref125362610"/>
      <w:bookmarkStart w:id="157" w:name="_Toc230928851"/>
      <w:bookmarkStart w:id="158" w:name="_Ref125362381"/>
      <w:r>
        <w:rPr/>
        <w:t>Дополнительные запросы разъяснений заявок</w:t>
      </w:r>
      <w:bookmarkEnd w:id="154"/>
      <w:bookmarkEnd w:id="155"/>
      <w:bookmarkEnd w:id="156"/>
      <w:bookmarkEnd w:id="157"/>
      <w:bookmarkEnd w:id="158"/>
    </w:p>
    <w:p>
      <w:pPr>
        <w:pStyle w:val="Style19"/>
        <w:spacing w:before="120" w:after="0"/>
        <w:rPr/>
      </w:pPr>
      <w:bookmarkStart w:id="159" w:name="_Ref125365611"/>
      <w:r>
        <w:rPr/>
        <w:t>В рамках процедуры рассмотрения заявок, оценки и сопоставления заявок Организатор вправе направить в адрес Участника дополнительный запрос разъяснений и (или) дополнений его заявки, влияющих на отклонение или оценку и сопоставление его заявки, в следующих случаях:</w:t>
      </w:r>
      <w:bookmarkEnd w:id="159"/>
    </w:p>
    <w:p>
      <w:pPr>
        <w:pStyle w:val="Style20"/>
        <w:keepNext w:val="true"/>
        <w:spacing w:before="120" w:after="0"/>
        <w:rPr/>
      </w:pPr>
      <w:r>
        <w:rPr/>
        <w:t>в составе заявки отсутствуют, представлены не в полном объеме или в нечитаемом виде документы или сведения, необходимые для определения:</w:t>
      </w:r>
    </w:p>
    <w:p>
      <w:pPr>
        <w:pStyle w:val="Style21"/>
        <w:spacing w:before="120" w:after="0"/>
        <w:rPr/>
      </w:pPr>
      <w:r>
        <w:rPr/>
        <w:t>соответствия Участника требованиям Документации о закупке;</w:t>
      </w:r>
    </w:p>
    <w:p>
      <w:pPr>
        <w:pStyle w:val="Style21"/>
        <w:spacing w:before="0" w:after="0"/>
        <w:rPr/>
      </w:pPr>
      <w:r>
        <w:rPr/>
        <w:t>наличия соответствующих полномочий на подписание заявки от имени Участника у лица, подписавшего заявку;</w:t>
      </w:r>
    </w:p>
    <w:p>
      <w:pPr>
        <w:pStyle w:val="Style21"/>
        <w:spacing w:before="0" w:after="0"/>
        <w:rPr/>
      </w:pPr>
      <w:r>
        <w:rPr/>
        <w:t>соответствия заявки требованиям Документации о закупке в части характеристик предлагаемой продукции, страны происхождения товара и (или) страны регистрации Участника (в целях исполнения требований законодательства о национальном режиме (подраздел </w:t>
      </w:r>
      <w:r>
        <w:rPr/>
        <w:fldChar w:fldCharType="begin"/>
      </w:r>
      <w:r>
        <w:rPr/>
        <w:instrText xml:space="preserve"> REF _Ref186213053 \r \h </w:instrText>
      </w:r>
      <w:r>
        <w:rPr/>
        <w:fldChar w:fldCharType="separate"/>
      </w:r>
      <w:r>
        <w:rPr/>
        <w:t>4.13</w:t>
      </w:r>
      <w:r>
        <w:rPr/>
        <w:fldChar w:fldCharType="end"/>
      </w:r>
      <w:r>
        <w:rPr/>
        <w:t>)), договорных условий и расчета цены Договора;</w:t>
      </w:r>
    </w:p>
    <w:p>
      <w:pPr>
        <w:pStyle w:val="Style20"/>
        <w:spacing w:before="120" w:after="0"/>
        <w:rPr/>
      </w:pPr>
      <w:bookmarkStart w:id="160" w:name="_Ref134702259"/>
      <w:r>
        <w:rPr/>
        <w:t>в составе заявки отсутствуют, представлены не в полном объеме или в нечитаемом виде документы или сведения, необходимые для прохождения Участником в рамках рассмотрения заявок процедуры аккредитации (при необходимости);</w:t>
      </w:r>
    </w:p>
    <w:p>
      <w:pPr>
        <w:pStyle w:val="Style20"/>
        <w:spacing w:before="0" w:after="0"/>
        <w:rPr/>
      </w:pPr>
      <w:r>
        <w:rPr/>
        <w:t>в заявке имеются разночтения или положения, допускающие неоднозначное толкование, не позволяющие определить соответствие заявки или Участника (в том числе не позволяющие провести в отношении него процедуру аккредитации (при необходимости)</w:t>
      </w:r>
      <w:r>
        <w:rPr>
          <w:rStyle w:val="FootnoteReference"/>
        </w:rPr>
        <w:footnoteReference w:id="8"/>
      </w:r>
      <w:r>
        <w:rPr/>
        <w:t>) требованиям Документации о закупке или осуществить оценку и сопоставление заявок.</w:t>
      </w:r>
      <w:bookmarkEnd w:id="160"/>
    </w:p>
    <w:p>
      <w:pPr>
        <w:pStyle w:val="Style19"/>
        <w:spacing w:before="120" w:after="0"/>
        <w:rPr/>
      </w:pPr>
      <w:r>
        <w:rPr/>
        <w:t>Если в рамках рассмотрения заявок проводится процедура аккредитации, Организатор вправе направить в адрес Участника дополнительный запрос разъяснений и (или) дополнений его заявки, влияющих на прохождение аккредитации таким Участником (в том числе в случае, указанном в подпункте </w:t>
      </w:r>
      <w:r>
        <w:rPr/>
        <w:fldChar w:fldCharType="begin"/>
      </w:r>
      <w:r>
        <w:rPr/>
        <w:instrText xml:space="preserve"> REF _Ref134702259 \r \h </w:instrText>
      </w:r>
      <w:r>
        <w:rPr/>
        <w:fldChar w:fldCharType="separate"/>
      </w:r>
      <w:r>
        <w:rPr/>
        <w:t>4.10.1б)</w:t>
      </w:r>
      <w:r>
        <w:rPr/>
        <w:fldChar w:fldCharType="end"/>
      </w:r>
      <w:r>
        <w:rPr/>
        <w:t>).</w:t>
      </w:r>
    </w:p>
    <w:p>
      <w:pPr>
        <w:pStyle w:val="Style19"/>
        <w:spacing w:before="0" w:after="0"/>
        <w:rPr/>
      </w:pPr>
      <w:r>
        <w:rPr/>
        <w:t>Не допускаются запросы со стороны Организатора, а также ответы со стороны Участников, изменяющие суть заявки (предмет, объем, цена, номенклатура предлагаемой Участником продукции).</w:t>
      </w:r>
    </w:p>
    <w:p>
      <w:pPr>
        <w:pStyle w:val="Style19"/>
        <w:spacing w:before="0" w:after="0"/>
        <w:rPr/>
      </w:pPr>
      <w:r>
        <w:rPr/>
        <w:t>При направлении дополнительных запросов разъяснений заявок не допускается создание преимущественных условий Участнику или нескольким Участникам закупки.</w:t>
      </w:r>
    </w:p>
    <w:p>
      <w:pPr>
        <w:pStyle w:val="Style19"/>
        <w:spacing w:before="0" w:after="0"/>
        <w:rPr/>
      </w:pPr>
      <w:r>
        <w:rPr/>
        <w:t>Дополнительные запросы направляются одновременно (в один день) всем Участникам, у которых был выявлен факт несоответствий, за исключением следующего – дополнительные запросы не направляются Участнику если в соответствии с пунктом </w:t>
      </w:r>
      <w:r>
        <w:rPr/>
        <w:fldChar w:fldCharType="begin"/>
      </w:r>
      <w:r>
        <w:rPr/>
        <w:instrText xml:space="preserve"> REF _Ref125551456 \w \h </w:instrText>
      </w:r>
      <w:r>
        <w:rPr/>
        <w:fldChar w:fldCharType="separate"/>
      </w:r>
      <w:r>
        <w:rPr/>
        <w:t>4.9.5</w:t>
      </w:r>
      <w:r>
        <w:rPr/>
        <w:fldChar w:fldCharType="end"/>
      </w:r>
      <w:r>
        <w:rPr/>
        <w:t xml:space="preserve"> имеются прямые основания для отклонения заявки такого Участника, не относящиеся к случаям, перечисленным в пункте </w:t>
      </w:r>
      <w:r>
        <w:rPr/>
        <w:fldChar w:fldCharType="begin"/>
      </w:r>
      <w:r>
        <w:rPr/>
        <w:instrText xml:space="preserve"> REF _Ref125365611 \w \h </w:instrText>
      </w:r>
      <w:r>
        <w:rPr/>
        <w:fldChar w:fldCharType="separate"/>
      </w:r>
      <w:r>
        <w:rPr/>
        <w:t>4.10.1</w:t>
      </w:r>
      <w:r>
        <w:rPr/>
        <w:fldChar w:fldCharType="end"/>
      </w:r>
      <w:r>
        <w:rPr/>
        <w:t>.</w:t>
      </w:r>
    </w:p>
    <w:p>
      <w:pPr>
        <w:pStyle w:val="Style19"/>
        <w:spacing w:before="0" w:after="0"/>
        <w:rPr/>
      </w:pPr>
      <w:r>
        <w:rPr/>
        <w:t>Срок предоставления Участниками разъяснений своих заявок устанавливается одинаковый для всех и составляет не менее 2 (двух) рабочих дней с момента направления запроса в адрес Участника.</w:t>
      </w:r>
    </w:p>
    <w:p>
      <w:pPr>
        <w:pStyle w:val="Style19"/>
        <w:spacing w:before="0" w:after="0"/>
        <w:rPr/>
      </w:pPr>
      <w:r>
        <w:rPr/>
        <w:t>Направление Организатором дополнительных запросов и ответов Участников на данные запросы осуществляется с помощью программных и технических средств ЭП в порядке, предусмотренном Регламентом ЭП (ответы Участников, поступившие не через ЭП, к рассмотрению не принимаются).</w:t>
      </w:r>
    </w:p>
    <w:p>
      <w:pPr>
        <w:pStyle w:val="Style19"/>
        <w:spacing w:before="0" w:after="0"/>
        <w:rPr/>
      </w:pPr>
      <w:r>
        <w:rPr/>
        <w:t>Непредставление или представление не в полном объеме запрашиваемых документов и (или) разъяснений в установленный в запросе срок служит основанием для отклонения заявки такого Участника по условиям пункта </w:t>
      </w:r>
      <w:r>
        <w:rPr/>
        <w:fldChar w:fldCharType="begin"/>
      </w:r>
      <w:r>
        <w:rPr/>
        <w:instrText xml:space="preserve"> REF _Ref125551456 \w \h </w:instrText>
      </w:r>
      <w:r>
        <w:rPr/>
        <w:fldChar w:fldCharType="separate"/>
      </w:r>
      <w:r>
        <w:rPr/>
        <w:t>4.9.5</w:t>
      </w:r>
      <w:r>
        <w:rPr/>
        <w:fldChar w:fldCharType="end"/>
      </w:r>
      <w:r>
        <w:rPr/>
        <w:t>.</w:t>
      </w:r>
    </w:p>
    <w:p>
      <w:pPr>
        <w:pStyle w:val="Style18"/>
        <w:spacing w:before="360" w:after="0"/>
        <w:rPr/>
      </w:pPr>
      <w:bookmarkStart w:id="161" w:name="_Ref125362430"/>
      <w:bookmarkStart w:id="162" w:name="_Ref125362537"/>
      <w:bookmarkStart w:id="163" w:name="_Ref127536359"/>
      <w:bookmarkStart w:id="164" w:name="_Toc230928852"/>
      <w:r>
        <w:rPr/>
        <w:t>Переторжка</w:t>
      </w:r>
      <w:bookmarkEnd w:id="161"/>
      <w:bookmarkEnd w:id="162"/>
      <w:bookmarkEnd w:id="163"/>
      <w:bookmarkEnd w:id="164"/>
    </w:p>
    <w:p>
      <w:pPr>
        <w:pStyle w:val="Style19"/>
        <w:spacing w:before="120" w:after="0"/>
        <w:rPr/>
      </w:pPr>
      <w:r>
        <w:rPr/>
        <w:t>Нормы настоящего подраздела применяются, если подразделом </w:t>
      </w:r>
      <w:r>
        <w:rPr/>
        <w:fldChar w:fldCharType="begin"/>
      </w:r>
      <w:r>
        <w:rPr/>
        <w:instrText xml:space="preserve"> REF _Ref125359973 \r \h </w:instrText>
      </w:r>
      <w:r>
        <w:rPr/>
        <w:fldChar w:fldCharType="separate"/>
      </w:r>
      <w:r>
        <w:rPr/>
        <w:t>1.2</w:t>
      </w:r>
      <w:r>
        <w:rPr/>
        <w:fldChar w:fldCharType="end"/>
      </w:r>
      <w:r>
        <w:rPr/>
        <w:t xml:space="preserve"> предусмотрено проведение процедуры переторжки и соответствующие решение о проведении процедуры переторжки принято Закупочной комиссией.</w:t>
      </w:r>
    </w:p>
    <w:p>
      <w:pPr>
        <w:pStyle w:val="Style19"/>
        <w:spacing w:before="0" w:after="0"/>
        <w:rPr/>
      </w:pPr>
      <w:r>
        <w:rPr/>
        <w:t>Решение о проведении процедуры переторжки, а также ее предмете, сроках и форме ее проведения принимает Закупочная комиссия (и фиксирует в протоколе рассмотрения заявок). Переторжка может проводиться один или несколько раз (далее – многократная переторжка). Каждая процедура переторжки проводится на основании отдельного решения Закупочной комиссии, оформляемого соответствующим протоколом.</w:t>
      </w:r>
    </w:p>
    <w:p>
      <w:pPr>
        <w:pStyle w:val="Style19"/>
        <w:keepNext w:val="true"/>
        <w:spacing w:before="0" w:after="0"/>
        <w:rPr/>
      </w:pPr>
      <w:r>
        <w:rPr/>
        <w:t>Предметом переторжки могут являться следующие условия (или их сочетания), позволяющие повысить предпочтительность поданных заявок:</w:t>
      </w:r>
    </w:p>
    <w:p>
      <w:pPr>
        <w:pStyle w:val="Style20"/>
        <w:spacing w:before="120" w:after="0"/>
        <w:rPr/>
      </w:pPr>
      <w:r>
        <w:rPr/>
        <w:t>стоимость заявки (цена Договора) / цена за единицу продукции;</w:t>
      </w:r>
    </w:p>
    <w:p>
      <w:pPr>
        <w:pStyle w:val="Style20"/>
        <w:spacing w:before="0" w:after="0"/>
        <w:rPr/>
      </w:pPr>
      <w:r>
        <w:rPr/>
        <w:t>сроки поставки продукции;</w:t>
      </w:r>
    </w:p>
    <w:p>
      <w:pPr>
        <w:pStyle w:val="Style20"/>
        <w:spacing w:before="0" w:after="0"/>
        <w:rPr/>
      </w:pPr>
      <w:r>
        <w:rPr/>
        <w:t>условия оплаты;</w:t>
      </w:r>
    </w:p>
    <w:p>
      <w:pPr>
        <w:pStyle w:val="Style20"/>
        <w:spacing w:before="0" w:after="0"/>
        <w:rPr/>
      </w:pPr>
      <w:r>
        <w:rPr/>
        <w:t>иные условия, которые являются критериями оценки заявок.</w:t>
      </w:r>
    </w:p>
    <w:p>
      <w:pPr>
        <w:pStyle w:val="Style23"/>
        <w:ind w:left="1134"/>
        <w:rPr/>
      </w:pPr>
      <w:r>
        <w:rPr/>
        <w:t>При этом предметом переторжки не могут быть условия, которые не входят в состав критериев оценки в соответствии с Документацией о закупке.</w:t>
      </w:r>
    </w:p>
    <w:p>
      <w:pPr>
        <w:pStyle w:val="Style19"/>
        <w:spacing w:before="120" w:after="0"/>
        <w:rPr/>
      </w:pPr>
      <w:r>
        <w:rPr/>
        <w:t>При проведении переторжки по цене у Участника отсутствует обязанность предложить цену обязательно ниже цен иных Участников (т.е. данная процедура не является аукционом или его аналогом, поскольку каждый снижает свою собственную цену независимо от цен, заявленных другими Участниками).</w:t>
      </w:r>
    </w:p>
    <w:p>
      <w:pPr>
        <w:pStyle w:val="Style19"/>
        <w:spacing w:before="0" w:after="0"/>
        <w:rPr/>
      </w:pPr>
      <w:r>
        <w:rPr/>
        <w:t>В переторжке может принять участие любой Участник, заявка которого не была отклонена по результатам рассмотрения заявок.</w:t>
      </w:r>
    </w:p>
    <w:p>
      <w:pPr>
        <w:pStyle w:val="Style19"/>
        <w:spacing w:before="0" w:after="0"/>
        <w:rPr/>
      </w:pPr>
      <w:r>
        <w:rPr/>
        <w:t>Участник, допущенный к переторжке, вправе не принимать в ней участия, при этом его заявка не отклоняется и действует на предложенных в ней условиях в течение срока, указанного в Письме о подаче оферты (форма 2) (</w:t>
      </w:r>
      <w:hyperlink w:anchor="Прил04_ФормыЗаявки" w:tgtFrame="#Прил04_ФормыЗаявки">
        <w:r>
          <w:rPr>
            <w:color w:val="000000"/>
            <w:spacing w:val="0"/>
            <w:u w:val="single"/>
            <w:shd w:fill="auto" w:val="clear"/>
            <w:lang w:val="ru-RU"/>
          </w:rPr>
          <w:t>Приложение № 4</w:t>
        </w:r>
      </w:hyperlink>
      <w:r>
        <w:rPr/>
        <w:t>).</w:t>
      </w:r>
    </w:p>
    <w:p>
      <w:pPr>
        <w:pStyle w:val="Style19"/>
        <w:spacing w:before="0" w:after="0"/>
        <w:rPr/>
      </w:pPr>
      <w:r>
        <w:rPr/>
        <w:t>Предложения Участника по снижению предпочтительности заявки по соответствующему предмету переторжки, в том числе по повышению цены, не рассматриваются, такой Участник считается не участвовавшим в переторжке.</w:t>
      </w:r>
    </w:p>
    <w:p>
      <w:pPr>
        <w:pStyle w:val="Style19"/>
        <w:spacing w:before="0" w:after="0"/>
        <w:rPr/>
      </w:pPr>
      <w:r>
        <w:rPr/>
        <w:t>Изменение цены в сторону снижения, а также изменение иных условий заявки по соответствующему предмету переторжки, не должно повлечь за собой отклонения (в сторону ухудшения) от требований, условий Заказчика, описанных в Документации о закупке, коммерческих интересов Заказчика. При наличии таких отклонений заявка Участника рассматривается с ранее заявленными условиями.</w:t>
      </w:r>
    </w:p>
    <w:p>
      <w:pPr>
        <w:pStyle w:val="Style19"/>
        <w:spacing w:before="0" w:after="0"/>
        <w:rPr/>
      </w:pPr>
      <w:r>
        <w:rPr/>
        <w:t>Участник не вправе изменять и (или) отзывать поданные предложения на переторжку после окончания ее проведения.</w:t>
      </w:r>
    </w:p>
    <w:p>
      <w:pPr>
        <w:pStyle w:val="Style19"/>
        <w:spacing w:before="0" w:after="0"/>
        <w:rPr/>
      </w:pPr>
      <w:r>
        <w:rPr/>
        <w:t>Участие в переторжке не расценивается Организатором как нарушение требований о праве подачи Участником не более одной заявки. Предложения, заявленные Участниками в ходе переторжки, имеют статус разрешенных изменений в ранее поданную заявку.</w:t>
      </w:r>
    </w:p>
    <w:p>
      <w:pPr>
        <w:pStyle w:val="Style19"/>
        <w:spacing w:before="0" w:after="0"/>
        <w:rPr/>
      </w:pPr>
      <w:r>
        <w:rPr/>
        <w:t>Процедура переторжки проводится на ЭП в порядке, предусмотренном настоящим подразделом и Регламентом ЭП.</w:t>
      </w:r>
    </w:p>
    <w:p>
      <w:pPr>
        <w:pStyle w:val="Style19"/>
        <w:keepNext w:val="true"/>
        <w:spacing w:before="0" w:after="0"/>
        <w:rPr/>
      </w:pPr>
      <w:r>
        <w:rPr/>
        <w:t>В зависимости от правил, предусмотренных Регламентом ЭП, переторжка может проводиться:</w:t>
      </w:r>
    </w:p>
    <w:p>
      <w:pPr>
        <w:pStyle w:val="Style20"/>
        <w:spacing w:before="120" w:after="0"/>
        <w:rPr/>
      </w:pPr>
      <w:r>
        <w:rPr/>
        <w:t>в заочной форме путем однократной подачи предложения на переторжку к установленному сроку;</w:t>
      </w:r>
    </w:p>
    <w:p>
      <w:pPr>
        <w:pStyle w:val="Style20"/>
        <w:spacing w:before="0" w:after="0"/>
        <w:rPr/>
      </w:pPr>
      <w:r>
        <w:rPr/>
        <w:t>в очной форме путем неоднократного снижения стоимости заявки (цены Договора) или улучшения других показателей, в том числе с установлением «шага» переторжки.</w:t>
      </w:r>
    </w:p>
    <w:p>
      <w:pPr>
        <w:pStyle w:val="Style19"/>
        <w:spacing w:before="120" w:after="0"/>
        <w:rPr/>
      </w:pPr>
      <w:r>
        <w:rPr/>
        <w:t>Приглашение Участников к процедуре переторжки осуществляется посредством одновременного (в один день) направления им соответствующих уведомлений посредством ЭП. В уведомлении указывается срок окончания подачи Участниками предложений на переторжку.</w:t>
      </w:r>
    </w:p>
    <w:p>
      <w:pPr>
        <w:pStyle w:val="Style19"/>
        <w:spacing w:before="0" w:after="0"/>
        <w:rPr/>
      </w:pPr>
      <w:r>
        <w:rPr/>
        <w:t>Участник, желающий принять участие в переторжке, должен в срок, установленный Закупочной комиссией, предоставить свои предложения на переторжку.</w:t>
      </w:r>
    </w:p>
    <w:p>
      <w:pPr>
        <w:pStyle w:val="Style19"/>
        <w:spacing w:before="0" w:after="0"/>
        <w:rPr/>
      </w:pPr>
      <w:bookmarkStart w:id="165" w:name="_Ref136245191"/>
      <w:r>
        <w:rPr/>
        <w:t>При заочной форме переторжки Участник вместе с предложением на переторжку размещает на ЭП документы своей заявки, указанные в пункте </w:t>
      </w:r>
      <w:r>
        <w:rPr/>
        <w:fldChar w:fldCharType="begin"/>
      </w:r>
      <w:r>
        <w:rPr/>
        <w:instrText xml:space="preserve"> REF _Ref136244167 \r \h </w:instrText>
      </w:r>
      <w:r>
        <w:rPr/>
        <w:fldChar w:fldCharType="separate"/>
      </w:r>
      <w:r>
        <w:rPr/>
        <w:t>4.11.17</w:t>
      </w:r>
      <w:r>
        <w:rPr/>
        <w:fldChar w:fldCharType="end"/>
      </w:r>
      <w:r>
        <w:rPr/>
        <w:t>, подлежащие корректировке в строгом соответствии с предложением, заявленным им в ходе проведения переторжки.</w:t>
      </w:r>
      <w:bookmarkEnd w:id="165"/>
    </w:p>
    <w:p>
      <w:pPr>
        <w:pStyle w:val="Style19"/>
        <w:spacing w:before="0" w:after="0"/>
        <w:rPr/>
      </w:pPr>
      <w:r>
        <w:rPr/>
        <w:t>При очной форме переторжки Участник, признанный Победителем, при условии, что он принимал участие в переторжке, обязан предоставить Заказчику в сроки, определенные подразделом </w:t>
      </w:r>
      <w:r>
        <w:rPr/>
        <w:fldChar w:fldCharType="begin"/>
      </w:r>
      <w:r>
        <w:rPr/>
        <w:instrText xml:space="preserve"> REF _Ref138232981 \r \h </w:instrText>
      </w:r>
      <w:r>
        <w:rPr/>
        <w:fldChar w:fldCharType="separate"/>
      </w:r>
      <w:r>
        <w:rPr/>
        <w:t>5.2</w:t>
      </w:r>
      <w:r>
        <w:rPr/>
        <w:fldChar w:fldCharType="end"/>
      </w:r>
      <w:r>
        <w:rPr/>
        <w:t>, документы своей заявки, указанные в пункте </w:t>
      </w:r>
      <w:r>
        <w:rPr/>
        <w:fldChar w:fldCharType="begin"/>
      </w:r>
      <w:r>
        <w:rPr/>
        <w:instrText xml:space="preserve"> REF _Ref136244167 \r \h </w:instrText>
      </w:r>
      <w:r>
        <w:rPr/>
        <w:fldChar w:fldCharType="separate"/>
      </w:r>
      <w:r>
        <w:rPr/>
        <w:t>4.11.17</w:t>
      </w:r>
      <w:r>
        <w:rPr/>
        <w:fldChar w:fldCharType="end"/>
      </w:r>
      <w:r>
        <w:rPr/>
        <w:t>, подлежащие корректировке в строгом соответствии с предложением, заявленным им в ходе проведения переторжки (в том числе, последним по времени стоимостным предложением, заявленным в ходе проведения переторжки).</w:t>
      </w:r>
    </w:p>
    <w:p>
      <w:pPr>
        <w:pStyle w:val="Style19"/>
        <w:keepNext w:val="true"/>
        <w:spacing w:before="0" w:after="0"/>
        <w:rPr/>
      </w:pPr>
      <w:bookmarkStart w:id="166" w:name="_Ref136244167"/>
      <w:r>
        <w:rPr/>
        <w:t>Документы заявки, подлежащие корректировке по результатам переторжки:</w:t>
      </w:r>
      <w:bookmarkEnd w:id="166"/>
    </w:p>
    <w:p>
      <w:pPr>
        <w:pStyle w:val="Style20"/>
        <w:spacing w:before="120" w:after="0"/>
        <w:rPr/>
      </w:pPr>
      <w:r>
        <w:rPr/>
        <w:t>Письмо о подаче оферты (форма 2) (</w:t>
      </w:r>
      <w:hyperlink w:anchor="Прил04_ФормыЗаявки" w:tgtFrame="#Прил04_ФормыЗаявки">
        <w:r>
          <w:rPr>
            <w:color w:val="000000"/>
            <w:spacing w:val="0"/>
            <w:u w:val="single"/>
            <w:shd w:fill="auto" w:val="clear"/>
            <w:lang w:val="ru-RU"/>
          </w:rPr>
          <w:t>Приложение № 4</w:t>
        </w:r>
      </w:hyperlink>
      <w:r>
        <w:rPr/>
        <w:t>);</w:t>
      </w:r>
    </w:p>
    <w:p>
      <w:pPr>
        <w:pStyle w:val="Style20"/>
        <w:spacing w:before="0" w:after="0"/>
        <w:rPr/>
      </w:pPr>
      <w:r>
        <w:rPr/>
        <w:t>Коммерческое предложение (форма 3) (</w:t>
      </w:r>
      <w:hyperlink w:anchor="Прил04_ФормыЗаявки" w:tgtFrame="#Прил04_ФормыЗаявки">
        <w:r>
          <w:rPr>
            <w:color w:val="000000"/>
            <w:spacing w:val="0"/>
            <w:u w:val="single"/>
            <w:shd w:fill="auto" w:val="clear"/>
            <w:lang w:val="ru-RU"/>
          </w:rPr>
          <w:t>Приложение № 4</w:t>
        </w:r>
      </w:hyperlink>
      <w:r>
        <w:rPr/>
        <w:t xml:space="preserve">); также дополнительно предоставляется подтверждающая документация, составленная в соответствии с </w:t>
      </w:r>
      <w:hyperlink w:anchor="Прил01_ТехТребования" w:tgtFrame="#Прил01_ТехТребования">
        <w:r>
          <w:rPr>
            <w:color w:val="000000"/>
            <w:spacing w:val="0"/>
            <w:u w:val="single"/>
            <w:shd w:fill="auto" w:val="clear"/>
            <w:lang w:val="ru-RU"/>
          </w:rPr>
          <w:t>Техническими требованиями (Приложение № 1)</w:t>
        </w:r>
      </w:hyperlink>
      <w:r>
        <w:rPr/>
        <w:t xml:space="preserve"> – только если в Технических требованиях установлены требования к документации по ценообразованию (подраздел «Требования к документации по ценообразованию на этапе закупки»), либо аналогичные по смыслу;</w:t>
      </w:r>
    </w:p>
    <w:p>
      <w:pPr>
        <w:pStyle w:val="Style20"/>
        <w:spacing w:before="0" w:after="0"/>
        <w:rPr/>
      </w:pPr>
      <w:r>
        <w:rPr/>
        <w:t>План распределения объемов поставки продукции (форма 10) (</w:t>
      </w:r>
      <w:hyperlink w:anchor="Прил04_ФормыЗаявки" w:tgtFrame="#Прил04_ФормыЗаявки">
        <w:r>
          <w:rPr>
            <w:color w:val="000000"/>
            <w:spacing w:val="0"/>
            <w:u w:val="single"/>
            <w:shd w:fill="auto" w:val="clear"/>
            <w:lang w:val="ru-RU"/>
          </w:rPr>
          <w:t>Приложение № 4</w:t>
        </w:r>
      </w:hyperlink>
      <w:r>
        <w:rPr/>
        <w:t>) – только если заявка подана Коллективным участником или Генеральным подрядчиком;</w:t>
      </w:r>
    </w:p>
    <w:p>
      <w:pPr>
        <w:pStyle w:val="Style20"/>
        <w:spacing w:before="0" w:after="0"/>
        <w:rPr/>
      </w:pPr>
      <w:bookmarkStart w:id="167" w:name="_Ref130376111"/>
      <w:r>
        <w:rPr/>
        <w:t>иной документ, указанный в протоколе закупки (которым назначена переторжка), связанный с предметом проводимой переторжки.</w:t>
      </w:r>
      <w:bookmarkEnd w:id="167"/>
    </w:p>
    <w:p>
      <w:pPr>
        <w:pStyle w:val="Style19"/>
        <w:spacing w:before="120" w:after="0"/>
        <w:rPr/>
      </w:pPr>
      <w:r>
        <w:rPr/>
        <w:t>Если Участник, принявший участие в переторжке в заочной форме, не предоставил документы, в соответствии с пунктом </w:t>
      </w:r>
      <w:r>
        <w:rPr/>
        <w:fldChar w:fldCharType="begin"/>
      </w:r>
      <w:r>
        <w:rPr/>
        <w:instrText xml:space="preserve"> REF _Ref136245191 \r \h </w:instrText>
      </w:r>
      <w:r>
        <w:rPr/>
        <w:fldChar w:fldCharType="separate"/>
      </w:r>
      <w:r>
        <w:rPr/>
        <w:t>4.11.15</w:t>
      </w:r>
      <w:r>
        <w:rPr/>
        <w:fldChar w:fldCharType="end"/>
      </w:r>
      <w:r>
        <w:rPr/>
        <w:t>, либо не предоставил их в ответ на дополнительный запрос Организатора, он считается не участвовавшим в переторжке, и его заявка остается действующей с ранее (первоначально) заявленными условиями.</w:t>
      </w:r>
    </w:p>
    <w:p>
      <w:pPr>
        <w:pStyle w:val="Style19"/>
        <w:spacing w:before="0" w:after="0"/>
        <w:rPr/>
      </w:pPr>
      <w:r>
        <w:rPr/>
        <w:t>При наличии соответствующего решения Закупочной комиссии о допуске Участника к переторжке в заочной форме с отлагательным условием (например, при условии представления им недостающих ранее или уточняющих документов) и неисполнения Участником этого условия, Закупочная комиссия отклоняет заявку такого Участника после переторжки.</w:t>
      </w:r>
    </w:p>
    <w:p>
      <w:pPr>
        <w:pStyle w:val="Style19"/>
        <w:spacing w:before="0" w:after="0"/>
        <w:rPr/>
      </w:pPr>
      <w:r>
        <w:rPr/>
        <w:t>Результаты переторжки оформляются протоколом, который Организатор официально размещает в течение 3 (трех) календарных дней с даты проведения переторжки.</w:t>
      </w:r>
    </w:p>
    <w:p>
      <w:pPr>
        <w:pStyle w:val="Style18"/>
        <w:spacing w:before="360" w:after="0"/>
        <w:rPr/>
      </w:pPr>
      <w:bookmarkStart w:id="168" w:name="_Ref125362626"/>
      <w:bookmarkStart w:id="169" w:name="_Ref125365335"/>
      <w:bookmarkStart w:id="170" w:name="_Ref125365519"/>
      <w:bookmarkStart w:id="171" w:name="_Ref125366534"/>
      <w:bookmarkStart w:id="172" w:name="_Ref125369041"/>
      <w:bookmarkStart w:id="173" w:name="_Ref125369308"/>
      <w:bookmarkStart w:id="174" w:name="_Toc230928853"/>
      <w:r>
        <w:rPr/>
        <w:t>Оценка и сопоставление заявок</w:t>
      </w:r>
      <w:bookmarkEnd w:id="168"/>
      <w:bookmarkEnd w:id="169"/>
      <w:bookmarkEnd w:id="170"/>
      <w:bookmarkEnd w:id="171"/>
      <w:bookmarkEnd w:id="172"/>
      <w:bookmarkEnd w:id="173"/>
      <w:bookmarkEnd w:id="174"/>
    </w:p>
    <w:p>
      <w:pPr>
        <w:pStyle w:val="Style19"/>
        <w:spacing w:before="120" w:after="0"/>
        <w:rPr/>
      </w:pPr>
      <w:r>
        <w:rPr/>
        <w:t>Оценка и сопоставление заявок, признанных Закупочной комиссией соответствующими по результатам рассмотрения заявок (подраздел </w:t>
      </w:r>
      <w:r>
        <w:rPr/>
        <w:fldChar w:fldCharType="begin"/>
      </w:r>
      <w:r>
        <w:rPr/>
        <w:instrText xml:space="preserve"> REF _Ref125362364 \w \h </w:instrText>
      </w:r>
      <w:r>
        <w:rPr/>
        <w:fldChar w:fldCharType="separate"/>
      </w:r>
      <w:r>
        <w:rPr/>
        <w:t>4.9</w:t>
      </w:r>
      <w:r>
        <w:rPr/>
        <w:fldChar w:fldCharType="end"/>
      </w:r>
      <w:r>
        <w:rPr/>
        <w:t xml:space="preserve">), осуществляется в соответствии с </w:t>
      </w:r>
      <w:hyperlink w:anchor="Прил08_ПорядокОценки" w:tgtFrame="#Прил08_ПорядокОценки">
        <w:r>
          <w:rPr>
            <w:color w:val="000000"/>
            <w:spacing w:val="0"/>
            <w:u w:val="single"/>
            <w:shd w:fill="auto" w:val="clear"/>
            <w:lang w:val="ru-RU"/>
          </w:rPr>
          <w:t>Порядком и критериями оценки и сопоставления заявок (Приложение № 8)</w:t>
        </w:r>
      </w:hyperlink>
      <w:r>
        <w:rPr>
          <w:rStyle w:val="Style6"/>
        </w:rPr>
        <w:t>.</w:t>
      </w:r>
      <w:r>
        <w:rPr/>
        <w:t xml:space="preserve"> Их результатом является формирование ранжировки заявок по степени предпочтительности на основании полученного итогового балла (по мере уменьшения). При этом первое место в ранжировке присваивается заявке, получившей наибольший итоговый балл. Если по результатам оценки нескольким заявкам присвоен одинаковый итоговый балл, то меньший порядковый номер (более высокое место в ранжировке) присваивается заявке, которая поступила ранее других заявок (по дате и времени последнего изменения заявки на ЭП до окончания срока подачи заявок, а также если проводилась переторжка (подраздел </w:t>
      </w:r>
      <w:r>
        <w:rPr/>
        <w:fldChar w:fldCharType="begin"/>
      </w:r>
      <w:r>
        <w:rPr/>
        <w:instrText xml:space="preserve"> REF _Ref125362430 \r \h </w:instrText>
      </w:r>
      <w:r>
        <w:rPr/>
        <w:fldChar w:fldCharType="separate"/>
      </w:r>
      <w:r>
        <w:rPr/>
        <w:t>4.11</w:t>
      </w:r>
      <w:r>
        <w:rPr/>
        <w:fldChar w:fldCharType="end"/>
      </w:r>
      <w:r>
        <w:rPr/>
        <w:t>), с учетом даты и времени последнего изменения заявки на ЭП, обусловленного переторжкой).</w:t>
      </w:r>
    </w:p>
    <w:p>
      <w:pPr>
        <w:pStyle w:val="Style19"/>
        <w:spacing w:before="0" w:after="0"/>
        <w:rPr/>
      </w:pPr>
      <w:r>
        <w:rPr/>
        <w:t>Оценка и сопоставление заявок проводится только на основании представленных в составе заявки документов и сведений. Применение иного порядка и (или) критериев оценки и сопоставления заявок, кроме предусмотренных Документацией о закупке, не допускается.</w:t>
      </w:r>
    </w:p>
    <w:p>
      <w:pPr>
        <w:pStyle w:val="Style19"/>
        <w:spacing w:before="0" w:after="0"/>
        <w:rPr/>
      </w:pPr>
      <w:r>
        <w:rPr/>
        <w:t>Если проводилась переторжка, оценка и сопоставление заявок, а также их ранжировка осуществляются с учетом предложений, полученных по результатам переторжки (последней переторжки – если она проводилась многократно). Заявки Участников, не принявших участие в переторжке, учитываются при построении ранжировки заявок с первоначальными, указанными в их заявках предложениями (или с предложениями, принятыми Организатором в рамках последней прошедшей переторжки – если она проводилась многократно).</w:t>
      </w:r>
    </w:p>
    <w:p>
      <w:pPr>
        <w:pStyle w:val="Style19"/>
        <w:spacing w:before="0" w:after="0"/>
        <w:rPr/>
      </w:pPr>
      <w:r>
        <w:rPr/>
        <w:t>Оценка и сопоставление заявок, а также их ранжировка, осуществляется с учетом применения законодательства о национальном режиме, в т.ч. ПП 1875 (подраздел </w:t>
      </w:r>
      <w:r>
        <w:rPr/>
        <w:fldChar w:fldCharType="begin"/>
      </w:r>
      <w:r>
        <w:rPr/>
        <w:instrText xml:space="preserve"> REF _Ref130985951 \r \h </w:instrText>
      </w:r>
      <w:r>
        <w:rPr/>
        <w:fldChar w:fldCharType="separate"/>
      </w:r>
      <w:r>
        <w:rPr/>
        <w:t>4.13</w:t>
      </w:r>
      <w:r>
        <w:rPr/>
        <w:fldChar w:fldCharType="end"/>
      </w:r>
      <w:r>
        <w:rPr/>
        <w:t>).</w:t>
      </w:r>
    </w:p>
    <w:p>
      <w:pPr>
        <w:pStyle w:val="Style19"/>
        <w:spacing w:before="0" w:after="0"/>
        <w:rPr/>
      </w:pPr>
      <w:r>
        <w:rPr/>
        <w:t>Результаты оценки и сопоставления заявок вносятся в итоговый протокол по результатам закупки.</w:t>
      </w:r>
    </w:p>
    <w:p>
      <w:pPr>
        <w:pStyle w:val="Style18"/>
        <w:spacing w:before="360" w:after="0"/>
        <w:rPr/>
      </w:pPr>
      <w:bookmarkStart w:id="175" w:name="_Ref130458671"/>
      <w:bookmarkStart w:id="176" w:name="_Ref125370507"/>
      <w:bookmarkStart w:id="177" w:name="_Ref132894106"/>
      <w:bookmarkStart w:id="178" w:name="_Ref125369991"/>
      <w:bookmarkStart w:id="179" w:name="_Ref125366064"/>
      <w:bookmarkStart w:id="180" w:name="_Ref132894111"/>
      <w:bookmarkStart w:id="181" w:name="_Toc230928854"/>
      <w:bookmarkStart w:id="182" w:name="_Ref186213053"/>
      <w:bookmarkStart w:id="183" w:name="_Ref130985951"/>
      <w:r>
        <w:rPr/>
        <w:t>Применение законодательства о национальном режиме</w:t>
      </w:r>
      <w:bookmarkEnd w:id="175"/>
      <w:bookmarkEnd w:id="176"/>
      <w:bookmarkEnd w:id="177"/>
      <w:bookmarkEnd w:id="178"/>
      <w:bookmarkEnd w:id="179"/>
      <w:bookmarkEnd w:id="180"/>
      <w:bookmarkEnd w:id="181"/>
      <w:bookmarkEnd w:id="182"/>
      <w:bookmarkEnd w:id="183"/>
    </w:p>
    <w:p>
      <w:pPr>
        <w:pStyle w:val="Style19"/>
        <w:spacing w:before="120" w:after="0"/>
        <w:rPr/>
      </w:pPr>
      <w:r>
        <w:rPr/>
        <w:t>Настоящий подраздел применяется исходя из информации, установленной в подразделе </w:t>
      </w:r>
      <w:r>
        <w:rPr/>
        <w:fldChar w:fldCharType="begin"/>
      </w:r>
      <w:r>
        <w:rPr/>
        <w:instrText xml:space="preserve"> REF _Ref125359973 \r \h </w:instrText>
      </w:r>
      <w:r>
        <w:rPr/>
        <w:fldChar w:fldCharType="separate"/>
      </w:r>
      <w:r>
        <w:rPr/>
        <w:t>1.2</w:t>
      </w:r>
      <w:r>
        <w:rPr/>
        <w:fldChar w:fldCharType="end"/>
      </w:r>
      <w:r>
        <w:rPr/>
        <w:t>.</w:t>
      </w:r>
    </w:p>
    <w:p>
      <w:pPr>
        <w:pStyle w:val="Style19"/>
        <w:spacing w:before="0" w:after="0"/>
        <w:rPr/>
      </w:pPr>
      <w:bookmarkStart w:id="184" w:name="_Ref207280314"/>
      <w:r>
        <w:rPr/>
        <w:t>Если в подразделе </w:t>
      </w:r>
      <w:r>
        <w:rPr/>
        <w:fldChar w:fldCharType="begin"/>
      </w:r>
      <w:r>
        <w:rPr/>
        <w:instrText xml:space="preserve"> REF _Ref125359973 \r \h </w:instrText>
      </w:r>
      <w:r>
        <w:rPr/>
        <w:fldChar w:fldCharType="separate"/>
      </w:r>
      <w:r>
        <w:rPr/>
        <w:t>1.2</w:t>
      </w:r>
      <w:r>
        <w:rPr/>
        <w:fldChar w:fldCharType="end"/>
      </w:r>
      <w:r>
        <w:rPr/>
        <w:t xml:space="preserve"> установлен режим запрета закупки иностранной продукции, то не допускается заключение Договора на поставку такой продукции (на поставку товара иностранного происхождения / на оказание услуг иностранным лицом / на выполнение работ иностранным лицом) – соответствующая заявка отклоняется при рассмотрении заявок (подраздел </w:t>
      </w:r>
      <w:r>
        <w:rPr/>
        <w:fldChar w:fldCharType="begin"/>
      </w:r>
      <w:r>
        <w:rPr/>
        <w:instrText xml:space="preserve"> REF _Ref135749133 \r \h </w:instrText>
      </w:r>
      <w:r>
        <w:rPr/>
        <w:fldChar w:fldCharType="separate"/>
      </w:r>
      <w:r>
        <w:rPr/>
        <w:t>4.9</w:t>
      </w:r>
      <w:r>
        <w:rPr/>
        <w:fldChar w:fldCharType="end"/>
      </w:r>
      <w:r>
        <w:rPr/>
        <w:t>).</w:t>
      </w:r>
      <w:bookmarkEnd w:id="184"/>
    </w:p>
    <w:p>
      <w:pPr>
        <w:pStyle w:val="Style19"/>
        <w:spacing w:before="0" w:after="0"/>
        <w:rPr/>
      </w:pPr>
      <w:r>
        <w:rPr/>
        <w:t>Если в подразделе </w:t>
      </w:r>
      <w:r>
        <w:rPr/>
        <w:fldChar w:fldCharType="begin"/>
      </w:r>
      <w:r>
        <w:rPr/>
        <w:instrText xml:space="preserve"> REF _Ref125359973 \r \h </w:instrText>
      </w:r>
      <w:r>
        <w:rPr/>
        <w:fldChar w:fldCharType="separate"/>
      </w:r>
      <w:r>
        <w:rPr/>
        <w:t>1.2</w:t>
      </w:r>
      <w:r>
        <w:rPr/>
        <w:fldChar w:fldCharType="end"/>
      </w:r>
      <w:r>
        <w:rPr/>
        <w:t xml:space="preserve"> установлен режим ограничения закупки иностранной продукции, то не допускается заключение Договора на поставку такой продукции, если была подана и по результатам рассмотрения заявок допущена заявка с российской продукцией (на поставку товара российского происхождения / на оказание услуг российским лицом / на выполнение работ российским лицом), – соответствующая заявка отклоняется при рассмотрении заявок (подраздел </w:t>
      </w:r>
      <w:r>
        <w:rPr/>
        <w:fldChar w:fldCharType="begin"/>
      </w:r>
      <w:r>
        <w:rPr/>
        <w:instrText xml:space="preserve"> REF _Ref135749133 \r \h </w:instrText>
      </w:r>
      <w:r>
        <w:rPr/>
        <w:fldChar w:fldCharType="separate"/>
      </w:r>
      <w:r>
        <w:rPr/>
        <w:t>4.9</w:t>
      </w:r>
      <w:r>
        <w:rPr/>
        <w:fldChar w:fldCharType="end"/>
      </w:r>
      <w:r>
        <w:rPr/>
        <w:t>).</w:t>
      </w:r>
    </w:p>
    <w:p>
      <w:pPr>
        <w:pStyle w:val="Style19"/>
        <w:spacing w:before="0" w:after="0"/>
        <w:rPr/>
      </w:pPr>
      <w:r>
        <w:rPr/>
        <w:t>Если в подразделе </w:t>
      </w:r>
      <w:r>
        <w:rPr/>
        <w:fldChar w:fldCharType="begin"/>
      </w:r>
      <w:r>
        <w:rPr/>
        <w:instrText xml:space="preserve"> REF _Ref125359973 \r \h </w:instrText>
      </w:r>
      <w:r>
        <w:rPr/>
        <w:fldChar w:fldCharType="separate"/>
      </w:r>
      <w:r>
        <w:rPr/>
        <w:t>1.2</w:t>
      </w:r>
      <w:r>
        <w:rPr/>
        <w:fldChar w:fldCharType="end"/>
      </w:r>
      <w:r>
        <w:rPr/>
        <w:t xml:space="preserve"> установлен режим преимущества российской продукции, то при оценке и сопоставлении заявок, а также их ранжировке (подраздел </w:t>
      </w:r>
      <w:r>
        <w:rPr/>
        <w:fldChar w:fldCharType="begin"/>
      </w:r>
      <w:r>
        <w:rPr/>
        <w:instrText xml:space="preserve"> REF _Ref125362626 \r \h </w:instrText>
      </w:r>
      <w:r>
        <w:rPr/>
        <w:fldChar w:fldCharType="separate"/>
      </w:r>
      <w:r>
        <w:rPr/>
        <w:t>4.12</w:t>
      </w:r>
      <w:r>
        <w:rPr/>
        <w:fldChar w:fldCharType="end"/>
      </w:r>
      <w:r>
        <w:rPr/>
        <w:t>), осуществляется снижение</w:t>
      </w:r>
      <w:r>
        <w:rPr>
          <w:rStyle w:val="FootnoteReference"/>
        </w:rPr>
        <w:footnoteReference w:id="9"/>
      </w:r>
      <w:r>
        <w:rPr/>
        <w:t xml:space="preserve"> на 15% (пятнадцать процентов) итоговой стоимости заявки (цены Договора), поданной и допущенной заявки с российской продукцией (на поставку товара российского происхождения </w:t>
      </w:r>
      <w:bookmarkStart w:id="185" w:name="_Hlk198901350"/>
      <w:r>
        <w:rPr/>
        <w:t>(в том числе поставляемых при выполнении закупаемых работ, оказании закупаемых услуг))</w:t>
      </w:r>
      <w:bookmarkEnd w:id="185"/>
      <w:r>
        <w:rPr/>
        <w:t>, при условии наличия допущенной заявки с иностранной продукцией (на поставку товара иностранного происхождения).</w:t>
      </w:r>
    </w:p>
    <w:p>
      <w:pPr>
        <w:pStyle w:val="Style19"/>
        <w:spacing w:before="0" w:after="0"/>
        <w:rPr/>
      </w:pPr>
      <w:bookmarkStart w:id="186" w:name="_Ref192700787"/>
      <w:bookmarkStart w:id="187" w:name="_Ref196303561"/>
      <w:r>
        <w:rPr/>
        <w:t>Если в подразделе </w:t>
      </w:r>
      <w:r>
        <w:rPr/>
        <w:fldChar w:fldCharType="begin"/>
      </w:r>
      <w:r>
        <w:rPr/>
        <w:instrText xml:space="preserve"> REF _Ref125359973 \r \h </w:instrText>
      </w:r>
      <w:r>
        <w:rPr/>
        <w:fldChar w:fldCharType="separate"/>
      </w:r>
      <w:r>
        <w:rPr/>
        <w:t>1.2</w:t>
      </w:r>
      <w:r>
        <w:rPr/>
        <w:fldChar w:fldCharType="end"/>
      </w:r>
      <w:r>
        <w:rPr/>
        <w:t xml:space="preserve"> установлено, что Заказчик исполняет нормы в части минимальной обязательной доли закупок товаров российского происхождения, то не допускается заключение Договора на поставку товара иностранного происхождения, – соответствующая заявка отклоняется при рассмотрении заявок (подраздел </w:t>
      </w:r>
      <w:r>
        <w:rPr/>
        <w:fldChar w:fldCharType="begin"/>
      </w:r>
      <w:r>
        <w:rPr/>
        <w:instrText xml:space="preserve"> REF _Ref135749133 \r \h </w:instrText>
      </w:r>
      <w:r>
        <w:rPr/>
        <w:fldChar w:fldCharType="separate"/>
      </w:r>
      <w:r>
        <w:rPr/>
        <w:t>4.9</w:t>
      </w:r>
      <w:r>
        <w:rPr/>
        <w:fldChar w:fldCharType="end"/>
      </w:r>
      <w:r>
        <w:rPr/>
        <w:t>).</w:t>
      </w:r>
      <w:bookmarkEnd w:id="186"/>
      <w:bookmarkEnd w:id="187"/>
    </w:p>
    <w:p>
      <w:pPr>
        <w:pStyle w:val="Style19"/>
        <w:spacing w:before="0" w:after="0"/>
        <w:rPr/>
      </w:pPr>
      <w:r>
        <w:rPr/>
        <w:t>Состав и требования к сведениям и (или) перечню документов (их предоставлению Участником), которые подтверждают страну происхождения товара (страны ЕАЭС, включая Россию), в целях выполнения требований законодательства о национальном режиме (пункты </w:t>
      </w:r>
      <w:r>
        <w:rPr/>
        <w:fldChar w:fldCharType="begin"/>
      </w:r>
      <w:r>
        <w:rPr/>
        <w:instrText xml:space="preserve"> REF _Ref207280314 \r \h </w:instrText>
      </w:r>
      <w:r>
        <w:rPr/>
        <w:fldChar w:fldCharType="separate"/>
      </w:r>
      <w:r>
        <w:rPr/>
        <w:t>4.13.2</w:t>
      </w:r>
      <w:r>
        <w:rPr/>
        <w:fldChar w:fldCharType="end"/>
      </w:r>
      <w:r>
        <w:rPr/>
        <w:t xml:space="preserve"> – </w:t>
      </w:r>
      <w:r>
        <w:rPr/>
        <w:fldChar w:fldCharType="begin"/>
      </w:r>
      <w:r>
        <w:rPr/>
        <w:instrText xml:space="preserve"> REF _Ref192700787 \r \h </w:instrText>
      </w:r>
      <w:r>
        <w:rPr/>
        <w:fldChar w:fldCharType="separate"/>
      </w:r>
      <w:r>
        <w:rPr/>
        <w:t>4.13.5</w:t>
      </w:r>
      <w:r>
        <w:rPr/>
        <w:fldChar w:fldCharType="end"/>
      </w:r>
      <w:r>
        <w:rPr/>
        <w:t>), установлены в Структуре НМЦ (в составе Коммерческого предложения (форма 3) (</w:t>
      </w:r>
      <w:hyperlink w:anchor="Прил04_ФормыЗаявки" w:tgtFrame="#Прил04_ФормыЗаявки">
        <w:r>
          <w:rPr>
            <w:color w:val="000000"/>
            <w:spacing w:val="0"/>
            <w:u w:val="single"/>
            <w:shd w:fill="auto" w:val="clear"/>
            <w:lang w:val="ru-RU"/>
          </w:rPr>
          <w:t>Приложение № 4</w:t>
        </w:r>
      </w:hyperlink>
      <w:r>
        <w:rPr/>
        <w:t>), а также в Технических требованиях (Приложение №1) в части установления требований к подтверждающим документам.</w:t>
      </w:r>
    </w:p>
    <w:p>
      <w:pPr>
        <w:pStyle w:val="Style19"/>
        <w:keepNext w:val="true"/>
        <w:spacing w:before="0" w:after="0"/>
        <w:rPr/>
      </w:pPr>
      <w:r>
        <w:rPr/>
        <w:t>Товар приравнивается к товарам, происходящим из иностранного государства (не являющегося государством – членом ЕАЭС), если:</w:t>
      </w:r>
    </w:p>
    <w:p>
      <w:pPr>
        <w:pStyle w:val="Style20"/>
        <w:spacing w:before="120" w:after="0"/>
        <w:rPr/>
      </w:pPr>
      <w:r>
        <w:rPr/>
        <w:t>в отношении такого товара Участником не предоставлены в составе заявки требуемые Документацией о закупке подтверждающие сведения и (или) документы;</w:t>
      </w:r>
    </w:p>
    <w:p>
      <w:pPr>
        <w:pStyle w:val="Style20"/>
        <w:spacing w:before="0" w:after="0"/>
        <w:rPr/>
      </w:pPr>
      <w:r>
        <w:rPr/>
        <w:t>в соответствии с реестровой записью из реестра российской промышленной продукции количество указанных баллов за выполнение (освоение) на территории Российской Федерации соответствующих операций (условий) составляет меньшее значение по отношению к количеству баллов, определенных ПП 719 (в случае, если для такого товара ПП 719 установлены требования о совокупном количестве баллов).</w:t>
      </w:r>
    </w:p>
    <w:p>
      <w:pPr>
        <w:pStyle w:val="Style19"/>
        <w:spacing w:before="120" w:after="0"/>
        <w:rPr/>
      </w:pPr>
      <w:r>
        <w:rPr/>
        <w:t>Если в подразделе </w:t>
      </w:r>
      <w:r>
        <w:rPr/>
        <w:fldChar w:fldCharType="begin"/>
      </w:r>
      <w:r>
        <w:rPr/>
        <w:instrText xml:space="preserve"> REF _Ref125359973 \r \h </w:instrText>
      </w:r>
      <w:r>
        <w:rPr/>
        <w:fldChar w:fldCharType="separate"/>
      </w:r>
      <w:r>
        <w:rPr/>
        <w:t>1.2</w:t>
      </w:r>
      <w:r>
        <w:rPr/>
        <w:fldChar w:fldCharType="end"/>
      </w:r>
      <w:r>
        <w:rPr/>
        <w:t xml:space="preserve"> установлен режим запрета закупки иностранной продукции (в отношении позиции № 146 приложения № 1 к ПП 1875), то заявка, содержащая предложение о поставке российского программного обеспечения, реестровая запись о котором в реестре российского программного обеспечения или реестре евразийского программного обеспечения не содержит информацию о соответствии предлагаемого программного обеспечения дополнительным требованиям к программному обеспечению в соответствии с ПП 325, приравнивается к заявке, содержащей предложение о поставке программного обеспечения, происходящего из иностранного государства (не являющегося государством – членом ЕАЭС), если на участие в закупке подана заявка (соответствующая установленным Документацией о закупке требованиям), содержащая предложение о поставке программного обеспечения, реестровая запись о котором в реестре российского программного обеспечения или реестре евразийского программного обеспечения содержит информацию о соответствии предлагаемого программного обеспечения дополнительным требованиям к программному обеспечению в соответствии с ПП 325.</w:t>
      </w:r>
    </w:p>
    <w:p>
      <w:pPr>
        <w:pStyle w:val="Style19"/>
        <w:spacing w:before="0" w:after="0"/>
        <w:rPr/>
      </w:pPr>
      <w:r>
        <w:rPr/>
        <w:t>Если в подразделе </w:t>
      </w:r>
      <w:r>
        <w:rPr/>
        <w:fldChar w:fldCharType="begin"/>
      </w:r>
      <w:r>
        <w:rPr/>
        <w:instrText xml:space="preserve"> REF _Ref125359973 \r \h </w:instrText>
      </w:r>
      <w:r>
        <w:rPr/>
        <w:fldChar w:fldCharType="separate"/>
      </w:r>
      <w:r>
        <w:rPr/>
        <w:t>1.2</w:t>
      </w:r>
      <w:r>
        <w:rPr/>
        <w:fldChar w:fldCharType="end"/>
      </w:r>
      <w:r>
        <w:rPr/>
        <w:t xml:space="preserve"> установлен режим ограничения закупки иностранной продукции (в отношении позиций №№ 195, 197 – 199, 203 приложения № 2 к ПП 1875), то заявка, содержащая предложение о поставке российской радиоэлектронной продукции, но не являющейся в соответствии с ПП 719 радиоэлектронной продукцией первого уровня, приравнивается к заявке, содержащей предложение о поставке радиоэлектронной продукции из иностранного государства (не являющегося государством – членом ЕАЭС), если на участие в закупке подана заявка (соответствующая установленным Документацией о закупке требованиям), содержащая предложение о поставке радиоэлектронной продукции российского происхождения, являющейся в соответствии с ПП 719 радиоэлектронной продукцией первого уровня.</w:t>
      </w:r>
    </w:p>
    <w:p>
      <w:pPr>
        <w:pStyle w:val="Style19"/>
        <w:spacing w:before="0" w:after="0"/>
        <w:rPr/>
      </w:pPr>
      <w:bookmarkStart w:id="188" w:name="_Hlk191561456"/>
      <w:r>
        <w:rPr/>
        <w:t>Если Договор был заключен по результатам закупки, в которой был установлен режим запрета закупки иностранных товаров, выполнения работ и (или) оказания услуг иностранным лицом, то не допускается при исполнении такого Договора: замена закупаемого товара на товар, происходящий из иностранного государства, в отношении которого в закупке был установлен запрет; перемена подрядчика (исполнителя) (в случае, если эта перемена допускается гражданским законодательством), с которым заключен указанный Договор, на иностранное лицо, которое зарегистрировано на территории иностранного государства, в отношении которого установлен данный запрет</w:t>
      </w:r>
      <w:bookmarkEnd w:id="188"/>
      <w:r>
        <w:rPr/>
        <w:t>.</w:t>
      </w:r>
    </w:p>
    <w:p>
      <w:pPr>
        <w:pStyle w:val="Style19"/>
        <w:spacing w:before="0" w:after="0"/>
        <w:rPr/>
      </w:pPr>
      <w:r>
        <w:rPr/>
        <w:t>Если Договор был заключен по результатам закупки, в которой был установлен режим ограничения закупки иностранных товаров, то не допускается при исполнении такого Договора замена закупаемого товара на товар, происходящий из иностранного государства, в отношении которого в закупке было установлено ограничение, если Договор предусматривает поставку товара российского происхождения.</w:t>
      </w:r>
    </w:p>
    <w:p>
      <w:pPr>
        <w:pStyle w:val="Style19"/>
        <w:spacing w:before="0" w:after="0"/>
        <w:rPr/>
      </w:pPr>
      <w:r>
        <w:rPr/>
        <w:t>Если Договор был заключен по результатам закупки, в которой был установлен режим преимущество в отношении товара российского происхождения, то не допускается при исполнении такого Договора замена закупаемого товара на товар, происходящий из иностранного государства, в отношении которого в закупке было установлено преимущество, если Договор предусматривает поставку товара российского происхождения.</w:t>
      </w:r>
    </w:p>
    <w:p>
      <w:pPr>
        <w:pStyle w:val="Style18"/>
        <w:spacing w:before="360" w:after="0"/>
        <w:rPr/>
      </w:pPr>
      <w:bookmarkStart w:id="189" w:name="_Ref125362658"/>
      <w:bookmarkStart w:id="190" w:name="_Ref125366091"/>
      <w:bookmarkStart w:id="191" w:name="_Ref125367242"/>
      <w:bookmarkStart w:id="192" w:name="_Toc230928855"/>
      <w:r>
        <w:rPr/>
        <w:t>Подведение итогов закупки (определение Победителя)</w:t>
      </w:r>
      <w:bookmarkEnd w:id="189"/>
      <w:bookmarkEnd w:id="190"/>
      <w:bookmarkEnd w:id="191"/>
      <w:bookmarkEnd w:id="192"/>
    </w:p>
    <w:p>
      <w:pPr>
        <w:pStyle w:val="Style19"/>
        <w:spacing w:before="120" w:after="0"/>
        <w:rPr/>
      </w:pPr>
      <w:r>
        <w:rPr/>
        <w:t>Дата окончания срока подведения итогов закупки указана в подразделе </w:t>
      </w:r>
      <w:r>
        <w:rPr/>
        <w:fldChar w:fldCharType="begin"/>
      </w:r>
      <w:r>
        <w:rPr/>
        <w:instrText xml:space="preserve"> REF _Ref125359973 \r \h </w:instrText>
      </w:r>
      <w:r>
        <w:rPr/>
        <w:fldChar w:fldCharType="separate"/>
      </w:r>
      <w:r>
        <w:rPr/>
        <w:t>1.2</w:t>
      </w:r>
      <w:r>
        <w:rPr/>
        <w:fldChar w:fldCharType="end"/>
      </w:r>
      <w:r>
        <w:rPr/>
        <w:t>. Организатор по согласованию с Заказчиком вправе, при необходимости, изменить данный срок, официально разместив информацию об этом.</w:t>
      </w:r>
    </w:p>
    <w:p>
      <w:pPr>
        <w:pStyle w:val="Style19"/>
        <w:spacing w:before="0" w:after="0"/>
        <w:rPr/>
      </w:pPr>
      <w:r>
        <w:rPr/>
        <w:t>На основании полученных результатов оценки и сопоставления заявок Организатор подводит итоги закупки. Победителем закупки признается Участник, заявка которого заняла 1 (первое) место в ранжировке заявок по итогам рассмотрения, оценки и сопоставления заявок.</w:t>
      </w:r>
    </w:p>
    <w:p>
      <w:pPr>
        <w:pStyle w:val="Style19"/>
        <w:spacing w:before="0" w:after="0"/>
        <w:rPr/>
      </w:pPr>
      <w:r>
        <w:rPr/>
        <w:t>Перед окончательным определением Победителя Организатор вправе потребовать от Участника, занявшего верхнее место в ранжировке, прохождения процедуры постквалификации. В рамках постквалификации Организатор вправе запросить у Участника предоставление документов и (или) информации, подтверждающих представленные в заявке сведения, а также провести дополнительную проверку достоверности представленных документов и информации. Постквалификация проводится по отборочным критериям (</w:t>
      </w:r>
      <w:hyperlink w:anchor="Прил07_ОтборочныеКритерии" w:tgtFrame="#Прил07_ОтборочныеКритерии">
        <w:r>
          <w:rPr>
            <w:color w:val="000000"/>
            <w:spacing w:val="0"/>
            <w:u w:val="single"/>
            <w:shd w:fill="auto" w:val="clear"/>
            <w:lang w:val="ru-RU"/>
          </w:rPr>
          <w:t>Приложение № 7</w:t>
        </w:r>
      </w:hyperlink>
      <w:r>
        <w:rPr/>
        <w:t>), относящимся к соответствию Участника установленным требованиям Документации о закупке. Заявка Участника, не отвечающего необходимым требованиям, отклоняется, при этом Организатор вправе продолжить процедуру проверки в отношении Участника, занявшего следующее место в ранжировке.</w:t>
      </w:r>
    </w:p>
    <w:p>
      <w:pPr>
        <w:pStyle w:val="Style19"/>
        <w:spacing w:before="0" w:after="0"/>
        <w:rPr/>
      </w:pPr>
      <w:r>
        <w:rPr/>
        <w:t>Если к моменту подведения итогов закупки с выбором в качестве Победителя ранее аккредитованного Участника прошло более 6 (шести) календарных месяцев с даты присвоения ему статуса «аккредитован» / «аккредитация не требуется», перед окончательным определением Победителя проводится процедура актуализации статуса аккредитации данного Участника. Если по результатам такой проверки Участнику присвоен статус «не аккредитован», его заявка отклоняется, а Закупочная комиссия имеет право выбрать в качестве Победителя иного Участника, занявшего следующее после него место в ранжировке заявок, из числа остальных действующих заявок (при наличии у него актуального статуса аккредитации).</w:t>
      </w:r>
    </w:p>
    <w:p>
      <w:pPr>
        <w:pStyle w:val="Style19"/>
        <w:keepNext w:val="true"/>
        <w:spacing w:before="0" w:after="0"/>
        <w:rPr/>
      </w:pPr>
      <w:bookmarkStart w:id="193" w:name="_Ref125365974"/>
      <w:r>
        <w:rPr/>
        <w:t>Решение Закупочной комиссии по определению Победителя оформляется итоговым протоколом по результатам закупки, в котором, как минимум, указываются</w:t>
      </w:r>
      <w:r>
        <w:rPr>
          <w:rStyle w:val="FootnoteReference"/>
        </w:rPr>
        <w:footnoteReference w:id="10"/>
      </w:r>
      <w:r>
        <w:rPr/>
        <w:t>:</w:t>
      </w:r>
      <w:bookmarkEnd w:id="193"/>
    </w:p>
    <w:p>
      <w:pPr>
        <w:pStyle w:val="Style20"/>
        <w:spacing w:before="120" w:after="0"/>
        <w:rPr/>
      </w:pPr>
      <w:r>
        <w:rPr/>
        <w:t>дата подписания протокола;</w:t>
      </w:r>
    </w:p>
    <w:p>
      <w:pPr>
        <w:pStyle w:val="Style20"/>
        <w:spacing w:before="0" w:after="0"/>
        <w:rPr/>
      </w:pPr>
      <w:r>
        <w:rPr/>
        <w:t>общее количество поступивших заявок, а также дата и время регистрации каждой заявки (по факту последнего изменения заявки до окончания срока подачи заявок);</w:t>
      </w:r>
    </w:p>
    <w:p>
      <w:pPr>
        <w:pStyle w:val="Style20"/>
        <w:spacing w:before="0" w:after="0"/>
        <w:rPr/>
      </w:pPr>
      <w:r>
        <w:rPr/>
        <w:t>наименования Участников, заявки которых были допущены по результатам рассмотрения заявок, и (или) их идентификационные номера, присваиваемые Оператором ЭП;</w:t>
      </w:r>
    </w:p>
    <w:p>
      <w:pPr>
        <w:pStyle w:val="Style20"/>
        <w:keepNext w:val="true"/>
        <w:spacing w:before="0" w:after="0"/>
        <w:rPr/>
      </w:pPr>
      <w:r>
        <w:rPr/>
        <w:t>результаты дополнительного рассмотрения заявок (при возникновении оснований для отклонения заявок по результатам проведения постквалификации или актуализации статуса аккредитации, если такие процедуры проводились) с указанием, в том числе:</w:t>
      </w:r>
    </w:p>
    <w:p>
      <w:pPr>
        <w:pStyle w:val="Style21"/>
        <w:spacing w:before="120" w:after="0"/>
        <w:rPr/>
      </w:pPr>
      <w:r>
        <w:rPr/>
        <w:t>количества заявок, которые были отклонены;</w:t>
      </w:r>
    </w:p>
    <w:p>
      <w:pPr>
        <w:pStyle w:val="Style21"/>
        <w:spacing w:before="0" w:after="0"/>
        <w:rPr/>
      </w:pPr>
      <w:r>
        <w:rPr/>
        <w:t>оснований отклонения каждой заявки с указанием положений Документации о закупке, которым не соответствует такая заявка;</w:t>
      </w:r>
    </w:p>
    <w:p>
      <w:pPr>
        <w:pStyle w:val="Style20"/>
        <w:spacing w:before="120" w:after="0"/>
        <w:rPr/>
      </w:pPr>
      <w:r>
        <w:rPr/>
        <w:t>результаты оценки и сопоставления заявок с указанием, в том числе значения (в баллах), присвоенного каждой заявке по каждому из предусмотренных критериев оценки, установленных в Документации о закупке;</w:t>
      </w:r>
    </w:p>
    <w:p>
      <w:pPr>
        <w:pStyle w:val="Style20"/>
        <w:spacing w:before="0" w:after="0"/>
        <w:rPr/>
      </w:pPr>
      <w:bookmarkStart w:id="194" w:name="_Hlk149651367"/>
      <w:r>
        <w:rPr/>
        <w:t>порядковые номера каждой заявки (с указанием стоимостей заявок (цен Договоров), допущенной по результатам рассмотрения заявок, в том числе с учетом результатов актуализации статуса аккредитации и проведения переторжки (если указанные процедуры проводились), в ранжировке заявок;</w:t>
      </w:r>
      <w:bookmarkEnd w:id="194"/>
    </w:p>
    <w:p>
      <w:pPr>
        <w:pStyle w:val="Style20"/>
        <w:spacing w:before="0" w:after="0"/>
        <w:rPr/>
      </w:pPr>
      <w:r>
        <w:rPr/>
        <w:t>наименование Победителя закупки или Единственного участника несостоявшейся закупки, с которым планируется заключить Договор;</w:t>
      </w:r>
    </w:p>
    <w:p>
      <w:pPr>
        <w:pStyle w:val="Style20"/>
        <w:spacing w:before="0" w:after="0"/>
        <w:rPr/>
      </w:pPr>
      <w:r>
        <w:rPr/>
        <w:t>причины, по которым закупка признана несостоявшейся (в случае ее признания таковой),</w:t>
      </w:r>
    </w:p>
    <w:p>
      <w:pPr>
        <w:pStyle w:val="Style23"/>
        <w:ind w:left="1134"/>
        <w:rPr/>
      </w:pPr>
      <w:r>
        <w:rPr/>
        <w:t>после чего Организатор официально размещает его в течение 3 (трех) календарных дней с даты подписания такого протокола.</w:t>
      </w:r>
    </w:p>
    <w:p>
      <w:pPr>
        <w:pStyle w:val="Style19"/>
        <w:spacing w:before="120" w:after="0"/>
        <w:rPr/>
      </w:pPr>
      <w:r>
        <w:rPr/>
        <w:t>Победитель дополнительно уведомляется о результатах проводимой закупки с использованием ЭП – уведомление направляется Оператором ЭП согласно Регламенту ЭП.</w:t>
      </w:r>
    </w:p>
    <w:p>
      <w:pPr>
        <w:pStyle w:val="Style19"/>
        <w:spacing w:before="0" w:after="0"/>
        <w:rPr/>
      </w:pPr>
      <w:r>
        <w:rPr/>
        <w:t>Если между официальным размещением итогового протокола по результатам закупки и подписанием Договора изменится Победитель (например, вследствие уклонения Победителя или потери им статуса), информация о новом Победителе официально размещается Организатором в том же порядке.</w:t>
      </w:r>
    </w:p>
    <w:p>
      <w:pPr>
        <w:pStyle w:val="Style18"/>
        <w:spacing w:before="360" w:after="0"/>
        <w:rPr/>
      </w:pPr>
      <w:bookmarkStart w:id="195" w:name="_Ref125364149"/>
      <w:bookmarkStart w:id="196" w:name="_Ref125364187"/>
      <w:bookmarkStart w:id="197" w:name="_Ref125365305"/>
      <w:bookmarkStart w:id="198" w:name="_Ref125365570"/>
      <w:bookmarkStart w:id="199" w:name="_Ref125366631"/>
      <w:bookmarkStart w:id="200" w:name="_Ref125366796"/>
      <w:bookmarkStart w:id="201" w:name="_Toc230928856"/>
      <w:r>
        <w:rPr/>
        <w:t>Признание закупки несостоявшейся</w:t>
      </w:r>
      <w:bookmarkEnd w:id="195"/>
      <w:bookmarkEnd w:id="196"/>
      <w:bookmarkEnd w:id="197"/>
      <w:bookmarkEnd w:id="198"/>
      <w:bookmarkEnd w:id="199"/>
      <w:bookmarkEnd w:id="200"/>
      <w:bookmarkEnd w:id="201"/>
    </w:p>
    <w:p>
      <w:pPr>
        <w:pStyle w:val="Style19"/>
        <w:keepNext w:val="true"/>
        <w:spacing w:before="120" w:after="0"/>
        <w:rPr/>
      </w:pPr>
      <w:r>
        <w:rPr/>
        <w:t>Закупка признается несостоявшейся в следующих случаях:</w:t>
      </w:r>
    </w:p>
    <w:p>
      <w:pPr>
        <w:pStyle w:val="Style20"/>
        <w:spacing w:before="120" w:after="0"/>
        <w:rPr/>
      </w:pPr>
      <w:r>
        <w:rPr/>
        <w:t>если по окончанию срока подачи заявок поступило менее 2 (двух) заявок (с учетом возможных отзывов заявок);</w:t>
      </w:r>
    </w:p>
    <w:p>
      <w:pPr>
        <w:pStyle w:val="Style20"/>
        <w:spacing w:before="0" w:after="0"/>
        <w:rPr/>
      </w:pPr>
      <w:r>
        <w:rPr/>
        <w:t>по результатам рассмотрения заявок Закупочной комиссией принято решение о признании менее 2 (двух) заявок соответствующими требованиям Документации о закупки;</w:t>
      </w:r>
    </w:p>
    <w:p>
      <w:pPr>
        <w:pStyle w:val="Style20"/>
        <w:spacing w:before="0" w:after="0"/>
        <w:rPr/>
      </w:pPr>
      <w:r>
        <w:rPr/>
        <w:t xml:space="preserve">по результатам проведения закупки от заключения договора уклонились все допущенные Участники (подраздел </w:t>
      </w:r>
      <w:r>
        <w:rPr/>
        <w:fldChar w:fldCharType="begin"/>
      </w:r>
      <w:r>
        <w:rPr/>
        <w:instrText xml:space="preserve"> REF _Ref125367068 \r \h </w:instrText>
      </w:r>
      <w:r>
        <w:rPr/>
        <w:fldChar w:fldCharType="separate"/>
      </w:r>
      <w:r>
        <w:rPr/>
        <w:t>5.4</w:t>
      </w:r>
      <w:r>
        <w:rPr/>
        <w:fldChar w:fldCharType="end"/>
      </w:r>
      <w:r>
        <w:rPr/>
        <w:t>).</w:t>
      </w:r>
    </w:p>
    <w:p>
      <w:pPr>
        <w:pStyle w:val="Style19"/>
        <w:spacing w:before="120" w:after="0"/>
        <w:rPr/>
      </w:pPr>
      <w:r>
        <w:rPr/>
        <w:t>Указанные обстоятельства в случае их наступления фиксируются в соответствующем протоколе, оформляемом по результатам проведения закупки (или ее этапа).</w:t>
      </w:r>
    </w:p>
    <w:p>
      <w:pPr>
        <w:pStyle w:val="Style19"/>
        <w:keepNext w:val="true"/>
        <w:spacing w:before="0" w:after="0"/>
        <w:rPr/>
      </w:pPr>
      <w:r>
        <w:rPr/>
        <w:t>В случае признания закупки несостоявшейся (с учетом условий, предусмотренных Положением о закупке):</w:t>
      </w:r>
    </w:p>
    <w:p>
      <w:pPr>
        <w:pStyle w:val="Style20"/>
        <w:rPr/>
      </w:pPr>
      <w:r>
        <w:rPr/>
        <w:t>если поступила только 1 (одна) заявка от одного Участника (с учетом отозванных Участниками заявок), либо по результатам рассмотрения заявок (или постквалификации, если проводилась) принято решение о признании только 1 (одной) заявки соответствующей требованиям Документации о закупке – Заказчик заключает договор с Единственным участником несостоявшейся закупки (раздел </w:t>
      </w:r>
      <w:r>
        <w:rPr/>
        <w:fldChar w:fldCharType="begin"/>
      </w:r>
      <w:r>
        <w:rPr/>
        <w:instrText xml:space="preserve"> REF _Ref126142429 \r \h </w:instrText>
      </w:r>
      <w:r>
        <w:rPr/>
        <w:fldChar w:fldCharType="separate"/>
      </w:r>
      <w:r>
        <w:rPr/>
        <w:t>5</w:t>
      </w:r>
      <w:r>
        <w:rPr/>
        <w:fldChar w:fldCharType="end"/>
      </w:r>
      <w:r>
        <w:rPr/>
        <w:t>) (при наличии экономической целесообразности и/или при условии отсутствия времени на повторное проведение закупки).</w:t>
      </w:r>
    </w:p>
    <w:p>
      <w:pPr>
        <w:pStyle w:val="Style27"/>
        <w:numPr>
          <w:ilvl w:val="0"/>
          <w:numId w:val="0"/>
        </w:numPr>
        <w:ind w:hanging="0" w:left="1701"/>
        <w:rPr>
          <w:sz w:val="26"/>
          <w:szCs w:val="26"/>
        </w:rPr>
      </w:pPr>
      <w:r>
        <w:rPr>
          <w:sz w:val="26"/>
          <w:szCs w:val="26"/>
        </w:rPr>
        <w:t>В случае отсутствия экономической целесообразности и/или при наличии времени на повторное проведение закупки, Заказчик принимает одно из следующих решений в порядке приоритета:</w:t>
      </w:r>
    </w:p>
    <w:p>
      <w:pPr>
        <w:pStyle w:val="-1"/>
        <w:numPr>
          <w:ilvl w:val="0"/>
          <w:numId w:val="19"/>
        </w:numPr>
        <w:tabs>
          <w:tab w:val="clear" w:pos="2552"/>
        </w:tabs>
        <w:spacing w:before="0" w:after="0"/>
        <w:ind w:hanging="426" w:left="2127"/>
        <w:rPr>
          <w:sz w:val="26"/>
          <w:szCs w:val="26"/>
        </w:rPr>
      </w:pPr>
      <w:r>
        <w:rPr>
          <w:sz w:val="26"/>
          <w:szCs w:val="26"/>
        </w:rPr>
        <w:t>повторное проведение закупки (с изменением способа закупки, если применимо в соответствии с Положением о закупке);</w:t>
      </w:r>
    </w:p>
    <w:p>
      <w:pPr>
        <w:pStyle w:val="-1"/>
        <w:numPr>
          <w:ilvl w:val="0"/>
          <w:numId w:val="19"/>
        </w:numPr>
        <w:tabs>
          <w:tab w:val="clear" w:pos="2552"/>
        </w:tabs>
        <w:spacing w:before="0" w:after="0"/>
        <w:ind w:hanging="0" w:left="1701"/>
        <w:rPr>
          <w:sz w:val="26"/>
          <w:szCs w:val="26"/>
        </w:rPr>
      </w:pPr>
      <w:r>
        <w:rPr>
          <w:sz w:val="26"/>
          <w:szCs w:val="26"/>
        </w:rPr>
        <w:t>отказ от заключения договора по следующим основаниям:</w:t>
      </w:r>
    </w:p>
    <w:p>
      <w:pPr>
        <w:pStyle w:val="-1"/>
        <w:numPr>
          <w:ilvl w:val="0"/>
          <w:numId w:val="20"/>
        </w:numPr>
        <w:tabs>
          <w:tab w:val="clear" w:pos="2552"/>
        </w:tabs>
        <w:spacing w:before="0" w:after="0"/>
        <w:ind w:hanging="283" w:left="2410"/>
        <w:rPr>
          <w:sz w:val="26"/>
          <w:szCs w:val="26"/>
        </w:rPr>
      </w:pPr>
      <w:r>
        <w:rPr>
          <w:sz w:val="26"/>
          <w:szCs w:val="26"/>
        </w:rPr>
        <w:t>изменение финансовых, инвестиционных, производственных и иных программ, оказавших влияние на потребность в данной закупке;</w:t>
      </w:r>
    </w:p>
    <w:p>
      <w:pPr>
        <w:pStyle w:val="-1"/>
        <w:numPr>
          <w:ilvl w:val="0"/>
          <w:numId w:val="20"/>
        </w:numPr>
        <w:tabs>
          <w:tab w:val="clear" w:pos="2552"/>
        </w:tabs>
        <w:spacing w:before="0" w:after="0"/>
        <w:ind w:hanging="283" w:left="2410"/>
        <w:rPr>
          <w:sz w:val="26"/>
          <w:szCs w:val="26"/>
        </w:rPr>
      </w:pPr>
      <w:r>
        <w:rPr>
          <w:sz w:val="26"/>
          <w:szCs w:val="26"/>
        </w:rPr>
        <w:t>изменение потребности в продукции, в том числе изменение характеристик продукции, при наличии утверждения таких изменений;</w:t>
      </w:r>
    </w:p>
    <w:p>
      <w:pPr>
        <w:pStyle w:val="-1"/>
        <w:numPr>
          <w:ilvl w:val="0"/>
          <w:numId w:val="20"/>
        </w:numPr>
        <w:tabs>
          <w:tab w:val="clear" w:pos="2552"/>
        </w:tabs>
        <w:spacing w:before="0" w:after="0"/>
        <w:ind w:hanging="283" w:left="2410"/>
        <w:rPr>
          <w:sz w:val="26"/>
          <w:szCs w:val="26"/>
        </w:rPr>
      </w:pPr>
      <w:r>
        <w:rPr>
          <w:sz w:val="26"/>
          <w:szCs w:val="26"/>
        </w:rPr>
        <w:t>необходимость исполнения предписаний антимонопольного органа;</w:t>
      </w:r>
    </w:p>
    <w:p>
      <w:pPr>
        <w:pStyle w:val="-1"/>
        <w:numPr>
          <w:ilvl w:val="0"/>
          <w:numId w:val="19"/>
        </w:numPr>
        <w:tabs>
          <w:tab w:val="clear" w:pos="2552"/>
        </w:tabs>
        <w:spacing w:before="0" w:after="0"/>
        <w:ind w:hanging="426" w:left="2127"/>
        <w:rPr>
          <w:sz w:val="26"/>
          <w:szCs w:val="26"/>
        </w:rPr>
      </w:pPr>
      <w:bookmarkStart w:id="202" w:name="_Hlk214281841"/>
      <w:r>
        <w:rPr>
          <w:sz w:val="26"/>
          <w:szCs w:val="26"/>
        </w:rPr>
        <w:t>отказ от дополнительного повторного проведения закупки (при отсутствии заявок, соответствующих установленным требованиям, по результатам повторного проведения закупки);</w:t>
      </w:r>
      <w:bookmarkEnd w:id="202"/>
    </w:p>
    <w:p>
      <w:pPr>
        <w:pStyle w:val="Style20"/>
        <w:rPr/>
      </w:pPr>
      <w:r>
        <w:rPr/>
        <w:t>если не поступило ни одной заявки, либо по результатам рассмотрения заявок (или постквалификации, если проводилась), принято решение о признании их не соответствующими требованиям Документации о закупке, либо по результатам проведения закупки от заключения договора уклонились все допущенные Участники – Заказчик проводит повторную закупку (с изменением способа закупки, если применимо в соответствии с Положением о закупке).</w:t>
      </w:r>
    </w:p>
    <w:p>
      <w:pPr>
        <w:pStyle w:val="Style27"/>
        <w:numPr>
          <w:ilvl w:val="0"/>
          <w:numId w:val="0"/>
        </w:numPr>
        <w:ind w:hanging="0" w:left="1701"/>
        <w:rPr>
          <w:sz w:val="26"/>
          <w:szCs w:val="26"/>
        </w:rPr>
      </w:pPr>
      <w:r>
        <w:rPr>
          <w:sz w:val="26"/>
          <w:szCs w:val="26"/>
        </w:rPr>
        <w:t>Заказчик вправе отказаться от проведения повторной закупки по следующим основаниям:</w:t>
      </w:r>
    </w:p>
    <w:p>
      <w:pPr>
        <w:pStyle w:val="-1"/>
        <w:numPr>
          <w:ilvl w:val="0"/>
          <w:numId w:val="20"/>
        </w:numPr>
        <w:tabs>
          <w:tab w:val="clear" w:pos="2552"/>
        </w:tabs>
        <w:spacing w:before="0" w:after="0"/>
        <w:ind w:hanging="426" w:left="2127"/>
        <w:rPr>
          <w:sz w:val="26"/>
          <w:szCs w:val="26"/>
        </w:rPr>
      </w:pPr>
      <w:r>
        <w:rPr>
          <w:sz w:val="26"/>
          <w:szCs w:val="26"/>
        </w:rPr>
        <w:t>изменение финансовых, инвестиционных, производственных и иных программ, оказавших влияние на потребность в данной закупке;</w:t>
      </w:r>
    </w:p>
    <w:p>
      <w:pPr>
        <w:pStyle w:val="-1"/>
        <w:numPr>
          <w:ilvl w:val="0"/>
          <w:numId w:val="20"/>
        </w:numPr>
        <w:tabs>
          <w:tab w:val="clear" w:pos="2552"/>
        </w:tabs>
        <w:spacing w:before="0" w:after="0"/>
        <w:ind w:hanging="426" w:left="2127"/>
        <w:rPr>
          <w:sz w:val="26"/>
          <w:szCs w:val="26"/>
        </w:rPr>
      </w:pPr>
      <w:r>
        <w:rPr>
          <w:sz w:val="26"/>
          <w:szCs w:val="26"/>
        </w:rPr>
        <w:t>изменение потребности в продукции, в том числе изменение характеристик продукции;</w:t>
      </w:r>
    </w:p>
    <w:p>
      <w:pPr>
        <w:pStyle w:val="Style20"/>
        <w:numPr>
          <w:ilvl w:val="0"/>
          <w:numId w:val="17"/>
        </w:numPr>
        <w:spacing w:before="120" w:after="0"/>
        <w:ind w:hanging="426" w:left="2127"/>
        <w:rPr/>
      </w:pPr>
      <w:r>
        <w:rPr>
          <w:szCs w:val="26"/>
        </w:rPr>
        <w:t>при отсутствии заявок, соответствующих установленным требованиям, по результатам повторного проведения закупки</w:t>
      </w:r>
      <w:bookmarkStart w:id="203" w:name="_Hlk214281858"/>
      <w:r>
        <w:rPr/>
        <w:t>.</w:t>
      </w:r>
    </w:p>
    <w:p>
      <w:pPr>
        <w:pStyle w:val="Style18"/>
        <w:spacing w:before="360" w:after="0"/>
        <w:rPr/>
      </w:pPr>
      <w:bookmarkStart w:id="204" w:name="_Toc230928857"/>
      <w:bookmarkStart w:id="205" w:name="_Ref126141962"/>
      <w:bookmarkEnd w:id="203"/>
      <w:r>
        <w:rPr/>
        <w:t>Отказ от проведения закупки</w:t>
      </w:r>
      <w:bookmarkEnd w:id="205"/>
      <w:r>
        <w:rPr/>
        <w:t xml:space="preserve"> (отмена закупки)</w:t>
      </w:r>
      <w:bookmarkEnd w:id="204"/>
    </w:p>
    <w:p>
      <w:pPr>
        <w:pStyle w:val="Style19"/>
        <w:spacing w:before="120" w:after="0"/>
        <w:rPr/>
      </w:pPr>
      <w:r>
        <w:rPr/>
        <w:t>Организатор имеет право отказаться от проведения закупки не позднее окончания срока подачи заявок, не неся никакой ответственности перед Участниками или третьими лицами, которым такое действие может принести убытки.</w:t>
      </w:r>
    </w:p>
    <w:p>
      <w:pPr>
        <w:pStyle w:val="Style19"/>
        <w:spacing w:before="0" w:after="0"/>
        <w:rPr/>
      </w:pPr>
      <w:r>
        <w:rPr/>
        <w:t>Организатор уведомляет всех Участников об отмене закупки посредством официального размещения информации в день принятия соответствующего решения об отмене.</w:t>
      </w:r>
    </w:p>
    <w:p>
      <w:pPr>
        <w:pStyle w:val="Style19"/>
        <w:spacing w:before="0" w:after="0"/>
        <w:rPr/>
      </w:pPr>
      <w:r>
        <w:rPr/>
        <w:t>Дополнительно организатор уведомляет всех Участников об отмене закупки посредством ЭП.</w:t>
      </w:r>
    </w:p>
    <w:p>
      <w:pPr>
        <w:pStyle w:val="Style19"/>
        <w:spacing w:before="0" w:after="0"/>
        <w:rPr/>
      </w:pPr>
      <w:r>
        <w:rPr/>
        <w:t>По истечении указанного срока отмены закупки Заказчик вправе отменить закупку и заключение договора по ее результатам только в случае возникновения обстоятельств непреодолимой силы в соответствии с гражданским законодательством.</w:t>
      </w:r>
    </w:p>
    <w:p>
      <w:pPr>
        <w:pStyle w:val="Style18"/>
        <w:spacing w:before="360" w:after="0"/>
        <w:rPr/>
      </w:pPr>
      <w:bookmarkStart w:id="206" w:name="_Ref130455226"/>
      <w:bookmarkStart w:id="207" w:name="_Toc230928858"/>
      <w:r>
        <w:rPr/>
        <w:t>Особенности проведения закупки с необходимостью обеспечения заявки</w:t>
      </w:r>
      <w:bookmarkEnd w:id="206"/>
      <w:bookmarkEnd w:id="207"/>
    </w:p>
    <w:p>
      <w:pPr>
        <w:pStyle w:val="Style19"/>
        <w:spacing w:before="120" w:after="0"/>
        <w:rPr/>
      </w:pPr>
      <w:r>
        <w:rPr/>
        <w:t>Нормы настоящего подраздела применяются, если подразделом </w:t>
      </w:r>
      <w:r>
        <w:rPr/>
        <w:fldChar w:fldCharType="begin"/>
      </w:r>
      <w:r>
        <w:rPr/>
        <w:instrText xml:space="preserve"> REF _Ref125359973 \r \h </w:instrText>
      </w:r>
      <w:r>
        <w:rPr/>
        <w:fldChar w:fldCharType="separate"/>
      </w:r>
      <w:r>
        <w:rPr/>
        <w:t>1.2</w:t>
      </w:r>
      <w:r>
        <w:rPr/>
        <w:fldChar w:fldCharType="end"/>
      </w:r>
      <w:r>
        <w:rPr/>
        <w:t xml:space="preserve"> предусмотрена обязанность Участников предоставить обеспечение заявки на участие в закупке.</w:t>
      </w:r>
    </w:p>
    <w:p>
      <w:pPr>
        <w:pStyle w:val="Style19"/>
        <w:spacing w:before="0" w:after="0"/>
        <w:rPr/>
      </w:pPr>
      <w:r>
        <w:rPr/>
        <w:t>Настоящий подраздел дополняет или изменяет порядок проведения закупки. В случае противоречий между требованиями настоящего подраздела и порядка проведения закупки или с инструкциями по подготовке заявки применяются требования настоящего подраздела.</w:t>
      </w:r>
    </w:p>
    <w:p>
      <w:pPr>
        <w:pStyle w:val="Style19"/>
        <w:spacing w:before="0" w:after="0"/>
        <w:rPr/>
      </w:pPr>
      <w:r>
        <w:rPr/>
        <w:t>Обязательства Участников, связанные с подачей заявок, обеспечиваются в форме, порядке и размере в соответствии с подразделом </w:t>
      </w:r>
      <w:r>
        <w:rPr/>
        <w:fldChar w:fldCharType="begin"/>
      </w:r>
      <w:r>
        <w:rPr/>
        <w:instrText xml:space="preserve"> REF _Ref125359973 \r \h </w:instrText>
      </w:r>
      <w:r>
        <w:rPr/>
        <w:fldChar w:fldCharType="separate"/>
      </w:r>
      <w:r>
        <w:rPr/>
        <w:t>1.2</w:t>
      </w:r>
      <w:r>
        <w:rPr/>
        <w:fldChar w:fldCharType="end"/>
      </w:r>
      <w:r>
        <w:rPr/>
        <w:t>. Выбор формы (способа) обеспечения из числа предусмотренных осуществляется Участниками самостоятельно.</w:t>
      </w:r>
    </w:p>
    <w:p>
      <w:pPr>
        <w:pStyle w:val="Style19"/>
        <w:spacing w:before="0" w:after="0"/>
        <w:rPr/>
      </w:pPr>
      <w:r>
        <w:rPr/>
        <w:t>В случае выбора Участником обеспечения заявки в виде денежных средств, такие денежные средства в требуемом размере должны быть внесены до момента окончания срока подачи заявок (подраздел </w:t>
      </w:r>
      <w:r>
        <w:rPr/>
        <w:fldChar w:fldCharType="begin"/>
      </w:r>
      <w:r>
        <w:rPr/>
        <w:instrText xml:space="preserve"> REF _Ref125359973 \r \h </w:instrText>
      </w:r>
      <w:r>
        <w:rPr/>
        <w:fldChar w:fldCharType="separate"/>
      </w:r>
      <w:r>
        <w:rPr/>
        <w:t>1.2</w:t>
      </w:r>
      <w:r>
        <w:rPr/>
        <w:fldChar w:fldCharType="end"/>
      </w:r>
      <w:r>
        <w:rPr/>
        <w:t>) на индивидуальный счет, открытый Участнику Оператором ЭП в соответствии с Регламентом ЭП. В противном случае обеспечение заявки считается невнесенным, и Организатор обязан отклонить заявку такого Участника.</w:t>
      </w:r>
    </w:p>
    <w:p>
      <w:pPr>
        <w:pStyle w:val="Style19"/>
        <w:spacing w:before="0" w:after="0"/>
        <w:rPr/>
      </w:pPr>
      <w:r>
        <w:rPr/>
        <w:t>В случае выбора Участником обеспечения заявки путем предоставления банковской гарантии (в том числе электронной банковской гарантии, выданной посредством функционала ЭП), такая банковская гарантия составляется с учетом требований статей 368 – 378 ГК РФ, а также следующих условий:</w:t>
      </w:r>
    </w:p>
    <w:p>
      <w:pPr>
        <w:pStyle w:val="Style20"/>
        <w:spacing w:before="120" w:after="0"/>
        <w:rPr/>
      </w:pPr>
      <w:r>
        <w:rPr/>
        <w:t>банковская гарантия должна быть безотзывной и безусловной (гарантия по первому требованию);</w:t>
      </w:r>
    </w:p>
    <w:p>
      <w:pPr>
        <w:pStyle w:val="Style20"/>
        <w:spacing w:before="0" w:after="0"/>
        <w:rPr/>
      </w:pPr>
      <w:r>
        <w:rPr/>
        <w:t>сумма банковской гарантии должна быть выражена в российских рублях и составлять не менее суммы в размере, указанном в подразделе </w:t>
      </w:r>
      <w:r>
        <w:rPr/>
        <w:fldChar w:fldCharType="begin"/>
      </w:r>
      <w:r>
        <w:rPr/>
        <w:instrText xml:space="preserve"> REF _Ref125359973 \r \h </w:instrText>
      </w:r>
      <w:r>
        <w:rPr/>
        <w:fldChar w:fldCharType="separate"/>
      </w:r>
      <w:r>
        <w:rPr/>
        <w:t>1.2</w:t>
      </w:r>
      <w:r>
        <w:rPr/>
        <w:fldChar w:fldCharType="end"/>
      </w:r>
      <w:r>
        <w:rPr/>
        <w:t>;</w:t>
      </w:r>
    </w:p>
    <w:p>
      <w:pPr>
        <w:pStyle w:val="Style20"/>
        <w:spacing w:before="0" w:after="0"/>
        <w:rPr/>
      </w:pPr>
      <w:r>
        <w:rPr/>
        <w:t>банковская гарантия должна действовать не менее 120 (ста двадцати) календарных дней с даты окончания срока подачи заявок (подраздел </w:t>
      </w:r>
      <w:r>
        <w:rPr/>
        <w:fldChar w:fldCharType="begin"/>
      </w:r>
      <w:r>
        <w:rPr/>
        <w:instrText xml:space="preserve"> REF _Ref125359973 \r \h </w:instrText>
      </w:r>
      <w:r>
        <w:rPr/>
        <w:fldChar w:fldCharType="separate"/>
      </w:r>
      <w:r>
        <w:rPr/>
        <w:t>1.2</w:t>
      </w:r>
      <w:r>
        <w:rPr/>
        <w:fldChar w:fldCharType="end"/>
      </w:r>
      <w:r>
        <w:rPr/>
        <w:t>);</w:t>
      </w:r>
    </w:p>
    <w:p>
      <w:pPr>
        <w:pStyle w:val="Style20"/>
        <w:spacing w:before="0" w:after="0"/>
        <w:rPr/>
      </w:pPr>
      <w:r>
        <w:rPr/>
        <w:t>бенефициаром в банковской гарантии должен быть указан Заказчик, принципалом – Участник, гарантом – банк, выдавший банковскую гарантию;</w:t>
      </w:r>
    </w:p>
    <w:p>
      <w:pPr>
        <w:pStyle w:val="Style20"/>
        <w:spacing w:before="0" w:after="0"/>
        <w:rPr/>
      </w:pPr>
      <w:r>
        <w:rPr/>
        <w:t>в банковской гарантии должно быть предусмотрено безусловное право Заказчика на истребование суммы банковской гарантии полностью или частично, в случае нарушения Участником закупки своих обязательств, указанных в пункте </w:t>
      </w:r>
      <w:r>
        <w:rPr/>
        <w:fldChar w:fldCharType="begin"/>
      </w:r>
      <w:r>
        <w:rPr/>
        <w:instrText xml:space="preserve"> REF _Ref228966528 \r \h </w:instrText>
      </w:r>
      <w:r>
        <w:rPr/>
        <w:fldChar w:fldCharType="separate"/>
      </w:r>
      <w:r>
        <w:rPr/>
        <w:t>4.17.11</w:t>
      </w:r>
      <w:r>
        <w:rPr/>
        <w:fldChar w:fldCharType="end"/>
      </w:r>
      <w:r>
        <w:rPr/>
        <w:t>;</w:t>
      </w:r>
    </w:p>
    <w:p>
      <w:pPr>
        <w:pStyle w:val="Style20"/>
        <w:spacing w:before="0" w:after="0"/>
        <w:rPr/>
      </w:pPr>
      <w:r>
        <w:rPr/>
        <w:t>в банковской гарантии должно быть предусмотрено, что для истребования суммы обеспечения Заказчик направляет гаранту только письменное требование с приложением документов, подтверждающих полномочия лица, подписавшего указанное требование (доверенность – в случае если требование подписано лицом, не указанным в ЕГРЮЛ в качестве лица, имеющего право без доверенности действовать от имени бенефициара), с указанием на существо допущенных Участником нарушений;</w:t>
      </w:r>
    </w:p>
    <w:p>
      <w:pPr>
        <w:pStyle w:val="Style20"/>
        <w:spacing w:before="0" w:after="0"/>
        <w:rPr/>
      </w:pPr>
      <w:r>
        <w:rPr/>
        <w:t>платеж по банковской гарантии должен быть осуществлен в течение 10 (десяти) рабочих дней после обращения бенефициара;</w:t>
      </w:r>
    </w:p>
    <w:p>
      <w:pPr>
        <w:pStyle w:val="Style20"/>
        <w:spacing w:before="0" w:after="0"/>
        <w:rPr/>
      </w:pPr>
      <w:r>
        <w:rPr/>
        <w:t>в банковской гарантии не должно быть условий или требований, противоречащих вышеизложенному или делающих вышеизложенное неисполнимым;</w:t>
      </w:r>
    </w:p>
    <w:p>
      <w:pPr>
        <w:pStyle w:val="Style20"/>
        <w:spacing w:before="0" w:after="0"/>
        <w:rPr/>
      </w:pPr>
      <w:r>
        <w:rPr/>
        <w:t>банковская гарантия должна быть выдана банком, включенным в перечень, определенный Правительством Российской Федерации в соответствии с Законом 44-ФЗ и размещенный на официальном сайте Министерства финансов Российской Федерации</w:t>
      </w:r>
      <w:r>
        <w:rPr>
          <w:rStyle w:val="FootnoteReference"/>
        </w:rPr>
        <w:footnoteReference w:id="11"/>
      </w:r>
      <w:r>
        <w:rPr/>
        <w:t>, при условии соответствия банка требованиям к финансовой устойчивости (в том числе в части собственных средств (капитала), активов, доходности, ликвидности, структуры собственности), устанавливаемым Правительством Российской Федерации;</w:t>
      </w:r>
    </w:p>
    <w:p>
      <w:pPr>
        <w:pStyle w:val="Style20"/>
        <w:spacing w:before="0" w:after="0"/>
        <w:rPr/>
      </w:pPr>
      <w:r>
        <w:rPr/>
        <w:t>банковская гарантия должна быть подчинена материальному праву Российской Федерации и регулироваться «Унифицированными правилами для гарантий по требованию, включая типовые формы (URDG 758) (Публикация Международной торговой палаты № 758). Редакция 2010 года» в той мере, в какой указанные правила не противоречат императивным нормам законодательства, а также предусматривать Арбитражный суд по месту нахождения Заказчика</w:t>
      </w:r>
      <w:r>
        <w:rPr>
          <w:rStyle w:val="FootnoteReference"/>
        </w:rPr>
        <w:footnoteReference w:id="12"/>
      </w:r>
      <w:r>
        <w:rPr/>
        <w:t xml:space="preserve"> в качестве органа, компетентного разрешать споры из банковской гарантии.</w:t>
      </w:r>
    </w:p>
    <w:p>
      <w:pPr>
        <w:pStyle w:val="Style19"/>
        <w:spacing w:before="120" w:after="0"/>
        <w:rPr/>
      </w:pPr>
      <w:r>
        <w:rPr/>
        <w:t>В случае выбора Участником обеспечения заявки путем предоставления банковской гарантии, он должен предоставить в составе своей заявки копию такой гарантии (либо электронную банковскую гарантию, выданную банком посредством функционала ЭП), подтверждающую наличие обеспечения заявки в требуемом размере и соответствующую требованиям к условиям такой гарантии. В противном случае обеспечение заявки считается невнесенным, и Организатор обязан отклонить заявку такого Участника.</w:t>
      </w:r>
    </w:p>
    <w:p>
      <w:pPr>
        <w:pStyle w:val="Style19"/>
        <w:spacing w:before="0" w:after="0"/>
        <w:rPr/>
      </w:pPr>
      <w:r>
        <w:rPr/>
        <w:t>При многолотовой закупке (подраздел </w:t>
      </w:r>
      <w:r>
        <w:rPr/>
        <w:fldChar w:fldCharType="begin"/>
      </w:r>
      <w:r>
        <w:rPr/>
        <w:instrText xml:space="preserve"> REF _Ref149317278 \n \h </w:instrText>
      </w:r>
      <w:r>
        <w:rPr/>
        <w:fldChar w:fldCharType="separate"/>
      </w:r>
      <w:r>
        <w:rPr/>
        <w:t>4.18</w:t>
      </w:r>
      <w:r>
        <w:rPr/>
        <w:fldChar w:fldCharType="end"/>
      </w:r>
      <w:r>
        <w:rPr/>
        <w:t>) обеспечение исполнения обязательств Участника оформляется на сумму, равную суммарной стоимости обеспечения по всем лотам, на которые Участник подает заявку; также допускается внесение обеспечения отдельно по каждому из лотов. Удержание Организатором обеспечения может производиться только по тем лотам, на которые Участник подал заявку и по которым он был признан Победителем.</w:t>
      </w:r>
    </w:p>
    <w:p>
      <w:pPr>
        <w:pStyle w:val="Style19"/>
        <w:spacing w:before="0" w:after="0"/>
        <w:rPr/>
      </w:pPr>
      <w:r>
        <w:rPr/>
        <w:t>При подаче заявки с альтернативными предложениями (подраздел </w:t>
      </w:r>
      <w:r>
        <w:rPr/>
        <w:fldChar w:fldCharType="begin"/>
      </w:r>
      <w:r>
        <w:rPr/>
        <w:instrText xml:space="preserve"> REF _Ref125550863 \r \h </w:instrText>
      </w:r>
      <w:r>
        <w:rPr/>
        <w:fldChar w:fldCharType="separate"/>
      </w:r>
      <w:r>
        <w:rPr/>
        <w:t>4.19</w:t>
      </w:r>
      <w:r>
        <w:rPr/>
        <w:fldChar w:fldCharType="end"/>
      </w:r>
      <w:r>
        <w:rPr/>
        <w:t>) размер обеспечения заявки не увеличивается, а сумма обеспечения покрывает обязательства Участника как в отношении основного предложения, так и всех альтернативных предложений.</w:t>
      </w:r>
    </w:p>
    <w:p>
      <w:pPr>
        <w:pStyle w:val="Style19"/>
        <w:spacing w:before="0" w:after="0"/>
        <w:rPr/>
      </w:pPr>
      <w:r>
        <w:rPr/>
        <w:t>Подать заявку (принять участие в закупке) могут только Участники, предоставившие надлежащее обеспечение их заявок.</w:t>
      </w:r>
    </w:p>
    <w:p>
      <w:pPr>
        <w:pStyle w:val="Style19"/>
        <w:spacing w:before="0" w:after="0"/>
        <w:rPr/>
      </w:pPr>
      <w:r>
        <w:rPr/>
        <w:t>Требование об обеспечении заявки в равной мере распространяется на всех Участников.</w:t>
      </w:r>
    </w:p>
    <w:p>
      <w:pPr>
        <w:pStyle w:val="Style19"/>
        <w:keepNext w:val="true"/>
        <w:spacing w:before="0" w:after="0"/>
        <w:rPr/>
      </w:pPr>
      <w:bookmarkStart w:id="208" w:name="_Ref228966528"/>
      <w:r>
        <w:rPr/>
        <w:t>В случае признания Участника Победителем или принятия Заказчиком решения о заключении с ним Договора по итогам несостоявшейся закупки обеспечение заявки распространяется на следующие обязательства Участника:</w:t>
      </w:r>
      <w:bookmarkEnd w:id="208"/>
    </w:p>
    <w:p>
      <w:pPr>
        <w:pStyle w:val="Style20"/>
        <w:spacing w:before="120" w:after="0"/>
        <w:rPr/>
      </w:pPr>
      <w:r>
        <w:rPr/>
        <w:t>обязательство заключить Договор в установленном Документацией о закупке порядке (раздел </w:t>
      </w:r>
      <w:r>
        <w:rPr/>
        <w:fldChar w:fldCharType="begin"/>
      </w:r>
      <w:r>
        <w:rPr/>
        <w:instrText xml:space="preserve"> REF _Ref130224037 \r \h </w:instrText>
      </w:r>
      <w:r>
        <w:rPr/>
        <w:fldChar w:fldCharType="separate"/>
      </w:r>
      <w:r>
        <w:rPr/>
        <w:t>5</w:t>
      </w:r>
      <w:r>
        <w:rPr/>
        <w:fldChar w:fldCharType="end"/>
      </w:r>
      <w:r>
        <w:rPr/>
        <w:t>), в том числе предоставить Сведения о цепочке собственников, включая бенефициаров (в том числе конечных) (</w:t>
      </w:r>
      <w:hyperlink w:anchor="Прил05_ФормыПобедителя" w:tgtFrame="#Прил05_ФормыПобедителя">
        <w:r>
          <w:rPr>
            <w:color w:val="000000"/>
            <w:spacing w:val="0"/>
            <w:u w:val="single"/>
            <w:shd w:fill="auto" w:val="clear"/>
            <w:lang w:val="ru-RU"/>
          </w:rPr>
          <w:t>Приложение № 5</w:t>
        </w:r>
      </w:hyperlink>
      <w:r>
        <w:rPr/>
        <w:t>), а также предоставить иные документы в соответствии с условиями подраздела </w:t>
      </w:r>
      <w:r>
        <w:rPr/>
        <w:fldChar w:fldCharType="begin"/>
      </w:r>
      <w:r>
        <w:rPr/>
        <w:instrText xml:space="preserve"> REF _Ref138232981 \r \h </w:instrText>
      </w:r>
      <w:r>
        <w:rPr/>
        <w:fldChar w:fldCharType="separate"/>
      </w:r>
      <w:r>
        <w:rPr/>
        <w:t>5.2</w:t>
      </w:r>
      <w:r>
        <w:rPr/>
        <w:fldChar w:fldCharType="end"/>
      </w:r>
      <w:r>
        <w:rPr/>
        <w:t>;</w:t>
      </w:r>
    </w:p>
    <w:p>
      <w:pPr>
        <w:pStyle w:val="Style20"/>
        <w:spacing w:before="0" w:after="0"/>
        <w:rPr/>
      </w:pPr>
      <w:r>
        <w:rPr/>
        <w:t xml:space="preserve">обязательство предоставить до заключения договора Заказчику обеспечение исполнения договора – если </w:t>
      </w:r>
      <w:hyperlink w:anchor="Прил02_ПроектДоговора" w:tgtFrame="#Прил02_ПроектДоговора">
        <w:r>
          <w:rPr>
            <w:color w:val="000000"/>
            <w:spacing w:val="0"/>
            <w:u w:val="single"/>
            <w:shd w:fill="auto" w:val="clear"/>
            <w:lang w:val="ru-RU"/>
          </w:rPr>
          <w:t>Проект договора (Приложение № 2)</w:t>
        </w:r>
      </w:hyperlink>
      <w:r>
        <w:rPr/>
        <w:t xml:space="preserve"> предусматривает обеспечение исполнения договора с соответствующими обязательствами (в порядке и сроки, предусмотренные </w:t>
      </w:r>
      <w:hyperlink w:anchor="Прил02_ПроектДоговора" w:tgtFrame="#Прил02_ПроектДоговора">
        <w:r>
          <w:rPr>
            <w:color w:val="000000"/>
            <w:spacing w:val="0"/>
            <w:u w:val="single"/>
            <w:shd w:fill="auto" w:val="clear"/>
            <w:lang w:val="ru-RU"/>
          </w:rPr>
          <w:t>Проектом договора</w:t>
        </w:r>
      </w:hyperlink>
      <w:r>
        <w:rPr/>
        <w:t>).</w:t>
      </w:r>
    </w:p>
    <w:p>
      <w:pPr>
        <w:pStyle w:val="Style19"/>
        <w:spacing w:before="120" w:after="0"/>
        <w:rPr/>
      </w:pPr>
      <w:r>
        <w:rPr/>
        <w:t>В случае невыполнения Победителем указанных выше обязательств Организатор вправе удержать обеспечение заявки путем обращения в соответствующий Банк-гарант. В случае предоставления Участником обеспечения в виде денежных средств, Организатор вправе удержать обеспечение заявки со счета, открытого ему Оператором ЭП, в соответствии с регламентом ЭП.</w:t>
      </w:r>
    </w:p>
    <w:p>
      <w:pPr>
        <w:pStyle w:val="Style19"/>
        <w:keepNext w:val="true"/>
        <w:spacing w:before="0" w:after="0"/>
        <w:rPr/>
      </w:pPr>
      <w:r>
        <w:rPr/>
        <w:t>Возврат обеспечения заявки (в случае предоставления Участником обеспечения в виде денежных средств) осуществляется Организатором в срок не более 20 (двадцати) рабочих дней с даты:</w:t>
      </w:r>
    </w:p>
    <w:p>
      <w:pPr>
        <w:pStyle w:val="Style20"/>
        <w:spacing w:before="120" w:after="0"/>
        <w:rPr/>
      </w:pPr>
      <w:r>
        <w:rPr/>
        <w:t>принятия решения об отказе от проведения закупки – всем Участникам, подавшим заявки к моменту принятия такого решения;</w:t>
      </w:r>
    </w:p>
    <w:p>
      <w:pPr>
        <w:pStyle w:val="Style20"/>
        <w:spacing w:before="0" w:after="0"/>
        <w:rPr/>
      </w:pPr>
      <w:r>
        <w:rPr/>
        <w:t>поступления уведомления об отзыве заявки в случаях, когда такой отзыв осуществлен в установленные в Документации о закупке сроки – Участнику, отозвавшему заявку;</w:t>
      </w:r>
    </w:p>
    <w:p>
      <w:pPr>
        <w:pStyle w:val="Style20"/>
        <w:spacing w:before="0" w:after="0"/>
        <w:rPr/>
      </w:pPr>
      <w:r>
        <w:rPr/>
        <w:t>официального размещения протокола рассмотрения заявок (при условии его оформления) – Участникам, чьи заявки были отклонены;</w:t>
      </w:r>
    </w:p>
    <w:p>
      <w:pPr>
        <w:pStyle w:val="Style20"/>
        <w:spacing w:before="0" w:after="0"/>
        <w:rPr/>
      </w:pPr>
      <w:r>
        <w:rPr/>
        <w:t>официального размещения итогового протокола по результатам закупки – всем Участникам, кроме Победителя;</w:t>
      </w:r>
    </w:p>
    <w:p>
      <w:pPr>
        <w:pStyle w:val="Style20"/>
        <w:spacing w:before="0" w:after="0"/>
        <w:rPr/>
      </w:pPr>
      <w:r>
        <w:rPr/>
        <w:t>заключения Договора по результатам закупки – Победителю, с которым заключен Договор;</w:t>
      </w:r>
    </w:p>
    <w:p>
      <w:pPr>
        <w:pStyle w:val="Style20"/>
        <w:spacing w:before="0" w:after="0"/>
        <w:rPr/>
      </w:pPr>
      <w:r>
        <w:rPr/>
        <w:t>признания закупки несостоявшейся – Участнику, которому обеспечение не было возвращено по иным основаниям.</w:t>
      </w:r>
    </w:p>
    <w:p>
      <w:pPr>
        <w:pStyle w:val="Style19"/>
        <w:spacing w:before="120" w:after="0"/>
        <w:rPr/>
      </w:pPr>
      <w:r>
        <w:rPr/>
        <w:t>Возврат обеспечения заявки может быть задержан в случае поступления в установленном законодательством порядке жалобы по закупке (подраздел </w:t>
      </w:r>
      <w:r>
        <w:rPr/>
        <w:fldChar w:fldCharType="begin"/>
      </w:r>
      <w:r>
        <w:rPr/>
        <w:instrText xml:space="preserve"> REF _Ref125363536 \r \h </w:instrText>
      </w:r>
      <w:r>
        <w:rPr/>
        <w:fldChar w:fldCharType="separate"/>
      </w:r>
      <w:r>
        <w:rPr/>
        <w:t>2.3</w:t>
      </w:r>
      <w:r>
        <w:rPr/>
        <w:fldChar w:fldCharType="end"/>
      </w:r>
      <w:r>
        <w:rPr/>
        <w:t>) – на время рассмотрения жалобы. При этом проценты на сумму денежных средств, внесенных Участником в качестве обеспечения его заявки, начислению и выплате не подлежат.</w:t>
      </w:r>
    </w:p>
    <w:p>
      <w:pPr>
        <w:pStyle w:val="Style18"/>
        <w:spacing w:before="360" w:after="0"/>
        <w:rPr/>
      </w:pPr>
      <w:bookmarkStart w:id="209" w:name="_Ref149317278"/>
      <w:bookmarkStart w:id="210" w:name="_Toc230928859"/>
      <w:bookmarkStart w:id="211" w:name="_Ref130225422"/>
      <w:r>
        <w:rPr/>
        <w:t>Особенности проведения многолотовой закупки</w:t>
      </w:r>
      <w:bookmarkEnd w:id="209"/>
      <w:bookmarkEnd w:id="210"/>
      <w:bookmarkEnd w:id="211"/>
    </w:p>
    <w:p>
      <w:pPr>
        <w:pStyle w:val="Style19"/>
        <w:spacing w:before="120" w:after="0"/>
        <w:rPr/>
      </w:pPr>
      <w:r>
        <w:rPr/>
        <w:t>Нормы настоящего подраздела применяются, если подразделом </w:t>
      </w:r>
      <w:r>
        <w:rPr/>
        <w:fldChar w:fldCharType="begin"/>
      </w:r>
      <w:r>
        <w:rPr/>
        <w:instrText xml:space="preserve"> REF _Ref125359973 \r \h </w:instrText>
      </w:r>
      <w:r>
        <w:rPr/>
        <w:fldChar w:fldCharType="separate"/>
      </w:r>
      <w:r>
        <w:rPr/>
        <w:t>1.2</w:t>
      </w:r>
      <w:r>
        <w:rPr/>
        <w:fldChar w:fldCharType="end"/>
      </w:r>
      <w:r>
        <w:rPr/>
        <w:t xml:space="preserve"> предусмотрено проведение многолотовой закупки.</w:t>
      </w:r>
    </w:p>
    <w:p>
      <w:pPr>
        <w:pStyle w:val="Style19"/>
        <w:spacing w:before="0" w:after="0"/>
        <w:rPr/>
      </w:pPr>
      <w:r>
        <w:rPr/>
        <w:t>Настоящий подраздел дополняет или изменяет порядок проведения закупки. В случае противоречий между требованиями настоящего подраздела и порядка проведения закупки или с инструкциями по подготовке заявки применяются требования настоящего подраздела.</w:t>
      </w:r>
    </w:p>
    <w:p>
      <w:pPr>
        <w:pStyle w:val="Style19"/>
        <w:spacing w:before="0" w:after="0"/>
        <w:rPr/>
      </w:pPr>
      <w:r>
        <w:rPr/>
        <w:t>Многолотовая закупка может проводиться как для одного, так и для нескольких Заказчиков. Для всех лотов выпускается общее Извещение, Документация о закупке, решения по каждому лоту принимает одна и та же Закупочная комиссия. Любые положения Документации о закупке, если в них прямо не</w:t>
      </w:r>
      <w:r>
        <w:rPr>
          <w:lang w:val="en-US"/>
        </w:rPr>
        <w:t> </w:t>
      </w:r>
      <w:r>
        <w:rPr/>
        <w:t>указан номер конкретного лота, относятся ко всем лотам одновременно.</w:t>
      </w:r>
    </w:p>
    <w:p>
      <w:pPr>
        <w:pStyle w:val="Style19"/>
        <w:spacing w:before="0" w:after="0"/>
        <w:rPr/>
      </w:pPr>
      <w:r>
        <w:rPr/>
        <w:t>Участник может подать одну заявку на любой лот, любые несколько лотов или все лоты по собственному выбору. При этом не допускается разбиение отдельного лота на части, то есть подача заявки на часть лота по отдельным видам или объемам продукции. В многолотовой закупке подача Участником по одной заявке на каждый лот не считается подачей второй заявки на закупку.</w:t>
      </w:r>
    </w:p>
    <w:p>
      <w:pPr>
        <w:pStyle w:val="Style19"/>
        <w:keepNext w:val="true"/>
        <w:spacing w:before="0" w:after="0"/>
        <w:rPr/>
      </w:pPr>
      <w:r>
        <w:rPr/>
        <w:t>В случае подачи заявки на несколько лотов дополнительно должны быть соблюдены следующие требования:</w:t>
      </w:r>
    </w:p>
    <w:p>
      <w:pPr>
        <w:pStyle w:val="Style20"/>
        <w:spacing w:before="120" w:after="0"/>
        <w:rPr/>
      </w:pPr>
      <w:r>
        <w:rPr/>
        <w:t>Письмо о подаче оферты (форма 2) (</w:t>
      </w:r>
      <w:hyperlink w:anchor="Прил04_ФормыЗаявки" w:tgtFrame="#Прил04_ФормыЗаявки">
        <w:r>
          <w:rPr>
            <w:color w:val="000000"/>
            <w:spacing w:val="0"/>
            <w:u w:val="single"/>
            <w:shd w:fill="auto" w:val="clear"/>
            <w:lang w:val="ru-RU"/>
          </w:rPr>
          <w:t>Приложение № 4</w:t>
        </w:r>
      </w:hyperlink>
      <w:r>
        <w:rPr/>
        <w:t>) должно содержать указание номера и названия каждого лота, по каждому лоту должна быть указана его стоимость;</w:t>
      </w:r>
    </w:p>
    <w:p>
      <w:pPr>
        <w:pStyle w:val="Style20"/>
        <w:spacing w:before="0" w:after="0"/>
        <w:rPr/>
      </w:pPr>
      <w:r>
        <w:rPr/>
        <w:t xml:space="preserve">Коммерческое предложение (форма 3), Техническое предложение (форма 4), План распределения объемов поставки продукции (форма 10) – </w:t>
      </w:r>
      <w:hyperlink w:anchor="Прил04_ФормыЗаявки" w:tgtFrame="#Прил04_ФормыЗаявки">
        <w:r>
          <w:rPr>
            <w:color w:val="000000"/>
            <w:spacing w:val="0"/>
            <w:u w:val="single"/>
            <w:shd w:fill="auto" w:val="clear"/>
            <w:lang w:val="ru-RU"/>
          </w:rPr>
          <w:t>Приложение № 4</w:t>
        </w:r>
      </w:hyperlink>
      <w:r>
        <w:rPr/>
        <w:t>, должны быть подготовлены отдельно по каждому из лотов с указанием номера и названия лота.</w:t>
      </w:r>
    </w:p>
    <w:p>
      <w:pPr>
        <w:pStyle w:val="Style19"/>
        <w:spacing w:before="120" w:after="0"/>
        <w:rPr/>
      </w:pPr>
      <w:r>
        <w:rPr/>
        <w:t>Решения, принимаемые в ходе процедуры закупки, в том числе решения в рамках рассмотрения, оценки и сопоставления заявок, определения Победителя, признания закупки несостоявшейся, отказа от дальнейшего ее проведения и т.д., осуществляются раздельно и независимо по каждому из лотов. При этом Организатор вправе оформить по каждому лоту отдельный протокол закупки или сформировать общий по всем лотам протокол закупки, в который в отношении каждого лота вносятся сведения, подлежащие официальному размещению.</w:t>
      </w:r>
    </w:p>
    <w:p>
      <w:pPr>
        <w:pStyle w:val="Style18"/>
        <w:spacing w:before="360" w:after="0"/>
        <w:rPr/>
      </w:pPr>
      <w:bookmarkStart w:id="212" w:name="_Ref125550863"/>
      <w:bookmarkStart w:id="213" w:name="_Toc230928860"/>
      <w:r>
        <w:rPr/>
        <w:t>Особенности проведения закупки с возможностью подачи альтернативных предложений</w:t>
      </w:r>
      <w:bookmarkEnd w:id="212"/>
      <w:bookmarkEnd w:id="213"/>
    </w:p>
    <w:p>
      <w:pPr>
        <w:pStyle w:val="Style19"/>
        <w:spacing w:before="120" w:after="0"/>
        <w:rPr/>
      </w:pPr>
      <w:r>
        <w:rPr/>
        <w:t>Нормы настоящего подраздела применяются, если подразделом </w:t>
      </w:r>
      <w:r>
        <w:rPr/>
        <w:fldChar w:fldCharType="begin"/>
      </w:r>
      <w:r>
        <w:rPr/>
        <w:instrText xml:space="preserve"> REF _Ref125359973 \r \h </w:instrText>
      </w:r>
      <w:r>
        <w:rPr/>
        <w:fldChar w:fldCharType="separate"/>
      </w:r>
      <w:r>
        <w:rPr/>
        <w:t>1.2</w:t>
      </w:r>
      <w:r>
        <w:rPr/>
        <w:fldChar w:fldCharType="end"/>
      </w:r>
      <w:r>
        <w:rPr/>
        <w:t xml:space="preserve"> предусмотрена возможность подачи альтернативных предложений.</w:t>
      </w:r>
    </w:p>
    <w:p>
      <w:pPr>
        <w:pStyle w:val="Style19"/>
        <w:spacing w:before="0" w:after="0"/>
        <w:rPr/>
      </w:pPr>
      <w:r>
        <w:rPr/>
        <w:t>Настоящий подраздел дополняет или изменяет порядок проведения закупки. В случае противоречий между требованиями настоящего подраздела и порядка проведения закупки или с инструкциями по подготовке заявки применяются требования настоящего подраздела.</w:t>
      </w:r>
    </w:p>
    <w:p>
      <w:pPr>
        <w:pStyle w:val="Style19"/>
        <w:spacing w:before="0" w:after="0"/>
        <w:rPr/>
      </w:pPr>
      <w:r>
        <w:rPr/>
        <w:t>Участник в составе заявки дополнительно к основному предложению вправе подготовить и подать альтернативные предложения в количестве, не превышающем установленное максимальное значение, и исключительно по аспектам, указанным в подразделе </w:t>
      </w:r>
      <w:r>
        <w:rPr/>
        <w:fldChar w:fldCharType="begin"/>
      </w:r>
      <w:r>
        <w:rPr/>
        <w:instrText xml:space="preserve"> REF _Ref125359973 \r \h </w:instrText>
      </w:r>
      <w:r>
        <w:rPr/>
        <w:fldChar w:fldCharType="separate"/>
      </w:r>
      <w:r>
        <w:rPr/>
        <w:t>1.2</w:t>
      </w:r>
      <w:r>
        <w:rPr/>
        <w:fldChar w:fldCharType="end"/>
      </w:r>
      <w:r>
        <w:rPr/>
        <w:t>. Требование о том, что участник имеет право подать только одну заявку, к альтернативным предложениям не относится. При этом не допускается подача заявки на часть какого-либо лота по отдельным видам или объемам продукции (в случае нарушения – поданная заявка в отношении такого лота подлежит отклонению).</w:t>
      </w:r>
    </w:p>
    <w:p>
      <w:pPr>
        <w:pStyle w:val="Style19"/>
        <w:spacing w:before="0" w:after="0"/>
        <w:rPr/>
      </w:pPr>
      <w:r>
        <w:rPr/>
        <w:t>Альтернативные предложения могут сопровождаться альтернативными ценами (не превышающими НМЦ, установленную в подразделе </w:t>
      </w:r>
      <w:r>
        <w:rPr/>
        <w:fldChar w:fldCharType="begin"/>
      </w:r>
      <w:r>
        <w:rPr/>
        <w:instrText xml:space="preserve"> REF _Ref125359973 \r \h </w:instrText>
      </w:r>
      <w:r>
        <w:rPr/>
        <w:fldChar w:fldCharType="separate"/>
      </w:r>
      <w:r>
        <w:rPr/>
        <w:t>1.2</w:t>
      </w:r>
      <w:r>
        <w:rPr/>
        <w:fldChar w:fldCharType="end"/>
      </w:r>
      <w:r>
        <w:rPr/>
        <w:t>). При этом альтернативные предложения, по сути отличающиеся от основного только ценой, рассматриваться не будут.</w:t>
      </w:r>
    </w:p>
    <w:p>
      <w:pPr>
        <w:pStyle w:val="Style19"/>
        <w:spacing w:before="0" w:after="0"/>
        <w:rPr/>
      </w:pPr>
      <w:r>
        <w:rPr/>
        <w:t>Альтернативное предложение должно быть явным образом выделено в составе заявки и обособлено от основного предложения и иных альтернативных предложений (должны быть представлены соответствующие измененные формы заявки (</w:t>
      </w:r>
      <w:hyperlink w:anchor="Прил04_ФормыЗаявки" w:tgtFrame="#Прил04_ФормыЗаявки">
        <w:r>
          <w:rPr>
            <w:color w:val="000000"/>
            <w:spacing w:val="0"/>
            <w:u w:val="single"/>
            <w:shd w:fill="auto" w:val="clear"/>
            <w:lang w:val="ru-RU"/>
          </w:rPr>
          <w:t>Приложение № 4</w:t>
        </w:r>
      </w:hyperlink>
      <w:r>
        <w:rPr/>
        <w:t>) с указанием в них тех параметров, пунктов, разделов и т.д. основного предложения, вместо которых предлагаются альтернативные). При этом в альтернативном предложении не следует дублировать документы, подтверждающие соответствие Участника установленным требованиям, а также формы заявки, которые не отличаются от форм основного предложения.</w:t>
      </w:r>
    </w:p>
    <w:p>
      <w:pPr>
        <w:pStyle w:val="Style19"/>
        <w:spacing w:before="0" w:after="0"/>
        <w:rPr/>
      </w:pPr>
      <w:r>
        <w:rPr/>
        <w:t>При проведении переторжки (подраздел </w:t>
      </w:r>
      <w:r>
        <w:rPr/>
        <w:fldChar w:fldCharType="begin"/>
      </w:r>
      <w:r>
        <w:rPr/>
        <w:instrText xml:space="preserve"> REF _Ref127536359 \r \h </w:instrText>
      </w:r>
      <w:r>
        <w:rPr/>
        <w:fldChar w:fldCharType="separate"/>
      </w:r>
      <w:r>
        <w:rPr/>
        <w:t>4.11</w:t>
      </w:r>
      <w:r>
        <w:rPr/>
        <w:fldChar w:fldCharType="end"/>
      </w:r>
      <w:r>
        <w:rPr/>
        <w:t>) альтернативные предложения Участников допускаются к ней наравне с основными предложениями.</w:t>
      </w:r>
    </w:p>
    <w:p>
      <w:pPr>
        <w:pStyle w:val="Style19"/>
        <w:spacing w:before="0" w:after="0"/>
        <w:rPr/>
      </w:pPr>
      <w:r>
        <w:rPr/>
        <w:t>Решения Закупочной комиссии по рассмотрению, оценке и сопоставлению заявок принимаются отдельно в отношении основного предложения и каждого альтернативного предложения. Отклонение основного предложения не является основанием для отклонения альтернативных предложений и наоборот. При формировании ранжировки заявок альтернативные предложения ранжируются отдельно (наравне с основными предложениями), с присвоением каждому предложению отдельного места в ранжировке.</w:t>
      </w:r>
    </w:p>
    <w:p>
      <w:pPr>
        <w:pStyle w:val="Style17"/>
        <w:spacing w:before="0" w:after="0"/>
        <w:rPr/>
      </w:pPr>
      <w:bookmarkStart w:id="214" w:name="_Toc230928861"/>
      <w:bookmarkStart w:id="215" w:name="_Ref125367087"/>
      <w:bookmarkStart w:id="216" w:name="_Ref125367083"/>
      <w:bookmarkStart w:id="217" w:name="_Ref125366769"/>
      <w:bookmarkStart w:id="218" w:name="_Ref125363439"/>
      <w:bookmarkStart w:id="219" w:name="_Ref125362671"/>
      <w:bookmarkStart w:id="220" w:name="_Ref125361212"/>
      <w:bookmarkStart w:id="221" w:name="_Ref130224037"/>
      <w:bookmarkStart w:id="222" w:name="_Ref126142429"/>
      <w:r>
        <w:rPr/>
        <w:t>Порядок заключения Договора</w:t>
      </w:r>
      <w:bookmarkEnd w:id="214"/>
      <w:bookmarkEnd w:id="215"/>
      <w:bookmarkEnd w:id="216"/>
      <w:bookmarkEnd w:id="217"/>
      <w:bookmarkEnd w:id="218"/>
      <w:bookmarkEnd w:id="219"/>
      <w:bookmarkEnd w:id="220"/>
      <w:bookmarkEnd w:id="221"/>
      <w:bookmarkEnd w:id="222"/>
    </w:p>
    <w:p>
      <w:pPr>
        <w:pStyle w:val="Style18"/>
        <w:spacing w:before="360" w:after="0"/>
        <w:rPr/>
      </w:pPr>
      <w:bookmarkStart w:id="223" w:name="_Ref139028625"/>
      <w:bookmarkStart w:id="224" w:name="_Toc230928862"/>
      <w:r>
        <w:rPr/>
        <w:t>Общие положения</w:t>
      </w:r>
      <w:bookmarkEnd w:id="223"/>
      <w:bookmarkEnd w:id="224"/>
    </w:p>
    <w:p>
      <w:pPr>
        <w:pStyle w:val="Style19"/>
        <w:spacing w:before="120" w:after="0"/>
        <w:rPr/>
      </w:pPr>
      <w:r>
        <w:rPr/>
        <w:t>Нормы настоящего раздела </w:t>
      </w:r>
      <w:r>
        <w:rPr/>
        <w:fldChar w:fldCharType="begin"/>
      </w:r>
      <w:r>
        <w:rPr/>
        <w:instrText xml:space="preserve"> REF _Ref126142429 \r \h </w:instrText>
      </w:r>
      <w:r>
        <w:rPr/>
        <w:fldChar w:fldCharType="separate"/>
      </w:r>
      <w:r>
        <w:rPr/>
        <w:t>5</w:t>
      </w:r>
      <w:r>
        <w:rPr/>
        <w:fldChar w:fldCharType="end"/>
      </w:r>
      <w:r>
        <w:rPr/>
        <w:t xml:space="preserve"> также применяются в отношении Единственного участника несостоявшейся закупки, с которым принято решение о заключении договора (к нему применяются те же нормы, что и в отношении Победителя).</w:t>
      </w:r>
    </w:p>
    <w:p>
      <w:pPr>
        <w:pStyle w:val="Style18"/>
        <w:spacing w:before="360" w:after="0"/>
        <w:rPr/>
      </w:pPr>
      <w:bookmarkStart w:id="225" w:name="_Ref135736094"/>
      <w:bookmarkStart w:id="226" w:name="_Ref125368755"/>
      <w:bookmarkStart w:id="227" w:name="_Ref125366947"/>
      <w:bookmarkStart w:id="228" w:name="_Ref138232981"/>
      <w:bookmarkStart w:id="229" w:name="_Toc230928863"/>
      <w:r>
        <w:rPr/>
        <w:t>Заключение Договора</w:t>
      </w:r>
      <w:bookmarkEnd w:id="225"/>
      <w:bookmarkEnd w:id="226"/>
      <w:bookmarkEnd w:id="227"/>
      <w:bookmarkEnd w:id="228"/>
      <w:bookmarkEnd w:id="229"/>
    </w:p>
    <w:p>
      <w:pPr>
        <w:pStyle w:val="Style19"/>
        <w:spacing w:before="120" w:after="0"/>
        <w:rPr/>
      </w:pPr>
      <w:bookmarkStart w:id="230" w:name="_Ref130293821"/>
      <w:bookmarkStart w:id="231" w:name="_Ref125362935"/>
      <w:r>
        <w:rPr/>
        <w:t>Договор между Заказчиком и Победителем заключается не ранее чем через 10 (десять) календарных дней и не позднее чем через 20 (двадцать) календарных дней с даты официального размещения итогового протокола по результатам закупки.</w:t>
      </w:r>
      <w:bookmarkEnd w:id="230"/>
      <w:bookmarkEnd w:id="231"/>
    </w:p>
    <w:p>
      <w:pPr>
        <w:pStyle w:val="Style19"/>
        <w:spacing w:before="0" w:after="0"/>
        <w:rPr/>
      </w:pPr>
      <w:r>
        <w:rPr/>
        <w:t>Договор не может быть заключен, если это запрещено законодательством о национальном режиме .</w:t>
      </w:r>
    </w:p>
    <w:p>
      <w:pPr>
        <w:pStyle w:val="Style19"/>
        <w:spacing w:before="0" w:after="0"/>
        <w:rPr/>
      </w:pPr>
      <w:r>
        <w:rPr/>
        <w:t>При осуществлении закупки товара (в том числе поставляемого Заказчику при выполнении работ, оказании услуг) в Договор при его заключении включается информация о стране происхождения товара.</w:t>
      </w:r>
    </w:p>
    <w:p>
      <w:pPr>
        <w:pStyle w:val="Style19"/>
        <w:spacing w:before="0" w:after="0"/>
        <w:rPr/>
      </w:pPr>
      <w:r>
        <w:rPr/>
        <w:t xml:space="preserve">В целях </w:t>
      </w:r>
      <w:r>
        <w:rPr>
          <w:rFonts w:eastAsia="Calibri" w:cs="Times New Roman"/>
        </w:rPr>
        <w:t>обеспечения дополнительной прозрачности финансово-хозяйственной деятельности сторон при</w:t>
      </w:r>
      <w:r>
        <w:rPr/>
        <w:t xml:space="preserve"> заключения Договора </w:t>
      </w:r>
      <w:r>
        <w:rPr>
          <w:rFonts w:eastAsia="Calibri" w:cs="Times New Roman"/>
        </w:rPr>
        <w:t>в части отсутствия возможного конфликта интересов между Заказчиком и</w:t>
      </w:r>
      <w:r>
        <w:rPr/>
        <w:t xml:space="preserve"> Участником, признанным Победителем, последний обязан направить в адрес Заказчика Справку «Сведения о цепочке собственников, включая бенефициаров (в том числе конечных)», по форме в соответствии с </w:t>
      </w:r>
      <w:hyperlink w:anchor="Прил05_ФормыПобедителя" w:tgtFrame="#Прил05_ФормыПобедителя">
        <w:r>
          <w:rPr>
            <w:color w:val="000000"/>
            <w:spacing w:val="0"/>
            <w:u w:val="single"/>
            <w:shd w:fill="auto" w:val="clear"/>
            <w:lang w:val="ru-RU"/>
          </w:rPr>
          <w:t>Приложением № 5</w:t>
        </w:r>
      </w:hyperlink>
      <w:r>
        <w:rPr/>
        <w:t>, с приложением подтверждающих документов согласно перечню, установленному в Приложении 1 к указанной справке, в бумажной форме: по адресу, определенному в подразделе </w:t>
      </w:r>
      <w:r>
        <w:rPr/>
        <w:fldChar w:fldCharType="begin"/>
      </w:r>
      <w:r>
        <w:rPr/>
        <w:instrText xml:space="preserve"> REF _Ref125359973 \r \h </w:instrText>
      </w:r>
      <w:r>
        <w:rPr/>
        <w:fldChar w:fldCharType="separate"/>
      </w:r>
      <w:r>
        <w:rPr/>
        <w:t>1.2</w:t>
      </w:r>
      <w:r>
        <w:rPr/>
        <w:fldChar w:fldCharType="end"/>
      </w:r>
      <w:r>
        <w:rPr/>
        <w:t xml:space="preserve"> как место подачи документов в отношении цепочки собственников, включая конечных бенефициаров (в срок не позднее 3 (трех) рабочих дней с даты официального размещения Организатором итогового протокола по результатам закупки). Требуемые документы должны быть предоставлены в бумажном виде и на электронном носителе в отдельном запечатанном конверте с надписью «Документы Победителя о цепочке собственников».</w:t>
      </w:r>
    </w:p>
    <w:p>
      <w:pPr>
        <w:pStyle w:val="Style19"/>
        <w:keepNext w:val="true"/>
        <w:spacing w:before="0" w:after="0"/>
        <w:rPr/>
      </w:pPr>
      <w:bookmarkStart w:id="232" w:name="_Ref125551776"/>
      <w:r>
        <w:rPr/>
        <w:t>В срок не позднее 3 (трех) рабочих дней с даты официального размещения Организатором итогового протокола по результатам закупки, Победитель обязан предоставить Заказчику (скан-копии в формате Portable Document Format (*</w:t>
      </w:r>
      <w:r>
        <w:rPr>
          <w:lang w:val="en-US"/>
        </w:rPr>
        <w:t>pdf</w:t>
      </w:r>
      <w:r>
        <w:rPr/>
        <w:t>)):</w:t>
      </w:r>
      <w:bookmarkEnd w:id="232"/>
    </w:p>
    <w:p>
      <w:pPr>
        <w:pStyle w:val="Style20"/>
        <w:spacing w:before="120" w:after="0"/>
        <w:rPr/>
      </w:pPr>
      <w:r>
        <w:rPr/>
        <w:t xml:space="preserve">Заверение об обстоятельствах, представляющее собой гарантийное письмо об отсутствии обстоятельств, препятствующих заключению Договора, в случаях и по форме, предусмотренных </w:t>
      </w:r>
      <w:hyperlink w:anchor="Прил05_ФормыПобедителя" w:tgtFrame="#Прил05_ФормыПобедителя">
        <w:r>
          <w:rPr>
            <w:color w:val="000000"/>
            <w:spacing w:val="0"/>
            <w:u w:val="single"/>
            <w:shd w:fill="auto" w:val="clear"/>
            <w:lang w:val="ru-RU"/>
          </w:rPr>
          <w:t>Приложением № 5</w:t>
        </w:r>
      </w:hyperlink>
      <w:r>
        <w:rPr/>
        <w:t>;</w:t>
      </w:r>
    </w:p>
    <w:p>
      <w:pPr>
        <w:pStyle w:val="Style20"/>
        <w:spacing w:before="0" w:after="0"/>
        <w:rPr/>
      </w:pPr>
      <w:bookmarkStart w:id="233" w:name="_Ref125552642"/>
      <w:r>
        <w:rPr/>
        <w:t>если он принимал участие в переторжке в очной форме – документы своей заявки, подлежащие корректировке в строгом соответствии с его предложениями, заявленными в ходе проведения переторжки (подраздел </w:t>
      </w:r>
      <w:r>
        <w:rPr/>
        <w:fldChar w:fldCharType="begin"/>
      </w:r>
      <w:r>
        <w:rPr/>
        <w:instrText xml:space="preserve"> REF _Ref127536359 \r \h </w:instrText>
      </w:r>
      <w:r>
        <w:rPr/>
        <w:fldChar w:fldCharType="separate"/>
      </w:r>
      <w:r>
        <w:rPr/>
        <w:t>4.11</w:t>
      </w:r>
      <w:r>
        <w:rPr/>
        <w:fldChar w:fldCharType="end"/>
      </w:r>
      <w:r>
        <w:rPr/>
        <w:t>)</w:t>
      </w:r>
      <w:bookmarkEnd w:id="233"/>
      <w:r>
        <w:rPr/>
        <w:t>;</w:t>
      </w:r>
    </w:p>
    <w:p>
      <w:pPr>
        <w:pStyle w:val="Style19"/>
        <w:keepNext w:val="true"/>
        <w:spacing w:before="120" w:after="0"/>
        <w:rPr/>
      </w:pPr>
      <w:bookmarkStart w:id="234" w:name="_Ref125551072"/>
      <w:r>
        <w:rPr/>
        <w:t>Перед заключением Договора Победитель обязан предоставить Заказчику, не позднее сроков, установленных в пункте </w:t>
      </w:r>
      <w:r>
        <w:rPr/>
        <w:fldChar w:fldCharType="begin"/>
      </w:r>
      <w:r>
        <w:rPr/>
        <w:instrText xml:space="preserve"> REF _Ref130293821 \w \h </w:instrText>
      </w:r>
      <w:r>
        <w:rPr/>
        <w:fldChar w:fldCharType="separate"/>
      </w:r>
      <w:r>
        <w:rPr/>
        <w:t>5.2.1</w:t>
      </w:r>
      <w:r>
        <w:rPr/>
        <w:fldChar w:fldCharType="end"/>
      </w:r>
      <w:r>
        <w:rPr/>
        <w:t>, в целях подтверждения своего соответствия обязательному требованию к Участникам, указанному в пункте </w:t>
      </w:r>
      <w:r>
        <w:rPr/>
        <w:fldChar w:fldCharType="begin"/>
      </w:r>
      <w:r>
        <w:rPr/>
        <w:instrText xml:space="preserve"> REF _Ref125552433 \w \h </w:instrText>
      </w:r>
      <w:r>
        <w:rPr/>
        <w:fldChar w:fldCharType="separate"/>
      </w:r>
      <w:r>
        <w:rPr/>
        <w:t>1</w:t>
      </w:r>
      <w:r>
        <w:rPr/>
        <w:fldChar w:fldCharType="end"/>
      </w:r>
      <w:r>
        <w:rPr/>
        <w:t xml:space="preserve"> подраздела </w:t>
      </w:r>
      <w:r>
        <w:rPr/>
        <w:fldChar w:fldCharType="begin"/>
      </w:r>
      <w:r>
        <w:rPr/>
        <w:instrText xml:space="preserve"> REF _Ref125361435 \w \h </w:instrText>
      </w:r>
      <w:r>
        <w:rPr/>
        <w:fldChar w:fldCharType="separate"/>
      </w:r>
      <w:r>
        <w:rPr/>
        <w:t>8.2</w:t>
      </w:r>
      <w:r>
        <w:rPr/>
        <w:fldChar w:fldCharType="end"/>
      </w:r>
      <w:r>
        <w:rPr/>
        <w:t xml:space="preserve"> (</w:t>
      </w:r>
      <w:hyperlink w:anchor="Прил03_ТребованияУчастникам" w:tgtFrame="#Прил03_ТребованияУчастникам">
        <w:r>
          <w:rPr>
            <w:color w:val="000000"/>
            <w:spacing w:val="0"/>
            <w:u w:val="single"/>
            <w:shd w:fill="auto" w:val="clear"/>
            <w:lang w:val="ru-RU"/>
          </w:rPr>
          <w:t>Приложение № 3</w:t>
        </w:r>
      </w:hyperlink>
      <w:r>
        <w:rPr/>
        <w:t>), следующие документы (скан-копии в формате Portable Document Format (*</w:t>
      </w:r>
      <w:r>
        <w:rPr>
          <w:lang w:val="en-US"/>
        </w:rPr>
        <w:t>pdf</w:t>
      </w:r>
      <w:r>
        <w:rPr/>
        <w:t>))</w:t>
      </w:r>
      <w:r>
        <w:rPr>
          <w:rStyle w:val="FootnoteReference"/>
        </w:rPr>
        <w:footnoteReference w:id="13"/>
      </w:r>
      <w:r>
        <w:rPr/>
        <w:t>:</w:t>
      </w:r>
      <w:bookmarkEnd w:id="234"/>
    </w:p>
    <w:p>
      <w:pPr>
        <w:pStyle w:val="Style20"/>
        <w:keepNext w:val="true"/>
        <w:spacing w:before="120" w:after="0"/>
        <w:rPr/>
      </w:pPr>
      <w:r>
        <w:rPr/>
        <w:t>для юридического лица:</w:t>
      </w:r>
    </w:p>
    <w:p>
      <w:pPr>
        <w:pStyle w:val="Style21"/>
        <w:spacing w:before="120" w:after="0"/>
        <w:rPr/>
      </w:pPr>
      <w:r>
        <w:rPr/>
        <w:t>копия устава в действующей редакции с отметкой ИФНС либо копия нотариально заверенного устава (с отметкой нотариуса);</w:t>
      </w:r>
    </w:p>
    <w:p>
      <w:pPr>
        <w:pStyle w:val="Style21"/>
        <w:spacing w:before="0" w:after="0"/>
        <w:rPr/>
      </w:pPr>
      <w:bookmarkStart w:id="235" w:name="_Ref125638686"/>
      <w:r>
        <w:rPr/>
        <w:t>копии документов, подтверждающих полномочия единоличного исполнительного органа Участника или Управляющей компании (протоколы об избрании единоличного исполнительного органа или о передаче полномочий Управляющей компании), заверенные Победителем;</w:t>
      </w:r>
      <w:bookmarkEnd w:id="235"/>
    </w:p>
    <w:p>
      <w:pPr>
        <w:pStyle w:val="Style21"/>
        <w:spacing w:before="0" w:after="0"/>
        <w:rPr/>
      </w:pPr>
      <w:r>
        <w:rPr/>
        <w:t>если договор подписывается лицом, действующим на основании доверенности, дополнительно предоставляется соответствующая доверенность либо ее нотариально заверенная копия (с указанием правомочий на подписание договора) и документы, подтверждающие соответствующие полномочия лица, выдавшего доверенность;</w:t>
      </w:r>
    </w:p>
    <w:p>
      <w:pPr>
        <w:pStyle w:val="Style21"/>
        <w:spacing w:before="0" w:after="0"/>
        <w:rPr/>
      </w:pPr>
      <w:r>
        <w:rPr/>
        <w:t>если договор подписывается в электронной форме физическим лицом дополнительно предоставляется машиночитаемая доверенность (посредством информационных систем, на которых проводится закупка);</w:t>
      </w:r>
    </w:p>
    <w:p>
      <w:pPr>
        <w:pStyle w:val="Style20"/>
        <w:spacing w:before="120" w:after="0"/>
        <w:rPr/>
      </w:pPr>
      <w:r>
        <w:rPr/>
        <w:t>для лица, зарегистрированного вне Российской Федерации: выписка из торгового реестра страны регистрации иностранного Участника;</w:t>
      </w:r>
    </w:p>
    <w:p>
      <w:pPr>
        <w:pStyle w:val="Style20"/>
        <w:spacing w:before="0" w:after="0"/>
        <w:rPr/>
      </w:pPr>
      <w:r>
        <w:rPr/>
        <w:t>для физического лица: нотариально заверенная копия всех страниц документа, удостоверяющего личность (паспорта);</w:t>
      </w:r>
    </w:p>
    <w:p>
      <w:pPr>
        <w:pStyle w:val="Style20"/>
        <w:spacing w:before="0" w:after="0"/>
        <w:rPr/>
      </w:pPr>
      <w:bookmarkStart w:id="236" w:name="_Ref125361554"/>
      <w:r>
        <w:rPr/>
        <w:t>если Договор заключается с лидером Коллективного участника, то в обязательном порядке предоставляется оригинал и (или) нотариально заверенная копия Соглашения между членами Коллективного участника, указанного в пункте </w:t>
      </w:r>
      <w:r>
        <w:rPr/>
        <w:fldChar w:fldCharType="begin"/>
      </w:r>
      <w:r>
        <w:rPr/>
        <w:instrText xml:space="preserve"> REF _Ref125366972 \r \h </w:instrText>
      </w:r>
      <w:r>
        <w:rPr/>
        <w:fldChar w:fldCharType="separate"/>
      </w:r>
      <w:r>
        <w:rPr/>
        <w:t>3.2.3</w:t>
      </w:r>
      <w:r>
        <w:rPr/>
        <w:fldChar w:fldCharType="end"/>
      </w:r>
      <w:r>
        <w:rPr/>
        <w:t>.</w:t>
      </w:r>
      <w:bookmarkEnd w:id="236"/>
    </w:p>
    <w:p>
      <w:pPr>
        <w:pStyle w:val="Style19"/>
        <w:spacing w:before="120" w:after="0"/>
        <w:rPr/>
      </w:pPr>
      <w:r>
        <w:rPr/>
        <w:t>Если в соответствии с законодательством и уставом Заказчика потребуется предварительное одобрение заключаемого на предложенных Победителем условиях Договора компетентными органами управления Заказчика (Общим собранием акционеров, Советом директоров и т.п.), Договор с Победителем заключается не позднее чем через 5 (пять) календарных дней с даты указанного одобрения.</w:t>
      </w:r>
    </w:p>
    <w:p>
      <w:pPr>
        <w:pStyle w:val="Style19"/>
        <w:spacing w:before="0" w:after="0"/>
        <w:rPr/>
      </w:pPr>
      <w:r>
        <w:rPr/>
        <w:t>В случае обжалования в антимонопольном органе результатов закупки Договор заключается не позднее чем через 5 (пять) календарных дней с даты вынесения решения антимонопольного органа по результатам такого обжалования (за исключением случая возврата на предыдущий этап закупки).</w:t>
      </w:r>
    </w:p>
    <w:p>
      <w:pPr>
        <w:pStyle w:val="Style19"/>
        <w:keepNext w:val="true"/>
        <w:spacing w:before="0" w:after="0"/>
        <w:rPr/>
      </w:pPr>
      <w:bookmarkStart w:id="237" w:name="_Ref132288402"/>
      <w:r>
        <w:rPr/>
        <w:t>При определении условий Договора по результатам закупки используются следующие документы с соблюдением указанной иерархии в порядке перечисления (в случае их противоречия):</w:t>
      </w:r>
      <w:bookmarkEnd w:id="237"/>
    </w:p>
    <w:p>
      <w:pPr>
        <w:pStyle w:val="Style20"/>
        <w:spacing w:before="120" w:after="0"/>
        <w:rPr/>
      </w:pPr>
      <w:r>
        <w:rPr/>
        <w:t>протокол преддоговорных переговоров между Заказчиком и Победителем (при проведении таковых);</w:t>
      </w:r>
    </w:p>
    <w:p>
      <w:pPr>
        <w:pStyle w:val="Style20"/>
        <w:spacing w:before="0" w:after="0"/>
        <w:rPr/>
      </w:pPr>
      <w:r>
        <w:rPr/>
        <w:t>итоговый протокол по результатам закупки;</w:t>
      </w:r>
    </w:p>
    <w:p>
      <w:pPr>
        <w:pStyle w:val="Style20"/>
        <w:spacing w:before="0" w:after="0"/>
        <w:rPr/>
      </w:pPr>
      <w:r>
        <w:rPr/>
        <w:t>Извещение и Документация о закупке со всеми изменениями;</w:t>
      </w:r>
    </w:p>
    <w:p>
      <w:pPr>
        <w:pStyle w:val="Style20"/>
        <w:spacing w:before="0" w:after="0"/>
        <w:rPr/>
      </w:pPr>
      <w:r>
        <w:rPr/>
        <w:t>заявка Победителя со всеми дополнениями и разъяснениями.</w:t>
      </w:r>
    </w:p>
    <w:p>
      <w:pPr>
        <w:pStyle w:val="Style19"/>
        <w:spacing w:before="120" w:after="0"/>
        <w:rPr/>
      </w:pPr>
      <w:bookmarkStart w:id="238" w:name="_Ref125368506"/>
      <w:r>
        <w:rPr/>
        <w:t>Сведения о заключенном Договоре в течение 3 (трех) рабочих дней со дня заключения такого Договора вносятся Заказчиком в Реестр договоров в ЕИС (если размещение таких сведений допустимо Законом 223-ФЗ). Если при заключении и исполнении Договора изменятся количество, объем, цена закупаемой продукции или сроки исполнения Договора (по сравнению с указанными в итоговом протоколе по результатам закупки), то в течение 10 (десяти) календарных дней со дня внесения таких изменений в Договор соответствующая информация с указанием измененных условий Договора также размещается Заказчиком в ЕИС (если размещение таких сведений допустимо Законом 223-ФЗ).</w:t>
      </w:r>
      <w:bookmarkEnd w:id="238"/>
    </w:p>
    <w:p>
      <w:pPr>
        <w:pStyle w:val="Style19"/>
        <w:keepNext w:val="true"/>
        <w:spacing w:before="0" w:after="0"/>
        <w:rPr/>
      </w:pPr>
      <w:bookmarkStart w:id="239" w:name="_Ref125552524"/>
      <w:r>
        <w:rPr/>
        <w:t>Если Договор заключается в электронной форме:</w:t>
      </w:r>
    </w:p>
    <w:p>
      <w:pPr>
        <w:pStyle w:val="Style20"/>
        <w:spacing w:before="120" w:after="0"/>
        <w:rPr/>
      </w:pPr>
      <w:bookmarkStart w:id="240" w:name="_Ref164248655"/>
      <w:r>
        <w:rPr/>
        <w:t>то он заключается с использованием Системы ЭДО, в том числе подписывается усиленной квалифицированной электронной подписью уполномоченного лица Победителя и Заказчика соответственно. Дополнительная информация об особенностях заключения Договора в электронной форме, содержатся в подразделе </w:t>
      </w:r>
      <w:r>
        <w:rPr/>
        <w:fldChar w:fldCharType="begin"/>
      </w:r>
      <w:r>
        <w:rPr/>
        <w:instrText xml:space="preserve"> REF _Ref125359973 \r \h </w:instrText>
      </w:r>
      <w:r>
        <w:rPr/>
        <w:fldChar w:fldCharType="separate"/>
      </w:r>
      <w:r>
        <w:rPr/>
        <w:t>1.2</w:t>
      </w:r>
      <w:r>
        <w:rPr/>
        <w:fldChar w:fldCharType="end"/>
      </w:r>
      <w:bookmarkEnd w:id="239"/>
      <w:bookmarkEnd w:id="240"/>
      <w:r>
        <w:rPr/>
        <w:t>;</w:t>
      </w:r>
    </w:p>
    <w:p>
      <w:pPr>
        <w:pStyle w:val="Style20"/>
        <w:spacing w:before="0" w:after="0"/>
        <w:rPr/>
      </w:pPr>
      <w:bookmarkStart w:id="241" w:name="_Ref164248170"/>
      <w:r>
        <w:rPr/>
        <w:t>Заказчик в течение установленного в пункте </w:t>
      </w:r>
      <w:r>
        <w:rPr/>
        <w:fldChar w:fldCharType="begin"/>
      </w:r>
      <w:r>
        <w:rPr/>
        <w:instrText xml:space="preserve"> REF _Ref130293821 \r \h </w:instrText>
      </w:r>
      <w:r>
        <w:rPr/>
        <w:fldChar w:fldCharType="separate"/>
      </w:r>
      <w:r>
        <w:rPr/>
        <w:t>5.2.1</w:t>
      </w:r>
      <w:r>
        <w:rPr/>
        <w:fldChar w:fldCharType="end"/>
      </w:r>
      <w:r>
        <w:rPr/>
        <w:t xml:space="preserve"> срока направляет в адрес Победителя подписанный со своей стороны Проект договора с использованием функционала Системы ЭДО.</w:t>
      </w:r>
      <w:bookmarkEnd w:id="241"/>
    </w:p>
    <w:p>
      <w:pPr>
        <w:pStyle w:val="Style19"/>
        <w:spacing w:before="120" w:after="0"/>
        <w:rPr/>
      </w:pPr>
      <w:r>
        <w:rPr/>
        <w:t>Если до момента заключения с Договора в отношении Победителя была проведена повторная проверка в рамках мониторинга аккредитованных поставщиков (в соответствии с Положением об аккредитации), и по результатам такой проверки ему присвоен статус «не аккредитован», то он утрачивает статус Победителя, а Закупочная комиссия имеет право выбрать в качестве Победителя иного Участника, занявшего следующее место в ранжировке заявок после Победителя, из числа остальных действующих заявок (при наличии у него статуса «аккредитован» / «аккредитация не требуется»).</w:t>
      </w:r>
    </w:p>
    <w:p>
      <w:pPr>
        <w:pStyle w:val="Style18"/>
        <w:spacing w:before="360" w:after="0"/>
        <w:rPr/>
      </w:pPr>
      <w:bookmarkStart w:id="242" w:name="_Ref125552570"/>
      <w:bookmarkStart w:id="243" w:name="_Toc230928864"/>
      <w:r>
        <w:rPr/>
        <w:t>Преддоговорные переговоры</w:t>
      </w:r>
      <w:bookmarkEnd w:id="242"/>
      <w:bookmarkEnd w:id="243"/>
    </w:p>
    <w:p>
      <w:pPr>
        <w:pStyle w:val="Style19"/>
        <w:keepNext w:val="true"/>
        <w:spacing w:before="120" w:after="0"/>
        <w:rPr/>
      </w:pPr>
      <w:r>
        <w:rPr/>
        <w:t>Проведение преддоговорных переговоров между Заказчиком и Победителем допускается только в отношении следующих вопросов:</w:t>
      </w:r>
    </w:p>
    <w:p>
      <w:pPr>
        <w:pStyle w:val="Style20"/>
        <w:spacing w:before="120" w:after="0"/>
        <w:rPr/>
      </w:pPr>
      <w:r>
        <w:rPr/>
        <w:t>снижение цены Договора (при этом объем закупаемой продукции, а также технические характеристики продукции, определенные в Документации о закупке и заявке Победителя, остаются неизменными);</w:t>
      </w:r>
    </w:p>
    <w:p>
      <w:pPr>
        <w:pStyle w:val="Style20"/>
        <w:spacing w:before="0" w:after="0"/>
        <w:rPr/>
      </w:pPr>
      <w:r>
        <w:rPr/>
        <w:t>увеличение объема закупаемой продукции (при этом цена Договора и технические характеристики продукции, определенные в Документации о закупке и заявке Победителя, остаются неизменными);</w:t>
      </w:r>
    </w:p>
    <w:p>
      <w:pPr>
        <w:pStyle w:val="Style20"/>
        <w:spacing w:before="0" w:after="0"/>
        <w:rPr/>
      </w:pPr>
      <w:r>
        <w:rPr/>
        <w:t>уточнение сроков исполнения обязательств по Договору (если заключение Договора и исполнение обязательств по нему не могут быть проведены в установленные сроки в связи с обжалованием результатов закупки в адрес Заказчика или антимонопольного органа, в связи с административным производством, судебным разбирательством, принятием органами управления Заказчика решения об одобрении Договора по основаниям, предусмотренным законодательством, уставом и (или) локальными нормативными актами Заказчика);</w:t>
      </w:r>
    </w:p>
    <w:p>
      <w:pPr>
        <w:pStyle w:val="Style20"/>
        <w:spacing w:before="0" w:after="0"/>
        <w:rPr/>
      </w:pPr>
      <w:r>
        <w:rPr/>
        <w:t>изменение условий Договора в связи с изменениями законодательства или предписаниями органов государственной власти, органов местного самоуправления;</w:t>
      </w:r>
    </w:p>
    <w:p>
      <w:pPr>
        <w:pStyle w:val="Style20"/>
        <w:spacing w:before="0" w:after="0"/>
        <w:rPr/>
      </w:pPr>
      <w:r>
        <w:rPr/>
        <w:t>уточнение условий исполнения договора в лучшую для Заказчика сторону, в том числе: сокращение сроков исполнения Договора; отказ Победителя от аванса или уменьшение его величины; предоставление отсрочки или рассрочки при оплате; улучшение характеристик продукции; увеличение сроков и объема гарантии.</w:t>
      </w:r>
    </w:p>
    <w:p>
      <w:pPr>
        <w:pStyle w:val="Style19"/>
        <w:spacing w:before="120" w:after="0"/>
        <w:rPr/>
      </w:pPr>
      <w:r>
        <w:rPr/>
        <w:t>В любом случае не допускаются переговоры, направленные на изменение условий заключаемого Договора, которые ведут к ухудшению его условий для Заказчика.</w:t>
      </w:r>
    </w:p>
    <w:p>
      <w:pPr>
        <w:pStyle w:val="Style19"/>
        <w:spacing w:before="0" w:after="0"/>
        <w:rPr/>
      </w:pPr>
      <w:r>
        <w:rPr/>
        <w:t>Преддоговорные переговоры могут быть проведены в очной или заочной форме, в том числе с помощью средств аудио-, видео- конференцсвязи. Срок и формат проведения преддоговорных переговоров определяет Заказчик и (или) Организатор.</w:t>
      </w:r>
    </w:p>
    <w:p>
      <w:pPr>
        <w:pStyle w:val="Style19"/>
        <w:spacing w:before="0" w:after="0"/>
        <w:rPr/>
      </w:pPr>
      <w:r>
        <w:rPr/>
        <w:t>Результаты преддоговорных переговоров фиксируются в форме протокола</w:t>
      </w:r>
      <w:r>
        <w:rPr>
          <w:rStyle w:val="FootnoteReference"/>
        </w:rPr>
        <w:footnoteReference w:id="14"/>
      </w:r>
      <w:r>
        <w:rPr/>
        <w:t>, подписываемого Заказчиком и Победителем, который официально размещается в течение 3 (трех) календарных дней с момента их проведения, и должны быть учтены при заключении Договора.</w:t>
      </w:r>
    </w:p>
    <w:p>
      <w:pPr>
        <w:pStyle w:val="Style19"/>
        <w:spacing w:before="0" w:after="0"/>
        <w:rPr/>
      </w:pPr>
      <w:r>
        <w:rPr/>
        <w:t>Победитель вправе отказаться от участия в преддоговорных переговорах, при этом такой отказ не является отказом от заключения Договора. Если Заказчик и Победитель в ходе проведения преддоговорных переговоров не пришли к соглашению по вопросу положений, входящих в состав заключаемого Договора, или Победитель отказался от участия в преддоговорных переговорах, Договор заключается на условиях Документации о закупке и заявки такого Победителя (со всеми изменениями и дополнениями) в соответствии с пунктом </w:t>
      </w:r>
      <w:r>
        <w:rPr/>
        <w:fldChar w:fldCharType="begin"/>
      </w:r>
      <w:r>
        <w:rPr/>
        <w:instrText xml:space="preserve"> REF _Ref132288402 \r \h </w:instrText>
      </w:r>
      <w:r>
        <w:rPr/>
        <w:fldChar w:fldCharType="separate"/>
      </w:r>
      <w:r>
        <w:rPr/>
        <w:t>5.2.9</w:t>
      </w:r>
      <w:r>
        <w:rPr/>
        <w:fldChar w:fldCharType="end"/>
      </w:r>
      <w:r>
        <w:rPr/>
        <w:t>.</w:t>
      </w:r>
    </w:p>
    <w:p>
      <w:pPr>
        <w:pStyle w:val="Style18"/>
        <w:spacing w:before="360" w:after="0"/>
        <w:rPr/>
      </w:pPr>
      <w:bookmarkStart w:id="244" w:name="_Ref125367068"/>
      <w:bookmarkStart w:id="245" w:name="_Toc230928865"/>
      <w:r>
        <w:rPr/>
        <w:t>Уклонение Победителя от заключения Договора</w:t>
      </w:r>
      <w:bookmarkEnd w:id="244"/>
      <w:bookmarkEnd w:id="245"/>
    </w:p>
    <w:p>
      <w:pPr>
        <w:pStyle w:val="Style19"/>
        <w:keepNext w:val="true"/>
        <w:spacing w:before="120" w:after="0"/>
        <w:rPr/>
      </w:pPr>
      <w:r>
        <w:rPr/>
        <w:t>Если Победитель закупки:</w:t>
      </w:r>
    </w:p>
    <w:p>
      <w:pPr>
        <w:pStyle w:val="Style20"/>
        <w:spacing w:before="120" w:after="0"/>
        <w:rPr/>
      </w:pPr>
      <w:r>
        <w:rPr/>
        <w:t>не подпишет Договор в установленные Документацией о закупке сроки (пункт </w:t>
      </w:r>
      <w:r>
        <w:rPr/>
        <w:fldChar w:fldCharType="begin"/>
      </w:r>
      <w:r>
        <w:rPr/>
        <w:instrText xml:space="preserve"> REF _Ref130293821 \r \h </w:instrText>
      </w:r>
      <w:r>
        <w:rPr/>
        <w:fldChar w:fldCharType="separate"/>
      </w:r>
      <w:r>
        <w:rPr/>
        <w:t>5.2.1</w:t>
      </w:r>
      <w:r>
        <w:rPr/>
        <w:fldChar w:fldCharType="end"/>
      </w:r>
      <w:r>
        <w:rPr/>
        <w:t>);</w:t>
      </w:r>
    </w:p>
    <w:p>
      <w:pPr>
        <w:pStyle w:val="Style20"/>
        <w:spacing w:before="0" w:after="0"/>
        <w:rPr/>
      </w:pPr>
      <w:r>
        <w:rPr/>
        <w:t>откажется от подписания Договора на условиях, определяемых в соответствии с пунктом </w:t>
      </w:r>
      <w:r>
        <w:rPr/>
        <w:fldChar w:fldCharType="begin"/>
      </w:r>
      <w:r>
        <w:rPr/>
        <w:instrText xml:space="preserve"> REF _Ref132288402 \r \h </w:instrText>
      </w:r>
      <w:r>
        <w:rPr/>
        <w:fldChar w:fldCharType="separate"/>
      </w:r>
      <w:r>
        <w:rPr/>
        <w:t>5.2.9</w:t>
      </w:r>
      <w:r>
        <w:rPr/>
        <w:fldChar w:fldCharType="end"/>
      </w:r>
      <w:r>
        <w:rPr/>
        <w:t>;</w:t>
      </w:r>
    </w:p>
    <w:p>
      <w:pPr>
        <w:pStyle w:val="Style20"/>
        <w:spacing w:before="0" w:after="0"/>
        <w:rPr/>
      </w:pPr>
      <w:r>
        <w:rPr/>
        <w:t>не раскроет информацию в отношении всей цепочки собственников, включая бенефициаров (в том числе конечных), по установленной форме (</w:t>
      </w:r>
      <w:hyperlink w:anchor="Прил05_ФормыПобедителя" w:tgtFrame="#Прил05_ФормыПобедителя">
        <w:r>
          <w:rPr>
            <w:color w:val="000000"/>
            <w:spacing w:val="0"/>
            <w:u w:val="single"/>
            <w:shd w:fill="auto" w:val="clear"/>
            <w:lang w:val="ru-RU"/>
          </w:rPr>
          <w:t>Приложение № 5</w:t>
        </w:r>
      </w:hyperlink>
      <w:r>
        <w:rPr/>
        <w:t>), с приложением подтверждающих документов;</w:t>
      </w:r>
    </w:p>
    <w:p>
      <w:pPr>
        <w:pStyle w:val="Style20"/>
        <w:spacing w:before="0" w:after="0"/>
        <w:rPr/>
      </w:pPr>
      <w:r>
        <w:rPr/>
        <w:t xml:space="preserve">не предоставит Заверение об обстоятельствах, представляющее собой гарантийное письмо об отсутствии обстоятельств, препятствующих заключению Договора, в случаях и по форме, предусмотренных </w:t>
      </w:r>
      <w:hyperlink w:anchor="Прил05_ФормыПобедителя" w:tgtFrame="#Прил05_ФормыПобедителя">
        <w:r>
          <w:rPr>
            <w:color w:val="000000"/>
            <w:spacing w:val="0"/>
            <w:u w:val="single"/>
            <w:shd w:fill="auto" w:val="clear"/>
            <w:lang w:val="ru-RU"/>
          </w:rPr>
          <w:t>Приложением № 5</w:t>
        </w:r>
      </w:hyperlink>
      <w:r>
        <w:rPr/>
        <w:t>;</w:t>
      </w:r>
    </w:p>
    <w:p>
      <w:pPr>
        <w:pStyle w:val="Style20"/>
        <w:spacing w:before="0" w:after="0"/>
        <w:rPr/>
      </w:pPr>
      <w:r>
        <w:rPr/>
        <w:t>не предоставит в установленный Заказчиком срок документы, указанные в пункте </w:t>
      </w:r>
      <w:r>
        <w:rPr/>
        <w:fldChar w:fldCharType="begin"/>
      </w:r>
      <w:r>
        <w:rPr/>
        <w:instrText xml:space="preserve"> REF _Ref125551776 \r \h </w:instrText>
      </w:r>
      <w:r>
        <w:rPr/>
        <w:fldChar w:fldCharType="separate"/>
      </w:r>
      <w:r>
        <w:rPr/>
        <w:t>5.2.5</w:t>
      </w:r>
      <w:r>
        <w:rPr/>
        <w:fldChar w:fldCharType="end"/>
      </w:r>
      <w:r>
        <w:rPr/>
        <w:t>, или предоставит их с нарушением требований, установленных в Документации о закупке;</w:t>
      </w:r>
    </w:p>
    <w:p>
      <w:pPr>
        <w:pStyle w:val="Style20"/>
        <w:spacing w:before="0" w:after="0"/>
        <w:rPr/>
      </w:pPr>
      <w:r>
        <w:rPr/>
        <w:t>не предоставит в установленный Заказчиком срок документы, указанные в пункте </w:t>
      </w:r>
      <w:r>
        <w:rPr/>
        <w:fldChar w:fldCharType="begin"/>
      </w:r>
      <w:r>
        <w:rPr/>
        <w:instrText xml:space="preserve"> REF _Ref125551072 \w \h </w:instrText>
      </w:r>
      <w:r>
        <w:rPr/>
        <w:fldChar w:fldCharType="separate"/>
      </w:r>
      <w:r>
        <w:rPr/>
        <w:t>5.2.6</w:t>
      </w:r>
      <w:r>
        <w:rPr/>
        <w:fldChar w:fldCharType="end"/>
      </w:r>
      <w:r>
        <w:rPr/>
        <w:t>, или предоставит их с нарушением требований, установленных в Документации о закупке;</w:t>
      </w:r>
    </w:p>
    <w:p>
      <w:pPr>
        <w:pStyle w:val="Style20"/>
        <w:spacing w:before="0" w:after="0"/>
        <w:rPr/>
      </w:pPr>
      <w:r>
        <w:rPr/>
        <w:t xml:space="preserve">не предоставит копии документов, обязательных к предоставлению Победителем закупки в соответствии с требованиями </w:t>
      </w:r>
      <w:hyperlink w:anchor="Прил01_ТехТребования" w:tgtFrame="#Прил01_ТехТребования">
        <w:r>
          <w:rPr>
            <w:color w:val="000000"/>
            <w:spacing w:val="0"/>
            <w:u w:val="single"/>
            <w:shd w:fill="auto" w:val="clear"/>
            <w:lang w:val="ru-RU"/>
          </w:rPr>
          <w:t>Приложения № 1 – Технические требования</w:t>
        </w:r>
      </w:hyperlink>
      <w:r>
        <w:rPr/>
        <w:t xml:space="preserve"> (в случае установления таковых);</w:t>
      </w:r>
    </w:p>
    <w:p>
      <w:pPr>
        <w:pStyle w:val="Style20"/>
        <w:spacing w:before="0" w:after="0"/>
        <w:rPr/>
      </w:pPr>
      <w:r>
        <w:rPr/>
        <w:t>не предоставит обеспечение исполнения договора до момента его заключения, если Документация о закупке предусматривает обеспечение исполнения договора с соответствующими обязательствами;</w:t>
      </w:r>
    </w:p>
    <w:p>
      <w:pPr>
        <w:pStyle w:val="Style20"/>
        <w:spacing w:before="0" w:after="0"/>
        <w:rPr/>
      </w:pPr>
      <w:r>
        <w:rPr/>
        <w:t>не выполнит другие условия, прямо предусмотренные Документацией о закупке,</w:t>
      </w:r>
    </w:p>
    <w:p>
      <w:pPr>
        <w:pStyle w:val="Style23"/>
        <w:ind w:left="1134"/>
        <w:rPr/>
      </w:pPr>
      <w:r>
        <w:rPr/>
        <w:t>то он (по истечению установленных в подразделе </w:t>
      </w:r>
      <w:r>
        <w:rPr/>
        <w:fldChar w:fldCharType="begin"/>
      </w:r>
      <w:r>
        <w:rPr/>
        <w:instrText xml:space="preserve"> REF _Ref138232981 \r \h </w:instrText>
      </w:r>
      <w:r>
        <w:rPr/>
        <w:fldChar w:fldCharType="separate"/>
      </w:r>
      <w:r>
        <w:rPr/>
        <w:t>5.2</w:t>
      </w:r>
      <w:r>
        <w:rPr/>
        <w:fldChar w:fldCharType="end"/>
      </w:r>
      <w:r>
        <w:rPr/>
        <w:t xml:space="preserve"> сроков на заключение Договора) признается уклонившимся от заключения Договора и утрачивает статус Победителя, а Закупочная комиссия имеет право выбрать в качестве Победителя иного Участника, занявшего следующее место в ранжировке заявок после Победителя, из числа остальных действующих заявок.</w:t>
      </w:r>
    </w:p>
    <w:p>
      <w:pPr>
        <w:pStyle w:val="Style17"/>
        <w:spacing w:before="0" w:after="0"/>
        <w:rPr/>
      </w:pPr>
      <w:bookmarkStart w:id="246" w:name="_Toc230928866"/>
      <w:bookmarkStart w:id="247" w:name="Прил01_ТехТребования"/>
      <w:bookmarkStart w:id="248" w:name="_Ref125370843"/>
      <w:bookmarkStart w:id="249" w:name="_Ref125370750"/>
      <w:bookmarkStart w:id="250" w:name="_Ref125370746"/>
      <w:bookmarkStart w:id="251" w:name="_Ref125370741"/>
      <w:bookmarkStart w:id="252" w:name="_Ref125370732"/>
      <w:bookmarkStart w:id="253" w:name="_Ref125364088"/>
      <w:bookmarkStart w:id="254" w:name="_Ref125363752"/>
      <w:bookmarkStart w:id="255" w:name="_Ref125363600"/>
      <w:bookmarkStart w:id="256" w:name="_Ref125363034"/>
      <w:bookmarkStart w:id="257" w:name="_Ref125363023"/>
      <w:bookmarkStart w:id="258" w:name="_Ref125363016"/>
      <w:bookmarkStart w:id="259" w:name="_Ref125364201"/>
      <w:r>
        <w:rPr/>
        <w:t>Приложение № 1 – Технические требования</w:t>
      </w:r>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p>
    <w:p>
      <w:pPr>
        <w:pStyle w:val="Style18"/>
        <w:spacing w:before="360" w:after="0"/>
        <w:rPr/>
      </w:pPr>
      <w:bookmarkStart w:id="260" w:name="_Toc230928867"/>
      <w:r>
        <w:rPr/>
        <w:t>Пояснения к Техническим требованиям</w:t>
      </w:r>
      <w:bookmarkEnd w:id="260"/>
    </w:p>
    <w:p>
      <w:pPr>
        <w:pStyle w:val="Style19"/>
        <w:spacing w:before="120" w:after="0"/>
        <w:rPr/>
      </w:pPr>
      <w:r>
        <w:rPr/>
        <w:t>Технические требования к закупаемой продукции приведены в отдельном файле (предоставляются отдельным документом в составе Документации о закупке), являющимся Приложением № 1 к Документации о закупке.</w:t>
      </w:r>
    </w:p>
    <w:p>
      <w:pPr>
        <w:pStyle w:val="Style17"/>
        <w:spacing w:before="0" w:after="0"/>
        <w:rPr/>
      </w:pPr>
      <w:bookmarkStart w:id="261" w:name="_Ref125370754"/>
      <w:bookmarkStart w:id="262" w:name="_Toc230928868"/>
      <w:bookmarkStart w:id="263" w:name="Прил02_ПроектДоговора"/>
      <w:bookmarkStart w:id="264" w:name="_Ref125364206"/>
      <w:bookmarkStart w:id="265" w:name="_Ref125364081"/>
      <w:bookmarkStart w:id="266" w:name="_Ref125363759"/>
      <w:bookmarkStart w:id="267" w:name="_Ref125363605"/>
      <w:bookmarkStart w:id="268" w:name="_Ref125363040"/>
      <w:bookmarkStart w:id="269" w:name="_Ref125361746"/>
      <w:r>
        <w:rPr/>
        <w:t>Приложение № 2 – Проект договора</w:t>
      </w:r>
      <w:bookmarkEnd w:id="261"/>
      <w:bookmarkEnd w:id="262"/>
      <w:bookmarkEnd w:id="263"/>
      <w:bookmarkEnd w:id="264"/>
      <w:bookmarkEnd w:id="265"/>
      <w:bookmarkEnd w:id="266"/>
      <w:bookmarkEnd w:id="267"/>
      <w:bookmarkEnd w:id="268"/>
      <w:bookmarkEnd w:id="269"/>
    </w:p>
    <w:p>
      <w:pPr>
        <w:pStyle w:val="Style18"/>
        <w:spacing w:before="360" w:after="0"/>
        <w:rPr/>
      </w:pPr>
      <w:bookmarkStart w:id="270" w:name="_Toc230928869"/>
      <w:r>
        <w:rPr/>
        <w:t>Пояснения к Проекту договора</w:t>
      </w:r>
      <w:bookmarkEnd w:id="270"/>
    </w:p>
    <w:p>
      <w:pPr>
        <w:pStyle w:val="Style19"/>
        <w:spacing w:before="120" w:after="0"/>
        <w:rPr/>
      </w:pPr>
      <w:r>
        <w:rPr/>
        <w:t>Проект договора, заключаемого по результатам закупки, приведен в отдельном файле (предоставляется отдельным документом в составе Документации о закупке), являющимся Приложением № 2 к Документации о закупке.</w:t>
      </w:r>
    </w:p>
    <w:p>
      <w:pPr>
        <w:pStyle w:val="Style19"/>
        <w:spacing w:before="0" w:after="0"/>
        <w:rPr/>
      </w:pPr>
      <w:r>
        <w:rPr/>
        <w:t>Все положения Проекта договора являются существенными условиями для Заказчика, за исключением пунктов договора, указанных в подразделе </w:t>
      </w:r>
      <w:r>
        <w:rPr/>
        <w:fldChar w:fldCharType="begin"/>
      </w:r>
      <w:r>
        <w:rPr/>
        <w:instrText xml:space="preserve"> REF _Ref125359973 \r \h </w:instrText>
      </w:r>
      <w:r>
        <w:rPr/>
        <w:fldChar w:fldCharType="separate"/>
      </w:r>
      <w:r>
        <w:rPr/>
        <w:t>1.2</w:t>
      </w:r>
      <w:r>
        <w:rPr/>
        <w:fldChar w:fldCharType="end"/>
      </w:r>
      <w:r>
        <w:rPr/>
        <w:t xml:space="preserve"> </w:t>
      </w:r>
      <w:bookmarkStart w:id="271" w:name="_Hlk132883778"/>
      <w:r>
        <w:rPr/>
        <w:t>как «Некритичные пункты Проекта договора»</w:t>
      </w:r>
      <w:bookmarkEnd w:id="271"/>
      <w:r>
        <w:rPr/>
        <w:t>.</w:t>
      </w:r>
    </w:p>
    <w:p>
      <w:pPr>
        <w:pStyle w:val="Style19"/>
        <w:spacing w:before="0" w:after="0"/>
        <w:rPr/>
      </w:pPr>
      <w:r>
        <w:rPr/>
        <w:t>В случае проведения преддоговорных переговоров Заказчик оставляет за собой право рассмотреть и принять перед подписанием Договора предложения и дополнительные (не носящие принципиального характера) изменения к Договору. Если Стороны не придут к соглашению об этих изменениях, они будут обязаны подписать Договор на условиях, изложенных в Документации о закупке.</w:t>
      </w:r>
    </w:p>
    <w:p>
      <w:pPr>
        <w:pStyle w:val="Style19"/>
        <w:spacing w:before="0" w:after="0"/>
        <w:rPr/>
      </w:pPr>
      <w:r>
        <w:rPr/>
        <w:t>Одновременно с подписанием Сторонами Договора или не позднее 3 (трех) рабочих дней после подписания Договора, Сторонами должно быть подписано дополнительное соглашение, форма которого приведена в отдельном файле в формате Microsoft Word (предоставляется отдельным документом в составе Документации о закупке), касающееся вопросов подтверждения Участником информации о цепочке собственников, включая бенефициаров (в том числе конечных):</w:t>
      </w:r>
      <w:bookmarkStart w:id="272" w:name="_MON_1736255517"/>
      <w:bookmarkEnd w:id="272"/>
    </w:p>
    <w:p>
      <w:pPr>
        <w:sectPr>
          <w:headerReference w:type="default" r:id="rId14"/>
          <w:headerReference w:type="first" r:id="rId15"/>
          <w:footerReference w:type="default" r:id="rId16"/>
          <w:footerReference w:type="first" r:id="rId17"/>
          <w:footnotePr>
            <w:numFmt w:val="decimal"/>
          </w:footnotePr>
          <w:type w:val="nextPage"/>
          <w:pgSz w:w="11906" w:h="16838"/>
          <w:pgMar w:left="1134" w:right="850" w:gutter="0" w:header="567" w:top="851" w:footer="567" w:bottom="851"/>
          <w:pgNumType w:fmt="decimal"/>
          <w:formProt w:val="false"/>
          <w:textDirection w:val="lrTb"/>
          <w:docGrid w:type="default" w:linePitch="360" w:charSpace="0"/>
        </w:sectPr>
        <w:pStyle w:val="Style23"/>
        <w:jc w:val="center"/>
        <w:rPr/>
      </w:pPr>
      <w:r>
        <w:rPr/>
        <w:object>
          <v:shapetype id="_x0000_tole_rId12" coordsize="21600,21600" o:spt="ole_rId12"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le_rId12" type="_x0000_tole_rId12" style="width:78.05pt;height:49.6pt;mso-wrap-distance-right:0pt" filled="f" o:ole="">
            <v:imagedata r:id="rId13" o:title=""/>
          </v:shape>
          <o:OLEObject Type="Embed" ProgID="Word.Document.12" ShapeID="ole_rId12" DrawAspect="Icon" ObjectID="_1131670474" r:id="rId12"/>
        </w:object>
      </w:r>
    </w:p>
    <w:p>
      <w:pPr>
        <w:pStyle w:val="Style17"/>
        <w:spacing w:before="0" w:after="0"/>
        <w:rPr/>
      </w:pPr>
      <w:bookmarkStart w:id="273" w:name="_Ref125361494"/>
      <w:bookmarkStart w:id="274" w:name="_Ref125361908"/>
      <w:bookmarkStart w:id="275" w:name="_Ref125365476"/>
      <w:bookmarkStart w:id="276" w:name="_Ref125370013"/>
      <w:bookmarkStart w:id="277" w:name="Прил03_ТребованияУчастникам"/>
      <w:bookmarkStart w:id="278" w:name="_Toc230928870"/>
      <w:r>
        <w:rPr/>
        <w:t>Приложение № 3 – Требования к Участникам</w:t>
      </w:r>
      <w:bookmarkEnd w:id="273"/>
      <w:bookmarkEnd w:id="274"/>
      <w:bookmarkEnd w:id="275"/>
      <w:bookmarkEnd w:id="276"/>
      <w:bookmarkEnd w:id="277"/>
      <w:bookmarkEnd w:id="278"/>
    </w:p>
    <w:p>
      <w:pPr>
        <w:pStyle w:val="Style18"/>
        <w:spacing w:before="360" w:after="0"/>
        <w:rPr/>
      </w:pPr>
      <w:bookmarkStart w:id="279" w:name="_Toc230928871"/>
      <w:r>
        <w:rPr/>
        <w:t>Пояснения к требованиям к Участникам</w:t>
      </w:r>
      <w:bookmarkEnd w:id="279"/>
    </w:p>
    <w:p>
      <w:pPr>
        <w:pStyle w:val="Style19"/>
        <w:spacing w:before="120" w:after="0"/>
        <w:rPr/>
      </w:pPr>
      <w:bookmarkStart w:id="280" w:name="_Hlk125628168"/>
      <w:r>
        <w:rPr/>
        <w:t>Чтобы претендовать на победу в закупке и получение права заключить Договор с Заказчиком, Участник самостоятельно или Коллективный участник в целом должен отвечать нижеуказанным требованиям и включить в состав заявки документы, подтверждающие его соответствие установленным требованиям.</w:t>
      </w:r>
      <w:bookmarkEnd w:id="280"/>
    </w:p>
    <w:p>
      <w:pPr>
        <w:pStyle w:val="Style18"/>
        <w:spacing w:before="360" w:after="120"/>
        <w:rPr/>
      </w:pPr>
      <w:bookmarkStart w:id="281" w:name="_Ref125361590"/>
      <w:bookmarkStart w:id="282" w:name="_Ref125361435"/>
      <w:bookmarkStart w:id="283" w:name="_Toc230928872"/>
      <w:bookmarkStart w:id="284" w:name="_Ref125370071"/>
      <w:bookmarkStart w:id="285" w:name="_Ref125370064"/>
      <w:bookmarkStart w:id="286" w:name="_Ref125370058"/>
      <w:bookmarkStart w:id="287" w:name="_Ref125369088"/>
      <w:bookmarkStart w:id="288" w:name="_Ref125368895"/>
      <w:bookmarkStart w:id="289" w:name="_Ref125366879"/>
      <w:bookmarkStart w:id="290" w:name="_Ref125361926"/>
      <w:bookmarkStart w:id="291" w:name="_Ref125361846"/>
      <w:bookmarkStart w:id="292" w:name="_Ref125361832"/>
      <w:bookmarkStart w:id="293" w:name="_Ref125361617"/>
      <w:bookmarkStart w:id="294" w:name="_Ref125368812"/>
      <w:r>
        <w:rPr/>
        <w:t>Обязательные требования</w:t>
      </w:r>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p>
    <w:tbl>
      <w:tblPr>
        <w:tblStyle w:val="1497"/>
        <w:tblW w:w="15126" w:type="dxa"/>
        <w:jc w:val="left"/>
        <w:tblInd w:w="0" w:type="dxa"/>
        <w:tblLayout w:type="fixed"/>
        <w:tblCellMar>
          <w:top w:w="0" w:type="dxa"/>
          <w:left w:w="57" w:type="dxa"/>
          <w:bottom w:w="0" w:type="dxa"/>
          <w:right w:w="57" w:type="dxa"/>
        </w:tblCellMar>
        <w:tblLook w:val="04a0" w:noHBand="0" w:noVBand="1" w:firstColumn="1" w:lastRow="0" w:lastColumn="0" w:firstRow="1"/>
      </w:tblPr>
      <w:tblGrid>
        <w:gridCol w:w="1128"/>
        <w:gridCol w:w="5671"/>
        <w:gridCol w:w="8327"/>
      </w:tblGrid>
      <w:tr>
        <w:trPr/>
        <w:tc>
          <w:tcPr>
            <w:tcW w:w="1128" w:type="dxa"/>
            <w:tcBorders/>
          </w:tcPr>
          <w:p>
            <w:pPr>
              <w:pStyle w:val="Style23"/>
              <w:keepNext w:val="false"/>
              <w:keepLines w:val="false"/>
              <w:widowControl/>
              <w:spacing w:lineRule="auto" w:line="240" w:before="60" w:after="60"/>
              <w:jc w:val="center"/>
              <w:rPr>
                <w:rFonts w:ascii="Times New Roman" w:hAnsi="Times New Roman" w:eastAsia="Calibri" w:cs="Arial"/>
                <w:b/>
                <w:sz w:val="26"/>
                <w:szCs w:val="22"/>
                <w:lang w:val="ru-RU" w:eastAsia="en-US" w:bidi="ar-SA"/>
              </w:rPr>
            </w:pPr>
            <w:r>
              <w:rPr>
                <w:rFonts w:eastAsia="Calibri" w:cs="Arial"/>
                <w:b/>
                <w:kern w:val="0"/>
                <w:sz w:val="26"/>
                <w:szCs w:val="22"/>
                <w:lang w:val="ru-RU" w:eastAsia="en-US" w:bidi="ar-SA"/>
              </w:rPr>
              <w:t>№</w:t>
            </w:r>
            <w:r>
              <w:rPr>
                <w:rFonts w:eastAsia="Calibri" w:cs="Arial"/>
                <w:b/>
                <w:kern w:val="0"/>
                <w:sz w:val="26"/>
                <w:szCs w:val="22"/>
                <w:lang w:val="ru-RU" w:eastAsia="en-US" w:bidi="ar-SA"/>
              </w:rPr>
              <w:br/>
              <w:t>п/п</w:t>
            </w:r>
          </w:p>
        </w:tc>
        <w:tc>
          <w:tcPr>
            <w:tcW w:w="5671" w:type="dxa"/>
            <w:tcBorders/>
          </w:tcPr>
          <w:p>
            <w:pPr>
              <w:pStyle w:val="Style23"/>
              <w:keepNext w:val="false"/>
              <w:keepLines w:val="false"/>
              <w:widowControl/>
              <w:spacing w:lineRule="auto" w:line="240" w:before="60" w:after="60"/>
              <w:jc w:val="center"/>
              <w:rPr>
                <w:rFonts w:ascii="Times New Roman" w:hAnsi="Times New Roman" w:eastAsia="Calibri" w:cs="Arial"/>
                <w:b/>
                <w:sz w:val="26"/>
                <w:szCs w:val="22"/>
                <w:lang w:val="ru-RU" w:eastAsia="en-US" w:bidi="ar-SA"/>
              </w:rPr>
            </w:pPr>
            <w:r>
              <w:rPr>
                <w:rFonts w:eastAsia="Calibri" w:cs="Arial"/>
                <w:b/>
                <w:kern w:val="0"/>
                <w:sz w:val="26"/>
                <w:szCs w:val="22"/>
                <w:lang w:val="ru-RU" w:eastAsia="en-US" w:bidi="ar-SA"/>
              </w:rPr>
              <w:t>Требования к Участнику</w:t>
            </w:r>
          </w:p>
        </w:tc>
        <w:tc>
          <w:tcPr>
            <w:tcW w:w="8327" w:type="dxa"/>
            <w:tcBorders/>
          </w:tcPr>
          <w:p>
            <w:pPr>
              <w:pStyle w:val="Style23"/>
              <w:keepNext w:val="false"/>
              <w:keepLines w:val="false"/>
              <w:widowControl/>
              <w:spacing w:lineRule="auto" w:line="240" w:before="60" w:after="60"/>
              <w:jc w:val="center"/>
              <w:rPr>
                <w:rFonts w:ascii="Times New Roman" w:hAnsi="Times New Roman" w:eastAsia="Calibri" w:cs="Arial"/>
                <w:b/>
                <w:sz w:val="26"/>
                <w:szCs w:val="22"/>
                <w:lang w:val="ru-RU" w:eastAsia="en-US" w:bidi="ar-SA"/>
              </w:rPr>
            </w:pPr>
            <w:r>
              <w:rPr>
                <w:rFonts w:eastAsia="Calibri" w:cs="Arial"/>
                <w:b/>
                <w:kern w:val="0"/>
                <w:sz w:val="26"/>
                <w:szCs w:val="22"/>
                <w:lang w:val="ru-RU" w:eastAsia="en-US" w:bidi="ar-SA"/>
              </w:rPr>
              <w:t>Требования к документам,</w:t>
              <w:br/>
              <w:t>подтверждающим соответствие Участника установленным требованиям</w:t>
            </w:r>
          </w:p>
        </w:tc>
      </w:tr>
      <w:tr>
        <w:trPr/>
        <w:tc>
          <w:tcPr>
            <w:tcW w:w="1128" w:type="dxa"/>
            <w:tcBorders/>
          </w:tcPr>
          <w:p>
            <w:pPr>
              <w:pStyle w:val="Style23"/>
              <w:widowControl/>
              <w:numPr>
                <w:ilvl w:val="0"/>
                <w:numId w:val="3"/>
              </w:numPr>
              <w:spacing w:lineRule="auto" w:line="240" w:before="60" w:after="60"/>
              <w:ind w:hanging="0" w:left="284"/>
              <w:jc w:val="center"/>
              <w:rPr>
                <w:rFonts w:ascii="Times New Roman" w:hAnsi="Times New Roman" w:eastAsia="Calibri" w:cs="Arial"/>
                <w:sz w:val="26"/>
                <w:szCs w:val="22"/>
                <w:lang w:val="ru-RU" w:eastAsia="en-US" w:bidi="ar-SA"/>
              </w:rPr>
            </w:pPr>
            <w:r>
              <w:rPr>
                <w:rFonts w:eastAsia="Calibri" w:cs="Arial"/>
                <w:sz w:val="26"/>
                <w:szCs w:val="22"/>
                <w:lang w:val="ru-RU" w:eastAsia="en-US" w:bidi="ar-SA"/>
              </w:rPr>
            </w:r>
            <w:bookmarkStart w:id="295" w:name="_Ref125552433"/>
            <w:bookmarkStart w:id="296" w:name="_Ref125552433"/>
            <w:bookmarkEnd w:id="296"/>
          </w:p>
        </w:tc>
        <w:tc>
          <w:tcPr>
            <w:tcW w:w="5671" w:type="dxa"/>
            <w:tcBorders/>
          </w:tcPr>
          <w:p>
            <w:pPr>
              <w:pStyle w:val="Style23"/>
              <w:widowControl/>
              <w:spacing w:lineRule="auto" w:line="240" w:before="60" w:after="60"/>
              <w:rPr>
                <w:rFonts w:ascii="Times New Roman" w:hAnsi="Times New Roman" w:eastAsia="Calibri" w:cs="Arial"/>
                <w:sz w:val="26"/>
                <w:szCs w:val="22"/>
                <w:lang w:val="ru-RU" w:eastAsia="en-US" w:bidi="ar-SA"/>
              </w:rPr>
            </w:pPr>
            <w:r>
              <w:rPr>
                <w:rFonts w:eastAsia="Calibri" w:cs="Arial"/>
                <w:kern w:val="0"/>
                <w:sz w:val="26"/>
                <w:szCs w:val="22"/>
                <w:lang w:val="ru-RU" w:eastAsia="en-US" w:bidi="ar-SA"/>
              </w:rPr>
              <w:t>Участник должен обладать гражданской правоспособностью в полном объеме для заключения и исполнения Договора, а также должен обладать статусом «аккредитован» в соответствии с Положением об аккредитации, либо являться лицом, указанным в пункте 3.11 Положения об аккредитации:</w:t>
            </w:r>
          </w:p>
        </w:tc>
        <w:tc>
          <w:tcPr>
            <w:tcW w:w="8327" w:type="dxa"/>
            <w:tcBorders/>
          </w:tcPr>
          <w:p>
            <w:pPr>
              <w:pStyle w:val="Style23"/>
              <w:widowControl/>
              <w:numPr>
                <w:ilvl w:val="0"/>
                <w:numId w:val="9"/>
              </w:numPr>
              <w:spacing w:lineRule="auto" w:line="240" w:before="60" w:after="60"/>
              <w:ind w:hanging="284" w:left="284"/>
              <w:rPr>
                <w:rFonts w:ascii="Times New Roman" w:hAnsi="Times New Roman" w:eastAsia="Calibri" w:cs="Arial"/>
                <w:sz w:val="26"/>
                <w:szCs w:val="22"/>
                <w:lang w:val="ru-RU" w:eastAsia="en-US" w:bidi="ar-SA"/>
              </w:rPr>
            </w:pPr>
            <w:r>
              <w:rPr>
                <w:rFonts w:eastAsia="Calibri" w:cs="Arial"/>
                <w:kern w:val="0"/>
                <w:sz w:val="26"/>
                <w:szCs w:val="22"/>
                <w:lang w:val="ru-RU" w:eastAsia="en-US" w:bidi="ar-SA"/>
              </w:rPr>
              <w:t>В отношении гражданской правоспособности:</w:t>
            </w:r>
          </w:p>
          <w:p>
            <w:pPr>
              <w:pStyle w:val="Style23"/>
              <w:widowControl/>
              <w:numPr>
                <w:ilvl w:val="0"/>
                <w:numId w:val="16"/>
              </w:numPr>
              <w:spacing w:lineRule="auto" w:line="240" w:before="60" w:after="60"/>
              <w:ind w:hanging="284" w:left="568"/>
              <w:rPr>
                <w:rFonts w:ascii="Times New Roman" w:hAnsi="Times New Roman" w:eastAsia="Calibri" w:cs="Arial"/>
                <w:sz w:val="26"/>
                <w:szCs w:val="22"/>
                <w:lang w:val="ru-RU" w:eastAsia="en-US" w:bidi="ar-SA"/>
              </w:rPr>
            </w:pPr>
            <w:r>
              <w:rPr>
                <w:rFonts w:eastAsia="Calibri" w:cs="Arial"/>
                <w:kern w:val="0"/>
                <w:sz w:val="26"/>
                <w:szCs w:val="22"/>
                <w:lang w:val="ru-RU" w:eastAsia="en-US" w:bidi="ar-SA"/>
              </w:rPr>
              <w:t>если заявка подписывается лицом, действующим на основании доверенности, предоставляется электронный образ (файл в формате Portable Document Format (*.</w:t>
            </w:r>
            <w:r>
              <w:rPr>
                <w:rFonts w:eastAsia="Calibri" w:cs="Arial"/>
                <w:kern w:val="0"/>
                <w:sz w:val="26"/>
                <w:szCs w:val="22"/>
                <w:lang w:val="en-US" w:eastAsia="en-US" w:bidi="ar-SA"/>
              </w:rPr>
              <w:t>pdf</w:t>
            </w:r>
            <w:r>
              <w:rPr>
                <w:rFonts w:eastAsia="Calibri" w:cs="Arial"/>
                <w:kern w:val="0"/>
                <w:sz w:val="26"/>
                <w:szCs w:val="22"/>
                <w:lang w:val="ru-RU" w:eastAsia="en-US" w:bidi="ar-SA"/>
              </w:rPr>
              <w:t>)) оригинала соответствующей доверенности либо ее нотариально заверенной копии (с указанием правомочий на подписание заявки);</w:t>
            </w:r>
          </w:p>
          <w:p>
            <w:pPr>
              <w:pStyle w:val="Style23"/>
              <w:widowControl/>
              <w:numPr>
                <w:ilvl w:val="0"/>
                <w:numId w:val="9"/>
              </w:numPr>
              <w:spacing w:lineRule="auto" w:line="240" w:before="60" w:after="60"/>
              <w:ind w:hanging="284" w:left="284"/>
              <w:rPr>
                <w:rFonts w:ascii="Times New Roman" w:hAnsi="Times New Roman" w:eastAsia="Calibri" w:cs="Arial"/>
                <w:sz w:val="26"/>
                <w:szCs w:val="22"/>
                <w:lang w:val="ru-RU" w:eastAsia="en-US" w:bidi="ar-SA"/>
              </w:rPr>
            </w:pPr>
            <w:r>
              <w:rPr>
                <w:rFonts w:eastAsia="Calibri" w:cs="Arial"/>
                <w:kern w:val="0"/>
                <w:sz w:val="26"/>
                <w:szCs w:val="22"/>
                <w:lang w:val="ru-RU" w:eastAsia="en-US" w:bidi="ar-SA"/>
              </w:rPr>
              <w:t>В отношении аккредитации:</w:t>
            </w:r>
          </w:p>
          <w:p>
            <w:pPr>
              <w:pStyle w:val="Style23"/>
              <w:widowControl/>
              <w:numPr>
                <w:ilvl w:val="0"/>
                <w:numId w:val="16"/>
              </w:numPr>
              <w:spacing w:lineRule="auto" w:line="240" w:before="60" w:after="0"/>
              <w:ind w:hanging="284" w:left="568"/>
              <w:rPr>
                <w:rFonts w:ascii="Times New Roman" w:hAnsi="Times New Roman" w:eastAsia="Calibri" w:cs="Arial"/>
                <w:sz w:val="26"/>
                <w:szCs w:val="22"/>
                <w:lang w:val="ru-RU" w:eastAsia="en-US" w:bidi="ar-SA"/>
              </w:rPr>
            </w:pPr>
            <w:r>
              <w:rPr>
                <w:rFonts w:eastAsia="Calibri" w:cs="Arial"/>
                <w:kern w:val="0"/>
                <w:sz w:val="26"/>
                <w:szCs w:val="22"/>
                <w:lang w:val="ru-RU" w:eastAsia="en-US" w:bidi="ar-SA"/>
              </w:rPr>
              <w:t>при наличии у Участника на момент подачи заявки статуса «аккредитован» (по результатам ранее пройденной процедуры аккредитации) / статуса «аккредитация не требуется» (в соответствии с ранее направленными сведениями для включения записи в Реестр аккредитации), и при наличии (с момента подачи Заявки на аккредитацию) изменений, оказывающих влияние на соответствие его критериям аккредитации (на текущий статус), а также следующих изменений: реорганизация, изменение наименования, места нахождения, единоличного исполнительного органа и прочих сведений, указанных ранее в Заявке на аккредитацию – декларация в составе Письма о подаче оферты (форма 2) (</w:t>
            </w:r>
            <w:hyperlink w:anchor="Прил04_ФормыЗаявки" w:tgtFrame="#Прил04_ФормыЗаявки">
              <w:r>
                <w:rPr>
                  <w:rFonts w:eastAsia="Calibri" w:cs="Arial"/>
                  <w:color w:val="000000"/>
                  <w:spacing w:val="0"/>
                  <w:kern w:val="0"/>
                  <w:sz w:val="26"/>
                  <w:szCs w:val="22"/>
                  <w:u w:val="single"/>
                  <w:shd w:fill="auto" w:val="clear"/>
                  <w:lang w:val="ru-RU" w:eastAsia="en-US" w:bidi="ar-SA"/>
                </w:rPr>
                <w:t>Приложение № 4</w:t>
              </w:r>
            </w:hyperlink>
            <w:r>
              <w:rPr>
                <w:rFonts w:eastAsia="Calibri" w:cs="Arial"/>
                <w:kern w:val="0"/>
                <w:sz w:val="26"/>
                <w:szCs w:val="22"/>
                <w:lang w:val="ru-RU" w:eastAsia="en-US" w:bidi="ar-SA"/>
              </w:rPr>
              <w:t>) и обновленная Заявка на аккредитацию по установленной в Документации о закупке форме (</w:t>
            </w:r>
            <w:hyperlink w:anchor="Прил10_ЗаявкаНаАккредитацию" w:tgtFrame="#Прил10_ЗаявкаНаАккредитацию">
              <w:r>
                <w:rPr>
                  <w:rFonts w:eastAsia="Calibri" w:cs="Arial"/>
                  <w:color w:val="000000"/>
                  <w:spacing w:val="0"/>
                  <w:kern w:val="0"/>
                  <w:sz w:val="26"/>
                  <w:szCs w:val="22"/>
                  <w:u w:val="single"/>
                  <w:shd w:fill="auto" w:val="clear"/>
                  <w:lang w:val="ru-RU" w:eastAsia="en-US" w:bidi="ar-SA"/>
                </w:rPr>
                <w:t>Приложение № 10</w:t>
              </w:r>
            </w:hyperlink>
            <w:r>
              <w:rPr>
                <w:rFonts w:eastAsia="Calibri" w:cs="Arial"/>
                <w:kern w:val="0"/>
                <w:sz w:val="26"/>
                <w:szCs w:val="22"/>
                <w:lang w:val="ru-RU" w:eastAsia="en-US" w:bidi="ar-SA"/>
              </w:rPr>
              <w:t>);</w:t>
            </w:r>
          </w:p>
          <w:p>
            <w:pPr>
              <w:pStyle w:val="Style23"/>
              <w:widowControl/>
              <w:numPr>
                <w:ilvl w:val="0"/>
                <w:numId w:val="16"/>
              </w:numPr>
              <w:spacing w:lineRule="auto" w:line="240" w:before="0" w:after="0"/>
              <w:ind w:hanging="284" w:left="568"/>
              <w:rPr>
                <w:rFonts w:ascii="Times New Roman" w:hAnsi="Times New Roman" w:eastAsia="Calibri" w:cs="Arial"/>
                <w:sz w:val="26"/>
                <w:szCs w:val="22"/>
                <w:lang w:val="ru-RU" w:eastAsia="en-US" w:bidi="ar-SA"/>
              </w:rPr>
            </w:pPr>
            <w:r>
              <w:rPr>
                <w:rFonts w:eastAsia="Calibri" w:cs="Arial"/>
                <w:kern w:val="0"/>
                <w:sz w:val="26"/>
                <w:szCs w:val="22"/>
                <w:lang w:val="ru-RU" w:eastAsia="en-US" w:bidi="ar-SA"/>
              </w:rPr>
              <w:t>при отсутствии у Участника на момент подачи заявки статуса «аккредитован» (при условии, что Участник ранее направил Заявку на аккредитацию, но на момент подачи заявки на участие в текущей закупке результаты проверки еще не известны (отсутствует соответствующая запись в Реестре аккредитации)) – декларация в составе Письма о подаче оферты (форма 2) (</w:t>
            </w:r>
            <w:hyperlink w:anchor="Прил04_ФормыЗаявки" w:tgtFrame="#Прил04_ФормыЗаявки">
              <w:r>
                <w:rPr>
                  <w:rFonts w:eastAsia="Calibri" w:cs="Arial"/>
                  <w:color w:val="000000"/>
                  <w:spacing w:val="0"/>
                  <w:kern w:val="0"/>
                  <w:sz w:val="26"/>
                  <w:szCs w:val="22"/>
                  <w:u w:val="single"/>
                  <w:shd w:fill="auto" w:val="clear"/>
                  <w:lang w:val="ru-RU" w:eastAsia="en-US" w:bidi="ar-SA"/>
                </w:rPr>
                <w:t>Приложение № 4</w:t>
              </w:r>
            </w:hyperlink>
            <w:r>
              <w:rPr>
                <w:rFonts w:eastAsia="Calibri" w:cs="Arial"/>
                <w:kern w:val="0"/>
                <w:sz w:val="26"/>
                <w:szCs w:val="22"/>
                <w:lang w:val="ru-RU" w:eastAsia="en-US" w:bidi="ar-SA"/>
              </w:rPr>
              <w:t>); предоставление Заявки на аккредитацию не требуется;</w:t>
            </w:r>
          </w:p>
          <w:p>
            <w:pPr>
              <w:pStyle w:val="Style23"/>
              <w:widowControl/>
              <w:numPr>
                <w:ilvl w:val="0"/>
                <w:numId w:val="16"/>
              </w:numPr>
              <w:spacing w:lineRule="auto" w:line="240" w:before="0" w:after="60"/>
              <w:ind w:hanging="284" w:left="568"/>
              <w:rPr>
                <w:rFonts w:ascii="Times New Roman" w:hAnsi="Times New Roman" w:eastAsia="Calibri" w:cs="Arial"/>
                <w:sz w:val="26"/>
                <w:szCs w:val="22"/>
                <w:lang w:val="ru-RU" w:eastAsia="en-US" w:bidi="ar-SA"/>
              </w:rPr>
            </w:pPr>
            <w:r>
              <w:rPr>
                <w:rFonts w:eastAsia="Calibri" w:cs="Arial"/>
                <w:kern w:val="0"/>
                <w:sz w:val="26"/>
                <w:szCs w:val="22"/>
                <w:lang w:val="ru-RU" w:eastAsia="en-US" w:bidi="ar-SA"/>
              </w:rPr>
              <w:t>при отсутствии у Участника на момент подачи заявки статуса «аккредитован» (не проходил ранее процедуру аккредитации или наличия у Участника статуса «не аккредитован» (по результатам ранее пройденной процедуры аккредитации), а также для лиц, указанных в пункте 3.11 Положения об аккредитации (аккредитация не требуется), но которые ранее не направляли соответствующие сведения для включения записи в Реестр аккредитации –Заявка на аккредитацию по установленной в Документации о закупке форме (</w:t>
            </w:r>
            <w:hyperlink w:anchor="Прил10_ЗаявкаНаАккредитацию" w:tgtFrame="#Прил10_ЗаявкаНаАккредитацию">
              <w:r>
                <w:rPr>
                  <w:rFonts w:eastAsia="Calibri" w:cs="Arial"/>
                  <w:color w:val="000000"/>
                  <w:spacing w:val="0"/>
                  <w:kern w:val="0"/>
                  <w:sz w:val="26"/>
                  <w:szCs w:val="22"/>
                  <w:u w:val="single"/>
                  <w:shd w:fill="auto" w:val="clear"/>
                  <w:lang w:val="ru-RU" w:eastAsia="en-US" w:bidi="ar-SA"/>
                </w:rPr>
                <w:t>Приложение № 10</w:t>
              </w:r>
            </w:hyperlink>
            <w:r>
              <w:rPr>
                <w:rFonts w:eastAsia="Calibri" w:cs="Arial"/>
                <w:kern w:val="0"/>
                <w:sz w:val="26"/>
                <w:szCs w:val="22"/>
                <w:lang w:val="ru-RU" w:eastAsia="en-US" w:bidi="ar-SA"/>
              </w:rPr>
              <w:t>).</w:t>
            </w:r>
          </w:p>
          <w:p>
            <w:pPr>
              <w:pStyle w:val="Style23"/>
              <w:widowControl/>
              <w:spacing w:lineRule="auto" w:line="240" w:before="60" w:after="60"/>
              <w:ind w:left="284"/>
              <w:rPr>
                <w:rFonts w:ascii="Times New Roman" w:hAnsi="Times New Roman" w:eastAsia="Calibri" w:cs="Arial"/>
                <w:sz w:val="26"/>
                <w:szCs w:val="22"/>
                <w:lang w:val="ru-RU" w:eastAsia="en-US" w:bidi="ar-SA"/>
              </w:rPr>
            </w:pPr>
            <w:r>
              <w:rPr>
                <w:rFonts w:eastAsia="Calibri" w:cs="Arial"/>
                <w:kern w:val="0"/>
                <w:sz w:val="26"/>
                <w:szCs w:val="22"/>
                <w:lang w:val="ru-RU" w:eastAsia="en-US" w:bidi="ar-SA"/>
              </w:rPr>
              <w:t>В случае заинтересованности Участника в дополнительной оценке его финансового состояния, при условии отсутствия опубликованной в государственном информационном ресурсе бухгалтерской (финансовой) отчетности организаций (https://bo.nalog.ru), к Заявке на аккредитацию также прилагается электронная копия бухгалтерского баланса (ОКУД 0710001) и отчета о финансовых результатах (ОКУД 0710002) за последний завершенный финансовый год, с отметкой налогового органа о приеме или с приложением квитанции о приеме и (или) извещения о вводе сведений налоговым органом.</w:t>
            </w:r>
          </w:p>
          <w:p>
            <w:pPr>
              <w:pStyle w:val="Style23"/>
              <w:widowControl/>
              <w:spacing w:lineRule="auto" w:line="240" w:before="60" w:after="60"/>
              <w:ind w:left="284"/>
              <w:rPr>
                <w:rFonts w:ascii="Times New Roman" w:hAnsi="Times New Roman" w:eastAsia="Calibri" w:cs="Arial"/>
                <w:sz w:val="26"/>
                <w:szCs w:val="22"/>
                <w:lang w:val="ru-RU" w:eastAsia="en-US" w:bidi="ar-SA"/>
              </w:rPr>
            </w:pPr>
            <w:r>
              <w:rPr>
                <w:rFonts w:eastAsia="Calibri" w:cs="Arial"/>
                <w:kern w:val="0"/>
                <w:sz w:val="26"/>
                <w:szCs w:val="22"/>
                <w:lang w:val="ru-RU" w:eastAsia="en-US" w:bidi="ar-SA"/>
              </w:rPr>
              <w:t>Если Участник в соответствии с законодательством формирует отчетность по формам ОКУД 0503730, 0503721 (и (или) освобожден от предоставления дополнительного экземпляра отчетности для размещения на официальном сайте ФНС России) – оценка его финансового состояния производится на основании представленных вместе с Заявкой на аккредитацию:</w:t>
            </w:r>
          </w:p>
          <w:p>
            <w:pPr>
              <w:pStyle w:val="Style23"/>
              <w:widowControl/>
              <w:spacing w:lineRule="auto" w:line="240" w:before="60" w:after="60"/>
              <w:ind w:left="284"/>
              <w:rPr>
                <w:rFonts w:ascii="Times New Roman" w:hAnsi="Times New Roman" w:eastAsia="Calibri" w:cs="Arial"/>
                <w:sz w:val="26"/>
                <w:szCs w:val="22"/>
                <w:lang w:val="ru-RU" w:eastAsia="en-US" w:bidi="ar-SA"/>
              </w:rPr>
            </w:pPr>
            <w:r>
              <w:rPr>
                <w:rFonts w:eastAsia="Calibri" w:cs="Arial"/>
                <w:kern w:val="0"/>
                <w:sz w:val="26"/>
                <w:szCs w:val="22"/>
                <w:lang w:val="ru-RU" w:eastAsia="en-US" w:bidi="ar-SA"/>
              </w:rPr>
              <w:t>−</w:t>
            </w:r>
            <w:r>
              <w:rPr>
                <w:rFonts w:eastAsia="Calibri" w:cs="Arial"/>
                <w:kern w:val="0"/>
                <w:sz w:val="26"/>
                <w:szCs w:val="22"/>
                <w:lang w:val="ru-RU" w:eastAsia="en-US" w:bidi="ar-SA"/>
              </w:rPr>
              <w:tab/>
              <w:t>электронной копии бухгалтерской (финансовой) отчетности по формам ОКУД 0503730, 0503721 за последний завершенный и предшествующий ему финансовый год, с отметкой налогового органа о приеме или с приложением квитанции о приеме и (или) извещения о вводе сведений налоговым органом;</w:t>
            </w:r>
          </w:p>
          <w:p>
            <w:pPr>
              <w:pStyle w:val="Style23"/>
              <w:widowControl/>
              <w:spacing w:lineRule="auto" w:line="240" w:before="60" w:after="60"/>
              <w:ind w:left="284"/>
              <w:rPr>
                <w:rFonts w:ascii="Times New Roman" w:hAnsi="Times New Roman" w:eastAsia="Calibri" w:cs="Arial"/>
                <w:sz w:val="26"/>
                <w:szCs w:val="22"/>
                <w:lang w:val="ru-RU" w:eastAsia="en-US" w:bidi="ar-SA"/>
              </w:rPr>
            </w:pPr>
            <w:r>
              <w:rPr>
                <w:rFonts w:eastAsia="Calibri" w:cs="Arial"/>
                <w:kern w:val="0"/>
                <w:sz w:val="26"/>
                <w:szCs w:val="22"/>
                <w:lang w:val="ru-RU" w:eastAsia="en-US" w:bidi="ar-SA"/>
              </w:rPr>
              <w:t>−</w:t>
            </w:r>
            <w:r>
              <w:rPr>
                <w:rFonts w:eastAsia="Calibri" w:cs="Arial"/>
                <w:kern w:val="0"/>
                <w:sz w:val="26"/>
                <w:szCs w:val="22"/>
                <w:lang w:val="ru-RU" w:eastAsia="en-US" w:bidi="ar-SA"/>
              </w:rPr>
              <w:tab/>
              <w:t xml:space="preserve">дополнительных сведений о размере всех требуемых показателей согласно данным бухгалтерской (финансовой) отчетности (по форме, представленной в </w:t>
            </w:r>
            <w:hyperlink w:anchor="Прил11_Форма_данных_бухотчетность" w:tgtFrame="#Прил11_Форма_данных_бухотчетность">
              <w:r>
                <w:rPr>
                  <w:rStyle w:val="Hyperlink"/>
                  <w:rFonts w:eastAsia="Calibri" w:cs="Arial"/>
                  <w:kern w:val="0"/>
                  <w:sz w:val="26"/>
                  <w:szCs w:val="22"/>
                  <w:lang w:val="ru-RU" w:eastAsia="en-US" w:bidi="ar-SA"/>
                </w:rPr>
                <w:t>Приложении № 11</w:t>
              </w:r>
            </w:hyperlink>
            <w:r>
              <w:rPr>
                <w:rFonts w:eastAsia="Calibri" w:cs="Arial"/>
                <w:kern w:val="0"/>
                <w:sz w:val="26"/>
                <w:szCs w:val="22"/>
                <w:lang w:val="ru-RU" w:eastAsia="en-US" w:bidi="ar-SA"/>
              </w:rPr>
              <w:t>).</w:t>
            </w:r>
          </w:p>
          <w:p>
            <w:pPr>
              <w:pStyle w:val="Style23"/>
              <w:widowControl/>
              <w:spacing w:lineRule="auto" w:line="240" w:before="60" w:after="60"/>
              <w:ind w:left="284"/>
              <w:rPr>
                <w:rFonts w:ascii="Times New Roman" w:hAnsi="Times New Roman" w:eastAsia="Calibri" w:cs="Arial"/>
                <w:sz w:val="26"/>
                <w:szCs w:val="22"/>
                <w:lang w:val="ru-RU" w:eastAsia="en-US" w:bidi="ar-SA"/>
              </w:rPr>
            </w:pPr>
            <w:r>
              <w:rPr>
                <w:rFonts w:eastAsia="Calibri" w:cs="Arial"/>
                <w:kern w:val="0"/>
                <w:sz w:val="26"/>
                <w:szCs w:val="22"/>
                <w:lang w:val="ru-RU" w:eastAsia="en-US" w:bidi="ar-SA"/>
              </w:rPr>
              <w:t>Указанные документы не являются обязательными к подаче в рамках процедуры аккредитации и предоставляются по желанию Участника.</w:t>
            </w:r>
          </w:p>
        </w:tc>
      </w:tr>
      <w:tr>
        <w:trPr/>
        <w:tc>
          <w:tcPr>
            <w:tcW w:w="1128" w:type="dxa"/>
            <w:tcBorders/>
          </w:tcPr>
          <w:p>
            <w:pPr>
              <w:pStyle w:val="Style23"/>
              <w:widowControl/>
              <w:numPr>
                <w:ilvl w:val="0"/>
                <w:numId w:val="3"/>
              </w:numPr>
              <w:spacing w:lineRule="auto" w:line="240" w:before="60" w:after="60"/>
              <w:ind w:hanging="0" w:left="284"/>
              <w:jc w:val="center"/>
              <w:rPr>
                <w:rFonts w:ascii="Times New Roman" w:hAnsi="Times New Roman" w:eastAsia="Calibri" w:cs="Arial"/>
                <w:sz w:val="26"/>
                <w:szCs w:val="22"/>
                <w:lang w:val="ru-RU" w:eastAsia="en-US" w:bidi="ar-SA"/>
              </w:rPr>
            </w:pPr>
            <w:r>
              <w:rPr>
                <w:rFonts w:eastAsia="Calibri" w:cs="Arial"/>
                <w:sz w:val="26"/>
                <w:szCs w:val="22"/>
                <w:lang w:val="ru-RU" w:eastAsia="en-US" w:bidi="ar-SA"/>
              </w:rPr>
            </w:r>
            <w:bookmarkStart w:id="297" w:name="_Ref139028406"/>
            <w:bookmarkStart w:id="298" w:name="_Ref139028406"/>
            <w:bookmarkEnd w:id="298"/>
          </w:p>
        </w:tc>
        <w:tc>
          <w:tcPr>
            <w:tcW w:w="5671" w:type="dxa"/>
            <w:tcBorders/>
          </w:tcPr>
          <w:p>
            <w:pPr>
              <w:pStyle w:val="Style23"/>
              <w:widowControl/>
              <w:spacing w:lineRule="auto" w:line="240" w:before="60" w:after="60"/>
              <w:rPr>
                <w:rFonts w:ascii="Times New Roman" w:hAnsi="Times New Roman" w:eastAsia="Calibri" w:cs="Arial"/>
                <w:sz w:val="26"/>
                <w:szCs w:val="22"/>
                <w:lang w:val="ru-RU" w:eastAsia="en-US" w:bidi="ar-SA"/>
              </w:rPr>
            </w:pPr>
            <w:r>
              <w:rPr>
                <w:rFonts w:eastAsia="Calibri" w:cs="Arial"/>
                <w:kern w:val="0"/>
                <w:sz w:val="26"/>
                <w:szCs w:val="22"/>
                <w:lang w:val="ru-RU" w:eastAsia="en-US" w:bidi="ar-SA"/>
              </w:rPr>
              <w:t>Сведения об Участнике должны отсутствовать в перечне юридических лиц, в отношении которых применяются специальные экономические меры, утвержденном Постановлением Правительства Российской Федерации от 11.05.2022 № 851</w:t>
            </w:r>
            <w:r>
              <w:rPr>
                <w:rStyle w:val="FootnoteReference"/>
                <w:rFonts w:eastAsia="Calibri" w:cs="Arial"/>
                <w:kern w:val="0"/>
                <w:sz w:val="26"/>
                <w:szCs w:val="22"/>
                <w:lang w:val="ru-RU" w:eastAsia="en-US" w:bidi="ar-SA"/>
              </w:rPr>
              <w:footnoteReference w:id="15"/>
            </w:r>
            <w:r>
              <w:rPr>
                <w:rFonts w:eastAsia="Calibri" w:cs="Arial"/>
                <w:kern w:val="0"/>
                <w:sz w:val="26"/>
                <w:szCs w:val="22"/>
                <w:lang w:val="ru-RU" w:eastAsia="en-US" w:bidi="ar-SA"/>
              </w:rPr>
              <w:t>, а также Участник не должен являться подконтрольной организацией данных юридических лиц</w:t>
            </w:r>
            <w:r>
              <w:rPr>
                <w:rStyle w:val="FootnoteReference"/>
                <w:rFonts w:eastAsia="Calibri" w:cs="Arial"/>
                <w:kern w:val="0"/>
                <w:sz w:val="26"/>
                <w:szCs w:val="22"/>
                <w:lang w:val="ru-RU" w:eastAsia="en-US" w:bidi="ar-SA"/>
              </w:rPr>
              <w:footnoteReference w:id="16"/>
            </w:r>
            <w:r>
              <w:rPr>
                <w:rFonts w:eastAsia="Calibri" w:cs="Arial"/>
                <w:kern w:val="0"/>
                <w:sz w:val="26"/>
                <w:szCs w:val="22"/>
                <w:lang w:val="ru-RU" w:eastAsia="en-US" w:bidi="ar-SA"/>
              </w:rPr>
              <w:t>:</w:t>
            </w:r>
          </w:p>
        </w:tc>
        <w:tc>
          <w:tcPr>
            <w:tcW w:w="8327" w:type="dxa"/>
            <w:tcBorders/>
          </w:tcPr>
          <w:p>
            <w:pPr>
              <w:pStyle w:val="Style23"/>
              <w:widowControl/>
              <w:spacing w:lineRule="auto" w:line="240" w:before="60" w:after="60"/>
              <w:rPr>
                <w:rFonts w:ascii="Times New Roman" w:hAnsi="Times New Roman" w:eastAsia="Calibri" w:cs="Arial"/>
                <w:sz w:val="26"/>
                <w:szCs w:val="22"/>
                <w:lang w:val="ru-RU" w:eastAsia="en-US" w:bidi="ar-SA"/>
              </w:rPr>
            </w:pPr>
            <w:r>
              <w:rPr>
                <w:rFonts w:eastAsia="Calibri" w:cs="Arial"/>
                <w:kern w:val="0"/>
                <w:sz w:val="26"/>
                <w:szCs w:val="22"/>
                <w:lang w:val="ru-RU" w:eastAsia="en-US" w:bidi="ar-SA"/>
              </w:rPr>
              <w:t>Декларация о соответствии Участника данному требованию в составе Письма о подаче оферты (форма 2) (</w:t>
            </w:r>
            <w:hyperlink w:anchor="Прил04_ФормыЗаявки" w:tgtFrame="#Прил04_ФормыЗаявки">
              <w:r>
                <w:rPr>
                  <w:rFonts w:eastAsia="Calibri" w:cs="Arial"/>
                  <w:color w:val="000000"/>
                  <w:spacing w:val="0"/>
                  <w:kern w:val="0"/>
                  <w:sz w:val="26"/>
                  <w:szCs w:val="22"/>
                  <w:u w:val="single"/>
                  <w:shd w:fill="auto" w:val="clear"/>
                  <w:lang w:val="ru-RU" w:eastAsia="en-US" w:bidi="ar-SA"/>
                </w:rPr>
                <w:t>Приложение № 4</w:t>
              </w:r>
            </w:hyperlink>
            <w:r>
              <w:rPr>
                <w:rFonts w:eastAsia="Calibri" w:cs="Arial"/>
                <w:kern w:val="0"/>
                <w:sz w:val="26"/>
                <w:szCs w:val="22"/>
                <w:lang w:val="ru-RU" w:eastAsia="en-US" w:bidi="ar-SA"/>
              </w:rPr>
              <w:t>).</w:t>
            </w:r>
          </w:p>
          <w:p>
            <w:pPr>
              <w:pStyle w:val="Style23"/>
              <w:widowControl/>
              <w:spacing w:lineRule="auto" w:line="240" w:before="60" w:after="60"/>
              <w:rPr>
                <w:i/>
                <w:i/>
                <w:iCs/>
              </w:rPr>
            </w:pPr>
            <w:r>
              <w:rPr>
                <w:rFonts w:eastAsia="Calibri" w:cs="Arial"/>
                <w:i/>
                <w:iCs/>
                <w:kern w:val="0"/>
                <w:sz w:val="26"/>
                <w:szCs w:val="22"/>
                <w:lang w:val="ru-RU" w:eastAsia="en-US" w:bidi="ar-SA"/>
              </w:rPr>
              <w:t>(В рамках рассмотрения заявок и (или) перед заключением договора Организатор проверяет наличие информации об Участнике в перечне юридических лиц, в отношении которых применяются специальные экономические меры, утвержденном Постановлением Правительства Российской Федерации от 11.05.2022 № 851 «О мерах по реализации Указа Президента Российской Федерации от 3 мая 2022 г. N 252».)</w:t>
            </w:r>
          </w:p>
        </w:tc>
      </w:tr>
      <w:tr>
        <w:trPr/>
        <w:tc>
          <w:tcPr>
            <w:tcW w:w="1128" w:type="dxa"/>
            <w:tcBorders/>
          </w:tcPr>
          <w:p>
            <w:pPr>
              <w:pStyle w:val="Style23"/>
              <w:widowControl/>
              <w:numPr>
                <w:ilvl w:val="0"/>
                <w:numId w:val="3"/>
              </w:numPr>
              <w:spacing w:lineRule="auto" w:line="240" w:before="60" w:after="60"/>
              <w:ind w:hanging="0" w:left="284"/>
              <w:jc w:val="center"/>
              <w:rPr>
                <w:rFonts w:ascii="Times New Roman" w:hAnsi="Times New Roman" w:eastAsia="Calibri" w:cs="Arial"/>
                <w:sz w:val="26"/>
                <w:szCs w:val="22"/>
                <w:lang w:val="ru-RU" w:eastAsia="en-US" w:bidi="ar-SA"/>
              </w:rPr>
            </w:pPr>
            <w:r>
              <w:rPr>
                <w:rFonts w:eastAsia="Calibri" w:cs="Arial"/>
                <w:sz w:val="26"/>
                <w:szCs w:val="22"/>
                <w:lang w:val="ru-RU" w:eastAsia="en-US" w:bidi="ar-SA"/>
              </w:rPr>
            </w:r>
            <w:bookmarkStart w:id="299" w:name="_Ref186213321"/>
            <w:bookmarkStart w:id="300" w:name="_Ref186213321"/>
            <w:bookmarkEnd w:id="300"/>
          </w:p>
        </w:tc>
        <w:tc>
          <w:tcPr>
            <w:tcW w:w="5671" w:type="dxa"/>
            <w:tcBorders/>
          </w:tcPr>
          <w:p>
            <w:pPr>
              <w:pStyle w:val="Style23"/>
              <w:widowControl/>
              <w:spacing w:lineRule="auto" w:line="240" w:before="60" w:after="60"/>
              <w:rPr>
                <w:rFonts w:ascii="Times New Roman" w:hAnsi="Times New Roman" w:eastAsia="Calibri" w:cs="Arial"/>
                <w:sz w:val="26"/>
                <w:szCs w:val="22"/>
                <w:lang w:val="ru-RU" w:eastAsia="en-US" w:bidi="ar-SA"/>
              </w:rPr>
            </w:pPr>
            <w:r>
              <w:rPr>
                <w:rFonts w:eastAsia="Calibri" w:cs="Arial"/>
                <w:kern w:val="0"/>
                <w:sz w:val="26"/>
                <w:szCs w:val="22"/>
                <w:lang w:val="ru-RU" w:eastAsia="en-US" w:bidi="ar-SA"/>
              </w:rPr>
              <w:t>Если в подразделе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_Ref125359973 \r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1.2</w:t>
            </w:r>
            <w:r>
              <w:rPr>
                <w:sz w:val="26"/>
                <w:kern w:val="0"/>
                <w:szCs w:val="22"/>
                <w:rFonts w:eastAsia="Calibri" w:cs="Arial"/>
                <w:lang w:val="ru-RU" w:eastAsia="en-US" w:bidi="ar-SA"/>
              </w:rPr>
              <w:fldChar w:fldCharType="end"/>
            </w:r>
            <w:r>
              <w:rPr>
                <w:rFonts w:eastAsia="Calibri" w:cs="Arial"/>
                <w:kern w:val="0"/>
                <w:sz w:val="26"/>
                <w:szCs w:val="22"/>
                <w:lang w:val="ru-RU" w:eastAsia="en-US" w:bidi="ar-SA"/>
              </w:rPr>
              <w:t xml:space="preserve"> установлен режим запрета закупки иностранной продукции и предметом закупки является оказание услуг и (или) выполнение работ (в том числе с поставкой товаров при выполнении работ и (или) оказании услуг), то Участник должен быть российским лицом:</w:t>
            </w:r>
          </w:p>
        </w:tc>
        <w:tc>
          <w:tcPr>
            <w:tcW w:w="8327" w:type="dxa"/>
            <w:tcBorders/>
          </w:tcPr>
          <w:p>
            <w:pPr>
              <w:pStyle w:val="Style23"/>
              <w:widowControl/>
              <w:spacing w:lineRule="auto" w:line="240" w:before="60" w:after="60"/>
              <w:rPr>
                <w:rFonts w:ascii="Times New Roman" w:hAnsi="Times New Roman" w:eastAsia="Calibri" w:cs="Arial"/>
                <w:sz w:val="26"/>
                <w:szCs w:val="22"/>
                <w:lang w:val="ru-RU" w:eastAsia="en-US" w:bidi="ar-SA"/>
              </w:rPr>
            </w:pPr>
            <w:r>
              <w:rPr>
                <w:rFonts w:eastAsia="Calibri" w:cs="Arial"/>
                <w:kern w:val="0"/>
                <w:sz w:val="26"/>
                <w:szCs w:val="22"/>
                <w:lang w:val="ru-RU" w:eastAsia="en-US" w:bidi="ar-SA"/>
              </w:rPr>
              <w:t>Декларация о соответствии Участника данному требованию в составе Письма о подаче оферты (форма 2) (</w:t>
            </w:r>
            <w:hyperlink w:anchor="Прил04_ФормыЗаявки" w:tgtFrame="#Прил04_ФормыЗаявки">
              <w:r>
                <w:rPr>
                  <w:rFonts w:eastAsia="Calibri" w:cs="Arial"/>
                  <w:color w:val="000000"/>
                  <w:spacing w:val="0"/>
                  <w:kern w:val="0"/>
                  <w:sz w:val="26"/>
                  <w:szCs w:val="22"/>
                  <w:u w:val="single"/>
                  <w:shd w:fill="auto" w:val="clear"/>
                  <w:lang w:val="ru-RU" w:eastAsia="en-US" w:bidi="ar-SA"/>
                </w:rPr>
                <w:t>Приложение № 4</w:t>
              </w:r>
            </w:hyperlink>
            <w:r>
              <w:rPr>
                <w:rFonts w:eastAsia="Calibri" w:cs="Arial"/>
                <w:kern w:val="0"/>
                <w:sz w:val="26"/>
                <w:szCs w:val="22"/>
                <w:lang w:val="ru-RU" w:eastAsia="en-US" w:bidi="ar-SA"/>
              </w:rPr>
              <w:t>), а также указание Участником в составе заявки в Коммерческом предложении (форма 3) (</w:t>
            </w:r>
            <w:hyperlink w:anchor="Прил04_ФормыЗаявки" w:tgtFrame="#Прил04_ФормыЗаявки">
              <w:r>
                <w:rPr>
                  <w:rFonts w:eastAsia="Calibri" w:cs="Arial"/>
                  <w:color w:val="000000"/>
                  <w:spacing w:val="0"/>
                  <w:kern w:val="0"/>
                  <w:sz w:val="26"/>
                  <w:szCs w:val="22"/>
                  <w:u w:val="single"/>
                  <w:shd w:fill="auto" w:val="clear"/>
                  <w:lang w:val="ru-RU" w:eastAsia="en-US" w:bidi="ar-SA"/>
                </w:rPr>
                <w:t>Приложение № 4</w:t>
              </w:r>
            </w:hyperlink>
            <w:r>
              <w:rPr>
                <w:rFonts w:eastAsia="Calibri" w:cs="Arial"/>
                <w:kern w:val="0"/>
                <w:sz w:val="26"/>
                <w:szCs w:val="22"/>
                <w:lang w:val="ru-RU" w:eastAsia="en-US" w:bidi="ar-SA"/>
              </w:rPr>
              <w:t>) соответствующих сведений.</w:t>
            </w:r>
          </w:p>
          <w:p>
            <w:pPr>
              <w:pStyle w:val="Style23"/>
              <w:widowControl/>
              <w:spacing w:lineRule="auto" w:line="240" w:before="60" w:after="60"/>
              <w:rPr>
                <w:i/>
                <w:i/>
                <w:iCs/>
              </w:rPr>
            </w:pPr>
            <w:r>
              <w:rPr>
                <w:rFonts w:eastAsia="Calibri" w:cs="Arial"/>
                <w:i/>
                <w:iCs/>
                <w:kern w:val="0"/>
                <w:sz w:val="26"/>
                <w:szCs w:val="22"/>
                <w:lang w:val="ru-RU" w:eastAsia="en-US" w:bidi="ar-SA"/>
              </w:rPr>
              <w:t>(В рамках рассмотрения заявок Организатор проверяет на соответствие данному требованию на основании сведений, размещенных на официальных сервисах ФНС России в сети интернет (в отношении иных стран ЕАЭС – на аналогичных официальных сервисах данных стран).)</w:t>
            </w:r>
          </w:p>
        </w:tc>
      </w:tr>
      <w:tr>
        <w:trPr/>
        <w:tc>
          <w:tcPr>
            <w:tcW w:w="1128" w:type="dxa"/>
            <w:tcBorders/>
          </w:tcPr>
          <w:p>
            <w:pPr>
              <w:pStyle w:val="Style23"/>
              <w:widowControl/>
              <w:numPr>
                <w:ilvl w:val="0"/>
                <w:numId w:val="3"/>
              </w:numPr>
              <w:spacing w:lineRule="auto" w:line="240" w:before="60" w:after="60"/>
              <w:ind w:hanging="0" w:left="284"/>
              <w:jc w:val="center"/>
              <w:rPr>
                <w:rFonts w:ascii="Times New Roman" w:hAnsi="Times New Roman" w:eastAsia="Calibri" w:cs="Arial"/>
                <w:sz w:val="26"/>
                <w:szCs w:val="22"/>
                <w:lang w:val="ru-RU" w:eastAsia="en-US" w:bidi="ar-SA"/>
              </w:rPr>
            </w:pPr>
            <w:r>
              <w:rPr>
                <w:rFonts w:eastAsia="Calibri" w:cs="Arial"/>
                <w:sz w:val="26"/>
                <w:szCs w:val="22"/>
                <w:lang w:val="ru-RU" w:eastAsia="en-US" w:bidi="ar-SA"/>
              </w:rPr>
            </w:r>
            <w:bookmarkStart w:id="301" w:name="_Ref186213327"/>
            <w:bookmarkStart w:id="302" w:name="_Ref186213327"/>
            <w:bookmarkEnd w:id="302"/>
          </w:p>
        </w:tc>
        <w:tc>
          <w:tcPr>
            <w:tcW w:w="5671" w:type="dxa"/>
            <w:tcBorders/>
          </w:tcPr>
          <w:p>
            <w:pPr>
              <w:pStyle w:val="Style23"/>
              <w:widowControl/>
              <w:spacing w:lineRule="auto" w:line="240" w:before="60" w:after="60"/>
              <w:rPr>
                <w:rFonts w:ascii="Times New Roman" w:hAnsi="Times New Roman" w:eastAsia="Calibri" w:cs="Arial"/>
                <w:sz w:val="26"/>
                <w:szCs w:val="22"/>
                <w:lang w:val="ru-RU" w:eastAsia="en-US" w:bidi="ar-SA"/>
              </w:rPr>
            </w:pPr>
            <w:r>
              <w:rPr>
                <w:rFonts w:eastAsia="Calibri" w:cs="Arial"/>
                <w:kern w:val="0"/>
                <w:sz w:val="26"/>
                <w:szCs w:val="22"/>
                <w:lang w:val="ru-RU" w:eastAsia="en-US" w:bidi="ar-SA"/>
              </w:rPr>
              <w:t>Если в подразделе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_Ref125359973 \r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1.2</w:t>
            </w:r>
            <w:r>
              <w:rPr>
                <w:sz w:val="26"/>
                <w:kern w:val="0"/>
                <w:szCs w:val="22"/>
                <w:rFonts w:eastAsia="Calibri" w:cs="Arial"/>
                <w:lang w:val="ru-RU" w:eastAsia="en-US" w:bidi="ar-SA"/>
              </w:rPr>
              <w:fldChar w:fldCharType="end"/>
            </w:r>
            <w:r>
              <w:rPr>
                <w:rFonts w:eastAsia="Calibri" w:cs="Arial"/>
                <w:kern w:val="0"/>
                <w:sz w:val="26"/>
                <w:szCs w:val="22"/>
                <w:lang w:val="ru-RU" w:eastAsia="en-US" w:bidi="ar-SA"/>
              </w:rPr>
              <w:t xml:space="preserve"> установлен режим ограничения закупки иностранной продукции и предметом закупки является оказание услуг и (или) выполнение работ (в том числе с поставкой товаров при выполнении работ и (или) оказании услуг), то Участник не должен являться иностранным лицом, при наличии заявки, соответствующей всем требованиям Документации о закупке, поданной от российского лица:</w:t>
            </w:r>
          </w:p>
        </w:tc>
        <w:tc>
          <w:tcPr>
            <w:tcW w:w="8327" w:type="dxa"/>
            <w:tcBorders/>
          </w:tcPr>
          <w:p>
            <w:pPr>
              <w:pStyle w:val="Style23"/>
              <w:widowControl/>
              <w:spacing w:lineRule="auto" w:line="240" w:before="60" w:after="60"/>
              <w:rPr>
                <w:rFonts w:ascii="Times New Roman" w:hAnsi="Times New Roman" w:eastAsia="Calibri" w:cs="Arial"/>
                <w:sz w:val="26"/>
                <w:szCs w:val="22"/>
                <w:lang w:val="ru-RU" w:eastAsia="en-US" w:bidi="ar-SA"/>
              </w:rPr>
            </w:pPr>
            <w:r>
              <w:rPr>
                <w:rFonts w:eastAsia="Calibri" w:cs="Arial"/>
                <w:kern w:val="0"/>
                <w:sz w:val="26"/>
                <w:szCs w:val="22"/>
                <w:lang w:val="ru-RU" w:eastAsia="en-US" w:bidi="ar-SA"/>
              </w:rPr>
              <w:t>Декларация о принадлежности Участника к иностранному лицу или российскому лицу в составе Письма о подаче оферты (форма 2) (</w:t>
            </w:r>
            <w:hyperlink w:anchor="Прил04_ФормыЗаявки" w:tgtFrame="#Прил04_ФормыЗаявки">
              <w:r>
                <w:rPr>
                  <w:rFonts w:eastAsia="Calibri" w:cs="Arial"/>
                  <w:color w:val="000000"/>
                  <w:spacing w:val="0"/>
                  <w:kern w:val="0"/>
                  <w:sz w:val="26"/>
                  <w:szCs w:val="22"/>
                  <w:u w:val="single"/>
                  <w:shd w:fill="auto" w:val="clear"/>
                  <w:lang w:val="ru-RU" w:eastAsia="en-US" w:bidi="ar-SA"/>
                </w:rPr>
                <w:t>Приложение № 4</w:t>
              </w:r>
            </w:hyperlink>
            <w:r>
              <w:rPr>
                <w:rFonts w:eastAsia="Calibri" w:cs="Arial"/>
                <w:kern w:val="0"/>
                <w:sz w:val="26"/>
                <w:szCs w:val="22"/>
                <w:lang w:val="ru-RU" w:eastAsia="en-US" w:bidi="ar-SA"/>
              </w:rPr>
              <w:t>, а также указание Участником в составе заявки в Коммерческом предложении (форма 3) (</w:t>
            </w:r>
            <w:hyperlink w:anchor="Прил04_ФормыЗаявки" w:tgtFrame="#Прил04_ФормыЗаявки">
              <w:r>
                <w:rPr>
                  <w:rFonts w:eastAsia="Calibri" w:cs="Arial"/>
                  <w:color w:val="000000"/>
                  <w:spacing w:val="0"/>
                  <w:kern w:val="0"/>
                  <w:sz w:val="26"/>
                  <w:szCs w:val="22"/>
                  <w:u w:val="single"/>
                  <w:shd w:fill="auto" w:val="clear"/>
                  <w:lang w:val="ru-RU" w:eastAsia="en-US" w:bidi="ar-SA"/>
                </w:rPr>
                <w:t>Приложение № 4</w:t>
              </w:r>
            </w:hyperlink>
            <w:r>
              <w:rPr>
                <w:rFonts w:eastAsia="Calibri" w:cs="Arial"/>
                <w:kern w:val="0"/>
                <w:sz w:val="26"/>
                <w:szCs w:val="22"/>
                <w:lang w:val="ru-RU" w:eastAsia="en-US" w:bidi="ar-SA"/>
              </w:rPr>
              <w:t>) соответствующих сведений.</w:t>
            </w:r>
          </w:p>
          <w:p>
            <w:pPr>
              <w:pStyle w:val="Style23"/>
              <w:widowControl/>
              <w:spacing w:lineRule="auto" w:line="240" w:before="60" w:after="60"/>
              <w:rPr>
                <w:i/>
                <w:i/>
                <w:iCs/>
              </w:rPr>
            </w:pPr>
            <w:r>
              <w:rPr>
                <w:rFonts w:eastAsia="Calibri" w:cs="Arial"/>
                <w:i/>
                <w:iCs/>
                <w:kern w:val="0"/>
                <w:sz w:val="26"/>
                <w:szCs w:val="22"/>
                <w:lang w:val="ru-RU" w:eastAsia="en-US" w:bidi="ar-SA"/>
              </w:rPr>
              <w:t>(В рамках рассмотрения заявок Организатор проверяет на соответствие данному требованию на основании сведений, размещенных на официальных сервисах ФНС России в сети интернет (в отношении иных стран ЕАЭС – на аналогичных официальных сервисах данных стран).)</w:t>
            </w:r>
          </w:p>
        </w:tc>
      </w:tr>
    </w:tbl>
    <w:p>
      <w:pPr>
        <w:pStyle w:val="Style18"/>
        <w:spacing w:before="360" w:after="120"/>
        <w:rPr>
          <w:rFonts w:eastAsia="Calibri" w:cs="Arial" w:cstheme="minorBidi" w:eastAsiaTheme="minorHAnsi"/>
          <w:highlight w:val="none"/>
          <w:shd w:fill="FFFF00" w:val="clear"/>
        </w:rPr>
      </w:pPr>
      <w:bookmarkStart w:id="303" w:name="_Toc230928873"/>
      <w:bookmarkStart w:id="304" w:name="_Ref125709888"/>
      <w:bookmarkStart w:id="305" w:name="_Ref125709401"/>
      <w:bookmarkStart w:id="306" w:name="_Ref125709250"/>
      <w:bookmarkStart w:id="307" w:name="_Ref125709153"/>
      <w:bookmarkStart w:id="308" w:name="_Ref125370079"/>
      <w:bookmarkStart w:id="309" w:name="_Ref125369099"/>
      <w:bookmarkStart w:id="310" w:name="_Ref125367539"/>
      <w:bookmarkStart w:id="311" w:name="_Ref125368916"/>
      <w:bookmarkStart w:id="312" w:name="_Ref125368818"/>
      <w:bookmarkStart w:id="313" w:name="_Ref125367521"/>
      <w:bookmarkStart w:id="314" w:name="_Ref125365459"/>
      <w:bookmarkStart w:id="315" w:name="_Ref125361937"/>
      <w:bookmarkStart w:id="316" w:name="_Ref125361869"/>
      <w:bookmarkStart w:id="317" w:name="_Ref125361671"/>
      <w:bookmarkStart w:id="318" w:name="_Ref125361633"/>
      <w:bookmarkStart w:id="319" w:name="_Ref125361442"/>
      <w:bookmarkStart w:id="320" w:name="_Ref125368901"/>
      <w:r>
        <w:rPr>
          <w:rFonts w:eastAsia="Calibri" w:cs="Arial" w:cstheme="minorBidi" w:eastAsiaTheme="minorHAnsi"/>
          <w:shd w:fill="FFFF00" w:val="clear"/>
        </w:rPr>
        <w:t>Специальные требования</w:t>
      </w:r>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p>
    <w:tbl>
      <w:tblPr>
        <w:tblStyle w:val="1497"/>
        <w:tblW w:w="15126" w:type="dxa"/>
        <w:jc w:val="left"/>
        <w:tblInd w:w="0" w:type="dxa"/>
        <w:tblLayout w:type="fixed"/>
        <w:tblCellMar>
          <w:top w:w="0" w:type="dxa"/>
          <w:left w:w="57" w:type="dxa"/>
          <w:bottom w:w="0" w:type="dxa"/>
          <w:right w:w="57" w:type="dxa"/>
        </w:tblCellMar>
        <w:tblLook w:val="04a0" w:noHBand="0" w:noVBand="1" w:firstColumn="1" w:lastRow="0" w:lastColumn="0" w:firstRow="1"/>
      </w:tblPr>
      <w:tblGrid>
        <w:gridCol w:w="1128"/>
        <w:gridCol w:w="5671"/>
        <w:gridCol w:w="8327"/>
      </w:tblGrid>
      <w:tr>
        <w:trPr/>
        <w:tc>
          <w:tcPr>
            <w:tcW w:w="1128" w:type="dxa"/>
            <w:tcBorders/>
          </w:tcPr>
          <w:p>
            <w:pPr>
              <w:pStyle w:val="Style23"/>
              <w:keepNext w:val="false"/>
              <w:keepLines w:val="false"/>
              <w:widowControl/>
              <w:spacing w:lineRule="auto" w:line="240" w:beforeAutospacing="0" w:before="0" w:afterAutospacing="0" w:after="0"/>
              <w:jc w:val="center"/>
              <w:rPr>
                <w:b w:val="false"/>
                <w:bCs w:val="false"/>
                <w:i w:val="false"/>
                <w:i w:val="false"/>
                <w:iCs w:val="false"/>
                <w:sz w:val="26"/>
                <w:szCs w:val="26"/>
              </w:rPr>
            </w:pPr>
            <w:r>
              <w:rPr>
                <w:rFonts w:eastAsia="Calibri" w:cs="Arial"/>
                <w:b w:val="false"/>
                <w:bCs w:val="false"/>
                <w:i w:val="false"/>
                <w:iCs w:val="false"/>
                <w:kern w:val="0"/>
                <w:sz w:val="26"/>
                <w:szCs w:val="26"/>
                <w:lang w:val="ru-RU" w:eastAsia="en-US" w:bidi="ar-SA"/>
              </w:rPr>
              <w:t>№</w:t>
            </w:r>
            <w:r>
              <w:rPr>
                <w:rFonts w:eastAsia="Calibri" w:cs="Arial"/>
                <w:b w:val="false"/>
                <w:bCs w:val="false"/>
                <w:i w:val="false"/>
                <w:iCs w:val="false"/>
                <w:kern w:val="0"/>
                <w:sz w:val="26"/>
                <w:szCs w:val="26"/>
                <w:lang w:val="ru-RU" w:eastAsia="en-US" w:bidi="ar-SA"/>
              </w:rPr>
              <w:br/>
              <w:t>п/п</w:t>
            </w:r>
          </w:p>
        </w:tc>
        <w:tc>
          <w:tcPr>
            <w:tcW w:w="5671" w:type="dxa"/>
            <w:tcBorders/>
          </w:tcPr>
          <w:p>
            <w:pPr>
              <w:pStyle w:val="Style23"/>
              <w:keepNext w:val="false"/>
              <w:keepLines w:val="false"/>
              <w:widowControl/>
              <w:spacing w:lineRule="auto" w:line="240" w:beforeAutospacing="0" w:before="0" w:afterAutospacing="0" w:after="0"/>
              <w:jc w:val="center"/>
              <w:rPr>
                <w:b w:val="false"/>
                <w:bCs w:val="false"/>
                <w:i w:val="false"/>
                <w:i w:val="false"/>
                <w:iCs w:val="false"/>
                <w:sz w:val="26"/>
                <w:szCs w:val="26"/>
              </w:rPr>
            </w:pPr>
            <w:r>
              <w:rPr>
                <w:rFonts w:eastAsia="Calibri" w:cs="Arial"/>
                <w:b w:val="false"/>
                <w:bCs w:val="false"/>
                <w:i w:val="false"/>
                <w:iCs w:val="false"/>
                <w:kern w:val="0"/>
                <w:sz w:val="26"/>
                <w:szCs w:val="26"/>
                <w:lang w:val="ru-RU" w:eastAsia="en-US" w:bidi="ar-SA"/>
              </w:rPr>
              <w:t>Требования к Участнику</w:t>
            </w:r>
          </w:p>
        </w:tc>
        <w:tc>
          <w:tcPr>
            <w:tcW w:w="8327" w:type="dxa"/>
            <w:tcBorders/>
          </w:tcPr>
          <w:p>
            <w:pPr>
              <w:pStyle w:val="Style23"/>
              <w:keepNext w:val="false"/>
              <w:keepLines w:val="false"/>
              <w:widowControl/>
              <w:spacing w:lineRule="auto" w:line="240" w:beforeAutospacing="0" w:before="0" w:afterAutospacing="0" w:after="0"/>
              <w:jc w:val="center"/>
              <w:rPr>
                <w:b w:val="false"/>
                <w:bCs w:val="false"/>
                <w:i w:val="false"/>
                <w:i w:val="false"/>
                <w:iCs w:val="false"/>
                <w:sz w:val="26"/>
                <w:szCs w:val="26"/>
              </w:rPr>
            </w:pPr>
            <w:r>
              <w:rPr>
                <w:rFonts w:eastAsia="Calibri" w:cs="Arial"/>
                <w:b w:val="false"/>
                <w:bCs w:val="false"/>
                <w:i w:val="false"/>
                <w:iCs w:val="false"/>
                <w:kern w:val="0"/>
                <w:sz w:val="26"/>
                <w:szCs w:val="26"/>
                <w:lang w:val="ru-RU" w:eastAsia="en-US" w:bidi="ar-SA"/>
              </w:rPr>
              <w:t>Требования к документам,</w:t>
              <w:br/>
              <w:t>подтверждающим соответствие Участника установленным требованиям</w:t>
            </w:r>
          </w:p>
        </w:tc>
      </w:tr>
      <w:tr>
        <w:trPr/>
        <w:tc>
          <w:tcPr>
            <w:tcW w:w="1128" w:type="dxa"/>
            <w:tcBorders/>
          </w:tcPr>
          <w:p>
            <w:pPr>
              <w:pStyle w:val="Style23"/>
              <w:widowControl/>
              <w:numPr>
                <w:ilvl w:val="0"/>
                <w:numId w:val="4"/>
              </w:numPr>
              <w:spacing w:lineRule="auto" w:line="240" w:beforeAutospacing="0" w:before="0" w:afterAutospacing="0" w:after="0"/>
              <w:ind w:hanging="0" w:left="284"/>
              <w:jc w:val="center"/>
              <w:rPr>
                <w:b w:val="false"/>
                <w:bCs w:val="false"/>
                <w:i/>
                <w:i/>
                <w:iCs/>
                <w:kern w:val="0"/>
                <w:sz w:val="26"/>
                <w:szCs w:val="26"/>
                <w:u w:val="single"/>
              </w:rPr>
            </w:pPr>
            <w:r>
              <w:rPr>
                <w:b w:val="false"/>
                <w:bCs w:val="false"/>
                <w:i/>
                <w:iCs/>
                <w:kern w:val="0"/>
                <w:sz w:val="26"/>
                <w:szCs w:val="26"/>
                <w:u w:val="single"/>
              </w:rPr>
            </w:r>
          </w:p>
        </w:tc>
        <w:tc>
          <w:tcPr>
            <w:tcW w:w="5671" w:type="dxa"/>
            <w:tcBorders/>
          </w:tcPr>
          <w:p>
            <w:pPr>
              <w:pStyle w:val="Normal"/>
              <w:widowControl w:val="false"/>
              <w:tabs>
                <w:tab w:val="clear" w:pos="708"/>
                <w:tab w:val="left" w:pos="426" w:leader="none"/>
              </w:tabs>
              <w:spacing w:beforeAutospacing="0" w:before="0" w:afterAutospacing="0" w:after="0"/>
              <w:jc w:val="both"/>
              <w:rPr>
                <w:b w:val="false"/>
                <w:bCs w:val="false"/>
                <w:i w:val="false"/>
                <w:i w:val="false"/>
                <w:iCs w:val="false"/>
                <w:kern w:val="0"/>
                <w:sz w:val="26"/>
                <w:szCs w:val="26"/>
                <w:u w:val="none"/>
              </w:rPr>
            </w:pPr>
            <w:r>
              <w:rPr>
                <w:rFonts w:eastAsia="Times New Roman" w:cs="Times New Roman"/>
                <w:b w:val="false"/>
                <w:bCs w:val="false"/>
                <w:i w:val="false"/>
                <w:iCs w:val="false"/>
                <w:color w:val="auto"/>
                <w:kern w:val="0"/>
                <w:sz w:val="26"/>
                <w:szCs w:val="26"/>
                <w:highlight w:val="white"/>
                <w:u w:val="none"/>
                <w:lang w:val="ru-RU" w:eastAsia="ru-RU" w:bidi="ar-SA"/>
              </w:rPr>
              <w:t>В соответствии со ст. 12 Федерального закона от 04.05.2011 №99-ФЗ «О лицензировании отдельных видов деятельности»: наличие у Участника действующей на момент подачи заявки на участие в закупке лицензии на осуществление частной охранной деятельности с указанием разрешенных видов охранных услуг (в соответствии с Федеральным законом от 30.11.2024 N 427-ФЗ «О частной охранной деятельности»), а именно:</w:t>
            </w:r>
          </w:p>
          <w:p>
            <w:pPr>
              <w:pStyle w:val="Normal"/>
              <w:widowControl w:val="false"/>
              <w:tabs>
                <w:tab w:val="clear" w:pos="708"/>
                <w:tab w:val="left" w:pos="426" w:leader="none"/>
              </w:tabs>
              <w:spacing w:beforeAutospacing="0" w:before="0" w:afterAutospacing="0" w:after="0"/>
              <w:jc w:val="both"/>
              <w:rPr>
                <w:b w:val="false"/>
                <w:bCs w:val="false"/>
                <w:i w:val="false"/>
                <w:i w:val="false"/>
                <w:iCs w:val="false"/>
                <w:kern w:val="0"/>
                <w:sz w:val="26"/>
                <w:szCs w:val="26"/>
                <w:u w:val="none"/>
              </w:rPr>
            </w:pPr>
            <w:r>
              <w:rPr>
                <w:rFonts w:eastAsia="Times New Roman" w:cs="Times New Roman"/>
                <w:b w:val="false"/>
                <w:bCs w:val="false"/>
                <w:i w:val="false"/>
                <w:iCs w:val="false"/>
                <w:color w:val="auto"/>
                <w:kern w:val="0"/>
                <w:sz w:val="26"/>
                <w:szCs w:val="26"/>
                <w:highlight w:val="white"/>
                <w:u w:val="none"/>
                <w:lang w:val="ru-RU" w:eastAsia="ru-RU" w:bidi="ar-SA"/>
              </w:rPr>
              <w:t xml:space="preserve">    • </w:t>
            </w:r>
            <w:r>
              <w:rPr>
                <w:rFonts w:eastAsia="Times New Roman" w:cs="Times New Roman"/>
                <w:b w:val="false"/>
                <w:bCs w:val="false"/>
                <w:i w:val="false"/>
                <w:iCs w:val="false"/>
                <w:color w:val="auto"/>
                <w:kern w:val="0"/>
                <w:sz w:val="26"/>
                <w:szCs w:val="26"/>
                <w:highlight w:val="white"/>
                <w:u w:val="none"/>
                <w:lang w:val="ru-RU" w:eastAsia="ru-RU" w:bidi="ar-SA"/>
              </w:rPr>
              <w:t>защита жизни и здоровья физических лиц от противоправных посягательств;</w:t>
            </w:r>
          </w:p>
          <w:p>
            <w:pPr>
              <w:pStyle w:val="Normal"/>
              <w:widowControl w:val="false"/>
              <w:tabs>
                <w:tab w:val="clear" w:pos="708"/>
                <w:tab w:val="left" w:pos="426" w:leader="none"/>
              </w:tabs>
              <w:spacing w:beforeAutospacing="0" w:before="0" w:afterAutospacing="0" w:after="0"/>
              <w:jc w:val="both"/>
              <w:rPr>
                <w:b w:val="false"/>
                <w:bCs w:val="false"/>
                <w:i w:val="false"/>
                <w:i w:val="false"/>
                <w:iCs w:val="false"/>
                <w:kern w:val="0"/>
                <w:sz w:val="26"/>
                <w:szCs w:val="26"/>
                <w:u w:val="none"/>
              </w:rPr>
            </w:pPr>
            <w:r>
              <w:rPr>
                <w:rFonts w:eastAsia="Times New Roman" w:cs="Times New Roman"/>
                <w:b w:val="false"/>
                <w:bCs w:val="false"/>
                <w:i w:val="false"/>
                <w:iCs w:val="false"/>
                <w:color w:val="auto"/>
                <w:kern w:val="0"/>
                <w:sz w:val="26"/>
                <w:szCs w:val="26"/>
                <w:highlight w:val="white"/>
                <w:u w:val="none"/>
                <w:lang w:val="ru-RU" w:eastAsia="ru-RU" w:bidi="ar-SA"/>
              </w:rPr>
              <w:t xml:space="preserve">    • </w:t>
            </w:r>
            <w:r>
              <w:rPr>
                <w:rFonts w:eastAsia="Times New Roman" w:cs="Times New Roman"/>
                <w:b w:val="false"/>
                <w:bCs w:val="false"/>
                <w:i w:val="false"/>
                <w:iCs w:val="false"/>
                <w:color w:val="auto"/>
                <w:kern w:val="0"/>
                <w:sz w:val="26"/>
                <w:szCs w:val="26"/>
                <w:highlight w:val="white"/>
                <w:u w:val="none"/>
                <w:lang w:val="ru-RU" w:eastAsia="ru-RU" w:bidi="ar-SA"/>
              </w:rPr>
              <w:t>охрана принадлежащего заказчику на праве собственности или ином законном основании охраняемого объекта с принятием мер реагирования мобильными группами охраны;</w:t>
            </w:r>
          </w:p>
          <w:p>
            <w:pPr>
              <w:pStyle w:val="Normal"/>
              <w:widowControl w:val="false"/>
              <w:tabs>
                <w:tab w:val="clear" w:pos="708"/>
                <w:tab w:val="left" w:pos="426" w:leader="none"/>
              </w:tabs>
              <w:spacing w:beforeAutospacing="0" w:before="0" w:afterAutospacing="0" w:after="0"/>
              <w:jc w:val="both"/>
              <w:rPr>
                <w:b w:val="false"/>
                <w:bCs w:val="false"/>
                <w:i w:val="false"/>
                <w:i w:val="false"/>
                <w:iCs w:val="false"/>
                <w:kern w:val="0"/>
                <w:sz w:val="26"/>
                <w:szCs w:val="26"/>
                <w:u w:val="none"/>
              </w:rPr>
            </w:pPr>
            <w:r>
              <w:rPr>
                <w:rFonts w:eastAsia="Times New Roman" w:cs="Times New Roman"/>
                <w:b w:val="false"/>
                <w:bCs w:val="false"/>
                <w:i w:val="false"/>
                <w:iCs w:val="false"/>
                <w:color w:val="auto"/>
                <w:kern w:val="0"/>
                <w:sz w:val="26"/>
                <w:szCs w:val="26"/>
                <w:highlight w:val="white"/>
                <w:u w:val="none"/>
                <w:lang w:val="ru-RU" w:eastAsia="ru-RU" w:bidi="ar-SA"/>
              </w:rPr>
              <w:t xml:space="preserve">    • </w:t>
            </w:r>
            <w:r>
              <w:rPr>
                <w:rFonts w:eastAsia="Times New Roman" w:cs="Times New Roman"/>
                <w:b w:val="false"/>
                <w:bCs w:val="false"/>
                <w:i w:val="false"/>
                <w:iCs w:val="false"/>
                <w:color w:val="auto"/>
                <w:kern w:val="0"/>
                <w:sz w:val="26"/>
                <w:szCs w:val="26"/>
                <w:highlight w:val="white"/>
                <w:u w:val="none"/>
                <w:lang w:val="ru-RU" w:eastAsia="ru-RU" w:bidi="ar-SA"/>
              </w:rPr>
              <w:t>прием, обработка информации, поступающей с охраняемых объектов при помощи технических средств охраны, и передача ее для дальнейшего реагирования мобильным группам охраны или иным организациям, имеющим право в соответствии с законодательством Российской Федерации осуществлять их охрану (защиту);</w:t>
            </w:r>
          </w:p>
          <w:p>
            <w:pPr>
              <w:pStyle w:val="Normal"/>
              <w:widowControl w:val="false"/>
              <w:tabs>
                <w:tab w:val="clear" w:pos="708"/>
                <w:tab w:val="left" w:pos="426" w:leader="none"/>
              </w:tabs>
              <w:spacing w:beforeAutospacing="0" w:before="0" w:afterAutospacing="0" w:after="0"/>
              <w:jc w:val="both"/>
              <w:rPr>
                <w:b w:val="false"/>
                <w:bCs w:val="false"/>
                <w:i w:val="false"/>
                <w:i w:val="false"/>
                <w:iCs w:val="false"/>
                <w:kern w:val="0"/>
                <w:sz w:val="26"/>
                <w:szCs w:val="26"/>
                <w:u w:val="none"/>
              </w:rPr>
            </w:pPr>
            <w:r>
              <w:rPr>
                <w:rFonts w:eastAsia="Times New Roman" w:cs="Times New Roman"/>
                <w:b w:val="false"/>
                <w:bCs w:val="false"/>
                <w:i w:val="false"/>
                <w:iCs w:val="false"/>
                <w:color w:val="auto"/>
                <w:kern w:val="0"/>
                <w:sz w:val="26"/>
                <w:szCs w:val="26"/>
                <w:highlight w:val="white"/>
                <w:u w:val="none"/>
                <w:lang w:val="ru-RU" w:eastAsia="ru-RU" w:bidi="ar-SA"/>
              </w:rPr>
              <w:t xml:space="preserve">    • </w:t>
            </w:r>
            <w:r>
              <w:rPr>
                <w:rFonts w:eastAsia="Times New Roman" w:cs="Times New Roman"/>
                <w:b w:val="false"/>
                <w:bCs w:val="false"/>
                <w:i w:val="false"/>
                <w:iCs w:val="false"/>
                <w:color w:val="auto"/>
                <w:kern w:val="0"/>
                <w:sz w:val="26"/>
                <w:szCs w:val="26"/>
                <w:highlight w:val="white"/>
                <w:u w:val="none"/>
                <w:lang w:val="ru-RU" w:eastAsia="ru-RU" w:bidi="ar-SA"/>
              </w:rPr>
              <w:t>обеспечение внутриобъектового режима и пропускного режима на охраняемых объекта, за исключением охраняемых объектов, предусмотренных пп. 8 п.2 ст.5 Федерального закона от 30.11.2024 №427-ФЗ.</w:t>
            </w:r>
          </w:p>
        </w:tc>
        <w:tc>
          <w:tcPr>
            <w:tcW w:w="8327" w:type="dxa"/>
            <w:tcBorders/>
          </w:tcPr>
          <w:p>
            <w:pPr>
              <w:pStyle w:val="Normal"/>
              <w:widowControl w:val="false"/>
              <w:tabs>
                <w:tab w:val="clear" w:pos="708"/>
                <w:tab w:val="left" w:pos="426" w:leader="none"/>
              </w:tabs>
              <w:spacing w:beforeAutospacing="0" w:before="0" w:afterAutospacing="0" w:after="0"/>
              <w:jc w:val="both"/>
              <w:rPr>
                <w:b w:val="false"/>
                <w:bCs w:val="false"/>
                <w:i w:val="false"/>
                <w:i w:val="false"/>
                <w:iCs w:val="false"/>
                <w:kern w:val="0"/>
                <w:sz w:val="26"/>
                <w:szCs w:val="26"/>
                <w:u w:val="none"/>
              </w:rPr>
            </w:pPr>
            <w:r>
              <w:rPr>
                <w:rFonts w:eastAsia="Times New Roman" w:cs="Times New Roman"/>
                <w:b w:val="false"/>
                <w:bCs w:val="false"/>
                <w:i w:val="false"/>
                <w:iCs w:val="false"/>
                <w:color w:val="auto"/>
                <w:kern w:val="0"/>
                <w:sz w:val="26"/>
                <w:szCs w:val="26"/>
                <w:highlight w:val="white"/>
                <w:u w:val="none"/>
                <w:lang w:val="ru-RU" w:eastAsia="ru-RU" w:bidi="ar-SA"/>
              </w:rPr>
              <w:t>Предоставление документов не требуется.</w:t>
            </w:r>
          </w:p>
          <w:p>
            <w:pPr>
              <w:pStyle w:val="Normal"/>
              <w:widowControl w:val="false"/>
              <w:tabs>
                <w:tab w:val="clear" w:pos="708"/>
                <w:tab w:val="left" w:pos="426" w:leader="none"/>
              </w:tabs>
              <w:spacing w:beforeAutospacing="0" w:before="0" w:afterAutospacing="0" w:after="0"/>
              <w:jc w:val="both"/>
              <w:rPr>
                <w:b w:val="false"/>
                <w:bCs w:val="false"/>
                <w:i w:val="false"/>
                <w:i w:val="false"/>
                <w:iCs w:val="false"/>
                <w:kern w:val="0"/>
                <w:sz w:val="26"/>
                <w:szCs w:val="26"/>
                <w:u w:val="none"/>
              </w:rPr>
            </w:pPr>
            <w:r>
              <w:rPr>
                <w:rFonts w:eastAsia="Times New Roman" w:cs="Times New Roman"/>
                <w:b w:val="false"/>
                <w:bCs w:val="false"/>
                <w:i w:val="false"/>
                <w:iCs w:val="false"/>
                <w:color w:val="auto"/>
                <w:kern w:val="0"/>
                <w:sz w:val="26"/>
                <w:szCs w:val="26"/>
                <w:highlight w:val="white"/>
                <w:u w:val="none"/>
                <w:lang w:val="ru-RU" w:eastAsia="ru-RU" w:bidi="ar-SA"/>
              </w:rPr>
              <w:t>На стадии рассмотрения заявок Организатор проверяет наличие информации об Участнике в Реестре лицензий на осуществление частной охранной деятельности по общедоступному ресурсу:</w:t>
            </w:r>
          </w:p>
          <w:p>
            <w:pPr>
              <w:pStyle w:val="Normal"/>
              <w:widowControl w:val="false"/>
              <w:tabs>
                <w:tab w:val="clear" w:pos="708"/>
                <w:tab w:val="left" w:pos="426" w:leader="none"/>
              </w:tabs>
              <w:spacing w:beforeAutospacing="0" w:before="0" w:afterAutospacing="0" w:after="0"/>
              <w:jc w:val="both"/>
              <w:rPr>
                <w:b w:val="false"/>
                <w:bCs w:val="false"/>
                <w:i w:val="false"/>
                <w:i w:val="false"/>
                <w:iCs w:val="false"/>
                <w:kern w:val="0"/>
                <w:sz w:val="26"/>
                <w:szCs w:val="26"/>
                <w:u w:val="none"/>
              </w:rPr>
            </w:pPr>
            <w:r>
              <w:rPr>
                <w:rFonts w:eastAsia="Times New Roman" w:cs="Times New Roman"/>
                <w:b w:val="false"/>
                <w:bCs w:val="false"/>
                <w:i w:val="false"/>
                <w:iCs w:val="false"/>
                <w:color w:val="auto"/>
                <w:kern w:val="0"/>
                <w:sz w:val="26"/>
                <w:szCs w:val="26"/>
                <w:highlight w:val="white"/>
                <w:u w:val="none"/>
                <w:lang w:val="ru-RU" w:eastAsia="ru-RU" w:bidi="ar-SA"/>
              </w:rPr>
              <w:t>(https://rosguard.gov.ru/ru/page/index/proverka-otkrytyx-dannyx-licenzij).</w:t>
            </w:r>
          </w:p>
          <w:p>
            <w:pPr>
              <w:pStyle w:val="Normal"/>
              <w:widowControl w:val="false"/>
              <w:tabs>
                <w:tab w:val="clear" w:pos="708"/>
                <w:tab w:val="left" w:pos="426" w:leader="none"/>
              </w:tabs>
              <w:spacing w:beforeAutospacing="0" w:before="0" w:afterAutospacing="0" w:after="0"/>
              <w:jc w:val="both"/>
              <w:rPr>
                <w:b w:val="false"/>
                <w:bCs w:val="false"/>
                <w:i w:val="false"/>
                <w:i w:val="false"/>
                <w:iCs w:val="false"/>
                <w:kern w:val="0"/>
                <w:sz w:val="26"/>
                <w:szCs w:val="26"/>
                <w:u w:val="none"/>
              </w:rPr>
            </w:pPr>
            <w:r>
              <w:rPr>
                <w:b w:val="false"/>
                <w:bCs w:val="false"/>
                <w:i w:val="false"/>
                <w:iCs w:val="false"/>
                <w:kern w:val="0"/>
                <w:sz w:val="26"/>
                <w:szCs w:val="26"/>
                <w:u w:val="none"/>
              </w:rPr>
            </w:r>
          </w:p>
          <w:p>
            <w:pPr>
              <w:pStyle w:val="Normal"/>
              <w:widowControl w:val="false"/>
              <w:tabs>
                <w:tab w:val="clear" w:pos="708"/>
                <w:tab w:val="left" w:pos="426" w:leader="none"/>
              </w:tabs>
              <w:spacing w:beforeAutospacing="0" w:before="0" w:afterAutospacing="0" w:after="0"/>
              <w:jc w:val="both"/>
              <w:rPr>
                <w:b/>
                <w:bCs/>
              </w:rPr>
            </w:pPr>
            <w:r>
              <w:rPr>
                <w:rFonts w:eastAsia="Times New Roman" w:cs="Times New Roman"/>
                <w:b/>
                <w:bCs/>
                <w:i w:val="false"/>
                <w:iCs w:val="false"/>
                <w:color w:val="auto"/>
                <w:kern w:val="0"/>
                <w:sz w:val="26"/>
                <w:szCs w:val="26"/>
                <w:highlight w:val="white"/>
                <w:u w:val="none"/>
                <w:lang w:val="ru-RU" w:eastAsia="ru-RU" w:bidi="ar-SA"/>
              </w:rPr>
              <w:t>Требование является обязательным, неисполнение которого повлечет отклонение заявки</w:t>
            </w:r>
          </w:p>
        </w:tc>
      </w:tr>
    </w:tbl>
    <w:p>
      <w:pPr>
        <w:pStyle w:val="Style18"/>
        <w:spacing w:before="360" w:after="120"/>
        <w:rPr>
          <w:rFonts w:cstheme="minorBidi" w:eastAsiaTheme="minorHAnsi"/>
          <w:highlight w:val="none"/>
          <w:shd w:fill="FFFF00" w:val="clear"/>
        </w:rPr>
      </w:pPr>
      <w:bookmarkStart w:id="321" w:name="_Ref125553242"/>
      <w:bookmarkStart w:id="322" w:name="_Toc230928874"/>
      <w:bookmarkStart w:id="323" w:name="_Ref125709895"/>
      <w:bookmarkStart w:id="324" w:name="_Ref125709541"/>
      <w:bookmarkStart w:id="325" w:name="_Ref125709256"/>
      <w:bookmarkStart w:id="326" w:name="_Ref125709154"/>
      <w:bookmarkStart w:id="327" w:name="_Ref125553681"/>
      <w:bookmarkStart w:id="328" w:name="_Ref125553475"/>
      <w:bookmarkStart w:id="329" w:name="_Ref125553296"/>
      <w:bookmarkStart w:id="330" w:name="_Ref125550353"/>
      <w:bookmarkStart w:id="331" w:name="_Ref125550270"/>
      <w:r>
        <w:rPr>
          <w:rFonts w:cstheme="minorBidi" w:eastAsiaTheme="minorHAnsi"/>
          <w:shd w:fill="FFFF00" w:val="clear"/>
        </w:rPr>
        <w:t>Квалификационные требования</w:t>
      </w:r>
      <w:bookmarkEnd w:id="321"/>
      <w:bookmarkEnd w:id="322"/>
      <w:bookmarkEnd w:id="323"/>
      <w:bookmarkEnd w:id="324"/>
      <w:bookmarkEnd w:id="325"/>
      <w:bookmarkEnd w:id="326"/>
      <w:bookmarkEnd w:id="327"/>
      <w:bookmarkEnd w:id="328"/>
      <w:bookmarkEnd w:id="329"/>
      <w:bookmarkEnd w:id="330"/>
      <w:bookmarkEnd w:id="331"/>
    </w:p>
    <w:tbl>
      <w:tblPr>
        <w:tblStyle w:val="1497"/>
        <w:tblW w:w="15126" w:type="dxa"/>
        <w:jc w:val="left"/>
        <w:tblInd w:w="0" w:type="dxa"/>
        <w:tblLayout w:type="fixed"/>
        <w:tblCellMar>
          <w:top w:w="0" w:type="dxa"/>
          <w:left w:w="57" w:type="dxa"/>
          <w:bottom w:w="0" w:type="dxa"/>
          <w:right w:w="57" w:type="dxa"/>
        </w:tblCellMar>
        <w:tblLook w:val="04a0" w:noHBand="0" w:noVBand="1" w:firstColumn="1" w:lastRow="0" w:lastColumn="0" w:firstRow="1"/>
      </w:tblPr>
      <w:tblGrid>
        <w:gridCol w:w="1128"/>
        <w:gridCol w:w="5671"/>
        <w:gridCol w:w="8327"/>
      </w:tblGrid>
      <w:tr>
        <w:trPr/>
        <w:tc>
          <w:tcPr>
            <w:tcW w:w="1128" w:type="dxa"/>
            <w:tcBorders/>
          </w:tcPr>
          <w:p>
            <w:pPr>
              <w:pStyle w:val="Style23"/>
              <w:keepNext w:val="false"/>
              <w:keepLines w:val="false"/>
              <w:widowControl/>
              <w:spacing w:lineRule="auto" w:line="240" w:before="60" w:after="60"/>
              <w:jc w:val="center"/>
              <w:rPr>
                <w:rFonts w:ascii="Times New Roman" w:hAnsi="Times New Roman" w:eastAsia="Calibri" w:cs="Arial"/>
                <w:b/>
                <w:sz w:val="26"/>
                <w:szCs w:val="22"/>
                <w:lang w:val="ru-RU" w:eastAsia="en-US" w:bidi="ar-SA"/>
              </w:rPr>
            </w:pPr>
            <w:r>
              <w:rPr>
                <w:rFonts w:eastAsia="Calibri" w:cs="Arial"/>
                <w:b/>
                <w:kern w:val="0"/>
                <w:sz w:val="26"/>
                <w:szCs w:val="22"/>
                <w:lang w:val="ru-RU" w:eastAsia="en-US" w:bidi="ar-SA"/>
              </w:rPr>
              <w:t>№</w:t>
            </w:r>
            <w:r>
              <w:rPr>
                <w:rFonts w:eastAsia="Calibri" w:cs="Arial"/>
                <w:b/>
                <w:kern w:val="0"/>
                <w:sz w:val="26"/>
                <w:szCs w:val="22"/>
                <w:lang w:val="ru-RU" w:eastAsia="en-US" w:bidi="ar-SA"/>
              </w:rPr>
              <w:br/>
              <w:t>п/п</w:t>
            </w:r>
          </w:p>
        </w:tc>
        <w:tc>
          <w:tcPr>
            <w:tcW w:w="5671" w:type="dxa"/>
            <w:tcBorders/>
          </w:tcPr>
          <w:p>
            <w:pPr>
              <w:pStyle w:val="Style23"/>
              <w:keepNext w:val="false"/>
              <w:keepLines w:val="false"/>
              <w:widowControl/>
              <w:spacing w:lineRule="auto" w:line="240" w:before="60" w:after="60"/>
              <w:jc w:val="center"/>
              <w:rPr>
                <w:rFonts w:ascii="Times New Roman" w:hAnsi="Times New Roman" w:eastAsia="Calibri" w:cs="Arial"/>
                <w:b/>
                <w:sz w:val="26"/>
                <w:szCs w:val="22"/>
                <w:lang w:val="ru-RU" w:eastAsia="en-US" w:bidi="ar-SA"/>
              </w:rPr>
            </w:pPr>
            <w:r>
              <w:rPr>
                <w:rFonts w:eastAsia="Calibri" w:cs="Arial"/>
                <w:b/>
                <w:kern w:val="0"/>
                <w:sz w:val="26"/>
                <w:szCs w:val="22"/>
                <w:lang w:val="ru-RU" w:eastAsia="en-US" w:bidi="ar-SA"/>
              </w:rPr>
              <w:t>Требования к Участнику</w:t>
            </w:r>
          </w:p>
        </w:tc>
        <w:tc>
          <w:tcPr>
            <w:tcW w:w="8327" w:type="dxa"/>
            <w:tcBorders/>
          </w:tcPr>
          <w:p>
            <w:pPr>
              <w:pStyle w:val="Style23"/>
              <w:keepNext w:val="false"/>
              <w:keepLines w:val="false"/>
              <w:widowControl/>
              <w:spacing w:lineRule="auto" w:line="240" w:before="60" w:after="60"/>
              <w:jc w:val="center"/>
              <w:rPr>
                <w:rFonts w:ascii="Times New Roman" w:hAnsi="Times New Roman" w:eastAsia="Calibri" w:cs="Arial"/>
                <w:b/>
                <w:sz w:val="26"/>
                <w:szCs w:val="22"/>
                <w:lang w:val="ru-RU" w:eastAsia="en-US" w:bidi="ar-SA"/>
              </w:rPr>
            </w:pPr>
            <w:r>
              <w:rPr>
                <w:rFonts w:eastAsia="Calibri" w:cs="Arial"/>
                <w:b/>
                <w:kern w:val="0"/>
                <w:sz w:val="26"/>
                <w:szCs w:val="22"/>
                <w:lang w:val="ru-RU" w:eastAsia="en-US" w:bidi="ar-SA"/>
              </w:rPr>
              <w:t>Требования к документам,</w:t>
              <w:br/>
              <w:t>подтверждающим соответствие Участника установленным требованиям</w:t>
            </w:r>
          </w:p>
        </w:tc>
      </w:tr>
      <w:tr>
        <w:trPr>
          <w:trHeight w:val="1073" w:hRule="atLeast"/>
        </w:trPr>
        <w:tc>
          <w:tcPr>
            <w:tcW w:w="1128" w:type="dxa"/>
            <w:tcBorders/>
          </w:tcPr>
          <w:p>
            <w:pPr>
              <w:pStyle w:val="Style23"/>
              <w:widowControl/>
              <w:numPr>
                <w:ilvl w:val="0"/>
                <w:numId w:val="11"/>
              </w:numPr>
              <w:spacing w:lineRule="auto" w:line="240" w:before="60" w:after="60"/>
              <w:ind w:hanging="0" w:left="284"/>
              <w:jc w:val="center"/>
              <w:rPr>
                <w:rFonts w:ascii="Times New Roman" w:hAnsi="Times New Roman" w:eastAsia="Calibri" w:cs="Arial"/>
                <w:sz w:val="26"/>
                <w:szCs w:val="22"/>
                <w:lang w:val="ru-RU" w:eastAsia="en-US" w:bidi="ar-SA"/>
              </w:rPr>
            </w:pPr>
            <w:r>
              <w:rPr>
                <w:rFonts w:eastAsia="Calibri" w:cs="Arial"/>
                <w:sz w:val="26"/>
                <w:szCs w:val="22"/>
                <w:lang w:val="ru-RU" w:eastAsia="en-US" w:bidi="ar-SA"/>
              </w:rPr>
            </w:r>
          </w:p>
        </w:tc>
        <w:tc>
          <w:tcPr>
            <w:tcW w:w="5671" w:type="dxa"/>
            <w:tcBorders/>
          </w:tcPr>
          <w:p>
            <w:pPr>
              <w:pStyle w:val="Style23"/>
              <w:widowControl/>
              <w:spacing w:lineRule="auto" w:line="240" w:before="60" w:after="60"/>
              <w:rPr>
                <w:rFonts w:ascii="Times New Roman" w:hAnsi="Times New Roman" w:eastAsia="Calibri" w:cs="Arial"/>
                <w:sz w:val="26"/>
                <w:szCs w:val="22"/>
                <w:lang w:val="ru-RU" w:eastAsia="en-US" w:bidi="ar-SA"/>
              </w:rPr>
            </w:pPr>
            <w:r>
              <w:rPr>
                <w:rFonts w:eastAsia="Calibri" w:cs="Arial"/>
                <w:kern w:val="0"/>
                <w:sz w:val="26"/>
                <w:szCs w:val="22"/>
                <w:lang w:val="ru-RU" w:eastAsia="en-US" w:bidi="ar-SA"/>
              </w:rPr>
              <w:t>Требования к наличию материально-технических ресурс</w:t>
            </w:r>
            <w:r>
              <w:rPr>
                <w:rFonts w:eastAsia="Calibri" w:cs="Arial"/>
                <w:kern w:val="0"/>
                <w:sz w:val="26"/>
                <w:szCs w:val="22"/>
                <w:lang w:val="ru-RU" w:eastAsia="en-US" w:bidi="ar-SA"/>
              </w:rPr>
              <w:t>ам</w:t>
            </w:r>
            <w:r>
              <w:rPr>
                <w:rFonts w:eastAsia="Calibri" w:cs="Arial"/>
                <w:kern w:val="0"/>
                <w:sz w:val="26"/>
                <w:szCs w:val="22"/>
                <w:lang w:val="ru-RU" w:eastAsia="en-US" w:bidi="ar-SA"/>
              </w:rPr>
              <w:t>:</w:t>
            </w:r>
          </w:p>
          <w:p>
            <w:pPr>
              <w:pStyle w:val="Style23"/>
              <w:widowControl/>
              <w:spacing w:lineRule="auto" w:line="240" w:before="60" w:after="60"/>
              <w:rPr>
                <w:rFonts w:ascii="Times New Roman" w:hAnsi="Times New Roman" w:eastAsia="Calibri" w:cs="Arial"/>
                <w:sz w:val="26"/>
                <w:szCs w:val="22"/>
                <w:lang w:val="ru-RU" w:eastAsia="en-US" w:bidi="ar-SA"/>
              </w:rPr>
            </w:pPr>
            <w:r>
              <w:rPr/>
            </w:r>
          </w:p>
        </w:tc>
        <w:tc>
          <w:tcPr>
            <w:tcW w:w="8327" w:type="dxa"/>
            <w:tcBorders/>
          </w:tcPr>
          <w:p>
            <w:pPr>
              <w:pStyle w:val="Style23"/>
              <w:widowControl/>
              <w:spacing w:lineRule="auto" w:line="240" w:before="60" w:after="60"/>
              <w:rPr>
                <w:rFonts w:ascii="Times New Roman" w:hAnsi="Times New Roman" w:eastAsia="Calibri" w:cs="Arial"/>
                <w:sz w:val="26"/>
                <w:szCs w:val="22"/>
                <w:lang w:val="ru-RU" w:eastAsia="en-US" w:bidi="ar-SA"/>
              </w:rPr>
            </w:pPr>
            <w:r>
              <w:rPr>
                <w:rFonts w:eastAsia="Calibri" w:cs="Arial"/>
                <w:kern w:val="0"/>
                <w:sz w:val="26"/>
                <w:szCs w:val="22"/>
                <w:lang w:val="ru-RU" w:eastAsia="en-US" w:bidi="ar-SA"/>
              </w:rPr>
              <w:t>В составе заявки Участник должен предоставить Справку о материально-технических ресурсах по установленной в Документации о закупке форме 7, включая следующие обязательные приложения к ней, а именно:</w:t>
            </w:r>
          </w:p>
        </w:tc>
      </w:tr>
      <w:tr>
        <w:trPr/>
        <w:tc>
          <w:tcPr>
            <w:tcW w:w="1128" w:type="dxa"/>
            <w:tcBorders>
              <w:top w:val="nil"/>
            </w:tcBorders>
          </w:tcPr>
          <w:p>
            <w:pPr>
              <w:pStyle w:val="Style23"/>
              <w:widowControl/>
              <w:numPr>
                <w:ilvl w:val="0"/>
                <w:numId w:val="0"/>
              </w:numPr>
              <w:spacing w:lineRule="auto" w:line="240" w:before="60" w:after="60"/>
              <w:ind w:hanging="0" w:left="284"/>
              <w:jc w:val="center"/>
              <w:rPr>
                <w:rFonts w:ascii="Times New Roman" w:hAnsi="Times New Roman" w:eastAsia="Calibri" w:cs="Arial"/>
                <w:sz w:val="26"/>
                <w:szCs w:val="22"/>
                <w:lang w:val="ru-RU" w:eastAsia="en-US" w:bidi="ar-SA"/>
              </w:rPr>
            </w:pPr>
            <w:r>
              <w:rPr>
                <w:rFonts w:eastAsia="Calibri" w:cs="Arial"/>
                <w:sz w:val="26"/>
                <w:szCs w:val="22"/>
                <w:lang w:val="ru-RU" w:eastAsia="en-US" w:bidi="ar-SA"/>
              </w:rPr>
              <w:t>1.1</w:t>
            </w:r>
          </w:p>
        </w:tc>
        <w:tc>
          <w:tcPr>
            <w:tcW w:w="5671" w:type="dxa"/>
            <w:tcBorders>
              <w:top w:val="nil"/>
            </w:tcBorders>
          </w:tcPr>
          <w:p>
            <w:pPr>
              <w:pStyle w:val="Style23"/>
              <w:widowControl/>
              <w:spacing w:lineRule="auto" w:line="240" w:before="60" w:after="60"/>
              <w:rPr>
                <w:rFonts w:ascii="Times New Roman" w:hAnsi="Times New Roman" w:eastAsia="Calibri" w:cs="Arial"/>
                <w:sz w:val="26"/>
                <w:szCs w:val="22"/>
                <w:lang w:val="ru-RU" w:eastAsia="en-US" w:bidi="ar-SA"/>
              </w:rPr>
            </w:pPr>
            <w:r>
              <w:rPr>
                <w:rFonts w:eastAsia="Calibri" w:cs="Arial"/>
                <w:sz w:val="26"/>
                <w:szCs w:val="22"/>
                <w:lang w:val="ru-RU" w:eastAsia="en-US" w:bidi="ar-SA"/>
              </w:rPr>
              <w:t>Иметь в собственности, либо в аренде автомашины, которые планируется задействовать в МГО (мобильные группы охраны) на объектах в количестве не менее 4 шт. (не менее 1 единицы на 1 населенный пункт (г.Артем, г.Партизанск) и не менее 2 единиц в г.Владивостоке), для обеспечения прибытия группы быстрого реагирования не более чем через 5 - 10 минут с момента поступления сигнала тревоги, для г.Владивостока не более 15 минут)</w:t>
            </w:r>
          </w:p>
        </w:tc>
        <w:tc>
          <w:tcPr>
            <w:tcW w:w="8327" w:type="dxa"/>
            <w:tcBorders>
              <w:top w:val="nil"/>
            </w:tcBorders>
          </w:tcPr>
          <w:p>
            <w:pPr>
              <w:pStyle w:val="Style23"/>
              <w:widowControl/>
              <w:numPr>
                <w:ilvl w:val="0"/>
                <w:numId w:val="31"/>
              </w:numPr>
              <w:suppressAutoHyphens w:val="false"/>
              <w:bidi w:val="0"/>
              <w:spacing w:lineRule="auto" w:line="240" w:beforeAutospacing="0" w:before="0" w:afterAutospacing="0" w:after="0"/>
              <w:ind w:hanging="0" w:left="0" w:right="0"/>
              <w:jc w:val="both"/>
              <w:rPr/>
            </w:pPr>
            <w:r>
              <w:rPr>
                <w:rFonts w:eastAsia="Calibri" w:cs="Arial"/>
                <w:kern w:val="0"/>
                <w:sz w:val="26"/>
                <w:szCs w:val="22"/>
                <w:lang w:val="ru-RU" w:eastAsia="en-US" w:bidi="ar-SA"/>
              </w:rPr>
              <w:t>Копии документов, подтверждающих согласование с органами внутренних дел использование транспортных средств, имеющих специальную раскраску, информационные надписи и знаки (ч.9 ст. 10 Федерального Закона РФ «О частной охранной деятельности» от 30.11.2024 №427-ФЗ);</w:t>
            </w:r>
          </w:p>
          <w:p>
            <w:pPr>
              <w:pStyle w:val="Style23"/>
              <w:widowControl/>
              <w:numPr>
                <w:ilvl w:val="0"/>
                <w:numId w:val="31"/>
              </w:numPr>
              <w:suppressAutoHyphens w:val="false"/>
              <w:bidi w:val="0"/>
              <w:spacing w:lineRule="auto" w:line="240" w:beforeAutospacing="0" w:before="0" w:afterAutospacing="0" w:after="0"/>
              <w:ind w:hanging="0" w:left="0" w:right="0"/>
              <w:jc w:val="both"/>
              <w:rPr/>
            </w:pPr>
            <w:r>
              <w:rPr>
                <w:kern w:val="0"/>
              </w:rPr>
              <w:t>Копию паспорта ПТС/ копию договора аренды/копию иного документа, подтверждающего законное право владения (в случае владения на ином основании).</w:t>
            </w:r>
          </w:p>
          <w:p>
            <w:pPr>
              <w:pStyle w:val="Style23"/>
              <w:widowControl/>
              <w:spacing w:lineRule="auto" w:line="240" w:before="60" w:after="60"/>
              <w:rPr/>
            </w:pPr>
            <w:r>
              <w:rPr>
                <w:b/>
                <w:bCs/>
              </w:rPr>
              <w:t>Требование является обязательным, неисполнение которого повлечет отклонение заявки</w:t>
            </w:r>
          </w:p>
        </w:tc>
      </w:tr>
      <w:tr>
        <w:trPr/>
        <w:tc>
          <w:tcPr>
            <w:tcW w:w="1128" w:type="dxa"/>
            <w:tcBorders>
              <w:top w:val="nil"/>
            </w:tcBorders>
          </w:tcPr>
          <w:p>
            <w:pPr>
              <w:pStyle w:val="Style23"/>
              <w:widowControl/>
              <w:spacing w:lineRule="auto" w:line="240" w:before="60" w:after="60"/>
              <w:ind w:hanging="0" w:left="284"/>
              <w:jc w:val="center"/>
              <w:rPr>
                <w:rFonts w:ascii="Times New Roman" w:hAnsi="Times New Roman" w:eastAsia="Calibri" w:cs="Arial"/>
                <w:sz w:val="26"/>
                <w:szCs w:val="22"/>
                <w:lang w:val="ru-RU" w:eastAsia="en-US" w:bidi="ar-SA"/>
              </w:rPr>
            </w:pPr>
            <w:r>
              <w:rPr>
                <w:rFonts w:eastAsia="Calibri" w:cs="Arial"/>
                <w:sz w:val="26"/>
                <w:szCs w:val="22"/>
                <w:lang w:val="ru-RU" w:eastAsia="en-US" w:bidi="ar-SA"/>
              </w:rPr>
              <w:t>1.2</w:t>
            </w:r>
          </w:p>
        </w:tc>
        <w:tc>
          <w:tcPr>
            <w:tcW w:w="5671" w:type="dxa"/>
            <w:tcBorders>
              <w:top w:val="nil"/>
            </w:tcBorders>
          </w:tcPr>
          <w:p>
            <w:pPr>
              <w:pStyle w:val="Style23"/>
              <w:widowControl/>
              <w:spacing w:lineRule="auto" w:line="240" w:before="60" w:after="60"/>
              <w:rPr>
                <w:rFonts w:ascii="Times New Roman" w:hAnsi="Times New Roman" w:eastAsia="Calibri" w:cs="Arial"/>
                <w:sz w:val="26"/>
                <w:szCs w:val="22"/>
                <w:lang w:val="ru-RU" w:eastAsia="en-US" w:bidi="ar-SA"/>
              </w:rPr>
            </w:pPr>
            <w:r>
              <w:rPr>
                <w:rFonts w:eastAsia="Calibri" w:cs="Arial"/>
                <w:sz w:val="26"/>
                <w:szCs w:val="22"/>
                <w:lang w:val="ru-RU" w:eastAsia="en-US" w:bidi="ar-SA"/>
              </w:rPr>
              <w:t>Наличие пульта централизованной охраны (ПЦО) для принятия сигналов тревоги с ТСО, установленных на охраняемых объектах (11 ед.), где предусмотрена пультовая охрана согласно таблицы №2 Раздела 2 настоящих Технических требований.</w:t>
            </w:r>
          </w:p>
        </w:tc>
        <w:tc>
          <w:tcPr>
            <w:tcW w:w="8327" w:type="dxa"/>
            <w:tcBorders>
              <w:top w:val="nil"/>
            </w:tcBorders>
          </w:tcPr>
          <w:p>
            <w:pPr>
              <w:pStyle w:val="Style23"/>
              <w:widowControl/>
              <w:numPr>
                <w:ilvl w:val="0"/>
                <w:numId w:val="32"/>
              </w:numPr>
              <w:suppressAutoHyphens w:val="false"/>
              <w:bidi w:val="0"/>
              <w:spacing w:lineRule="auto" w:line="240" w:beforeAutospacing="0" w:before="0" w:afterAutospacing="0" w:after="62"/>
              <w:ind w:hanging="0" w:left="0" w:right="0"/>
              <w:jc w:val="both"/>
              <w:rPr>
                <w:rFonts w:ascii="Times New Roman" w:hAnsi="Times New Roman" w:eastAsia="Calibri" w:cs="Arial"/>
                <w:sz w:val="26"/>
                <w:szCs w:val="22"/>
                <w:lang w:val="ru-RU" w:eastAsia="en-US" w:bidi="ar-SA"/>
              </w:rPr>
            </w:pPr>
            <w:r>
              <w:rPr>
                <w:rFonts w:eastAsia="Calibri" w:cs="Arial"/>
                <w:sz w:val="26"/>
                <w:szCs w:val="22"/>
                <w:lang w:val="ru-RU" w:eastAsia="en-US" w:bidi="ar-SA"/>
              </w:rPr>
              <w:t>Копию документа о наличие пульта централизованной охраны (ПЦО) для принятия сигналов тревоги с ТСО.</w:t>
            </w:r>
          </w:p>
          <w:p>
            <w:pPr>
              <w:pStyle w:val="Style23"/>
              <w:widowControl/>
              <w:spacing w:lineRule="auto" w:line="240" w:before="60" w:after="60"/>
              <w:rPr>
                <w:rFonts w:ascii="Times New Roman" w:hAnsi="Times New Roman" w:eastAsia="Calibri" w:cs="Arial"/>
                <w:sz w:val="26"/>
                <w:szCs w:val="22"/>
                <w:lang w:val="ru-RU" w:eastAsia="en-US" w:bidi="ar-SA"/>
              </w:rPr>
            </w:pPr>
            <w:r>
              <w:rPr>
                <w:rFonts w:eastAsia="Calibri" w:cs="Arial"/>
                <w:sz w:val="26"/>
                <w:szCs w:val="22"/>
                <w:lang w:val="ru-RU" w:eastAsia="en-US" w:bidi="ar-SA"/>
              </w:rPr>
            </w:r>
          </w:p>
          <w:p>
            <w:pPr>
              <w:pStyle w:val="Style23"/>
              <w:widowControl/>
              <w:spacing w:lineRule="auto" w:line="240" w:before="60" w:after="60"/>
              <w:rPr>
                <w:rFonts w:ascii="Times New Roman" w:hAnsi="Times New Roman" w:eastAsia="Calibri" w:cs="Arial"/>
                <w:b/>
                <w:bCs/>
                <w:sz w:val="26"/>
                <w:szCs w:val="22"/>
                <w:lang w:val="ru-RU" w:eastAsia="en-US" w:bidi="ar-SA"/>
              </w:rPr>
            </w:pPr>
            <w:r>
              <w:rPr>
                <w:rFonts w:eastAsia="Calibri" w:cs="Arial"/>
                <w:b/>
                <w:bCs/>
                <w:sz w:val="26"/>
                <w:szCs w:val="22"/>
                <w:lang w:val="ru-RU" w:eastAsia="en-US" w:bidi="ar-SA"/>
              </w:rPr>
              <w:t>Требование является обязательным, неисполнение которого повлечет отклонение заявки</w:t>
            </w:r>
          </w:p>
        </w:tc>
      </w:tr>
      <w:tr>
        <w:trPr/>
        <w:tc>
          <w:tcPr>
            <w:tcW w:w="1128" w:type="dxa"/>
            <w:tcBorders>
              <w:top w:val="nil"/>
            </w:tcBorders>
          </w:tcPr>
          <w:p>
            <w:pPr>
              <w:pStyle w:val="Style23"/>
              <w:widowControl/>
              <w:numPr>
                <w:ilvl w:val="0"/>
                <w:numId w:val="11"/>
              </w:numPr>
              <w:spacing w:lineRule="auto" w:line="240" w:before="60" w:after="60"/>
              <w:ind w:hanging="0" w:left="284"/>
              <w:jc w:val="center"/>
              <w:rPr>
                <w:rFonts w:ascii="Times New Roman" w:hAnsi="Times New Roman" w:eastAsia="Calibri" w:cs="Arial"/>
                <w:sz w:val="26"/>
                <w:szCs w:val="22"/>
                <w:lang w:val="ru-RU" w:eastAsia="en-US" w:bidi="ar-SA"/>
              </w:rPr>
            </w:pPr>
            <w:r>
              <w:rPr>
                <w:rFonts w:eastAsia="Calibri" w:cs="Arial"/>
                <w:sz w:val="26"/>
                <w:szCs w:val="22"/>
                <w:lang w:val="ru-RU" w:eastAsia="en-US" w:bidi="ar-SA"/>
              </w:rPr>
            </w:r>
          </w:p>
        </w:tc>
        <w:tc>
          <w:tcPr>
            <w:tcW w:w="5671" w:type="dxa"/>
            <w:tcBorders>
              <w:top w:val="nil"/>
            </w:tcBorders>
          </w:tcPr>
          <w:p>
            <w:pPr>
              <w:pStyle w:val="Style23"/>
              <w:widowControl/>
              <w:spacing w:lineRule="auto" w:line="240" w:before="60" w:after="60"/>
              <w:rPr>
                <w:rFonts w:ascii="Times New Roman" w:hAnsi="Times New Roman" w:eastAsia="Calibri" w:cs="Arial"/>
                <w:sz w:val="26"/>
                <w:szCs w:val="22"/>
                <w:lang w:val="ru-RU" w:eastAsia="en-US" w:bidi="ar-SA"/>
              </w:rPr>
            </w:pPr>
            <w:r>
              <w:rPr>
                <w:rFonts w:eastAsia="Calibri" w:cs="Arial"/>
                <w:sz w:val="26"/>
                <w:szCs w:val="22"/>
                <w:lang w:val="ru-RU" w:eastAsia="en-US" w:bidi="ar-SA"/>
              </w:rPr>
              <w:t>Требования к кадровым ресурсам:</w:t>
            </w:r>
          </w:p>
          <w:p>
            <w:pPr>
              <w:pStyle w:val="Style23"/>
              <w:widowControl/>
              <w:spacing w:lineRule="auto" w:line="240" w:before="60" w:after="60"/>
              <w:rPr>
                <w:rFonts w:ascii="Times New Roman" w:hAnsi="Times New Roman" w:eastAsia="Calibri" w:cs="Arial"/>
                <w:sz w:val="26"/>
                <w:szCs w:val="22"/>
                <w:lang w:val="ru-RU" w:eastAsia="en-US" w:bidi="ar-SA"/>
              </w:rPr>
            </w:pPr>
            <w:r>
              <w:rPr>
                <w:rFonts w:eastAsia="Calibri" w:cs="Arial"/>
                <w:sz w:val="26"/>
                <w:szCs w:val="22"/>
                <w:lang w:val="ru-RU" w:eastAsia="en-US" w:bidi="ar-SA"/>
              </w:rPr>
              <w:t>В соответствии требованием п.1 ст. 14 Федерального закона от 30.11.2024 №427-ФЗ «О частной охранной деятельности», руководитель частной охранной организации должен иметь высшее образование и получить дополнительное профессиональное образование по программе повышения квалификации руководителей частных охранных организаций и не реже одного раза в пять лет проходить обучение по указанной программе</w:t>
            </w:r>
          </w:p>
        </w:tc>
        <w:tc>
          <w:tcPr>
            <w:tcW w:w="8327" w:type="dxa"/>
            <w:tcBorders>
              <w:top w:val="nil"/>
            </w:tcBorders>
          </w:tcPr>
          <w:p>
            <w:pPr>
              <w:pStyle w:val="Style23"/>
              <w:widowControl/>
              <w:spacing w:lineRule="auto" w:line="240" w:before="60" w:after="60"/>
              <w:rPr>
                <w:rFonts w:ascii="Times New Roman" w:hAnsi="Times New Roman" w:eastAsia="Calibri" w:cs="Arial"/>
                <w:sz w:val="26"/>
                <w:szCs w:val="22"/>
                <w:lang w:val="ru-RU" w:eastAsia="en-US" w:bidi="ar-SA"/>
              </w:rPr>
            </w:pPr>
            <w:r>
              <w:rPr>
                <w:rFonts w:eastAsia="Calibri" w:cs="Arial"/>
                <w:sz w:val="26"/>
                <w:szCs w:val="22"/>
                <w:lang w:val="ru-RU" w:eastAsia="en-US" w:bidi="ar-SA"/>
              </w:rPr>
              <w:t>В составе заявки  Участник должен предоставить Справку о кадровых ресурсах по установленной в Документации о закупке форме 8, включая следующие обязательные приложения к ней, а именно:</w:t>
            </w:r>
          </w:p>
          <w:p>
            <w:pPr>
              <w:pStyle w:val="Style23"/>
              <w:widowControl/>
              <w:numPr>
                <w:ilvl w:val="0"/>
                <w:numId w:val="33"/>
              </w:numPr>
              <w:suppressAutoHyphens w:val="false"/>
              <w:bidi w:val="0"/>
              <w:spacing w:lineRule="auto" w:line="240" w:beforeAutospacing="0" w:before="0" w:afterAutospacing="0" w:after="0"/>
              <w:ind w:hanging="0" w:left="0" w:right="0"/>
              <w:jc w:val="both"/>
              <w:rPr>
                <w:rFonts w:ascii="Times New Roman" w:hAnsi="Times New Roman" w:eastAsia="Calibri" w:cs="Arial"/>
                <w:sz w:val="26"/>
                <w:szCs w:val="22"/>
                <w:lang w:val="ru-RU" w:eastAsia="en-US" w:bidi="ar-SA"/>
              </w:rPr>
            </w:pPr>
            <w:r>
              <w:rPr>
                <w:rFonts w:eastAsia="Calibri" w:cs="Arial"/>
                <w:sz w:val="26"/>
                <w:szCs w:val="22"/>
                <w:lang w:val="ru-RU" w:eastAsia="en-US" w:bidi="ar-SA"/>
              </w:rPr>
              <w:t>Копия диплома о высшем образовании, копия свидетельства о повышении квалификации руководителей ЧОП (со дня выдачи которого прошло не более пяти лет).</w:t>
            </w:r>
          </w:p>
          <w:p>
            <w:pPr>
              <w:pStyle w:val="Style23"/>
              <w:widowControl/>
              <w:spacing w:lineRule="auto" w:line="240" w:before="60" w:after="60"/>
              <w:rPr>
                <w:rFonts w:ascii="Times New Roman" w:hAnsi="Times New Roman" w:eastAsia="Calibri" w:cs="Arial"/>
                <w:b/>
                <w:bCs/>
                <w:sz w:val="26"/>
                <w:szCs w:val="22"/>
                <w:lang w:val="ru-RU" w:eastAsia="en-US" w:bidi="ar-SA"/>
              </w:rPr>
            </w:pPr>
            <w:r>
              <w:rPr>
                <w:rFonts w:eastAsia="Calibri" w:cs="Arial"/>
                <w:b/>
                <w:bCs/>
                <w:sz w:val="26"/>
                <w:szCs w:val="22"/>
                <w:lang w:val="ru-RU" w:eastAsia="en-US" w:bidi="ar-SA"/>
              </w:rPr>
              <w:t>Требование является обязательным, неисполнение которого повлечет отклонение заявки</w:t>
            </w:r>
          </w:p>
        </w:tc>
      </w:tr>
    </w:tbl>
    <w:p>
      <w:pPr>
        <w:pStyle w:val="Style18"/>
        <w:spacing w:before="360" w:after="120"/>
        <w:rPr/>
      </w:pPr>
      <w:bookmarkStart w:id="332" w:name="_Toc230928875"/>
      <w:bookmarkStart w:id="333" w:name="_Ref125709228"/>
      <w:bookmarkStart w:id="334" w:name="_Ref125553692"/>
      <w:bookmarkStart w:id="335" w:name="_Ref125553500"/>
      <w:bookmarkStart w:id="336" w:name="_Ref125553703"/>
      <w:bookmarkStart w:id="337" w:name="_Ref125552455"/>
      <w:r>
        <w:rPr/>
        <w:t>Дополнительные требования к Коллективным участникам</w:t>
      </w:r>
      <w:bookmarkEnd w:id="332"/>
      <w:bookmarkEnd w:id="333"/>
      <w:bookmarkEnd w:id="334"/>
      <w:bookmarkEnd w:id="335"/>
      <w:bookmarkEnd w:id="336"/>
      <w:bookmarkEnd w:id="337"/>
    </w:p>
    <w:tbl>
      <w:tblPr>
        <w:tblStyle w:val="1497"/>
        <w:tblW w:w="15126" w:type="dxa"/>
        <w:jc w:val="left"/>
        <w:tblInd w:w="0" w:type="dxa"/>
        <w:tblLayout w:type="fixed"/>
        <w:tblCellMar>
          <w:top w:w="0" w:type="dxa"/>
          <w:left w:w="57" w:type="dxa"/>
          <w:bottom w:w="0" w:type="dxa"/>
          <w:right w:w="57" w:type="dxa"/>
        </w:tblCellMar>
        <w:tblLook w:val="04a0" w:noHBand="0" w:noVBand="1" w:firstColumn="1" w:lastRow="0" w:lastColumn="0" w:firstRow="1"/>
      </w:tblPr>
      <w:tblGrid>
        <w:gridCol w:w="1128"/>
        <w:gridCol w:w="5671"/>
        <w:gridCol w:w="8327"/>
      </w:tblGrid>
      <w:tr>
        <w:trPr/>
        <w:tc>
          <w:tcPr>
            <w:tcW w:w="1128" w:type="dxa"/>
            <w:tcBorders/>
          </w:tcPr>
          <w:p>
            <w:pPr>
              <w:pStyle w:val="Style23"/>
              <w:keepNext w:val="false"/>
              <w:keepLines w:val="false"/>
              <w:widowControl/>
              <w:spacing w:lineRule="auto" w:line="240" w:before="60" w:after="60"/>
              <w:jc w:val="center"/>
              <w:rPr>
                <w:rFonts w:ascii="Times New Roman" w:hAnsi="Times New Roman" w:eastAsia="Calibri" w:cs="Arial"/>
                <w:b/>
                <w:sz w:val="26"/>
                <w:szCs w:val="22"/>
                <w:lang w:val="ru-RU" w:eastAsia="en-US" w:bidi="ar-SA"/>
              </w:rPr>
            </w:pPr>
            <w:r>
              <w:rPr>
                <w:rFonts w:eastAsia="Calibri" w:cs="Arial"/>
                <w:b/>
                <w:kern w:val="0"/>
                <w:sz w:val="26"/>
                <w:szCs w:val="22"/>
                <w:lang w:val="ru-RU" w:eastAsia="en-US" w:bidi="ar-SA"/>
              </w:rPr>
              <w:t>№</w:t>
            </w:r>
            <w:r>
              <w:rPr>
                <w:rFonts w:eastAsia="Calibri" w:cs="Arial"/>
                <w:b/>
                <w:kern w:val="0"/>
                <w:sz w:val="26"/>
                <w:szCs w:val="22"/>
                <w:lang w:val="ru-RU" w:eastAsia="en-US" w:bidi="ar-SA"/>
              </w:rPr>
              <w:br/>
              <w:t>п/п</w:t>
            </w:r>
          </w:p>
        </w:tc>
        <w:tc>
          <w:tcPr>
            <w:tcW w:w="5671" w:type="dxa"/>
            <w:tcBorders/>
          </w:tcPr>
          <w:p>
            <w:pPr>
              <w:pStyle w:val="Style23"/>
              <w:keepNext w:val="false"/>
              <w:keepLines w:val="false"/>
              <w:widowControl/>
              <w:spacing w:lineRule="auto" w:line="240" w:before="60" w:after="60"/>
              <w:jc w:val="center"/>
              <w:rPr>
                <w:rFonts w:ascii="Times New Roman" w:hAnsi="Times New Roman" w:eastAsia="Calibri" w:cs="Arial"/>
                <w:b/>
                <w:sz w:val="26"/>
                <w:szCs w:val="22"/>
                <w:lang w:val="ru-RU" w:eastAsia="en-US" w:bidi="ar-SA"/>
              </w:rPr>
            </w:pPr>
            <w:r>
              <w:rPr>
                <w:rFonts w:eastAsia="Calibri" w:cs="Arial"/>
                <w:b/>
                <w:kern w:val="0"/>
                <w:sz w:val="26"/>
                <w:szCs w:val="22"/>
                <w:lang w:val="ru-RU" w:eastAsia="en-US" w:bidi="ar-SA"/>
              </w:rPr>
              <w:t>Требования к Коллективному участнику</w:t>
            </w:r>
          </w:p>
        </w:tc>
        <w:tc>
          <w:tcPr>
            <w:tcW w:w="8327" w:type="dxa"/>
            <w:tcBorders/>
          </w:tcPr>
          <w:p>
            <w:pPr>
              <w:pStyle w:val="Style23"/>
              <w:keepNext w:val="false"/>
              <w:keepLines w:val="false"/>
              <w:widowControl/>
              <w:spacing w:lineRule="auto" w:line="240" w:before="60" w:after="60"/>
              <w:jc w:val="center"/>
              <w:rPr>
                <w:rFonts w:ascii="Times New Roman" w:hAnsi="Times New Roman" w:eastAsia="Calibri" w:cs="Arial"/>
                <w:b/>
                <w:sz w:val="26"/>
                <w:szCs w:val="22"/>
                <w:lang w:val="ru-RU" w:eastAsia="en-US" w:bidi="ar-SA"/>
              </w:rPr>
            </w:pPr>
            <w:r>
              <w:rPr>
                <w:rFonts w:eastAsia="Calibri" w:cs="Arial"/>
                <w:b/>
                <w:kern w:val="0"/>
                <w:sz w:val="26"/>
                <w:szCs w:val="22"/>
                <w:lang w:val="ru-RU" w:eastAsia="en-US" w:bidi="ar-SA"/>
              </w:rPr>
              <w:t>Требования к документам, подтверждающим соответствие</w:t>
              <w:br/>
              <w:t>Коллективного участника установленным требованиям</w:t>
            </w:r>
          </w:p>
        </w:tc>
      </w:tr>
      <w:tr>
        <w:trPr/>
        <w:tc>
          <w:tcPr>
            <w:tcW w:w="1128" w:type="dxa"/>
            <w:tcBorders/>
          </w:tcPr>
          <w:p>
            <w:pPr>
              <w:pStyle w:val="Style23"/>
              <w:widowControl/>
              <w:numPr>
                <w:ilvl w:val="0"/>
                <w:numId w:val="5"/>
              </w:numPr>
              <w:spacing w:lineRule="auto" w:line="240" w:before="60" w:after="60"/>
              <w:ind w:hanging="0" w:left="284"/>
              <w:jc w:val="center"/>
              <w:rPr>
                <w:rFonts w:ascii="Times New Roman" w:hAnsi="Times New Roman" w:eastAsia="Calibri" w:cs="Arial"/>
                <w:sz w:val="26"/>
                <w:szCs w:val="22"/>
                <w:lang w:val="ru-RU" w:eastAsia="en-US" w:bidi="ar-SA"/>
              </w:rPr>
            </w:pPr>
            <w:r>
              <w:rPr>
                <w:rFonts w:eastAsia="Calibri" w:cs="Arial"/>
                <w:sz w:val="26"/>
                <w:szCs w:val="22"/>
                <w:lang w:val="ru-RU" w:eastAsia="en-US" w:bidi="ar-SA"/>
              </w:rPr>
            </w:r>
            <w:bookmarkStart w:id="338" w:name="_Ref125370156"/>
            <w:bookmarkStart w:id="339" w:name="_Ref125370156"/>
            <w:bookmarkEnd w:id="339"/>
          </w:p>
        </w:tc>
        <w:tc>
          <w:tcPr>
            <w:tcW w:w="5671" w:type="dxa"/>
            <w:tcBorders/>
          </w:tcPr>
          <w:p>
            <w:pPr>
              <w:pStyle w:val="Style23"/>
              <w:widowControl/>
              <w:spacing w:lineRule="auto" w:line="240" w:before="60" w:after="60"/>
              <w:rPr>
                <w:rFonts w:ascii="Times New Roman" w:hAnsi="Times New Roman" w:eastAsia="Calibri" w:cs="Arial"/>
                <w:sz w:val="26"/>
                <w:szCs w:val="22"/>
                <w:lang w:val="ru-RU" w:eastAsia="en-US" w:bidi="ar-SA"/>
              </w:rPr>
            </w:pPr>
            <w:r>
              <w:rPr>
                <w:rFonts w:eastAsia="Calibri" w:cs="Arial"/>
                <w:kern w:val="0"/>
                <w:sz w:val="26"/>
                <w:szCs w:val="22"/>
                <w:lang w:val="ru-RU" w:eastAsia="en-US" w:bidi="ar-SA"/>
              </w:rPr>
              <w:t>Члены Коллективного участника должны иметь между собой соглашение (или иной документ), соответствующее нормам ГК РФ:</w:t>
            </w:r>
          </w:p>
        </w:tc>
        <w:tc>
          <w:tcPr>
            <w:tcW w:w="8327" w:type="dxa"/>
            <w:tcBorders/>
          </w:tcPr>
          <w:p>
            <w:pPr>
              <w:pStyle w:val="Style23"/>
              <w:widowControl/>
              <w:spacing w:lineRule="auto" w:line="240" w:before="60" w:after="60"/>
              <w:rPr>
                <w:rFonts w:ascii="Times New Roman" w:hAnsi="Times New Roman" w:eastAsia="Calibri" w:cs="Arial"/>
                <w:sz w:val="26"/>
                <w:szCs w:val="22"/>
                <w:lang w:val="ru-RU" w:eastAsia="en-US" w:bidi="ar-SA"/>
              </w:rPr>
            </w:pPr>
            <w:r>
              <w:rPr>
                <w:rFonts w:eastAsia="Calibri" w:cs="Arial"/>
                <w:kern w:val="0"/>
                <w:sz w:val="26"/>
                <w:szCs w:val="22"/>
                <w:lang w:val="ru-RU" w:eastAsia="en-US" w:bidi="ar-SA"/>
              </w:rPr>
              <w:t>Копия Соглашения между членами Коллективного участника, подготовленного в соответствии с требованиями пункта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_Ref125366972 \w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3.2.3</w:t>
            </w:r>
            <w:r>
              <w:rPr>
                <w:sz w:val="26"/>
                <w:kern w:val="0"/>
                <w:szCs w:val="22"/>
                <w:rFonts w:eastAsia="Calibri" w:cs="Arial"/>
                <w:lang w:val="ru-RU" w:eastAsia="en-US" w:bidi="ar-SA"/>
              </w:rPr>
              <w:fldChar w:fldCharType="end"/>
            </w:r>
            <w:r>
              <w:rPr>
                <w:rFonts w:eastAsia="Calibri" w:cs="Arial"/>
                <w:kern w:val="0"/>
                <w:sz w:val="26"/>
                <w:szCs w:val="22"/>
                <w:lang w:val="ru-RU" w:eastAsia="en-US" w:bidi="ar-SA"/>
              </w:rPr>
              <w:t>;</w:t>
            </w:r>
          </w:p>
        </w:tc>
      </w:tr>
      <w:tr>
        <w:trPr/>
        <w:tc>
          <w:tcPr>
            <w:tcW w:w="1128" w:type="dxa"/>
            <w:tcBorders/>
          </w:tcPr>
          <w:p>
            <w:pPr>
              <w:pStyle w:val="Style23"/>
              <w:widowControl/>
              <w:numPr>
                <w:ilvl w:val="0"/>
                <w:numId w:val="5"/>
              </w:numPr>
              <w:spacing w:lineRule="auto" w:line="240" w:before="60" w:after="60"/>
              <w:ind w:hanging="0" w:left="284"/>
              <w:jc w:val="center"/>
              <w:rPr>
                <w:rFonts w:ascii="Times New Roman" w:hAnsi="Times New Roman" w:eastAsia="Calibri" w:cs="Arial"/>
                <w:sz w:val="26"/>
                <w:szCs w:val="22"/>
                <w:lang w:val="ru-RU" w:eastAsia="en-US" w:bidi="ar-SA"/>
              </w:rPr>
            </w:pPr>
            <w:r>
              <w:rPr>
                <w:rFonts w:eastAsia="Calibri" w:cs="Arial"/>
                <w:sz w:val="26"/>
                <w:szCs w:val="22"/>
                <w:lang w:val="ru-RU" w:eastAsia="en-US" w:bidi="ar-SA"/>
              </w:rPr>
            </w:r>
            <w:bookmarkStart w:id="340" w:name="_Ref125553738"/>
            <w:bookmarkStart w:id="341" w:name="_Ref125553738"/>
            <w:bookmarkEnd w:id="341"/>
          </w:p>
        </w:tc>
        <w:tc>
          <w:tcPr>
            <w:tcW w:w="5671" w:type="dxa"/>
            <w:tcBorders/>
          </w:tcPr>
          <w:p>
            <w:pPr>
              <w:pStyle w:val="Style23"/>
              <w:widowControl/>
              <w:spacing w:lineRule="auto" w:line="240" w:before="60" w:after="60"/>
              <w:rPr>
                <w:rFonts w:ascii="Times New Roman" w:hAnsi="Times New Roman" w:eastAsia="Calibri" w:cs="Arial"/>
                <w:sz w:val="26"/>
                <w:szCs w:val="22"/>
                <w:lang w:val="ru-RU" w:eastAsia="en-US" w:bidi="ar-SA"/>
              </w:rPr>
            </w:pPr>
            <w:r>
              <w:rPr>
                <w:rFonts w:eastAsia="Calibri" w:cs="Arial"/>
                <w:kern w:val="0"/>
                <w:sz w:val="26"/>
                <w:szCs w:val="22"/>
                <w:lang w:val="ru-RU" w:eastAsia="en-US" w:bidi="ar-SA"/>
              </w:rPr>
              <w:t>Заявка Коллективного участника дополнительно должна включать сведения о распределении объемов поставки продукции между членами Коллективного участника:</w:t>
            </w:r>
          </w:p>
        </w:tc>
        <w:tc>
          <w:tcPr>
            <w:tcW w:w="8327" w:type="dxa"/>
            <w:tcBorders/>
          </w:tcPr>
          <w:p>
            <w:pPr>
              <w:pStyle w:val="Style23"/>
              <w:widowControl/>
              <w:spacing w:lineRule="auto" w:line="240" w:before="60" w:after="60"/>
              <w:rPr>
                <w:rFonts w:ascii="Times New Roman" w:hAnsi="Times New Roman" w:eastAsia="Calibri" w:cs="Arial"/>
                <w:sz w:val="26"/>
                <w:szCs w:val="22"/>
                <w:lang w:val="ru-RU" w:eastAsia="en-US" w:bidi="ar-SA"/>
              </w:rPr>
            </w:pPr>
            <w:r>
              <w:rPr>
                <w:rFonts w:eastAsia="Calibri" w:cs="Arial"/>
                <w:kern w:val="0"/>
                <w:sz w:val="26"/>
                <w:szCs w:val="22"/>
                <w:lang w:val="ru-RU" w:eastAsia="en-US" w:bidi="ar-SA"/>
              </w:rPr>
              <w:t>План распределения объемов поставки продукции (форма 10) (</w:t>
            </w:r>
            <w:hyperlink w:anchor="Прил04_ФормыЗаявки" w:tgtFrame="#Прил04_ФормыЗаявки">
              <w:r>
                <w:rPr>
                  <w:rFonts w:eastAsia="Calibri" w:cs="Arial"/>
                  <w:color w:val="000000"/>
                  <w:spacing w:val="0"/>
                  <w:kern w:val="0"/>
                  <w:sz w:val="26"/>
                  <w:szCs w:val="22"/>
                  <w:u w:val="single"/>
                  <w:shd w:fill="auto" w:val="clear"/>
                  <w:lang w:val="ru-RU" w:eastAsia="en-US" w:bidi="ar-SA"/>
                </w:rPr>
                <w:t>Приложение № 4</w:t>
              </w:r>
            </w:hyperlink>
            <w:r>
              <w:rPr>
                <w:rFonts w:eastAsia="Calibri" w:cs="Arial"/>
                <w:kern w:val="0"/>
                <w:sz w:val="26"/>
                <w:szCs w:val="22"/>
                <w:lang w:val="ru-RU" w:eastAsia="en-US" w:bidi="ar-SA"/>
              </w:rPr>
              <w:t>) с указанием необходимой информации;</w:t>
            </w:r>
          </w:p>
        </w:tc>
      </w:tr>
      <w:tr>
        <w:trPr/>
        <w:tc>
          <w:tcPr>
            <w:tcW w:w="1128" w:type="dxa"/>
            <w:tcBorders/>
          </w:tcPr>
          <w:p>
            <w:pPr>
              <w:pStyle w:val="Style23"/>
              <w:widowControl/>
              <w:numPr>
                <w:ilvl w:val="0"/>
                <w:numId w:val="5"/>
              </w:numPr>
              <w:spacing w:lineRule="auto" w:line="240" w:before="60" w:after="60"/>
              <w:ind w:hanging="0" w:left="284"/>
              <w:jc w:val="center"/>
              <w:rPr>
                <w:rFonts w:ascii="Times New Roman" w:hAnsi="Times New Roman" w:eastAsia="Calibri" w:cs="Arial"/>
                <w:sz w:val="26"/>
                <w:szCs w:val="22"/>
                <w:lang w:val="ru-RU" w:eastAsia="en-US" w:bidi="ar-SA"/>
              </w:rPr>
            </w:pPr>
            <w:r>
              <w:rPr>
                <w:rFonts w:eastAsia="Calibri" w:cs="Arial"/>
                <w:sz w:val="26"/>
                <w:szCs w:val="22"/>
                <w:lang w:val="ru-RU" w:eastAsia="en-US" w:bidi="ar-SA"/>
              </w:rPr>
            </w:r>
            <w:bookmarkStart w:id="342" w:name="_Ref125370162"/>
            <w:bookmarkStart w:id="343" w:name="_Ref125370162"/>
            <w:bookmarkEnd w:id="343"/>
          </w:p>
        </w:tc>
        <w:tc>
          <w:tcPr>
            <w:tcW w:w="5671" w:type="dxa"/>
            <w:tcBorders/>
          </w:tcPr>
          <w:p>
            <w:pPr>
              <w:pStyle w:val="Style23"/>
              <w:widowControl/>
              <w:spacing w:lineRule="auto" w:line="240" w:before="60" w:after="60"/>
              <w:rPr>
                <w:rFonts w:ascii="Times New Roman" w:hAnsi="Times New Roman" w:eastAsia="Calibri" w:cs="Arial"/>
                <w:sz w:val="26"/>
                <w:szCs w:val="22"/>
                <w:lang w:val="ru-RU" w:eastAsia="en-US" w:bidi="ar-SA"/>
              </w:rPr>
            </w:pPr>
            <w:r>
              <w:rPr>
                <w:rFonts w:eastAsia="Calibri" w:cs="Arial"/>
                <w:kern w:val="0"/>
                <w:sz w:val="26"/>
                <w:szCs w:val="22"/>
                <w:lang w:val="ru-RU" w:eastAsia="en-US" w:bidi="ar-SA"/>
              </w:rPr>
              <w:t>Соответствие каждого члена Коллективного участника установленным требованиям (с учетом пунктов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_Ref125368791 \w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3.2.5</w:t>
            </w:r>
            <w:r>
              <w:rPr>
                <w:sz w:val="26"/>
                <w:kern w:val="0"/>
                <w:szCs w:val="22"/>
                <w:rFonts w:eastAsia="Calibri" w:cs="Arial"/>
                <w:lang w:val="ru-RU" w:eastAsia="en-US" w:bidi="ar-SA"/>
              </w:rPr>
              <w:fldChar w:fldCharType="end"/>
            </w:r>
            <w:r>
              <w:rPr>
                <w:rFonts w:eastAsia="Calibri" w:cs="Arial"/>
                <w:kern w:val="0"/>
                <w:sz w:val="26"/>
                <w:szCs w:val="22"/>
                <w:lang w:val="ru-RU" w:eastAsia="en-US" w:bidi="ar-SA"/>
              </w:rPr>
              <w:t xml:space="preserve"> –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_Ref134705077 \r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3.2.7</w:t>
            </w:r>
            <w:r>
              <w:rPr>
                <w:sz w:val="26"/>
                <w:kern w:val="0"/>
                <w:szCs w:val="22"/>
                <w:rFonts w:eastAsia="Calibri" w:cs="Arial"/>
                <w:lang w:val="ru-RU" w:eastAsia="en-US" w:bidi="ar-SA"/>
              </w:rPr>
              <w:fldChar w:fldCharType="end"/>
            </w:r>
            <w:r>
              <w:rPr>
                <w:rFonts w:eastAsia="Calibri" w:cs="Arial"/>
                <w:kern w:val="0"/>
                <w:sz w:val="26"/>
                <w:szCs w:val="22"/>
                <w:lang w:val="ru-RU" w:eastAsia="en-US" w:bidi="ar-SA"/>
              </w:rPr>
              <w:t>), в том числе с учетом объема поставки продукции, который ему предполагается поручить в соответствии с Планом распределения объемов поставки продукции внутри (форма 10) (</w:t>
            </w:r>
            <w:hyperlink w:anchor="Прил04_ФормыЗаявки" w:tgtFrame="#Прил04_ФормыЗаявки">
              <w:r>
                <w:rPr>
                  <w:rFonts w:eastAsia="Calibri" w:cs="Arial"/>
                  <w:color w:val="000000"/>
                  <w:spacing w:val="0"/>
                  <w:kern w:val="0"/>
                  <w:sz w:val="26"/>
                  <w:szCs w:val="22"/>
                  <w:u w:val="single"/>
                  <w:shd w:fill="auto" w:val="clear"/>
                  <w:lang w:val="ru-RU" w:eastAsia="en-US" w:bidi="ar-SA"/>
                </w:rPr>
                <w:t>Приложение № 4</w:t>
              </w:r>
            </w:hyperlink>
            <w:r>
              <w:rPr>
                <w:rFonts w:eastAsia="Calibri" w:cs="Arial"/>
                <w:kern w:val="0"/>
                <w:sz w:val="26"/>
                <w:szCs w:val="22"/>
                <w:lang w:val="ru-RU" w:eastAsia="en-US" w:bidi="ar-SA"/>
              </w:rPr>
              <w:t>):</w:t>
            </w:r>
          </w:p>
        </w:tc>
        <w:tc>
          <w:tcPr>
            <w:tcW w:w="8327" w:type="dxa"/>
            <w:tcBorders/>
          </w:tcPr>
          <w:p>
            <w:pPr>
              <w:pStyle w:val="Style23"/>
              <w:widowControl/>
              <w:spacing w:lineRule="auto" w:line="240" w:before="60" w:after="60"/>
              <w:rPr>
                <w:rFonts w:ascii="Times New Roman" w:hAnsi="Times New Roman" w:eastAsia="Calibri" w:cs="Arial"/>
                <w:sz w:val="26"/>
                <w:szCs w:val="22"/>
                <w:lang w:val="ru-RU" w:eastAsia="en-US" w:bidi="ar-SA"/>
              </w:rPr>
            </w:pPr>
            <w:r>
              <w:rPr>
                <w:rFonts w:eastAsia="Calibri" w:cs="Arial"/>
                <w:kern w:val="0"/>
                <w:sz w:val="26"/>
                <w:szCs w:val="22"/>
                <w:lang w:val="ru-RU" w:eastAsia="en-US" w:bidi="ar-SA"/>
              </w:rPr>
              <w:t>Сведения и документы, аналогичные установленным в подразделах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_Ref125361435 \w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8.2</w:t>
            </w:r>
            <w:r>
              <w:rPr>
                <w:sz w:val="26"/>
                <w:kern w:val="0"/>
                <w:szCs w:val="22"/>
                <w:rFonts w:eastAsia="Calibri" w:cs="Arial"/>
                <w:lang w:val="ru-RU" w:eastAsia="en-US" w:bidi="ar-SA"/>
              </w:rPr>
              <w:fldChar w:fldCharType="end"/>
            </w:r>
            <w:r>
              <w:rPr>
                <w:rFonts w:eastAsia="Calibri" w:cs="Arial"/>
                <w:kern w:val="0"/>
                <w:sz w:val="26"/>
                <w:szCs w:val="22"/>
                <w:lang w:val="ru-RU" w:eastAsia="en-US" w:bidi="ar-SA"/>
              </w:rPr>
              <w:t> –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_Ref125553242 \w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8.4</w:t>
            </w:r>
            <w:r>
              <w:rPr>
                <w:sz w:val="26"/>
                <w:kern w:val="0"/>
                <w:szCs w:val="22"/>
                <w:rFonts w:eastAsia="Calibri" w:cs="Arial"/>
                <w:lang w:val="ru-RU" w:eastAsia="en-US" w:bidi="ar-SA"/>
              </w:rPr>
              <w:fldChar w:fldCharType="end"/>
            </w:r>
            <w:r>
              <w:rPr>
                <w:rFonts w:eastAsia="Calibri" w:cs="Arial"/>
                <w:kern w:val="0"/>
                <w:sz w:val="26"/>
                <w:szCs w:val="22"/>
                <w:lang w:val="ru-RU" w:eastAsia="en-US" w:bidi="ar-SA"/>
              </w:rPr>
              <w:t>, в отношении каждого члена Коллективного участника, подтверждающие его соответствие данным требованиям.</w:t>
            </w:r>
          </w:p>
        </w:tc>
      </w:tr>
    </w:tbl>
    <w:p>
      <w:pPr>
        <w:pStyle w:val="Style18"/>
        <w:spacing w:before="360" w:after="120"/>
        <w:rPr/>
      </w:pPr>
      <w:bookmarkStart w:id="344" w:name="_Ref125709777"/>
      <w:bookmarkStart w:id="345" w:name="_Toc230928876"/>
      <w:bookmarkStart w:id="346" w:name="_Ref125709973"/>
      <w:bookmarkStart w:id="347" w:name="_Ref125370209"/>
      <w:bookmarkStart w:id="348" w:name="_Ref125370180"/>
      <w:bookmarkStart w:id="349" w:name="_Ref125370173"/>
      <w:bookmarkStart w:id="350" w:name="_Ref125369117"/>
      <w:bookmarkStart w:id="351" w:name="_Ref125362031"/>
      <w:bookmarkStart w:id="352" w:name="_Ref125361823"/>
      <w:r>
        <w:rPr/>
        <w:t>Дополнительные требования к Генеральным подрядчикам</w:t>
      </w:r>
      <w:bookmarkEnd w:id="344"/>
      <w:bookmarkEnd w:id="345"/>
      <w:bookmarkEnd w:id="346"/>
      <w:bookmarkEnd w:id="347"/>
      <w:bookmarkEnd w:id="348"/>
      <w:bookmarkEnd w:id="349"/>
      <w:bookmarkEnd w:id="350"/>
      <w:bookmarkEnd w:id="351"/>
      <w:bookmarkEnd w:id="352"/>
    </w:p>
    <w:tbl>
      <w:tblPr>
        <w:tblStyle w:val="1497"/>
        <w:tblW w:w="15126" w:type="dxa"/>
        <w:jc w:val="left"/>
        <w:tblInd w:w="0" w:type="dxa"/>
        <w:tblLayout w:type="fixed"/>
        <w:tblCellMar>
          <w:top w:w="0" w:type="dxa"/>
          <w:left w:w="57" w:type="dxa"/>
          <w:bottom w:w="0" w:type="dxa"/>
          <w:right w:w="57" w:type="dxa"/>
        </w:tblCellMar>
        <w:tblLook w:val="04a0" w:noHBand="0" w:noVBand="1" w:firstColumn="1" w:lastRow="0" w:lastColumn="0" w:firstRow="1"/>
      </w:tblPr>
      <w:tblGrid>
        <w:gridCol w:w="1128"/>
        <w:gridCol w:w="5671"/>
        <w:gridCol w:w="8327"/>
      </w:tblGrid>
      <w:tr>
        <w:trPr/>
        <w:tc>
          <w:tcPr>
            <w:tcW w:w="1128" w:type="dxa"/>
            <w:tcBorders/>
          </w:tcPr>
          <w:p>
            <w:pPr>
              <w:pStyle w:val="Style23"/>
              <w:keepNext w:val="false"/>
              <w:keepLines w:val="false"/>
              <w:widowControl/>
              <w:spacing w:lineRule="auto" w:line="240" w:before="60" w:after="60"/>
              <w:jc w:val="center"/>
              <w:rPr>
                <w:rFonts w:ascii="Times New Roman" w:hAnsi="Times New Roman" w:eastAsia="Calibri" w:cs="Arial"/>
                <w:b/>
                <w:sz w:val="26"/>
                <w:szCs w:val="22"/>
                <w:lang w:val="ru-RU" w:eastAsia="en-US" w:bidi="ar-SA"/>
              </w:rPr>
            </w:pPr>
            <w:r>
              <w:rPr>
                <w:rFonts w:eastAsia="Calibri" w:cs="Arial"/>
                <w:b/>
                <w:kern w:val="0"/>
                <w:sz w:val="26"/>
                <w:szCs w:val="22"/>
                <w:lang w:val="ru-RU" w:eastAsia="en-US" w:bidi="ar-SA"/>
              </w:rPr>
              <w:t>№</w:t>
            </w:r>
            <w:r>
              <w:rPr>
                <w:rFonts w:eastAsia="Calibri" w:cs="Arial"/>
                <w:b/>
                <w:kern w:val="0"/>
                <w:sz w:val="26"/>
                <w:szCs w:val="22"/>
                <w:lang w:val="ru-RU" w:eastAsia="en-US" w:bidi="ar-SA"/>
              </w:rPr>
              <w:br/>
              <w:t>п/п</w:t>
            </w:r>
          </w:p>
        </w:tc>
        <w:tc>
          <w:tcPr>
            <w:tcW w:w="5671" w:type="dxa"/>
            <w:tcBorders/>
          </w:tcPr>
          <w:p>
            <w:pPr>
              <w:pStyle w:val="Style23"/>
              <w:keepNext w:val="false"/>
              <w:keepLines w:val="false"/>
              <w:widowControl/>
              <w:spacing w:lineRule="auto" w:line="240" w:before="60" w:after="60"/>
              <w:jc w:val="center"/>
              <w:rPr>
                <w:rFonts w:ascii="Times New Roman" w:hAnsi="Times New Roman" w:eastAsia="Calibri" w:cs="Arial"/>
                <w:b/>
                <w:sz w:val="26"/>
                <w:szCs w:val="22"/>
                <w:lang w:val="ru-RU" w:eastAsia="en-US" w:bidi="ar-SA"/>
              </w:rPr>
            </w:pPr>
            <w:r>
              <w:rPr>
                <w:rFonts w:eastAsia="Calibri" w:cs="Arial"/>
                <w:b/>
                <w:kern w:val="0"/>
                <w:sz w:val="26"/>
                <w:szCs w:val="22"/>
                <w:lang w:val="ru-RU" w:eastAsia="en-US" w:bidi="ar-SA"/>
              </w:rPr>
              <w:t>Требования к Генеральному подрядчику</w:t>
            </w:r>
          </w:p>
        </w:tc>
        <w:tc>
          <w:tcPr>
            <w:tcW w:w="8327" w:type="dxa"/>
            <w:tcBorders/>
          </w:tcPr>
          <w:p>
            <w:pPr>
              <w:pStyle w:val="Style23"/>
              <w:keepNext w:val="false"/>
              <w:keepLines w:val="false"/>
              <w:widowControl/>
              <w:spacing w:lineRule="auto" w:line="240" w:before="60" w:after="60"/>
              <w:jc w:val="center"/>
              <w:rPr>
                <w:rFonts w:ascii="Times New Roman" w:hAnsi="Times New Roman" w:eastAsia="Calibri" w:cs="Arial"/>
                <w:b/>
                <w:sz w:val="26"/>
                <w:szCs w:val="22"/>
                <w:lang w:val="ru-RU" w:eastAsia="en-US" w:bidi="ar-SA"/>
              </w:rPr>
            </w:pPr>
            <w:r>
              <w:rPr>
                <w:rFonts w:eastAsia="Calibri" w:cs="Arial"/>
                <w:b/>
                <w:kern w:val="0"/>
                <w:sz w:val="26"/>
                <w:szCs w:val="22"/>
                <w:lang w:val="ru-RU" w:eastAsia="en-US" w:bidi="ar-SA"/>
              </w:rPr>
              <w:t>Требования к документам, подтверждающим соответствие</w:t>
              <w:br/>
              <w:t>Генерального подрядчика установленным требованиям</w:t>
            </w:r>
          </w:p>
        </w:tc>
      </w:tr>
      <w:tr>
        <w:trPr/>
        <w:tc>
          <w:tcPr>
            <w:tcW w:w="1128" w:type="dxa"/>
            <w:tcBorders/>
          </w:tcPr>
          <w:p>
            <w:pPr>
              <w:pStyle w:val="Style23"/>
              <w:widowControl/>
              <w:numPr>
                <w:ilvl w:val="0"/>
                <w:numId w:val="6"/>
              </w:numPr>
              <w:spacing w:lineRule="auto" w:line="240" w:before="60" w:after="60"/>
              <w:ind w:hanging="0" w:left="284"/>
              <w:jc w:val="center"/>
              <w:rPr>
                <w:rFonts w:ascii="Times New Roman" w:hAnsi="Times New Roman" w:eastAsia="Calibri" w:cs="Arial"/>
                <w:sz w:val="26"/>
                <w:szCs w:val="22"/>
                <w:lang w:val="ru-RU" w:eastAsia="en-US" w:bidi="ar-SA"/>
              </w:rPr>
            </w:pPr>
            <w:r>
              <w:rPr>
                <w:rFonts w:eastAsia="Calibri" w:cs="Arial"/>
                <w:sz w:val="26"/>
                <w:szCs w:val="22"/>
                <w:lang w:val="ru-RU" w:eastAsia="en-US" w:bidi="ar-SA"/>
              </w:rPr>
            </w:r>
            <w:bookmarkStart w:id="353" w:name="_Ref125370187"/>
            <w:bookmarkStart w:id="354" w:name="_Ref125370187"/>
            <w:bookmarkEnd w:id="354"/>
          </w:p>
        </w:tc>
        <w:tc>
          <w:tcPr>
            <w:tcW w:w="5671" w:type="dxa"/>
            <w:tcBorders/>
          </w:tcPr>
          <w:p>
            <w:pPr>
              <w:pStyle w:val="Style23"/>
              <w:widowControl/>
              <w:spacing w:lineRule="auto" w:line="240" w:before="60" w:after="60"/>
              <w:rPr>
                <w:rFonts w:ascii="Times New Roman" w:hAnsi="Times New Roman" w:eastAsia="Calibri" w:cs="Arial"/>
                <w:sz w:val="26"/>
                <w:szCs w:val="22"/>
                <w:lang w:val="ru-RU" w:eastAsia="en-US" w:bidi="ar-SA"/>
              </w:rPr>
            </w:pPr>
            <w:r>
              <w:rPr>
                <w:rFonts w:eastAsia="Calibri" w:cs="Arial"/>
                <w:kern w:val="0"/>
                <w:sz w:val="26"/>
                <w:szCs w:val="22"/>
                <w:lang w:val="ru-RU" w:eastAsia="en-US" w:bidi="ar-SA"/>
              </w:rPr>
              <w:t>Заявка Генерального подрядчика дополнительно должна включать сведения о распределении объемов поставки продукции между Генеральным подрядчиком и субподрядчиками:</w:t>
            </w:r>
          </w:p>
        </w:tc>
        <w:tc>
          <w:tcPr>
            <w:tcW w:w="8327" w:type="dxa"/>
            <w:tcBorders/>
          </w:tcPr>
          <w:p>
            <w:pPr>
              <w:pStyle w:val="Style23"/>
              <w:widowControl/>
              <w:spacing w:lineRule="auto" w:line="240" w:before="60" w:after="60"/>
              <w:rPr>
                <w:rFonts w:ascii="Times New Roman" w:hAnsi="Times New Roman" w:eastAsia="Calibri" w:cs="Arial"/>
                <w:sz w:val="26"/>
                <w:szCs w:val="22"/>
                <w:lang w:val="ru-RU" w:eastAsia="en-US" w:bidi="ar-SA"/>
              </w:rPr>
            </w:pPr>
            <w:r>
              <w:rPr>
                <w:rFonts w:eastAsia="Calibri" w:cs="Arial"/>
                <w:kern w:val="0"/>
                <w:sz w:val="26"/>
                <w:szCs w:val="22"/>
                <w:lang w:val="ru-RU" w:eastAsia="en-US" w:bidi="ar-SA"/>
              </w:rPr>
              <w:t>План распределения объемов поставки продукции (форма 11) (</w:t>
            </w:r>
            <w:hyperlink w:anchor="Прил04_ФормыЗаявки" w:tgtFrame="#Прил04_ФормыЗаявки">
              <w:r>
                <w:rPr>
                  <w:rFonts w:eastAsia="Calibri" w:cs="Arial"/>
                  <w:color w:val="000000"/>
                  <w:spacing w:val="0"/>
                  <w:kern w:val="0"/>
                  <w:sz w:val="26"/>
                  <w:szCs w:val="22"/>
                  <w:u w:val="single"/>
                  <w:shd w:fill="auto" w:val="clear"/>
                  <w:lang w:val="ru-RU" w:eastAsia="en-US" w:bidi="ar-SA"/>
                </w:rPr>
                <w:t>Приложение № 4</w:t>
              </w:r>
            </w:hyperlink>
            <w:r>
              <w:rPr>
                <w:rFonts w:eastAsia="Calibri" w:cs="Arial"/>
                <w:kern w:val="0"/>
                <w:sz w:val="26"/>
                <w:szCs w:val="22"/>
                <w:lang w:val="ru-RU" w:eastAsia="en-US" w:bidi="ar-SA"/>
              </w:rPr>
              <w:t>) с указанием необходимой информации;</w:t>
            </w:r>
          </w:p>
        </w:tc>
      </w:tr>
      <w:tr>
        <w:trPr/>
        <w:tc>
          <w:tcPr>
            <w:tcW w:w="1128" w:type="dxa"/>
            <w:tcBorders/>
          </w:tcPr>
          <w:p>
            <w:pPr>
              <w:pStyle w:val="Style23"/>
              <w:widowControl/>
              <w:numPr>
                <w:ilvl w:val="0"/>
                <w:numId w:val="6"/>
              </w:numPr>
              <w:spacing w:lineRule="auto" w:line="240" w:before="60" w:after="60"/>
              <w:ind w:hanging="0" w:left="284"/>
              <w:jc w:val="center"/>
              <w:rPr>
                <w:rFonts w:ascii="Times New Roman" w:hAnsi="Times New Roman" w:eastAsia="Calibri" w:cs="Arial"/>
                <w:sz w:val="26"/>
                <w:szCs w:val="22"/>
                <w:lang w:val="ru-RU" w:eastAsia="en-US" w:bidi="ar-SA"/>
              </w:rPr>
            </w:pPr>
            <w:r>
              <w:rPr>
                <w:rFonts w:eastAsia="Calibri" w:cs="Arial"/>
                <w:sz w:val="26"/>
                <w:szCs w:val="22"/>
                <w:lang w:val="ru-RU" w:eastAsia="en-US" w:bidi="ar-SA"/>
              </w:rPr>
            </w:r>
            <w:bookmarkStart w:id="355" w:name="_Ref125370199"/>
            <w:bookmarkStart w:id="356" w:name="_Ref125370199"/>
            <w:bookmarkEnd w:id="356"/>
          </w:p>
        </w:tc>
        <w:tc>
          <w:tcPr>
            <w:tcW w:w="5671" w:type="dxa"/>
            <w:tcBorders/>
          </w:tcPr>
          <w:p>
            <w:pPr>
              <w:pStyle w:val="Style23"/>
              <w:widowControl/>
              <w:spacing w:lineRule="auto" w:line="240" w:before="60" w:after="60"/>
              <w:rPr>
                <w:rFonts w:ascii="Times New Roman" w:hAnsi="Times New Roman" w:eastAsia="Calibri" w:cs="Arial"/>
                <w:sz w:val="26"/>
                <w:szCs w:val="22"/>
                <w:lang w:val="ru-RU" w:eastAsia="en-US" w:bidi="ar-SA"/>
              </w:rPr>
            </w:pPr>
            <w:r>
              <w:rPr>
                <w:rFonts w:eastAsia="Calibri" w:cs="Arial"/>
                <w:kern w:val="0"/>
                <w:sz w:val="26"/>
                <w:szCs w:val="22"/>
                <w:lang w:val="ru-RU" w:eastAsia="en-US" w:bidi="ar-SA"/>
              </w:rPr>
              <w:t>Генеральный подрядчик должен доказать, что каждый из привлекаемых им субподрядчиков:</w:t>
            </w:r>
          </w:p>
          <w:p>
            <w:pPr>
              <w:pStyle w:val="Style23"/>
              <w:widowControl/>
              <w:numPr>
                <w:ilvl w:val="0"/>
                <w:numId w:val="15"/>
              </w:numPr>
              <w:spacing w:lineRule="auto" w:line="240" w:before="60" w:after="0"/>
              <w:ind w:hanging="284" w:left="284"/>
              <w:rPr>
                <w:rFonts w:ascii="Times New Roman" w:hAnsi="Times New Roman" w:eastAsia="Calibri" w:cs="Arial"/>
                <w:sz w:val="26"/>
                <w:szCs w:val="22"/>
                <w:lang w:val="ru-RU" w:eastAsia="en-US" w:bidi="ar-SA"/>
              </w:rPr>
            </w:pPr>
            <w:r>
              <w:rPr>
                <w:rFonts w:eastAsia="Calibri" w:cs="Arial"/>
                <w:kern w:val="0"/>
                <w:sz w:val="26"/>
                <w:szCs w:val="22"/>
                <w:lang w:val="ru-RU" w:eastAsia="en-US" w:bidi="ar-SA"/>
              </w:rPr>
              <w:t>осведомлен о привлечении его в качестве субподрядчика;</w:t>
            </w:r>
          </w:p>
          <w:p>
            <w:pPr>
              <w:pStyle w:val="Style23"/>
              <w:widowControl/>
              <w:numPr>
                <w:ilvl w:val="0"/>
                <w:numId w:val="15"/>
              </w:numPr>
              <w:spacing w:lineRule="auto" w:line="240" w:before="0" w:after="60"/>
              <w:ind w:hanging="284" w:left="284"/>
              <w:rPr>
                <w:rFonts w:ascii="Times New Roman" w:hAnsi="Times New Roman" w:eastAsia="Calibri" w:cs="Arial"/>
                <w:sz w:val="26"/>
                <w:szCs w:val="22"/>
                <w:lang w:val="ru-RU" w:eastAsia="en-US" w:bidi="ar-SA"/>
              </w:rPr>
            </w:pPr>
            <w:r>
              <w:rPr>
                <w:rFonts w:eastAsia="Calibri" w:cs="Arial"/>
                <w:kern w:val="0"/>
                <w:sz w:val="26"/>
                <w:szCs w:val="22"/>
                <w:lang w:val="ru-RU" w:eastAsia="en-US" w:bidi="ar-SA"/>
              </w:rPr>
              <w:t>согласен с выделяемым ему перечнем, объемами, сроками и стоимостью поставки продукции:</w:t>
            </w:r>
          </w:p>
        </w:tc>
        <w:tc>
          <w:tcPr>
            <w:tcW w:w="8327" w:type="dxa"/>
            <w:tcBorders/>
          </w:tcPr>
          <w:p>
            <w:pPr>
              <w:pStyle w:val="Style23"/>
              <w:widowControl/>
              <w:spacing w:lineRule="auto" w:line="240" w:before="60" w:after="60"/>
              <w:rPr>
                <w:rFonts w:ascii="Times New Roman" w:hAnsi="Times New Roman" w:eastAsia="Calibri" w:cs="Arial"/>
                <w:sz w:val="26"/>
                <w:szCs w:val="22"/>
                <w:lang w:val="ru-RU" w:eastAsia="en-US" w:bidi="ar-SA"/>
              </w:rPr>
            </w:pPr>
            <w:r>
              <w:rPr>
                <w:rFonts w:eastAsia="Calibri" w:cs="Arial"/>
                <w:kern w:val="0"/>
                <w:sz w:val="26"/>
                <w:szCs w:val="22"/>
                <w:lang w:val="ru-RU" w:eastAsia="en-US" w:bidi="ar-SA"/>
              </w:rPr>
              <w:t>Письмо от имени каждого привлекаемого субподрядчика (составляется в произвольной форме), подтверждающее его согласие на привлечение в качестве субподрядчика, с указанием объема и стоимости возлагаемой на него поставки продукции, а также сроков поставки продукции;</w:t>
            </w:r>
          </w:p>
        </w:tc>
      </w:tr>
      <w:tr>
        <w:trPr/>
        <w:tc>
          <w:tcPr>
            <w:tcW w:w="1128" w:type="dxa"/>
            <w:tcBorders/>
          </w:tcPr>
          <w:p>
            <w:pPr>
              <w:pStyle w:val="Style23"/>
              <w:widowControl/>
              <w:numPr>
                <w:ilvl w:val="0"/>
                <w:numId w:val="6"/>
              </w:numPr>
              <w:spacing w:lineRule="auto" w:line="240" w:before="60" w:after="60"/>
              <w:ind w:hanging="0" w:left="284"/>
              <w:jc w:val="center"/>
              <w:rPr>
                <w:rFonts w:ascii="Times New Roman" w:hAnsi="Times New Roman" w:eastAsia="Calibri" w:cs="Arial"/>
                <w:sz w:val="26"/>
                <w:szCs w:val="22"/>
                <w:lang w:val="ru-RU" w:eastAsia="en-US" w:bidi="ar-SA"/>
              </w:rPr>
            </w:pPr>
            <w:r>
              <w:rPr>
                <w:rFonts w:eastAsia="Calibri" w:cs="Arial"/>
                <w:sz w:val="26"/>
                <w:szCs w:val="22"/>
                <w:lang w:val="ru-RU" w:eastAsia="en-US" w:bidi="ar-SA"/>
              </w:rPr>
            </w:r>
            <w:bookmarkStart w:id="357" w:name="_Ref125370193"/>
            <w:bookmarkStart w:id="358" w:name="_Ref125370193"/>
            <w:bookmarkEnd w:id="358"/>
          </w:p>
        </w:tc>
        <w:tc>
          <w:tcPr>
            <w:tcW w:w="5671" w:type="dxa"/>
            <w:tcBorders/>
          </w:tcPr>
          <w:p>
            <w:pPr>
              <w:pStyle w:val="Style23"/>
              <w:widowControl/>
              <w:spacing w:lineRule="auto" w:line="240" w:before="60" w:after="60"/>
              <w:rPr>
                <w:rFonts w:ascii="Times New Roman" w:hAnsi="Times New Roman" w:eastAsia="Calibri" w:cs="Arial"/>
                <w:sz w:val="26"/>
                <w:szCs w:val="22"/>
                <w:lang w:val="ru-RU" w:eastAsia="en-US" w:bidi="ar-SA"/>
              </w:rPr>
            </w:pPr>
            <w:r>
              <w:rPr>
                <w:rFonts w:eastAsia="Calibri" w:cs="Arial"/>
                <w:kern w:val="0"/>
                <w:sz w:val="26"/>
                <w:szCs w:val="22"/>
                <w:lang w:val="ru-RU" w:eastAsia="en-US" w:bidi="ar-SA"/>
              </w:rPr>
              <w:t>Соответствие каждого субподрядчика установленным требованиям (с учетом пункта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_Ref125368863 \w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r>
            <w:r>
              <w:rPr>
                <w:sz w:val="26"/>
                <w:kern w:val="0"/>
                <w:szCs w:val="22"/>
                <w:rFonts w:eastAsia="Calibri" w:cs="Arial"/>
                <w:lang w:val="ru-RU" w:eastAsia="en-US" w:bidi="ar-SA"/>
              </w:rPr>
              <w:fldChar w:fldCharType="end"/>
            </w:r>
            <w:r>
              <w:rPr>
                <w:rFonts w:eastAsia="Calibri" w:cs="Arial"/>
                <w:kern w:val="0"/>
                <w:sz w:val="26"/>
                <w:szCs w:val="22"/>
                <w:lang w:val="ru-RU" w:eastAsia="en-US" w:bidi="ar-SA"/>
              </w:rPr>
              <w:t>) в том числе с учетом объема поставки продукции, который ему предполагается поручить в соответствии с Планом распределения объемов (форма 10) (</w:t>
            </w:r>
            <w:hyperlink w:anchor="Прил04_ФормыЗаявки" w:tgtFrame="#Прил04_ФормыЗаявки">
              <w:r>
                <w:rPr>
                  <w:rFonts w:eastAsia="Calibri" w:cs="Arial"/>
                  <w:color w:val="000000"/>
                  <w:spacing w:val="0"/>
                  <w:kern w:val="0"/>
                  <w:sz w:val="26"/>
                  <w:szCs w:val="22"/>
                  <w:u w:val="single"/>
                  <w:shd w:fill="auto" w:val="clear"/>
                  <w:lang w:val="ru-RU" w:eastAsia="en-US" w:bidi="ar-SA"/>
                </w:rPr>
                <w:t>Приложение № 4</w:t>
              </w:r>
            </w:hyperlink>
            <w:r>
              <w:rPr>
                <w:rFonts w:eastAsia="Calibri" w:cs="Arial"/>
                <w:kern w:val="0"/>
                <w:sz w:val="26"/>
                <w:szCs w:val="22"/>
                <w:lang w:val="ru-RU" w:eastAsia="en-US" w:bidi="ar-SA"/>
              </w:rPr>
              <w:t>):</w:t>
            </w:r>
          </w:p>
        </w:tc>
        <w:tc>
          <w:tcPr>
            <w:tcW w:w="8327" w:type="dxa"/>
            <w:tcBorders/>
          </w:tcPr>
          <w:p>
            <w:pPr>
              <w:pStyle w:val="Style23"/>
              <w:widowControl/>
              <w:spacing w:lineRule="auto" w:line="240" w:before="60" w:after="60"/>
              <w:rPr>
                <w:rFonts w:ascii="Times New Roman" w:hAnsi="Times New Roman" w:eastAsia="Calibri" w:cs="Arial"/>
                <w:sz w:val="26"/>
                <w:szCs w:val="22"/>
                <w:lang w:val="ru-RU" w:eastAsia="en-US" w:bidi="ar-SA"/>
              </w:rPr>
            </w:pPr>
            <w:r>
              <w:rPr>
                <w:rFonts w:eastAsia="Calibri" w:cs="Arial"/>
                <w:kern w:val="0"/>
                <w:sz w:val="26"/>
                <w:szCs w:val="22"/>
                <w:lang w:val="ru-RU" w:eastAsia="en-US" w:bidi="ar-SA"/>
              </w:rPr>
              <w:t>Сведения и документы, аналогичные установленным в подразделах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_Ref125361435 \w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8.2</w:t>
            </w:r>
            <w:r>
              <w:rPr>
                <w:sz w:val="26"/>
                <w:kern w:val="0"/>
                <w:szCs w:val="22"/>
                <w:rFonts w:eastAsia="Calibri" w:cs="Arial"/>
                <w:lang w:val="ru-RU" w:eastAsia="en-US" w:bidi="ar-SA"/>
              </w:rPr>
              <w:fldChar w:fldCharType="end"/>
            </w:r>
            <w:r>
              <w:rPr>
                <w:rFonts w:eastAsia="Calibri" w:cs="Arial"/>
                <w:kern w:val="0"/>
                <w:sz w:val="26"/>
                <w:szCs w:val="22"/>
                <w:lang w:val="ru-RU" w:eastAsia="en-US" w:bidi="ar-SA"/>
              </w:rPr>
              <w:t> –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_Ref125553242 \w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8.4</w:t>
            </w:r>
            <w:r>
              <w:rPr>
                <w:sz w:val="26"/>
                <w:kern w:val="0"/>
                <w:szCs w:val="22"/>
                <w:rFonts w:eastAsia="Calibri" w:cs="Arial"/>
                <w:lang w:val="ru-RU" w:eastAsia="en-US" w:bidi="ar-SA"/>
              </w:rPr>
              <w:fldChar w:fldCharType="end"/>
            </w:r>
            <w:r>
              <w:rPr>
                <w:rFonts w:eastAsia="Calibri" w:cs="Arial"/>
                <w:kern w:val="0"/>
                <w:sz w:val="26"/>
                <w:szCs w:val="22"/>
                <w:lang w:val="ru-RU" w:eastAsia="en-US" w:bidi="ar-SA"/>
              </w:rPr>
              <w:t>, в отношении каждого субподрядчика, подтверждающие его соответствие данным требованиям;</w:t>
            </w:r>
          </w:p>
        </w:tc>
      </w:tr>
      <w:tr>
        <w:trPr/>
        <w:tc>
          <w:tcPr>
            <w:tcW w:w="1128" w:type="dxa"/>
            <w:tcBorders/>
          </w:tcPr>
          <w:p>
            <w:pPr>
              <w:pStyle w:val="Style23"/>
              <w:widowControl/>
              <w:numPr>
                <w:ilvl w:val="0"/>
                <w:numId w:val="6"/>
              </w:numPr>
              <w:spacing w:lineRule="auto" w:line="240" w:before="60" w:after="60"/>
              <w:ind w:hanging="0" w:left="284"/>
              <w:jc w:val="center"/>
              <w:rPr>
                <w:rFonts w:ascii="Times New Roman" w:hAnsi="Times New Roman" w:eastAsia="Calibri" w:cs="Arial"/>
                <w:sz w:val="26"/>
                <w:szCs w:val="22"/>
                <w:lang w:val="ru-RU" w:eastAsia="en-US" w:bidi="ar-SA"/>
              </w:rPr>
            </w:pPr>
            <w:r>
              <w:rPr>
                <w:rFonts w:eastAsia="Calibri" w:cs="Arial"/>
                <w:sz w:val="26"/>
                <w:szCs w:val="22"/>
                <w:lang w:val="ru-RU" w:eastAsia="en-US" w:bidi="ar-SA"/>
              </w:rPr>
            </w:r>
            <w:bookmarkStart w:id="359" w:name="_Ref125553847"/>
            <w:bookmarkStart w:id="360" w:name="_Ref125553847"/>
            <w:bookmarkEnd w:id="360"/>
          </w:p>
        </w:tc>
        <w:tc>
          <w:tcPr>
            <w:tcW w:w="5671" w:type="dxa"/>
            <w:tcBorders/>
          </w:tcPr>
          <w:p>
            <w:pPr>
              <w:pStyle w:val="Style23"/>
              <w:widowControl/>
              <w:spacing w:lineRule="auto" w:line="240" w:before="60" w:after="60"/>
              <w:rPr>
                <w:rFonts w:ascii="Times New Roman" w:hAnsi="Times New Roman" w:eastAsia="Calibri" w:cs="Arial"/>
                <w:sz w:val="26"/>
                <w:szCs w:val="22"/>
                <w:lang w:val="ru-RU" w:eastAsia="en-US" w:bidi="ar-SA"/>
              </w:rPr>
            </w:pPr>
            <w:r>
              <w:rPr>
                <w:rFonts w:eastAsia="Calibri" w:cs="Arial"/>
                <w:kern w:val="0"/>
                <w:sz w:val="26"/>
                <w:szCs w:val="22"/>
                <w:lang w:val="ru-RU" w:eastAsia="en-US" w:bidi="ar-SA"/>
              </w:rPr>
              <w:t>Дополнительные требования не установлены.</w:t>
            </w:r>
          </w:p>
        </w:tc>
        <w:tc>
          <w:tcPr>
            <w:tcW w:w="8327" w:type="dxa"/>
            <w:tcBorders/>
          </w:tcPr>
          <w:p>
            <w:pPr>
              <w:pStyle w:val="Style23"/>
              <w:widowControl/>
              <w:spacing w:lineRule="auto" w:line="240" w:before="60" w:after="60"/>
              <w:rPr>
                <w:rFonts w:ascii="Times New Roman" w:hAnsi="Times New Roman" w:eastAsia="Calibri" w:cs="Arial"/>
                <w:sz w:val="26"/>
                <w:szCs w:val="22"/>
                <w:lang w:val="ru-RU" w:eastAsia="en-US" w:bidi="ar-SA"/>
              </w:rPr>
            </w:pPr>
            <w:r>
              <w:rPr>
                <w:rFonts w:eastAsia="Calibri" w:cs="Arial"/>
                <w:kern w:val="0"/>
                <w:sz w:val="26"/>
                <w:szCs w:val="22"/>
                <w:lang w:val="ru-RU" w:eastAsia="en-US" w:bidi="ar-SA"/>
              </w:rPr>
              <w:t>Дополнительные требования не установлены.</w:t>
            </w:r>
          </w:p>
        </w:tc>
      </w:tr>
    </w:tbl>
    <w:p>
      <w:pPr>
        <w:pStyle w:val="Style18"/>
        <w:spacing w:before="360" w:after="120"/>
        <w:rPr/>
      </w:pPr>
      <w:bookmarkStart w:id="361" w:name="_Toc230928877"/>
      <w:bookmarkStart w:id="362" w:name="_Ref125710517"/>
      <w:bookmarkStart w:id="363" w:name="_Ref125710480"/>
      <w:bookmarkStart w:id="364" w:name="_Ref125710459"/>
      <w:bookmarkStart w:id="365" w:name="_Ref125553513"/>
      <w:bookmarkStart w:id="366" w:name="_Ref125550566"/>
      <w:bookmarkStart w:id="367" w:name="_Ref125550560"/>
      <w:bookmarkStart w:id="368" w:name="_Ref125550523"/>
      <w:bookmarkStart w:id="369" w:name="_Ref125553821"/>
      <w:r>
        <w:rPr/>
        <w:t>Дополнительные требования в отношении Генеральных подрядчиков с обязательным привлечением субподрядчиков (соисполнителей) из числа субъектов МСП</w:t>
      </w:r>
      <w:bookmarkEnd w:id="361"/>
      <w:bookmarkEnd w:id="362"/>
      <w:bookmarkEnd w:id="363"/>
      <w:bookmarkEnd w:id="364"/>
      <w:bookmarkEnd w:id="365"/>
      <w:bookmarkEnd w:id="366"/>
      <w:bookmarkEnd w:id="367"/>
      <w:bookmarkEnd w:id="368"/>
      <w:bookmarkEnd w:id="369"/>
    </w:p>
    <w:tbl>
      <w:tblPr>
        <w:tblStyle w:val="1497"/>
        <w:tblW w:w="15126" w:type="dxa"/>
        <w:jc w:val="left"/>
        <w:tblInd w:w="0" w:type="dxa"/>
        <w:tblLayout w:type="fixed"/>
        <w:tblCellMar>
          <w:top w:w="0" w:type="dxa"/>
          <w:left w:w="57" w:type="dxa"/>
          <w:bottom w:w="0" w:type="dxa"/>
          <w:right w:w="57" w:type="dxa"/>
        </w:tblCellMar>
        <w:tblLook w:val="04a0" w:noHBand="0" w:noVBand="1" w:firstColumn="1" w:lastRow="0" w:lastColumn="0" w:firstRow="1"/>
      </w:tblPr>
      <w:tblGrid>
        <w:gridCol w:w="1128"/>
        <w:gridCol w:w="5671"/>
        <w:gridCol w:w="8327"/>
      </w:tblGrid>
      <w:tr>
        <w:trPr/>
        <w:tc>
          <w:tcPr>
            <w:tcW w:w="1128" w:type="dxa"/>
            <w:tcBorders/>
          </w:tcPr>
          <w:p>
            <w:pPr>
              <w:pStyle w:val="Style23"/>
              <w:keepNext w:val="false"/>
              <w:keepLines w:val="false"/>
              <w:widowControl/>
              <w:spacing w:lineRule="auto" w:line="240" w:before="60" w:after="60"/>
              <w:jc w:val="center"/>
              <w:rPr>
                <w:rFonts w:ascii="Times New Roman" w:hAnsi="Times New Roman" w:eastAsia="Calibri" w:cs="Arial"/>
                <w:b/>
                <w:sz w:val="26"/>
                <w:szCs w:val="22"/>
                <w:lang w:val="ru-RU" w:eastAsia="en-US" w:bidi="ar-SA"/>
              </w:rPr>
            </w:pPr>
            <w:r>
              <w:rPr>
                <w:rFonts w:eastAsia="Calibri" w:cs="Arial"/>
                <w:b/>
                <w:kern w:val="0"/>
                <w:sz w:val="26"/>
                <w:szCs w:val="22"/>
                <w:lang w:val="ru-RU" w:eastAsia="en-US" w:bidi="ar-SA"/>
              </w:rPr>
              <w:t>№</w:t>
            </w:r>
            <w:r>
              <w:rPr>
                <w:rFonts w:eastAsia="Calibri" w:cs="Arial"/>
                <w:b/>
                <w:kern w:val="0"/>
                <w:sz w:val="26"/>
                <w:szCs w:val="22"/>
                <w:lang w:val="ru-RU" w:eastAsia="en-US" w:bidi="ar-SA"/>
              </w:rPr>
              <w:br/>
              <w:t>п/п</w:t>
            </w:r>
          </w:p>
        </w:tc>
        <w:tc>
          <w:tcPr>
            <w:tcW w:w="5671" w:type="dxa"/>
            <w:tcBorders/>
          </w:tcPr>
          <w:p>
            <w:pPr>
              <w:pStyle w:val="Style23"/>
              <w:keepNext w:val="false"/>
              <w:keepLines w:val="false"/>
              <w:widowControl/>
              <w:spacing w:lineRule="auto" w:line="240" w:before="60" w:after="60"/>
              <w:jc w:val="center"/>
              <w:rPr>
                <w:rFonts w:ascii="Times New Roman" w:hAnsi="Times New Roman" w:eastAsia="Calibri" w:cs="Arial"/>
                <w:b/>
                <w:sz w:val="26"/>
                <w:szCs w:val="22"/>
                <w:lang w:val="ru-RU" w:eastAsia="en-US" w:bidi="ar-SA"/>
              </w:rPr>
            </w:pPr>
            <w:r>
              <w:rPr>
                <w:rFonts w:eastAsia="Calibri" w:cs="Arial"/>
                <w:b/>
                <w:kern w:val="0"/>
                <w:sz w:val="26"/>
                <w:szCs w:val="22"/>
                <w:lang w:val="ru-RU" w:eastAsia="en-US" w:bidi="ar-SA"/>
              </w:rPr>
              <w:t>Требования к Генеральному подрядчику</w:t>
            </w:r>
          </w:p>
        </w:tc>
        <w:tc>
          <w:tcPr>
            <w:tcW w:w="8327" w:type="dxa"/>
            <w:tcBorders/>
          </w:tcPr>
          <w:p>
            <w:pPr>
              <w:pStyle w:val="Style23"/>
              <w:keepNext w:val="false"/>
              <w:keepLines w:val="false"/>
              <w:widowControl/>
              <w:spacing w:lineRule="auto" w:line="240" w:before="60" w:after="60"/>
              <w:jc w:val="center"/>
              <w:rPr>
                <w:rFonts w:ascii="Times New Roman" w:hAnsi="Times New Roman" w:eastAsia="Calibri" w:cs="Arial"/>
                <w:b/>
                <w:sz w:val="26"/>
                <w:szCs w:val="22"/>
                <w:lang w:val="ru-RU" w:eastAsia="en-US" w:bidi="ar-SA"/>
              </w:rPr>
            </w:pPr>
            <w:r>
              <w:rPr>
                <w:rFonts w:eastAsia="Calibri" w:cs="Arial"/>
                <w:b/>
                <w:kern w:val="0"/>
                <w:sz w:val="26"/>
                <w:szCs w:val="22"/>
                <w:lang w:val="ru-RU" w:eastAsia="en-US" w:bidi="ar-SA"/>
              </w:rPr>
              <w:t>Требования к документам, подтверждающим соответствие</w:t>
              <w:br/>
              <w:t>Генерального подрядчика установленным требованиям</w:t>
            </w:r>
          </w:p>
        </w:tc>
      </w:tr>
      <w:tr>
        <w:trPr/>
        <w:tc>
          <w:tcPr>
            <w:tcW w:w="1128" w:type="dxa"/>
            <w:tcBorders/>
          </w:tcPr>
          <w:p>
            <w:pPr>
              <w:pStyle w:val="Style23"/>
              <w:widowControl/>
              <w:numPr>
                <w:ilvl w:val="0"/>
                <w:numId w:val="12"/>
              </w:numPr>
              <w:spacing w:lineRule="auto" w:line="240" w:before="60" w:after="60"/>
              <w:ind w:hanging="0" w:left="284"/>
              <w:jc w:val="center"/>
              <w:rPr>
                <w:rFonts w:ascii="Times New Roman" w:hAnsi="Times New Roman" w:eastAsia="Calibri" w:cs="Arial"/>
                <w:sz w:val="26"/>
                <w:szCs w:val="22"/>
                <w:lang w:val="ru-RU" w:eastAsia="en-US" w:bidi="ar-SA"/>
              </w:rPr>
            </w:pPr>
            <w:r>
              <w:rPr>
                <w:rFonts w:eastAsia="Calibri" w:cs="Arial"/>
                <w:sz w:val="26"/>
                <w:szCs w:val="22"/>
                <w:lang w:val="ru-RU" w:eastAsia="en-US" w:bidi="ar-SA"/>
              </w:rPr>
            </w:r>
          </w:p>
        </w:tc>
        <w:tc>
          <w:tcPr>
            <w:tcW w:w="5671" w:type="dxa"/>
            <w:tcBorders/>
          </w:tcPr>
          <w:p>
            <w:pPr>
              <w:pStyle w:val="Style23"/>
              <w:widowControl/>
              <w:spacing w:lineRule="auto" w:line="240" w:before="60" w:after="60"/>
              <w:rPr>
                <w:rFonts w:ascii="Times New Roman" w:hAnsi="Times New Roman" w:eastAsia="Calibri" w:cs="Arial"/>
                <w:sz w:val="26"/>
                <w:szCs w:val="22"/>
                <w:lang w:val="ru-RU" w:eastAsia="en-US" w:bidi="ar-SA"/>
              </w:rPr>
            </w:pPr>
            <w:r>
              <w:rPr>
                <w:rFonts w:eastAsia="Calibri" w:cs="Arial"/>
                <w:kern w:val="0"/>
                <w:sz w:val="26"/>
                <w:szCs w:val="22"/>
                <w:lang w:val="ru-RU" w:eastAsia="en-US" w:bidi="ar-SA"/>
              </w:rPr>
              <w:t>Дополнительные требования не установлены.</w:t>
            </w:r>
          </w:p>
        </w:tc>
        <w:tc>
          <w:tcPr>
            <w:tcW w:w="8327" w:type="dxa"/>
            <w:tcBorders/>
          </w:tcPr>
          <w:p>
            <w:pPr>
              <w:pStyle w:val="Style23"/>
              <w:widowControl/>
              <w:spacing w:lineRule="auto" w:line="240" w:before="60" w:after="60"/>
              <w:rPr>
                <w:rFonts w:ascii="Times New Roman" w:hAnsi="Times New Roman" w:eastAsia="Calibri" w:cs="Arial"/>
                <w:sz w:val="26"/>
                <w:szCs w:val="22"/>
                <w:lang w:val="ru-RU" w:eastAsia="en-US" w:bidi="ar-SA"/>
              </w:rPr>
            </w:pPr>
            <w:r>
              <w:rPr>
                <w:rFonts w:eastAsia="Calibri" w:cs="Arial"/>
                <w:kern w:val="0"/>
                <w:sz w:val="26"/>
                <w:szCs w:val="22"/>
                <w:lang w:val="ru-RU" w:eastAsia="en-US" w:bidi="ar-SA"/>
              </w:rPr>
              <w:t>Дополнительные требования не установлены.</w:t>
            </w:r>
          </w:p>
        </w:tc>
      </w:tr>
    </w:tbl>
    <w:p>
      <w:pPr>
        <w:sectPr>
          <w:headerReference w:type="default" r:id="rId18"/>
          <w:headerReference w:type="first" r:id="rId19"/>
          <w:footerReference w:type="default" r:id="rId20"/>
          <w:footerReference w:type="first" r:id="rId21"/>
          <w:footnotePr>
            <w:numFmt w:val="decimal"/>
          </w:footnotePr>
          <w:type w:val="nextPage"/>
          <w:pgSz w:orient="landscape" w:w="16838" w:h="11906"/>
          <w:pgMar w:left="851" w:right="851" w:gutter="0" w:header="567" w:top="1134" w:footer="567" w:bottom="850"/>
          <w:pgNumType w:fmt="decimal"/>
          <w:formProt w:val="false"/>
          <w:textDirection w:val="lrTb"/>
          <w:docGrid w:type="default" w:linePitch="360" w:charSpace="0"/>
        </w:sectPr>
      </w:pPr>
    </w:p>
    <w:p>
      <w:pPr>
        <w:pStyle w:val="Style17"/>
        <w:spacing w:before="0" w:after="0"/>
        <w:rPr/>
      </w:pPr>
      <w:bookmarkStart w:id="370" w:name="_Toc230928878"/>
      <w:bookmarkStart w:id="371" w:name="Прил04_ФормыЗаявки"/>
      <w:bookmarkEnd w:id="371"/>
      <w:r>
        <w:rPr/>
        <w:t>Приложение № 4 – Образцы форм документов, включаемых в состав заявки</w:t>
      </w:r>
      <w:bookmarkEnd w:id="370"/>
    </w:p>
    <w:p>
      <w:pPr>
        <w:pStyle w:val="Style18"/>
        <w:spacing w:before="360" w:after="0"/>
        <w:rPr/>
      </w:pPr>
      <w:bookmarkStart w:id="372" w:name="_Toc230928879"/>
      <w:r>
        <w:rPr/>
        <w:t>Пояснения к Образцам форм документов, включаемых в состав заявки</w:t>
      </w:r>
      <w:bookmarkEnd w:id="372"/>
    </w:p>
    <w:p>
      <w:pPr>
        <w:pStyle w:val="Style19"/>
        <w:spacing w:before="120" w:after="0"/>
        <w:rPr/>
      </w:pPr>
      <w:r>
        <w:rPr/>
        <w:t>Образцы форм документов, включаемых в состав заявки (с инструкциями по их оформлению), приведены в отдельном файле (предоставляются отдельным документом в составе Документации о закупке), являющимся Приложением № 4 к Документации о закупке. Участник при подготовке заявки обязан придерживаться установленных форм документов.</w:t>
      </w:r>
    </w:p>
    <w:p>
      <w:pPr>
        <w:pStyle w:val="Style17"/>
        <w:spacing w:before="0" w:after="0"/>
        <w:rPr/>
      </w:pPr>
      <w:bookmarkStart w:id="373" w:name="_Toc230928880"/>
      <w:bookmarkStart w:id="374" w:name="Прил05_ФормыПобедителя"/>
      <w:bookmarkEnd w:id="374"/>
      <w:r>
        <w:rPr/>
        <w:t>Приложение № 5 – Образцы форм документов, предоставляемых Победителем</w:t>
      </w:r>
      <w:bookmarkEnd w:id="373"/>
    </w:p>
    <w:p>
      <w:pPr>
        <w:pStyle w:val="Style18"/>
        <w:spacing w:before="360" w:after="0"/>
        <w:rPr/>
      </w:pPr>
      <w:bookmarkStart w:id="375" w:name="_Toc230928881"/>
      <w:r>
        <w:rPr/>
        <w:t>Пояснения к Образцам форм документов, предоставляемых Победителем</w:t>
      </w:r>
      <w:bookmarkEnd w:id="375"/>
    </w:p>
    <w:p>
      <w:pPr>
        <w:pStyle w:val="Style19"/>
        <w:spacing w:before="120" w:after="0"/>
        <w:rPr/>
      </w:pPr>
      <w:r>
        <w:rPr/>
        <w:t>Образцы форм документов, предоставляемых Победителем (или Единственным участником, в случае признания закупки несостоявшейся и принятия решения о заключении договора с ее Единственным участником), а также дополнительные пояснения по их предоставлению и инструкции по их оформлению, приведены в подразделах </w:t>
      </w:r>
      <w:r>
        <w:rPr/>
        <w:fldChar w:fldCharType="begin"/>
      </w:r>
      <w:r>
        <w:rPr/>
        <w:instrText xml:space="preserve"> REF _Ref130395470 \r \h </w:instrText>
      </w:r>
      <w:r>
        <w:rPr/>
        <w:fldChar w:fldCharType="separate"/>
      </w:r>
      <w:r>
        <w:rPr/>
        <w:t>10.2</w:t>
      </w:r>
      <w:r>
        <w:rPr/>
        <w:fldChar w:fldCharType="end"/>
      </w:r>
      <w:r>
        <w:rPr/>
        <w:t xml:space="preserve">, </w:t>
      </w:r>
      <w:r>
        <w:rPr/>
        <w:fldChar w:fldCharType="begin"/>
      </w:r>
      <w:r>
        <w:rPr/>
        <w:instrText xml:space="preserve"> REF _Ref130395475 \r \h </w:instrText>
      </w:r>
      <w:r>
        <w:rPr/>
        <w:fldChar w:fldCharType="separate"/>
      </w:r>
      <w:r>
        <w:rPr/>
        <w:t>10.3</w:t>
      </w:r>
      <w:r>
        <w:rPr/>
        <w:fldChar w:fldCharType="end"/>
      </w:r>
      <w:r>
        <w:rPr/>
        <w:t>.</w:t>
      </w:r>
    </w:p>
    <w:p>
      <w:pPr>
        <w:pStyle w:val="Style18"/>
        <w:spacing w:before="360" w:after="0"/>
        <w:rPr/>
      </w:pPr>
      <w:bookmarkStart w:id="376" w:name="_Ref130395470"/>
      <w:bookmarkStart w:id="377" w:name="_Toc230928882"/>
      <w:r>
        <w:rPr/>
        <w:t>Форма справки «Сведения о цепочке собственников, включая бенефициаров (в том числе конечных)»</w:t>
      </w:r>
      <w:bookmarkEnd w:id="376"/>
      <w:bookmarkEnd w:id="377"/>
    </w:p>
    <w:p>
      <w:pPr>
        <w:pStyle w:val="Style19"/>
        <w:spacing w:before="120" w:after="0"/>
        <w:rPr/>
      </w:pPr>
      <w:r>
        <w:rPr/>
        <w:t>Справка «Сведения о цепочке собственников, включая бенефициаров (в том числе конечных)» предоставляется Победителем закупки (поставщиком).</w:t>
      </w:r>
    </w:p>
    <w:p>
      <w:pPr>
        <w:pStyle w:val="Style19"/>
        <w:spacing w:before="0" w:after="0"/>
        <w:rPr/>
      </w:pPr>
      <w:r>
        <w:rPr/>
        <w:t xml:space="preserve">Форма справки «Сведения о цепочке собственников, включая бенефициаров (в том числе конечных)» </w:t>
      </w:r>
      <w:r>
        <w:rPr>
          <w:lang w:val="en-US"/>
        </w:rPr>
        <w:t>c</w:t>
      </w:r>
      <w:r>
        <w:rPr/>
        <w:t xml:space="preserve"> приложением 1 «Перечень подтверждающих документов» и приложением 2 «Согласие на обработку и передачу персональных и иных охраняемых законом данных» приведена в отдельном файле в формате </w:t>
      </w:r>
      <w:r>
        <w:rPr>
          <w:lang w:val="en-US"/>
        </w:rPr>
        <w:t>Microsoft</w:t>
      </w:r>
      <w:r>
        <w:rPr/>
        <w:t xml:space="preserve"> </w:t>
      </w:r>
      <w:r>
        <w:rPr>
          <w:lang w:val="en-US"/>
        </w:rPr>
        <w:t>Word</w:t>
      </w:r>
      <w:r>
        <w:rPr/>
        <w:t>:</w:t>
      </w:r>
    </w:p>
    <w:p>
      <w:pPr>
        <w:pStyle w:val="Style23"/>
        <w:jc w:val="center"/>
        <w:rPr/>
      </w:pPr>
      <w:bookmarkStart w:id="378" w:name="_MON_1817895658"/>
      <w:bookmarkEnd w:id="378"/>
      <w:r>
        <w:rPr/>
        <w:object>
          <v:shapetype id="_x0000_tole_rId22" coordsize="21600,21600" o:spt="ole_rId22"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le_rId22" type="_x0000_tole_rId22" style="width:90.75pt;height:57.5pt;mso-wrap-distance-right:0pt" filled="f" o:ole="">
            <v:imagedata r:id="rId23" o:title=""/>
          </v:shape>
          <o:OLEObject Type="Embed" ProgID="Word.Document.12" ShapeID="ole_rId22" DrawAspect="Icon" ObjectID="_380859510" r:id="rId22"/>
        </w:object>
      </w:r>
    </w:p>
    <w:p>
      <w:pPr>
        <w:pStyle w:val="Style18"/>
        <w:spacing w:before="360" w:after="0"/>
        <w:rPr/>
      </w:pPr>
      <w:bookmarkStart w:id="379" w:name="_Ref130395475"/>
      <w:bookmarkStart w:id="380" w:name="_Toc230928883"/>
      <w:r>
        <w:rPr/>
        <w:t>Форма «Заверение об обстоятельствах»</w:t>
      </w:r>
      <w:bookmarkEnd w:id="379"/>
      <w:bookmarkEnd w:id="380"/>
    </w:p>
    <w:p>
      <w:pPr>
        <w:pStyle w:val="Style19"/>
        <w:spacing w:before="120" w:after="0"/>
        <w:rPr/>
      </w:pPr>
      <w:r>
        <w:rPr/>
        <w:t>Форма Заверения об обстоятельствах предоставляется Победителем закупки (поставщиком) только при заключении договоров стоимостью свыше 100 000</w:t>
      </w:r>
      <w:r>
        <w:rPr>
          <w:lang w:val="en-US"/>
        </w:rPr>
        <w:t> </w:t>
      </w:r>
      <w:r>
        <w:rPr/>
        <w:t>000 (Ста миллионов) рублей либо договоров (без ограничения по сумме), положения которых не содержат аналогичных заверений об обстоятельствах, и предоставляется Заказчику в срок не позднее 3</w:t>
      </w:r>
      <w:r>
        <w:rPr>
          <w:lang w:val="en-US"/>
        </w:rPr>
        <w:t> </w:t>
      </w:r>
      <w:r>
        <w:rPr/>
        <w:t>(трех) рабочих дней с даты официального размещения Организатором итогового протокола по результатам закупки.</w:t>
      </w:r>
    </w:p>
    <w:p>
      <w:pPr>
        <w:pStyle w:val="Style19"/>
        <w:spacing w:before="0" w:after="0"/>
        <w:rPr/>
      </w:pPr>
      <w:r>
        <w:rPr/>
        <w:t>Победитель закупки (поставщик) должен выбрать соответствующий ему вариант Заверения об обстоятельствах, исходя из необходимости получения согласий органов управления / одобрения сделки органами управления Поставщика в соответствии с законодательством, уставом, внутренними документами и отдельными решениями органов управления Поставщика, для последующего заключения Договора по предмету настоящей закупки.</w:t>
      </w:r>
    </w:p>
    <w:p>
      <w:pPr>
        <w:pStyle w:val="Style19"/>
        <w:spacing w:before="0" w:after="0"/>
        <w:rPr/>
      </w:pPr>
      <w:r>
        <w:rPr/>
        <w:t>Заверение об обстоятельствах следует оформить на официальном бланке Победителя закупки (поставщика) (с указанием даты и номера в соответствии с принятыми у него правилами документооборота) и заверить подписью единоличного исполнительного органа Победителя закупки (поставщика) (или иным уполномоченным лицом на основании доверенности), а также скрепить печатью (при наличии).</w:t>
      </w:r>
    </w:p>
    <w:p>
      <w:pPr>
        <w:pStyle w:val="Style19"/>
        <w:keepNext w:val="true"/>
        <w:spacing w:before="0" w:after="0"/>
        <w:rPr/>
      </w:pPr>
      <w:r>
        <w:rPr/>
        <w:t xml:space="preserve">Форма «Заверение об обстоятельствах» приведена в отдельном файле в формате </w:t>
      </w:r>
      <w:r>
        <w:rPr>
          <w:lang w:val="en-US"/>
        </w:rPr>
        <w:t>Microsoft</w:t>
      </w:r>
      <w:r>
        <w:rPr/>
        <w:t xml:space="preserve"> </w:t>
      </w:r>
      <w:r>
        <w:rPr>
          <w:lang w:val="en-US"/>
        </w:rPr>
        <w:t>Word</w:t>
      </w:r>
      <w:r>
        <w:rPr/>
        <w:t xml:space="preserve">: </w:t>
      </w:r>
      <w:r>
        <w:rPr/>
        <w:object>
          <v:shapetype id="_x0000_tole_rId24" coordsize="21600,21600" o:spt="ole_rId24"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le_rId24" type="_x0000_tole_rId24" style="width:78.05pt;height:49.6pt;mso-wrap-distance-right:0pt" filled="f" o:ole="">
            <v:imagedata r:id="rId25" o:title=""/>
          </v:shape>
          <o:OLEObject Type="Embed" ProgID="Word.Document.12" ShapeID="ole_rId24" DrawAspect="Icon" ObjectID="_1407293830" r:id="rId24"/>
        </w:object>
      </w:r>
    </w:p>
    <w:p>
      <w:pPr>
        <w:pStyle w:val="Style23"/>
        <w:spacing w:before="120" w:after="120"/>
        <w:jc w:val="center"/>
        <w:rPr/>
      </w:pPr>
      <w:r>
        <w:rPr/>
      </w:r>
      <w:bookmarkStart w:id="381" w:name="_MON_1741074184"/>
      <w:bookmarkStart w:id="382" w:name="_MON_1741074184"/>
      <w:bookmarkEnd w:id="382"/>
    </w:p>
    <w:p>
      <w:pPr>
        <w:pStyle w:val="Style17"/>
        <w:spacing w:before="0" w:after="0"/>
        <w:rPr/>
      </w:pPr>
      <w:bookmarkStart w:id="383" w:name="_Toc230928884"/>
      <w:bookmarkStart w:id="384" w:name="_Ref125362865"/>
      <w:bookmarkStart w:id="385" w:name="_Ref125362900"/>
      <w:bookmarkStart w:id="386" w:name="Прил06_СоставЗаявки"/>
      <w:bookmarkEnd w:id="386"/>
      <w:r>
        <w:rPr/>
        <w:t>Приложение № 6 – Состав заявки</w:t>
      </w:r>
      <w:bookmarkEnd w:id="383"/>
      <w:bookmarkEnd w:id="384"/>
      <w:bookmarkEnd w:id="385"/>
    </w:p>
    <w:p>
      <w:pPr>
        <w:pStyle w:val="Style18"/>
        <w:spacing w:before="360" w:after="0"/>
        <w:rPr/>
      </w:pPr>
      <w:bookmarkStart w:id="387" w:name="_Toc230928885"/>
      <w:r>
        <w:rPr/>
        <w:t>Состав заявки</w:t>
      </w:r>
      <w:bookmarkEnd w:id="387"/>
    </w:p>
    <w:p>
      <w:pPr>
        <w:pStyle w:val="Style19"/>
        <w:spacing w:before="120" w:after="120"/>
        <w:rPr/>
      </w:pPr>
      <w:r>
        <w:rPr/>
        <w:t xml:space="preserve">Заявка на участие в закупке должна содержать следующий комплект документов (по установленным формам и в соответствии с инструкциями, приведенными в </w:t>
      </w:r>
      <w:hyperlink w:anchor="Прил04_ФормыЗаявки" w:tgtFrame="#Прил04_ФормыЗаявки">
        <w:r>
          <w:rPr>
            <w:color w:val="000000"/>
            <w:spacing w:val="0"/>
            <w:u w:val="single"/>
            <w:shd w:fill="auto" w:val="clear"/>
            <w:lang w:val="ru-RU"/>
          </w:rPr>
          <w:t>Приложении № 4</w:t>
        </w:r>
      </w:hyperlink>
      <w:r>
        <w:rPr/>
        <w:t>):</w:t>
      </w:r>
    </w:p>
    <w:tbl>
      <w:tblPr>
        <w:tblStyle w:val="1497"/>
        <w:tblW w:w="8783" w:type="dxa"/>
        <w:jc w:val="left"/>
        <w:tblInd w:w="1128" w:type="dxa"/>
        <w:tblLayout w:type="fixed"/>
        <w:tblCellMar>
          <w:top w:w="0" w:type="dxa"/>
          <w:left w:w="57" w:type="dxa"/>
          <w:bottom w:w="0" w:type="dxa"/>
          <w:right w:w="57" w:type="dxa"/>
        </w:tblCellMar>
        <w:tblLook w:val="04a0" w:noHBand="0" w:noVBand="1" w:firstColumn="1" w:lastRow="0" w:lastColumn="0" w:firstRow="1"/>
      </w:tblPr>
      <w:tblGrid>
        <w:gridCol w:w="707"/>
        <w:gridCol w:w="8075"/>
      </w:tblGrid>
      <w:tr>
        <w:trPr/>
        <w:tc>
          <w:tcPr>
            <w:tcW w:w="707" w:type="dxa"/>
            <w:tcBorders/>
          </w:tcPr>
          <w:p>
            <w:pPr>
              <w:pStyle w:val="Style23"/>
              <w:keepNext w:val="true"/>
              <w:keepLines w:val="false"/>
              <w:widowControl/>
              <w:spacing w:lineRule="auto" w:line="240" w:before="60" w:after="60"/>
              <w:jc w:val="center"/>
              <w:rPr>
                <w:rFonts w:ascii="Times New Roman" w:hAnsi="Times New Roman" w:eastAsia="Calibri" w:cs="Arial"/>
                <w:b/>
                <w:sz w:val="26"/>
                <w:szCs w:val="22"/>
                <w:lang w:val="ru-RU" w:eastAsia="en-US" w:bidi="ar-SA"/>
              </w:rPr>
            </w:pPr>
            <w:r>
              <w:rPr>
                <w:rFonts w:eastAsia="Calibri" w:cs="Arial"/>
                <w:b/>
                <w:kern w:val="0"/>
                <w:sz w:val="26"/>
                <w:szCs w:val="22"/>
                <w:lang w:val="ru-RU" w:eastAsia="en-US" w:bidi="ar-SA"/>
              </w:rPr>
              <w:t>№</w:t>
            </w:r>
            <w:r>
              <w:rPr>
                <w:rFonts w:eastAsia="Calibri" w:cs="Arial"/>
                <w:b/>
                <w:kern w:val="0"/>
                <w:sz w:val="26"/>
                <w:szCs w:val="22"/>
                <w:lang w:val="ru-RU" w:eastAsia="en-US" w:bidi="ar-SA"/>
              </w:rPr>
              <w:br/>
              <w:t>п/п</w:t>
            </w:r>
          </w:p>
        </w:tc>
        <w:tc>
          <w:tcPr>
            <w:tcW w:w="8075" w:type="dxa"/>
            <w:tcBorders/>
          </w:tcPr>
          <w:p>
            <w:pPr>
              <w:pStyle w:val="Style23"/>
              <w:keepNext w:val="true"/>
              <w:keepLines w:val="false"/>
              <w:widowControl/>
              <w:spacing w:lineRule="auto" w:line="240" w:before="60" w:after="60"/>
              <w:jc w:val="center"/>
              <w:rPr>
                <w:rFonts w:ascii="Times New Roman" w:hAnsi="Times New Roman" w:eastAsia="Calibri" w:cs="Arial"/>
                <w:b/>
                <w:sz w:val="26"/>
                <w:szCs w:val="22"/>
                <w:lang w:val="ru-RU" w:eastAsia="en-US" w:bidi="ar-SA"/>
              </w:rPr>
            </w:pPr>
            <w:r>
              <w:rPr>
                <w:rFonts w:eastAsia="Calibri" w:cs="Arial"/>
                <w:b/>
                <w:kern w:val="0"/>
                <w:sz w:val="26"/>
                <w:szCs w:val="22"/>
                <w:lang w:val="ru-RU" w:eastAsia="en-US" w:bidi="ar-SA"/>
              </w:rPr>
              <w:t>Наименование документа</w:t>
            </w:r>
          </w:p>
        </w:tc>
      </w:tr>
      <w:tr>
        <w:trPr/>
        <w:tc>
          <w:tcPr>
            <w:tcW w:w="707" w:type="dxa"/>
            <w:tcBorders/>
          </w:tcPr>
          <w:p>
            <w:pPr>
              <w:pStyle w:val="Style23"/>
              <w:widowControl/>
              <w:numPr>
                <w:ilvl w:val="0"/>
                <w:numId w:val="7"/>
              </w:numPr>
              <w:spacing w:lineRule="auto" w:line="240" w:before="60" w:after="60"/>
              <w:ind w:hanging="0" w:left="170"/>
              <w:jc w:val="center"/>
              <w:rPr>
                <w:rFonts w:ascii="Times New Roman" w:hAnsi="Times New Roman" w:eastAsia="Calibri" w:cs="Arial"/>
                <w:sz w:val="26"/>
                <w:szCs w:val="22"/>
                <w:lang w:val="ru-RU" w:eastAsia="en-US" w:bidi="ar-SA"/>
              </w:rPr>
            </w:pPr>
            <w:r>
              <w:rPr>
                <w:rFonts w:eastAsia="Calibri" w:cs="Arial"/>
                <w:sz w:val="26"/>
                <w:szCs w:val="22"/>
                <w:lang w:val="ru-RU" w:eastAsia="en-US" w:bidi="ar-SA"/>
              </w:rPr>
            </w:r>
          </w:p>
        </w:tc>
        <w:tc>
          <w:tcPr>
            <w:tcW w:w="8075" w:type="dxa"/>
            <w:tcBorders/>
          </w:tcPr>
          <w:p>
            <w:pPr>
              <w:pStyle w:val="Style23"/>
              <w:widowControl/>
              <w:spacing w:lineRule="auto" w:line="240" w:before="60" w:after="60"/>
              <w:rPr>
                <w:rFonts w:ascii="Times New Roman" w:hAnsi="Times New Roman" w:eastAsia="Calibri" w:cs="Arial"/>
                <w:sz w:val="26"/>
                <w:szCs w:val="22"/>
                <w:lang w:val="ru-RU" w:eastAsia="en-US" w:bidi="ar-SA"/>
              </w:rPr>
            </w:pPr>
            <w:r>
              <w:rPr>
                <w:rFonts w:eastAsia="Calibri" w:cs="Arial"/>
                <w:kern w:val="0"/>
                <w:sz w:val="26"/>
                <w:szCs w:val="22"/>
                <w:lang w:val="ru-RU" w:eastAsia="en-US" w:bidi="ar-SA"/>
              </w:rPr>
              <w:t>Опись документов (форма 1) – носит рекомендательный характер и не обязательна к предоставлению в составе заявки;</w:t>
            </w:r>
          </w:p>
        </w:tc>
      </w:tr>
      <w:tr>
        <w:trPr/>
        <w:tc>
          <w:tcPr>
            <w:tcW w:w="707" w:type="dxa"/>
            <w:tcBorders/>
          </w:tcPr>
          <w:p>
            <w:pPr>
              <w:pStyle w:val="Style23"/>
              <w:widowControl/>
              <w:numPr>
                <w:ilvl w:val="0"/>
                <w:numId w:val="7"/>
              </w:numPr>
              <w:spacing w:lineRule="auto" w:line="240" w:before="60" w:after="60"/>
              <w:ind w:hanging="0" w:left="170"/>
              <w:jc w:val="center"/>
              <w:rPr>
                <w:rFonts w:ascii="Times New Roman" w:hAnsi="Times New Roman" w:eastAsia="Calibri" w:cs="Arial"/>
                <w:sz w:val="26"/>
                <w:szCs w:val="22"/>
                <w:lang w:val="ru-RU" w:eastAsia="en-US" w:bidi="ar-SA"/>
              </w:rPr>
            </w:pPr>
            <w:r>
              <w:rPr>
                <w:rFonts w:eastAsia="Calibri" w:cs="Arial"/>
                <w:sz w:val="26"/>
                <w:szCs w:val="22"/>
                <w:lang w:val="ru-RU" w:eastAsia="en-US" w:bidi="ar-SA"/>
              </w:rPr>
            </w:r>
          </w:p>
        </w:tc>
        <w:tc>
          <w:tcPr>
            <w:tcW w:w="8075" w:type="dxa"/>
            <w:tcBorders/>
          </w:tcPr>
          <w:p>
            <w:pPr>
              <w:pStyle w:val="Style23"/>
              <w:widowControl/>
              <w:spacing w:lineRule="auto" w:line="240" w:before="60" w:after="60"/>
              <w:rPr>
                <w:rFonts w:ascii="Times New Roman" w:hAnsi="Times New Roman" w:eastAsia="Calibri" w:cs="Arial"/>
                <w:sz w:val="26"/>
                <w:szCs w:val="22"/>
                <w:lang w:val="ru-RU" w:eastAsia="en-US" w:bidi="ar-SA"/>
              </w:rPr>
            </w:pPr>
            <w:r>
              <w:rPr>
                <w:rFonts w:eastAsia="Calibri" w:cs="Arial"/>
                <w:kern w:val="0"/>
                <w:sz w:val="26"/>
                <w:szCs w:val="22"/>
                <w:lang w:val="ru-RU" w:eastAsia="en-US" w:bidi="ar-SA"/>
              </w:rPr>
              <w:t>Письмо о подаче оферты (форма 2);</w:t>
            </w:r>
          </w:p>
        </w:tc>
      </w:tr>
      <w:tr>
        <w:trPr/>
        <w:tc>
          <w:tcPr>
            <w:tcW w:w="707" w:type="dxa"/>
            <w:tcBorders/>
          </w:tcPr>
          <w:p>
            <w:pPr>
              <w:pStyle w:val="Style23"/>
              <w:widowControl/>
              <w:numPr>
                <w:ilvl w:val="0"/>
                <w:numId w:val="7"/>
              </w:numPr>
              <w:spacing w:lineRule="auto" w:line="240" w:before="60" w:after="60"/>
              <w:ind w:hanging="0" w:left="170"/>
              <w:jc w:val="center"/>
              <w:rPr>
                <w:rFonts w:ascii="Times New Roman" w:hAnsi="Times New Roman" w:eastAsia="Calibri" w:cs="Arial"/>
                <w:sz w:val="26"/>
                <w:szCs w:val="22"/>
                <w:lang w:val="ru-RU" w:eastAsia="en-US" w:bidi="ar-SA"/>
              </w:rPr>
            </w:pPr>
            <w:r>
              <w:rPr>
                <w:rFonts w:eastAsia="Calibri" w:cs="Arial"/>
                <w:sz w:val="26"/>
                <w:szCs w:val="22"/>
                <w:lang w:val="ru-RU" w:eastAsia="en-US" w:bidi="ar-SA"/>
              </w:rPr>
            </w:r>
          </w:p>
        </w:tc>
        <w:tc>
          <w:tcPr>
            <w:tcW w:w="8075" w:type="dxa"/>
            <w:tcBorders/>
          </w:tcPr>
          <w:p>
            <w:pPr>
              <w:pStyle w:val="Style23"/>
              <w:widowControl/>
              <w:spacing w:lineRule="auto" w:line="240" w:before="60" w:after="60"/>
              <w:rPr>
                <w:rFonts w:ascii="Times New Roman" w:hAnsi="Times New Roman" w:eastAsia="Calibri" w:cs="Arial"/>
                <w:sz w:val="26"/>
                <w:szCs w:val="22"/>
                <w:lang w:val="ru-RU" w:eastAsia="en-US" w:bidi="ar-SA"/>
              </w:rPr>
            </w:pPr>
            <w:r>
              <w:rPr>
                <w:rFonts w:eastAsia="Calibri" w:cs="Arial"/>
                <w:kern w:val="0"/>
                <w:sz w:val="26"/>
                <w:szCs w:val="22"/>
                <w:lang w:val="ru-RU" w:eastAsia="en-US" w:bidi="ar-SA"/>
              </w:rPr>
              <w:t>Копия банковской гарантии – предоставляется при необходимости и в случае отсутствия внесенных Участником денежных средств на индивидуальный счет, открытый Участнику Оператором ЭП в соответствии с Регламентом ЭП;</w:t>
            </w:r>
          </w:p>
        </w:tc>
      </w:tr>
      <w:tr>
        <w:trPr/>
        <w:tc>
          <w:tcPr>
            <w:tcW w:w="707" w:type="dxa"/>
            <w:tcBorders/>
          </w:tcPr>
          <w:p>
            <w:pPr>
              <w:pStyle w:val="Style23"/>
              <w:widowControl/>
              <w:numPr>
                <w:ilvl w:val="0"/>
                <w:numId w:val="7"/>
              </w:numPr>
              <w:spacing w:lineRule="auto" w:line="240" w:before="60" w:after="60"/>
              <w:ind w:hanging="0" w:left="170"/>
              <w:jc w:val="center"/>
              <w:rPr>
                <w:rFonts w:ascii="Times New Roman" w:hAnsi="Times New Roman" w:eastAsia="Calibri" w:cs="Arial"/>
                <w:sz w:val="26"/>
                <w:szCs w:val="22"/>
                <w:lang w:val="ru-RU" w:eastAsia="en-US" w:bidi="ar-SA"/>
              </w:rPr>
            </w:pPr>
            <w:r>
              <w:rPr>
                <w:rFonts w:eastAsia="Calibri" w:cs="Arial"/>
                <w:sz w:val="26"/>
                <w:szCs w:val="22"/>
                <w:lang w:val="ru-RU" w:eastAsia="en-US" w:bidi="ar-SA"/>
              </w:rPr>
            </w:r>
          </w:p>
        </w:tc>
        <w:tc>
          <w:tcPr>
            <w:tcW w:w="8075" w:type="dxa"/>
            <w:tcBorders/>
          </w:tcPr>
          <w:p>
            <w:pPr>
              <w:pStyle w:val="Style23"/>
              <w:widowControl/>
              <w:spacing w:lineRule="auto" w:line="240" w:before="60" w:after="60"/>
              <w:rPr>
                <w:rFonts w:ascii="Times New Roman" w:hAnsi="Times New Roman" w:eastAsia="Calibri" w:cs="Arial"/>
                <w:sz w:val="26"/>
                <w:szCs w:val="22"/>
                <w:lang w:val="ru-RU" w:eastAsia="en-US" w:bidi="ar-SA"/>
              </w:rPr>
            </w:pPr>
            <w:r>
              <w:rPr>
                <w:rFonts w:eastAsia="Calibri" w:cs="Arial"/>
                <w:kern w:val="0"/>
                <w:sz w:val="26"/>
                <w:szCs w:val="22"/>
                <w:lang w:val="ru-RU" w:eastAsia="en-US" w:bidi="ar-SA"/>
              </w:rPr>
              <w:t xml:space="preserve">Коммерческое предложение (включая Структуру НМЦ) (форма 3); также дополнительно предоставляется подтверждающая документация, составленная в соответствии с </w:t>
            </w:r>
            <w:hyperlink w:anchor="Прил01_ТехТребования" w:tgtFrame="#Прил01_ТехТребования">
              <w:r>
                <w:rPr>
                  <w:rFonts w:eastAsia="Calibri" w:cs="Arial"/>
                  <w:color w:val="000000"/>
                  <w:spacing w:val="0"/>
                  <w:kern w:val="0"/>
                  <w:sz w:val="26"/>
                  <w:szCs w:val="22"/>
                  <w:u w:val="single"/>
                  <w:shd w:fill="auto" w:val="clear"/>
                  <w:lang w:val="ru-RU" w:eastAsia="en-US" w:bidi="ar-SA"/>
                </w:rPr>
                <w:t>Техническими требованиями (Приложение № 1)</w:t>
              </w:r>
            </w:hyperlink>
            <w:r>
              <w:rPr>
                <w:rFonts w:eastAsia="Calibri" w:cs="Arial"/>
                <w:kern w:val="0"/>
                <w:sz w:val="26"/>
                <w:szCs w:val="22"/>
                <w:lang w:val="ru-RU" w:eastAsia="en-US" w:bidi="ar-SA"/>
              </w:rPr>
              <w:t xml:space="preserve"> – только если в Технических требованиях установлены требования к документации по ценообразованию (подраздел «Требования к документации по ценообразованию на этапе закупки») либо аналогичные по смыслу;</w:t>
            </w:r>
          </w:p>
        </w:tc>
      </w:tr>
      <w:tr>
        <w:trPr/>
        <w:tc>
          <w:tcPr>
            <w:tcW w:w="707" w:type="dxa"/>
            <w:tcBorders/>
          </w:tcPr>
          <w:p>
            <w:pPr>
              <w:pStyle w:val="Style23"/>
              <w:widowControl/>
              <w:numPr>
                <w:ilvl w:val="0"/>
                <w:numId w:val="7"/>
              </w:numPr>
              <w:spacing w:lineRule="auto" w:line="240" w:before="60" w:after="60"/>
              <w:ind w:hanging="0" w:left="170"/>
              <w:jc w:val="center"/>
              <w:rPr>
                <w:rFonts w:ascii="Times New Roman" w:hAnsi="Times New Roman" w:eastAsia="Calibri" w:cs="Arial"/>
                <w:sz w:val="26"/>
                <w:szCs w:val="22"/>
                <w:lang w:val="ru-RU" w:eastAsia="en-US" w:bidi="ar-SA"/>
              </w:rPr>
            </w:pPr>
            <w:r>
              <w:rPr>
                <w:rFonts w:eastAsia="Calibri" w:cs="Arial"/>
                <w:sz w:val="26"/>
                <w:szCs w:val="22"/>
                <w:lang w:val="ru-RU" w:eastAsia="en-US" w:bidi="ar-SA"/>
              </w:rPr>
            </w:r>
          </w:p>
        </w:tc>
        <w:tc>
          <w:tcPr>
            <w:tcW w:w="8075" w:type="dxa"/>
            <w:tcBorders/>
          </w:tcPr>
          <w:p>
            <w:pPr>
              <w:pStyle w:val="Style23"/>
              <w:widowControl/>
              <w:spacing w:lineRule="auto" w:line="240" w:before="60" w:after="60"/>
              <w:rPr>
                <w:rFonts w:ascii="Times New Roman" w:hAnsi="Times New Roman" w:eastAsia="Calibri" w:cs="Arial"/>
                <w:sz w:val="26"/>
                <w:szCs w:val="22"/>
                <w:lang w:val="ru-RU" w:eastAsia="en-US" w:bidi="ar-SA"/>
              </w:rPr>
            </w:pPr>
            <w:r>
              <w:rPr>
                <w:rFonts w:eastAsia="Calibri" w:cs="Arial"/>
                <w:kern w:val="0"/>
                <w:sz w:val="26"/>
                <w:szCs w:val="22"/>
                <w:lang w:val="ru-RU" w:eastAsia="en-US" w:bidi="ar-SA"/>
              </w:rPr>
              <w:t>Техническое предложение (форма 4);</w:t>
            </w:r>
          </w:p>
        </w:tc>
      </w:tr>
      <w:tr>
        <w:trPr/>
        <w:tc>
          <w:tcPr>
            <w:tcW w:w="707" w:type="dxa"/>
            <w:tcBorders/>
          </w:tcPr>
          <w:p>
            <w:pPr>
              <w:pStyle w:val="Style23"/>
              <w:widowControl/>
              <w:numPr>
                <w:ilvl w:val="0"/>
                <w:numId w:val="7"/>
              </w:numPr>
              <w:spacing w:lineRule="auto" w:line="240" w:before="60" w:after="60"/>
              <w:ind w:hanging="0" w:left="170"/>
              <w:jc w:val="center"/>
              <w:rPr>
                <w:rFonts w:ascii="Times New Roman" w:hAnsi="Times New Roman" w:eastAsia="Calibri" w:cs="Arial"/>
                <w:sz w:val="26"/>
                <w:szCs w:val="22"/>
                <w:lang w:val="ru-RU" w:eastAsia="en-US" w:bidi="ar-SA"/>
              </w:rPr>
            </w:pPr>
            <w:r>
              <w:rPr>
                <w:rFonts w:eastAsia="Calibri" w:cs="Arial"/>
                <w:sz w:val="26"/>
                <w:szCs w:val="22"/>
                <w:lang w:val="ru-RU" w:eastAsia="en-US" w:bidi="ar-SA"/>
              </w:rPr>
            </w:r>
          </w:p>
        </w:tc>
        <w:tc>
          <w:tcPr>
            <w:tcW w:w="8075" w:type="dxa"/>
            <w:tcBorders/>
          </w:tcPr>
          <w:p>
            <w:pPr>
              <w:pStyle w:val="Style23"/>
              <w:widowControl/>
              <w:spacing w:lineRule="auto" w:line="240" w:before="60" w:after="60"/>
              <w:rPr>
                <w:rFonts w:ascii="Times New Roman" w:hAnsi="Times New Roman" w:eastAsia="Calibri" w:cs="Arial"/>
                <w:sz w:val="26"/>
                <w:szCs w:val="22"/>
                <w:lang w:val="ru-RU" w:eastAsia="en-US" w:bidi="ar-SA"/>
              </w:rPr>
            </w:pPr>
            <w:r>
              <w:rPr>
                <w:rFonts w:eastAsia="Calibri" w:cs="Arial"/>
                <w:kern w:val="0"/>
                <w:sz w:val="26"/>
                <w:szCs w:val="22"/>
                <w:lang w:val="ru-RU" w:eastAsia="en-US" w:bidi="ar-SA"/>
              </w:rPr>
              <w:t>Анкета Участника (форма 5);</w:t>
            </w:r>
          </w:p>
        </w:tc>
      </w:tr>
      <w:tr>
        <w:trPr/>
        <w:tc>
          <w:tcPr>
            <w:tcW w:w="707" w:type="dxa"/>
            <w:tcBorders/>
          </w:tcPr>
          <w:p>
            <w:pPr>
              <w:pStyle w:val="Style23"/>
              <w:widowControl/>
              <w:numPr>
                <w:ilvl w:val="0"/>
                <w:numId w:val="7"/>
              </w:numPr>
              <w:spacing w:lineRule="auto" w:line="240" w:before="60" w:after="60"/>
              <w:ind w:hanging="0" w:left="170"/>
              <w:jc w:val="center"/>
              <w:rPr>
                <w:rFonts w:ascii="Times New Roman" w:hAnsi="Times New Roman" w:eastAsia="Calibri" w:cs="Arial"/>
                <w:sz w:val="26"/>
                <w:szCs w:val="22"/>
                <w:lang w:val="ru-RU" w:eastAsia="en-US" w:bidi="ar-SA"/>
              </w:rPr>
            </w:pPr>
            <w:r>
              <w:rPr>
                <w:rFonts w:eastAsia="Calibri" w:cs="Arial"/>
                <w:sz w:val="26"/>
                <w:szCs w:val="22"/>
                <w:lang w:val="ru-RU" w:eastAsia="en-US" w:bidi="ar-SA"/>
              </w:rPr>
            </w:r>
            <w:bookmarkStart w:id="388" w:name="_Ref130389408"/>
            <w:bookmarkStart w:id="389" w:name="_Ref130389408"/>
            <w:bookmarkEnd w:id="389"/>
          </w:p>
        </w:tc>
        <w:tc>
          <w:tcPr>
            <w:tcW w:w="8075" w:type="dxa"/>
            <w:tcBorders/>
          </w:tcPr>
          <w:p>
            <w:pPr>
              <w:pStyle w:val="Style23"/>
              <w:widowControl/>
              <w:spacing w:lineRule="auto" w:line="240" w:before="60" w:after="60"/>
              <w:rPr>
                <w:rFonts w:ascii="Times New Roman" w:hAnsi="Times New Roman" w:eastAsia="Calibri" w:cs="Arial"/>
                <w:sz w:val="26"/>
                <w:szCs w:val="22"/>
                <w:lang w:val="ru-RU" w:eastAsia="en-US" w:bidi="ar-SA"/>
              </w:rPr>
            </w:pPr>
            <w:r>
              <w:rPr>
                <w:rFonts w:eastAsia="Calibri" w:cs="Arial"/>
                <w:kern w:val="0"/>
                <w:sz w:val="26"/>
                <w:szCs w:val="22"/>
                <w:lang w:val="ru-RU" w:eastAsia="en-US" w:bidi="ar-SA"/>
              </w:rPr>
              <w:t>Справка об опыте Участника (форма 6), с необходимыми приложениями к ней, – предоставляется, если установлено соответствующее квалификационное требование к опыту (подраздел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_Ref125709154 \r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8.4</w:t>
            </w:r>
            <w:r>
              <w:rPr>
                <w:sz w:val="26"/>
                <w:kern w:val="0"/>
                <w:szCs w:val="22"/>
                <w:rFonts w:eastAsia="Calibri" w:cs="Arial"/>
                <w:lang w:val="ru-RU" w:eastAsia="en-US" w:bidi="ar-SA"/>
              </w:rPr>
              <w:fldChar w:fldCharType="end"/>
            </w:r>
            <w:r>
              <w:rPr>
                <w:rFonts w:eastAsia="Calibri" w:cs="Arial"/>
                <w:kern w:val="0"/>
                <w:sz w:val="26"/>
                <w:szCs w:val="22"/>
                <w:lang w:val="ru-RU" w:eastAsia="en-US" w:bidi="ar-SA"/>
              </w:rPr>
              <w:t xml:space="preserve"> </w:t>
            </w:r>
            <w:hyperlink w:anchor="Прил03_ТребованияУчастникам" w:tgtFrame="#Прил03_ТребованияУчастникам">
              <w:r>
                <w:rPr>
                  <w:rFonts w:eastAsia="Calibri" w:cs="Arial"/>
                  <w:color w:val="000000"/>
                  <w:spacing w:val="0"/>
                  <w:kern w:val="0"/>
                  <w:sz w:val="26"/>
                  <w:szCs w:val="22"/>
                  <w:u w:val="single"/>
                  <w:shd w:fill="auto" w:val="clear"/>
                  <w:lang w:val="ru-RU" w:eastAsia="en-US" w:bidi="ar-SA"/>
                </w:rPr>
                <w:t>Приложения № 3</w:t>
              </w:r>
            </w:hyperlink>
            <w:r>
              <w:rPr>
                <w:rFonts w:eastAsia="Calibri" w:cs="Arial"/>
                <w:kern w:val="0"/>
                <w:sz w:val="26"/>
                <w:szCs w:val="22"/>
                <w:lang w:val="ru-RU" w:eastAsia="en-US" w:bidi="ar-SA"/>
              </w:rPr>
              <w:t xml:space="preserve">) и (или) если в </w:t>
            </w:r>
            <w:hyperlink w:anchor="Прил08_ПорядокОценки" w:tgtFrame="#Прил08_ПорядокОценки">
              <w:r>
                <w:rPr>
                  <w:rFonts w:eastAsia="Calibri" w:cs="Arial"/>
                  <w:color w:val="000000"/>
                  <w:spacing w:val="0"/>
                  <w:kern w:val="0"/>
                  <w:sz w:val="26"/>
                  <w:szCs w:val="22"/>
                  <w:u w:val="single"/>
                  <w:shd w:fill="auto" w:val="clear"/>
                  <w:lang w:val="ru-RU" w:eastAsia="en-US" w:bidi="ar-SA"/>
                </w:rPr>
                <w:t>Порядке и критериях оценки и сопоставления заявок (Приложение № 8)</w:t>
              </w:r>
            </w:hyperlink>
            <w:r>
              <w:rPr>
                <w:rFonts w:eastAsia="Calibri" w:cs="Arial"/>
                <w:kern w:val="0"/>
                <w:sz w:val="26"/>
                <w:szCs w:val="22"/>
                <w:lang w:val="ru-RU" w:eastAsia="en-US" w:bidi="ar-SA"/>
              </w:rPr>
              <w:t xml:space="preserve"> установлен соответствующий критерий оценки в части опыта;</w:t>
            </w:r>
          </w:p>
        </w:tc>
      </w:tr>
      <w:tr>
        <w:trPr/>
        <w:tc>
          <w:tcPr>
            <w:tcW w:w="707" w:type="dxa"/>
            <w:tcBorders/>
          </w:tcPr>
          <w:p>
            <w:pPr>
              <w:pStyle w:val="Style23"/>
              <w:widowControl/>
              <w:numPr>
                <w:ilvl w:val="0"/>
                <w:numId w:val="7"/>
              </w:numPr>
              <w:spacing w:lineRule="auto" w:line="240" w:before="60" w:after="60"/>
              <w:ind w:hanging="0" w:left="170"/>
              <w:jc w:val="center"/>
              <w:rPr>
                <w:rFonts w:ascii="Times New Roman" w:hAnsi="Times New Roman" w:eastAsia="Calibri" w:cs="Arial"/>
                <w:sz w:val="26"/>
                <w:szCs w:val="22"/>
                <w:lang w:val="ru-RU" w:eastAsia="en-US" w:bidi="ar-SA"/>
              </w:rPr>
            </w:pPr>
            <w:r>
              <w:rPr>
                <w:rFonts w:eastAsia="Calibri" w:cs="Arial"/>
                <w:sz w:val="26"/>
                <w:szCs w:val="22"/>
                <w:lang w:val="ru-RU" w:eastAsia="en-US" w:bidi="ar-SA"/>
              </w:rPr>
            </w:r>
            <w:bookmarkStart w:id="390" w:name="_Ref130389413"/>
            <w:bookmarkStart w:id="391" w:name="_Ref130389413"/>
            <w:bookmarkEnd w:id="391"/>
          </w:p>
        </w:tc>
        <w:tc>
          <w:tcPr>
            <w:tcW w:w="8075" w:type="dxa"/>
            <w:tcBorders/>
          </w:tcPr>
          <w:p>
            <w:pPr>
              <w:pStyle w:val="Style23"/>
              <w:widowControl/>
              <w:spacing w:lineRule="auto" w:line="240" w:before="60" w:after="60"/>
              <w:rPr>
                <w:rFonts w:ascii="Times New Roman" w:hAnsi="Times New Roman" w:eastAsia="Calibri" w:cs="Arial"/>
                <w:sz w:val="26"/>
                <w:szCs w:val="22"/>
                <w:lang w:val="ru-RU" w:eastAsia="en-US" w:bidi="ar-SA"/>
              </w:rPr>
            </w:pPr>
            <w:r>
              <w:rPr>
                <w:rFonts w:eastAsia="Calibri" w:cs="Arial"/>
                <w:kern w:val="0"/>
                <w:sz w:val="26"/>
                <w:szCs w:val="22"/>
                <w:lang w:val="ru-RU" w:eastAsia="en-US" w:bidi="ar-SA"/>
              </w:rPr>
              <w:t>Справка о материально-технических ресурсах (форма 7), с необходимыми приложениями к ней – предоставляется, если установлено соответствующее квалификационное требование к наличию (привлечению) материально-технических ресурсов (подраздел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_Ref125709154 \r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8.4</w:t>
            </w:r>
            <w:r>
              <w:rPr>
                <w:sz w:val="26"/>
                <w:kern w:val="0"/>
                <w:szCs w:val="22"/>
                <w:rFonts w:eastAsia="Calibri" w:cs="Arial"/>
                <w:lang w:val="ru-RU" w:eastAsia="en-US" w:bidi="ar-SA"/>
              </w:rPr>
              <w:fldChar w:fldCharType="end"/>
            </w:r>
            <w:r>
              <w:rPr>
                <w:rFonts w:eastAsia="Calibri" w:cs="Arial"/>
                <w:kern w:val="0"/>
                <w:sz w:val="26"/>
                <w:szCs w:val="22"/>
                <w:lang w:val="ru-RU" w:eastAsia="en-US" w:bidi="ar-SA"/>
              </w:rPr>
              <w:t xml:space="preserve"> </w:t>
            </w:r>
            <w:hyperlink w:anchor="Прил03_ТребованияУчастникам" w:tgtFrame="#Прил03_ТребованияУчастникам">
              <w:r>
                <w:rPr>
                  <w:rFonts w:eastAsia="Calibri" w:cs="Arial"/>
                  <w:color w:val="000000"/>
                  <w:spacing w:val="0"/>
                  <w:kern w:val="0"/>
                  <w:sz w:val="26"/>
                  <w:szCs w:val="22"/>
                  <w:u w:val="single"/>
                  <w:shd w:fill="auto" w:val="clear"/>
                  <w:lang w:val="ru-RU" w:eastAsia="en-US" w:bidi="ar-SA"/>
                </w:rPr>
                <w:t>Приложения № 3</w:t>
              </w:r>
            </w:hyperlink>
            <w:r>
              <w:rPr>
                <w:rFonts w:eastAsia="Calibri" w:cs="Arial"/>
                <w:kern w:val="0"/>
                <w:sz w:val="26"/>
                <w:szCs w:val="22"/>
                <w:lang w:val="ru-RU" w:eastAsia="en-US" w:bidi="ar-SA"/>
              </w:rPr>
              <w:t xml:space="preserve">) и (или) если в </w:t>
            </w:r>
            <w:hyperlink w:anchor="Прил08_ПорядокОценки" w:tgtFrame="#Прил08_ПорядокОценки">
              <w:r>
                <w:rPr>
                  <w:rFonts w:eastAsia="Calibri" w:cs="Arial"/>
                  <w:color w:val="000000"/>
                  <w:spacing w:val="0"/>
                  <w:kern w:val="0"/>
                  <w:sz w:val="26"/>
                  <w:szCs w:val="22"/>
                  <w:u w:val="single"/>
                  <w:shd w:fill="auto" w:val="clear"/>
                  <w:lang w:val="ru-RU" w:eastAsia="en-US" w:bidi="ar-SA"/>
                </w:rPr>
                <w:t>Порядке и критериях оценки и сопоставления заявок (Приложение № 8)</w:t>
              </w:r>
            </w:hyperlink>
            <w:r>
              <w:rPr>
                <w:rFonts w:eastAsia="Calibri" w:cs="Arial"/>
                <w:kern w:val="0"/>
                <w:sz w:val="26"/>
                <w:szCs w:val="22"/>
                <w:lang w:val="ru-RU" w:eastAsia="en-US" w:bidi="ar-SA"/>
              </w:rPr>
              <w:t xml:space="preserve"> установлен соответствующий критерий оценки в части наличия (привлечения) материально-технических ресурсов;</w:t>
            </w:r>
          </w:p>
        </w:tc>
      </w:tr>
      <w:tr>
        <w:trPr/>
        <w:tc>
          <w:tcPr>
            <w:tcW w:w="707" w:type="dxa"/>
            <w:tcBorders/>
          </w:tcPr>
          <w:p>
            <w:pPr>
              <w:pStyle w:val="Style23"/>
              <w:widowControl/>
              <w:numPr>
                <w:ilvl w:val="0"/>
                <w:numId w:val="7"/>
              </w:numPr>
              <w:spacing w:lineRule="auto" w:line="240" w:before="60" w:after="60"/>
              <w:ind w:hanging="0" w:left="170"/>
              <w:jc w:val="center"/>
              <w:rPr>
                <w:rFonts w:ascii="Times New Roman" w:hAnsi="Times New Roman" w:eastAsia="Calibri" w:cs="Arial"/>
                <w:sz w:val="26"/>
                <w:szCs w:val="22"/>
                <w:lang w:val="ru-RU" w:eastAsia="en-US" w:bidi="ar-SA"/>
              </w:rPr>
            </w:pPr>
            <w:r>
              <w:rPr>
                <w:rFonts w:eastAsia="Calibri" w:cs="Arial"/>
                <w:sz w:val="26"/>
                <w:szCs w:val="22"/>
                <w:lang w:val="ru-RU" w:eastAsia="en-US" w:bidi="ar-SA"/>
              </w:rPr>
            </w:r>
            <w:bookmarkStart w:id="392" w:name="_Ref130389419"/>
            <w:bookmarkStart w:id="393" w:name="_Ref130389419"/>
            <w:bookmarkEnd w:id="393"/>
          </w:p>
        </w:tc>
        <w:tc>
          <w:tcPr>
            <w:tcW w:w="8075" w:type="dxa"/>
            <w:tcBorders/>
          </w:tcPr>
          <w:p>
            <w:pPr>
              <w:pStyle w:val="Style23"/>
              <w:widowControl/>
              <w:spacing w:lineRule="auto" w:line="240" w:before="60" w:after="60"/>
              <w:rPr>
                <w:rFonts w:ascii="Times New Roman" w:hAnsi="Times New Roman" w:eastAsia="Calibri" w:cs="Arial"/>
                <w:sz w:val="26"/>
                <w:szCs w:val="22"/>
                <w:lang w:val="ru-RU" w:eastAsia="en-US" w:bidi="ar-SA"/>
              </w:rPr>
            </w:pPr>
            <w:r>
              <w:rPr>
                <w:rFonts w:eastAsia="Calibri" w:cs="Arial"/>
                <w:kern w:val="0"/>
                <w:sz w:val="26"/>
                <w:szCs w:val="22"/>
                <w:lang w:val="ru-RU" w:eastAsia="en-US" w:bidi="ar-SA"/>
              </w:rPr>
              <w:t>Справка о кадровых ресурсах (форма 8), с необходимыми приложениями к ней – предоставляется, если установлено соответствующее квалификационное требование к наличию (привлечения) кадровых ресурсов (подраздел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_Ref125709154 \r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8.4</w:t>
            </w:r>
            <w:r>
              <w:rPr>
                <w:sz w:val="26"/>
                <w:kern w:val="0"/>
                <w:szCs w:val="22"/>
                <w:rFonts w:eastAsia="Calibri" w:cs="Arial"/>
                <w:lang w:val="ru-RU" w:eastAsia="en-US" w:bidi="ar-SA"/>
              </w:rPr>
              <w:fldChar w:fldCharType="end"/>
            </w:r>
            <w:r>
              <w:rPr>
                <w:rFonts w:eastAsia="Calibri" w:cs="Arial"/>
                <w:kern w:val="0"/>
                <w:sz w:val="26"/>
                <w:szCs w:val="22"/>
                <w:lang w:val="ru-RU" w:eastAsia="en-US" w:bidi="ar-SA"/>
              </w:rPr>
              <w:t xml:space="preserve"> </w:t>
            </w:r>
            <w:hyperlink w:anchor="Прил03_ТребованияУчастникам" w:tgtFrame="#Прил03_ТребованияУчастникам">
              <w:r>
                <w:rPr>
                  <w:rFonts w:eastAsia="Calibri" w:cs="Arial"/>
                  <w:color w:val="000000"/>
                  <w:spacing w:val="0"/>
                  <w:kern w:val="0"/>
                  <w:sz w:val="26"/>
                  <w:szCs w:val="22"/>
                  <w:u w:val="single"/>
                  <w:shd w:fill="auto" w:val="clear"/>
                  <w:lang w:val="ru-RU" w:eastAsia="en-US" w:bidi="ar-SA"/>
                </w:rPr>
                <w:t>Приложения № 3</w:t>
              </w:r>
            </w:hyperlink>
            <w:r>
              <w:rPr>
                <w:rFonts w:eastAsia="Calibri" w:cs="Arial"/>
                <w:kern w:val="0"/>
                <w:sz w:val="26"/>
                <w:szCs w:val="22"/>
                <w:lang w:val="ru-RU" w:eastAsia="en-US" w:bidi="ar-SA"/>
              </w:rPr>
              <w:t xml:space="preserve">) и (или) если в </w:t>
            </w:r>
            <w:hyperlink w:anchor="Прил08_ПорядокОценки" w:tgtFrame="#Прил08_ПорядокОценки">
              <w:r>
                <w:rPr>
                  <w:rFonts w:eastAsia="Calibri" w:cs="Arial"/>
                  <w:color w:val="000000"/>
                  <w:spacing w:val="0"/>
                  <w:kern w:val="0"/>
                  <w:sz w:val="26"/>
                  <w:szCs w:val="22"/>
                  <w:u w:val="single"/>
                  <w:shd w:fill="auto" w:val="clear"/>
                  <w:lang w:val="ru-RU" w:eastAsia="en-US" w:bidi="ar-SA"/>
                </w:rPr>
                <w:t>Порядке и критериях оценки и сопоставления заявок (Приложение № 8)</w:t>
              </w:r>
            </w:hyperlink>
            <w:r>
              <w:rPr>
                <w:rFonts w:eastAsia="Calibri" w:cs="Arial"/>
                <w:kern w:val="0"/>
                <w:sz w:val="26"/>
                <w:szCs w:val="22"/>
                <w:lang w:val="ru-RU" w:eastAsia="en-US" w:bidi="ar-SA"/>
              </w:rPr>
              <w:t xml:space="preserve"> установлен соответствующий критерий оценки в части наличия (привлечения) кадровых ресурсов;</w:t>
            </w:r>
          </w:p>
        </w:tc>
      </w:tr>
      <w:tr>
        <w:trPr/>
        <w:tc>
          <w:tcPr>
            <w:tcW w:w="707" w:type="dxa"/>
            <w:tcBorders/>
          </w:tcPr>
          <w:p>
            <w:pPr>
              <w:pStyle w:val="Style23"/>
              <w:widowControl/>
              <w:numPr>
                <w:ilvl w:val="0"/>
                <w:numId w:val="7"/>
              </w:numPr>
              <w:spacing w:lineRule="auto" w:line="240" w:before="60" w:after="60"/>
              <w:ind w:hanging="0" w:left="170"/>
              <w:jc w:val="center"/>
              <w:rPr>
                <w:rFonts w:ascii="Times New Roman" w:hAnsi="Times New Roman" w:eastAsia="Calibri" w:cs="Arial"/>
                <w:sz w:val="26"/>
                <w:szCs w:val="22"/>
                <w:lang w:val="ru-RU" w:eastAsia="en-US" w:bidi="ar-SA"/>
              </w:rPr>
            </w:pPr>
            <w:r>
              <w:rPr>
                <w:rFonts w:eastAsia="Calibri" w:cs="Arial"/>
                <w:sz w:val="26"/>
                <w:szCs w:val="22"/>
                <w:lang w:val="ru-RU" w:eastAsia="en-US" w:bidi="ar-SA"/>
              </w:rPr>
            </w:r>
          </w:p>
        </w:tc>
        <w:tc>
          <w:tcPr>
            <w:tcW w:w="8075" w:type="dxa"/>
            <w:tcBorders/>
          </w:tcPr>
          <w:p>
            <w:pPr>
              <w:pStyle w:val="Style23"/>
              <w:widowControl/>
              <w:spacing w:lineRule="auto" w:line="240" w:before="60" w:after="60"/>
              <w:rPr>
                <w:rFonts w:ascii="Times New Roman" w:hAnsi="Times New Roman" w:eastAsia="Calibri" w:cs="Arial"/>
                <w:sz w:val="26"/>
                <w:szCs w:val="22"/>
                <w:lang w:val="ru-RU" w:eastAsia="en-US" w:bidi="ar-SA"/>
              </w:rPr>
            </w:pPr>
            <w:r>
              <w:rPr>
                <w:rFonts w:eastAsia="Calibri" w:cs="Arial"/>
                <w:kern w:val="0"/>
                <w:sz w:val="26"/>
                <w:szCs w:val="22"/>
                <w:lang w:val="ru-RU" w:eastAsia="en-US" w:bidi="ar-SA"/>
              </w:rPr>
              <w:t xml:space="preserve">Справка об аффилированности Участника с изготовителем (производителем) предлагаемого товара (форма 9) – предоставляется, если Участник имеет признаки аффилированности согласно критериям, установленным в инструкции к указанной справке (дополнительно предоставляются документы, подтверждающие аффилированность по тому или иному критерию) и если в </w:t>
            </w:r>
            <w:hyperlink w:anchor="Прил08_ПорядокОценки" w:tgtFrame="#Прил08_ПорядокОценки">
              <w:r>
                <w:rPr>
                  <w:rFonts w:eastAsia="Calibri" w:cs="Arial"/>
                  <w:color w:val="000000"/>
                  <w:spacing w:val="0"/>
                  <w:kern w:val="0"/>
                  <w:sz w:val="26"/>
                  <w:szCs w:val="22"/>
                  <w:u w:val="single"/>
                  <w:shd w:fill="auto" w:val="clear"/>
                  <w:lang w:val="ru-RU" w:eastAsia="en-US" w:bidi="ar-SA"/>
                </w:rPr>
                <w:t>Порядке и критериях оценки и сопоставления заявок (Приложение № 8)</w:t>
              </w:r>
            </w:hyperlink>
            <w:r>
              <w:rPr>
                <w:rFonts w:eastAsia="Calibri" w:cs="Arial"/>
                <w:kern w:val="0"/>
                <w:sz w:val="26"/>
                <w:szCs w:val="22"/>
                <w:lang w:val="ru-RU" w:eastAsia="en-US" w:bidi="ar-SA"/>
              </w:rPr>
              <w:t xml:space="preserve"> установлен соответствующий критерий оценки в части наличия аффилированности;</w:t>
            </w:r>
          </w:p>
        </w:tc>
      </w:tr>
      <w:tr>
        <w:trPr/>
        <w:tc>
          <w:tcPr>
            <w:tcW w:w="707" w:type="dxa"/>
            <w:tcBorders/>
          </w:tcPr>
          <w:p>
            <w:pPr>
              <w:pStyle w:val="Style23"/>
              <w:widowControl/>
              <w:numPr>
                <w:ilvl w:val="0"/>
                <w:numId w:val="7"/>
              </w:numPr>
              <w:spacing w:lineRule="auto" w:line="240" w:before="60" w:after="60"/>
              <w:ind w:hanging="0" w:left="170"/>
              <w:jc w:val="center"/>
              <w:rPr>
                <w:rFonts w:ascii="Times New Roman" w:hAnsi="Times New Roman" w:eastAsia="Calibri" w:cs="Arial"/>
                <w:sz w:val="26"/>
                <w:szCs w:val="22"/>
                <w:lang w:val="ru-RU" w:eastAsia="en-US" w:bidi="ar-SA"/>
              </w:rPr>
            </w:pPr>
            <w:r>
              <w:rPr>
                <w:rFonts w:eastAsia="Calibri" w:cs="Arial"/>
                <w:sz w:val="26"/>
                <w:szCs w:val="22"/>
                <w:lang w:val="ru-RU" w:eastAsia="en-US" w:bidi="ar-SA"/>
              </w:rPr>
            </w:r>
          </w:p>
        </w:tc>
        <w:tc>
          <w:tcPr>
            <w:tcW w:w="8075" w:type="dxa"/>
            <w:tcBorders/>
          </w:tcPr>
          <w:p>
            <w:pPr>
              <w:pStyle w:val="Normal"/>
              <w:widowControl/>
              <w:spacing w:lineRule="auto" w:line="240" w:before="120" w:after="0"/>
              <w:jc w:val="both"/>
              <w:rPr>
                <w:rFonts w:ascii="Times New Roman" w:hAnsi="Times New Roman" w:eastAsia="Calibri" w:cs="Arial"/>
                <w:sz w:val="26"/>
                <w:szCs w:val="22"/>
                <w:lang w:val="ru-RU" w:eastAsia="en-US" w:bidi="ar-SA"/>
              </w:rPr>
            </w:pPr>
            <w:r>
              <w:rPr>
                <w:rFonts w:eastAsia="Calibri" w:cs="Arial"/>
                <w:kern w:val="0"/>
                <w:sz w:val="26"/>
                <w:szCs w:val="22"/>
                <w:lang w:val="ru-RU" w:eastAsia="en-US" w:bidi="ar-SA"/>
              </w:rPr>
              <w:t>Документы, подтверждающие соответствие Участника обязательным требованиям Документации о закупке (подраздел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_Ref125361435 \w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8.2</w:t>
            </w:r>
            <w:r>
              <w:rPr>
                <w:sz w:val="26"/>
                <w:kern w:val="0"/>
                <w:szCs w:val="22"/>
                <w:rFonts w:eastAsia="Calibri" w:cs="Arial"/>
                <w:lang w:val="ru-RU" w:eastAsia="en-US" w:bidi="ar-SA"/>
              </w:rPr>
              <w:fldChar w:fldCharType="end"/>
            </w:r>
            <w:r>
              <w:rPr>
                <w:rFonts w:eastAsia="Calibri" w:cs="Arial"/>
                <w:kern w:val="0"/>
                <w:sz w:val="26"/>
                <w:szCs w:val="22"/>
                <w:lang w:val="ru-RU" w:eastAsia="en-US" w:bidi="ar-SA"/>
              </w:rPr>
              <w:t xml:space="preserve"> </w:t>
            </w:r>
            <w:hyperlink w:anchor="Прил03_ТребованияУчастникам" w:tgtFrame="#Прил03_ТребованияУчастникам">
              <w:r>
                <w:rPr>
                  <w:rFonts w:eastAsia="Calibri" w:cs="Arial"/>
                  <w:color w:val="000000"/>
                  <w:spacing w:val="0"/>
                  <w:kern w:val="0"/>
                  <w:sz w:val="26"/>
                  <w:szCs w:val="22"/>
                  <w:u w:val="single"/>
                  <w:shd w:fill="auto" w:val="clear"/>
                  <w:lang w:val="ru-RU" w:eastAsia="en-US" w:bidi="ar-SA"/>
                </w:rPr>
                <w:t>Приложения № 3</w:t>
              </w:r>
            </w:hyperlink>
            <w:r>
              <w:rPr>
                <w:rFonts w:eastAsia="Calibri" w:cs="Arial"/>
                <w:kern w:val="0"/>
                <w:sz w:val="26"/>
                <w:szCs w:val="22"/>
                <w:lang w:val="ru-RU" w:eastAsia="en-US" w:bidi="ar-SA"/>
              </w:rPr>
              <w:t>), а также необходимые документы для прохождения (при необходимости) процедуры аккредитации – требования к подтверждающим документам приведены в указанном подразделе;</w:t>
            </w:r>
          </w:p>
        </w:tc>
      </w:tr>
      <w:tr>
        <w:trPr/>
        <w:tc>
          <w:tcPr>
            <w:tcW w:w="707" w:type="dxa"/>
            <w:tcBorders/>
          </w:tcPr>
          <w:p>
            <w:pPr>
              <w:pStyle w:val="Style23"/>
              <w:widowControl/>
              <w:numPr>
                <w:ilvl w:val="0"/>
                <w:numId w:val="7"/>
              </w:numPr>
              <w:spacing w:lineRule="auto" w:line="240" w:before="60" w:after="60"/>
              <w:ind w:hanging="0" w:left="170"/>
              <w:jc w:val="center"/>
              <w:rPr>
                <w:rFonts w:ascii="Times New Roman" w:hAnsi="Times New Roman" w:eastAsia="Calibri" w:cs="Arial"/>
                <w:sz w:val="26"/>
                <w:szCs w:val="22"/>
                <w:lang w:val="ru-RU" w:eastAsia="en-US" w:bidi="ar-SA"/>
              </w:rPr>
            </w:pPr>
            <w:r>
              <w:rPr>
                <w:rFonts w:eastAsia="Calibri" w:cs="Arial"/>
                <w:sz w:val="26"/>
                <w:szCs w:val="22"/>
                <w:lang w:val="ru-RU" w:eastAsia="en-US" w:bidi="ar-SA"/>
              </w:rPr>
            </w:r>
          </w:p>
        </w:tc>
        <w:tc>
          <w:tcPr>
            <w:tcW w:w="8075" w:type="dxa"/>
            <w:tcBorders/>
          </w:tcPr>
          <w:p>
            <w:pPr>
              <w:pStyle w:val="Style23"/>
              <w:widowControl/>
              <w:spacing w:lineRule="auto" w:line="240" w:before="60" w:after="60"/>
              <w:rPr>
                <w:rFonts w:ascii="Times New Roman" w:hAnsi="Times New Roman" w:eastAsia="Calibri" w:cs="Arial"/>
                <w:sz w:val="26"/>
                <w:szCs w:val="22"/>
                <w:lang w:val="ru-RU" w:eastAsia="en-US" w:bidi="ar-SA"/>
              </w:rPr>
            </w:pPr>
            <w:r>
              <w:rPr>
                <w:rFonts w:eastAsia="Calibri" w:cs="Arial"/>
                <w:kern w:val="0"/>
                <w:sz w:val="26"/>
                <w:szCs w:val="22"/>
                <w:lang w:val="ru-RU" w:eastAsia="en-US" w:bidi="ar-SA"/>
              </w:rPr>
              <w:t>Документы, подтверждающие соответствие Участника специальным требованиям – предоставляются, если соответствующие требования установлены в Документации о закупке (подраздел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_Ref125709153 \r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8.3</w:t>
            </w:r>
            <w:r>
              <w:rPr>
                <w:sz w:val="26"/>
                <w:kern w:val="0"/>
                <w:szCs w:val="22"/>
                <w:rFonts w:eastAsia="Calibri" w:cs="Arial"/>
                <w:lang w:val="ru-RU" w:eastAsia="en-US" w:bidi="ar-SA"/>
              </w:rPr>
              <w:fldChar w:fldCharType="end"/>
            </w:r>
            <w:r>
              <w:rPr>
                <w:rFonts w:eastAsia="Calibri" w:cs="Arial"/>
                <w:kern w:val="0"/>
                <w:sz w:val="26"/>
                <w:szCs w:val="22"/>
                <w:lang w:val="ru-RU" w:eastAsia="en-US" w:bidi="ar-SA"/>
              </w:rPr>
              <w:t xml:space="preserve"> </w:t>
            </w:r>
            <w:hyperlink w:anchor="Прил03_ТребованияУчастникам" w:tgtFrame="#Прил03_ТребованияУчастникам">
              <w:r>
                <w:rPr>
                  <w:rFonts w:eastAsia="Calibri" w:cs="Arial"/>
                  <w:color w:val="000000"/>
                  <w:spacing w:val="0"/>
                  <w:kern w:val="0"/>
                  <w:sz w:val="26"/>
                  <w:szCs w:val="22"/>
                  <w:u w:val="single"/>
                  <w:shd w:fill="auto" w:val="clear"/>
                  <w:lang w:val="ru-RU" w:eastAsia="en-US" w:bidi="ar-SA"/>
                </w:rPr>
                <w:t>Приложения № 3</w:t>
              </w:r>
            </w:hyperlink>
            <w:r>
              <w:rPr>
                <w:rFonts w:eastAsia="Calibri" w:cs="Arial"/>
                <w:kern w:val="0"/>
                <w:sz w:val="26"/>
                <w:szCs w:val="22"/>
                <w:lang w:val="ru-RU" w:eastAsia="en-US" w:bidi="ar-SA"/>
              </w:rPr>
              <w:t>);</w:t>
            </w:r>
          </w:p>
        </w:tc>
      </w:tr>
      <w:tr>
        <w:trPr/>
        <w:tc>
          <w:tcPr>
            <w:tcW w:w="707" w:type="dxa"/>
            <w:tcBorders/>
          </w:tcPr>
          <w:p>
            <w:pPr>
              <w:pStyle w:val="Style23"/>
              <w:widowControl/>
              <w:numPr>
                <w:ilvl w:val="0"/>
                <w:numId w:val="7"/>
              </w:numPr>
              <w:spacing w:lineRule="auto" w:line="240" w:before="60" w:after="60"/>
              <w:ind w:hanging="0" w:left="170"/>
              <w:jc w:val="center"/>
              <w:rPr>
                <w:rFonts w:ascii="Times New Roman" w:hAnsi="Times New Roman" w:eastAsia="Calibri" w:cs="Arial"/>
                <w:sz w:val="26"/>
                <w:szCs w:val="22"/>
                <w:lang w:val="ru-RU" w:eastAsia="en-US" w:bidi="ar-SA"/>
              </w:rPr>
            </w:pPr>
            <w:r>
              <w:rPr>
                <w:rFonts w:eastAsia="Calibri" w:cs="Arial"/>
                <w:sz w:val="26"/>
                <w:szCs w:val="22"/>
                <w:lang w:val="ru-RU" w:eastAsia="en-US" w:bidi="ar-SA"/>
              </w:rPr>
            </w:r>
          </w:p>
        </w:tc>
        <w:tc>
          <w:tcPr>
            <w:tcW w:w="8075" w:type="dxa"/>
            <w:tcBorders/>
          </w:tcPr>
          <w:p>
            <w:pPr>
              <w:pStyle w:val="Style23"/>
              <w:widowControl/>
              <w:spacing w:lineRule="auto" w:line="240" w:before="60" w:after="60"/>
              <w:rPr>
                <w:rFonts w:ascii="Times New Roman" w:hAnsi="Times New Roman" w:eastAsia="Calibri" w:cs="Arial"/>
                <w:sz w:val="26"/>
                <w:szCs w:val="22"/>
                <w:lang w:val="ru-RU" w:eastAsia="en-US" w:bidi="ar-SA"/>
              </w:rPr>
            </w:pPr>
            <w:r>
              <w:rPr>
                <w:rFonts w:eastAsia="Calibri" w:cs="Arial"/>
                <w:kern w:val="0"/>
                <w:sz w:val="26"/>
                <w:szCs w:val="22"/>
                <w:lang w:val="ru-RU" w:eastAsia="en-US" w:bidi="ar-SA"/>
              </w:rPr>
              <w:t>Документы, подтверждающие соответствие Коллективного участника требованиям Документации о закупке (подраздел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_Ref125709228 \r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8.5</w:t>
            </w:r>
            <w:r>
              <w:rPr>
                <w:sz w:val="26"/>
                <w:kern w:val="0"/>
                <w:szCs w:val="22"/>
                <w:rFonts w:eastAsia="Calibri" w:cs="Arial"/>
                <w:lang w:val="ru-RU" w:eastAsia="en-US" w:bidi="ar-SA"/>
              </w:rPr>
              <w:fldChar w:fldCharType="end"/>
            </w:r>
            <w:r>
              <w:rPr>
                <w:rFonts w:eastAsia="Calibri" w:cs="Arial"/>
                <w:kern w:val="0"/>
                <w:sz w:val="26"/>
                <w:szCs w:val="22"/>
                <w:lang w:val="ru-RU" w:eastAsia="en-US" w:bidi="ar-SA"/>
              </w:rPr>
              <w:t xml:space="preserve"> </w:t>
            </w:r>
            <w:hyperlink w:anchor="Прил03_ТребованияУчастникам" w:tgtFrame="#Прил03_ТребованияУчастникам">
              <w:r>
                <w:rPr>
                  <w:rFonts w:eastAsia="Calibri" w:cs="Arial"/>
                  <w:color w:val="000000"/>
                  <w:spacing w:val="0"/>
                  <w:kern w:val="0"/>
                  <w:sz w:val="26"/>
                  <w:szCs w:val="22"/>
                  <w:u w:val="single"/>
                  <w:shd w:fill="auto" w:val="clear"/>
                  <w:lang w:val="ru-RU" w:eastAsia="en-US" w:bidi="ar-SA"/>
                </w:rPr>
                <w:t>Приложения № 3</w:t>
              </w:r>
            </w:hyperlink>
            <w:r>
              <w:rPr>
                <w:rFonts w:eastAsia="Calibri" w:cs="Arial"/>
                <w:kern w:val="0"/>
                <w:sz w:val="26"/>
                <w:szCs w:val="22"/>
                <w:lang w:val="ru-RU" w:eastAsia="en-US" w:bidi="ar-SA"/>
              </w:rPr>
              <w:t>) – предоставляются, если Участник подает заявку от лица Коллективного участника (подраздел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_Ref130305355 \r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3.2</w:t>
            </w:r>
            <w:r>
              <w:rPr>
                <w:sz w:val="26"/>
                <w:kern w:val="0"/>
                <w:szCs w:val="22"/>
                <w:rFonts w:eastAsia="Calibri" w:cs="Arial"/>
                <w:lang w:val="ru-RU" w:eastAsia="en-US" w:bidi="ar-SA"/>
              </w:rPr>
              <w:fldChar w:fldCharType="end"/>
            </w:r>
            <w:r>
              <w:rPr>
                <w:rFonts w:eastAsia="Calibri" w:cs="Arial"/>
                <w:kern w:val="0"/>
                <w:sz w:val="26"/>
                <w:szCs w:val="22"/>
                <w:lang w:val="ru-RU" w:eastAsia="en-US" w:bidi="ar-SA"/>
              </w:rPr>
              <w:t>), а именно:</w:t>
            </w:r>
          </w:p>
          <w:p>
            <w:pPr>
              <w:pStyle w:val="Style23"/>
              <w:widowControl/>
              <w:numPr>
                <w:ilvl w:val="0"/>
                <w:numId w:val="10"/>
              </w:numPr>
              <w:spacing w:lineRule="auto" w:line="240" w:before="60" w:after="0"/>
              <w:ind w:hanging="284" w:left="284"/>
              <w:rPr>
                <w:rFonts w:ascii="Times New Roman" w:hAnsi="Times New Roman" w:eastAsia="Calibri" w:cs="Arial"/>
                <w:sz w:val="26"/>
                <w:szCs w:val="22"/>
                <w:lang w:val="ru-RU" w:eastAsia="en-US" w:bidi="ar-SA"/>
              </w:rPr>
            </w:pPr>
            <w:r>
              <w:rPr>
                <w:rFonts w:eastAsia="Calibri" w:cs="Arial"/>
                <w:kern w:val="0"/>
                <w:sz w:val="26"/>
                <w:szCs w:val="22"/>
                <w:lang w:val="ru-RU" w:eastAsia="en-US" w:bidi="ar-SA"/>
              </w:rPr>
              <w:t>План распределения объемов поставки продукции (форма 10);</w:t>
            </w:r>
          </w:p>
          <w:p>
            <w:pPr>
              <w:pStyle w:val="Style23"/>
              <w:widowControl/>
              <w:numPr>
                <w:ilvl w:val="0"/>
                <w:numId w:val="10"/>
              </w:numPr>
              <w:spacing w:lineRule="auto" w:line="240" w:before="0" w:after="0"/>
              <w:ind w:hanging="284" w:left="284"/>
              <w:rPr>
                <w:rFonts w:ascii="Times New Roman" w:hAnsi="Times New Roman" w:eastAsia="Calibri" w:cs="Arial"/>
                <w:sz w:val="26"/>
                <w:szCs w:val="22"/>
                <w:lang w:val="ru-RU" w:eastAsia="en-US" w:bidi="ar-SA"/>
              </w:rPr>
            </w:pPr>
            <w:r>
              <w:rPr>
                <w:rFonts w:eastAsia="Calibri" w:cs="Arial"/>
                <w:kern w:val="0"/>
                <w:sz w:val="26"/>
                <w:szCs w:val="22"/>
                <w:lang w:val="ru-RU" w:eastAsia="en-US" w:bidi="ar-SA"/>
              </w:rPr>
              <w:t>Копия Соглашения между членами Коллективного участника, подготовленного в соответствии с требованиями пункта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_Ref125366972 \r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3.2.3</w:t>
            </w:r>
            <w:r>
              <w:rPr>
                <w:sz w:val="26"/>
                <w:kern w:val="0"/>
                <w:szCs w:val="22"/>
                <w:rFonts w:eastAsia="Calibri" w:cs="Arial"/>
                <w:lang w:val="ru-RU" w:eastAsia="en-US" w:bidi="ar-SA"/>
              </w:rPr>
              <w:fldChar w:fldCharType="end"/>
            </w:r>
            <w:r>
              <w:rPr>
                <w:rFonts w:eastAsia="Calibri" w:cs="Arial"/>
                <w:kern w:val="0"/>
                <w:sz w:val="26"/>
                <w:szCs w:val="22"/>
                <w:lang w:val="ru-RU" w:eastAsia="en-US" w:bidi="ar-SA"/>
              </w:rPr>
              <w:t xml:space="preserve"> Документации о закупке;</w:t>
            </w:r>
          </w:p>
          <w:p>
            <w:pPr>
              <w:pStyle w:val="Style23"/>
              <w:widowControl/>
              <w:numPr>
                <w:ilvl w:val="0"/>
                <w:numId w:val="10"/>
              </w:numPr>
              <w:spacing w:lineRule="auto" w:line="240" w:before="0" w:after="60"/>
              <w:ind w:hanging="284" w:left="284"/>
              <w:rPr>
                <w:rFonts w:ascii="Times New Roman" w:hAnsi="Times New Roman" w:eastAsia="Calibri" w:cs="Arial"/>
                <w:sz w:val="26"/>
                <w:szCs w:val="22"/>
                <w:lang w:val="ru-RU" w:eastAsia="en-US" w:bidi="ar-SA"/>
              </w:rPr>
            </w:pPr>
            <w:r>
              <w:rPr>
                <w:rFonts w:eastAsia="Calibri" w:cs="Arial"/>
                <w:kern w:val="0"/>
                <w:sz w:val="26"/>
                <w:szCs w:val="22"/>
                <w:lang w:val="ru-RU" w:eastAsia="en-US" w:bidi="ar-SA"/>
              </w:rPr>
              <w:t>прочие документы, определенные в подразделе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_Ref125709228 \r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8.5</w:t>
            </w:r>
            <w:r>
              <w:rPr>
                <w:sz w:val="26"/>
                <w:kern w:val="0"/>
                <w:szCs w:val="22"/>
                <w:rFonts w:eastAsia="Calibri" w:cs="Arial"/>
                <w:lang w:val="ru-RU" w:eastAsia="en-US" w:bidi="ar-SA"/>
              </w:rPr>
              <w:fldChar w:fldCharType="end"/>
            </w:r>
            <w:r>
              <w:rPr>
                <w:rFonts w:eastAsia="Calibri" w:cs="Arial"/>
                <w:kern w:val="0"/>
                <w:sz w:val="26"/>
                <w:szCs w:val="22"/>
                <w:lang w:val="ru-RU" w:eastAsia="en-US" w:bidi="ar-SA"/>
              </w:rPr>
              <w:t xml:space="preserve"> </w:t>
            </w:r>
            <w:hyperlink w:anchor="Прил03_ТребованияУчастникам" w:tgtFrame="#Прил03_ТребованияУчастникам">
              <w:r>
                <w:rPr>
                  <w:rFonts w:eastAsia="Calibri" w:cs="Arial"/>
                  <w:color w:val="000000"/>
                  <w:spacing w:val="0"/>
                  <w:kern w:val="0"/>
                  <w:sz w:val="26"/>
                  <w:szCs w:val="22"/>
                  <w:u w:val="single"/>
                  <w:shd w:fill="auto" w:val="clear"/>
                  <w:lang w:val="ru-RU" w:eastAsia="en-US" w:bidi="ar-SA"/>
                </w:rPr>
                <w:t>Приложения № 3</w:t>
              </w:r>
            </w:hyperlink>
            <w:r>
              <w:rPr>
                <w:rStyle w:val="Style6"/>
                <w:rFonts w:eastAsia="Calibri" w:cs="Arial"/>
                <w:kern w:val="0"/>
                <w:sz w:val="26"/>
                <w:szCs w:val="22"/>
                <w:lang w:eastAsia="en-US" w:bidi="ar-SA"/>
              </w:rPr>
              <w:t>;</w:t>
            </w:r>
          </w:p>
        </w:tc>
      </w:tr>
      <w:tr>
        <w:trPr/>
        <w:tc>
          <w:tcPr>
            <w:tcW w:w="707" w:type="dxa"/>
            <w:tcBorders/>
          </w:tcPr>
          <w:p>
            <w:pPr>
              <w:pStyle w:val="Style23"/>
              <w:widowControl/>
              <w:numPr>
                <w:ilvl w:val="0"/>
                <w:numId w:val="7"/>
              </w:numPr>
              <w:spacing w:lineRule="auto" w:line="240" w:before="60" w:after="60"/>
              <w:ind w:hanging="0" w:left="170"/>
              <w:jc w:val="center"/>
              <w:rPr>
                <w:rFonts w:ascii="Times New Roman" w:hAnsi="Times New Roman" w:eastAsia="Calibri" w:cs="Arial"/>
                <w:sz w:val="26"/>
                <w:szCs w:val="22"/>
                <w:lang w:val="ru-RU" w:eastAsia="en-US" w:bidi="ar-SA"/>
              </w:rPr>
            </w:pPr>
            <w:r>
              <w:rPr>
                <w:rFonts w:eastAsia="Calibri" w:cs="Arial"/>
                <w:sz w:val="26"/>
                <w:szCs w:val="22"/>
                <w:lang w:val="ru-RU" w:eastAsia="en-US" w:bidi="ar-SA"/>
              </w:rPr>
            </w:r>
          </w:p>
        </w:tc>
        <w:tc>
          <w:tcPr>
            <w:tcW w:w="8075" w:type="dxa"/>
            <w:tcBorders/>
          </w:tcPr>
          <w:p>
            <w:pPr>
              <w:pStyle w:val="Style23"/>
              <w:widowControl/>
              <w:spacing w:lineRule="auto" w:line="240" w:before="60" w:after="60"/>
              <w:rPr>
                <w:rFonts w:ascii="Times New Roman" w:hAnsi="Times New Roman" w:eastAsia="Calibri" w:cs="Arial"/>
                <w:sz w:val="26"/>
                <w:szCs w:val="22"/>
                <w:lang w:val="ru-RU" w:eastAsia="en-US" w:bidi="ar-SA"/>
              </w:rPr>
            </w:pPr>
            <w:r>
              <w:rPr>
                <w:rFonts w:eastAsia="Calibri" w:cs="Arial"/>
                <w:kern w:val="0"/>
                <w:sz w:val="26"/>
                <w:szCs w:val="22"/>
                <w:lang w:val="ru-RU" w:eastAsia="en-US" w:bidi="ar-SA"/>
              </w:rPr>
              <w:t>Документы, подтверждающие соответствие Генерального подрядчика требованиям Документации о закупке (подраздел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_Ref125709777 \r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8.6</w:t>
            </w:r>
            <w:r>
              <w:rPr>
                <w:sz w:val="26"/>
                <w:kern w:val="0"/>
                <w:szCs w:val="22"/>
                <w:rFonts w:eastAsia="Calibri" w:cs="Arial"/>
                <w:lang w:val="ru-RU" w:eastAsia="en-US" w:bidi="ar-SA"/>
              </w:rPr>
              <w:fldChar w:fldCharType="end"/>
            </w:r>
            <w:r>
              <w:rPr>
                <w:rFonts w:eastAsia="Calibri" w:cs="Arial"/>
                <w:kern w:val="0"/>
                <w:sz w:val="26"/>
                <w:szCs w:val="22"/>
                <w:lang w:val="ru-RU" w:eastAsia="en-US" w:bidi="ar-SA"/>
              </w:rPr>
              <w:t xml:space="preserve"> </w:t>
            </w:r>
            <w:hyperlink w:anchor="Прил03_ТребованияУчастникам" w:tgtFrame="#Прил03_ТребованияУчастникам">
              <w:r>
                <w:rPr>
                  <w:rFonts w:eastAsia="Calibri" w:cs="Arial"/>
                  <w:color w:val="000000"/>
                  <w:spacing w:val="0"/>
                  <w:kern w:val="0"/>
                  <w:sz w:val="26"/>
                  <w:szCs w:val="22"/>
                  <w:u w:val="single"/>
                  <w:shd w:fill="auto" w:val="clear"/>
                  <w:lang w:val="ru-RU" w:eastAsia="en-US" w:bidi="ar-SA"/>
                </w:rPr>
                <w:t>Приложения № 3</w:t>
              </w:r>
            </w:hyperlink>
            <w:r>
              <w:rPr>
                <w:rFonts w:eastAsia="Calibri" w:cs="Arial"/>
                <w:kern w:val="0"/>
                <w:sz w:val="26"/>
                <w:szCs w:val="22"/>
                <w:lang w:val="ru-RU" w:eastAsia="en-US" w:bidi="ar-SA"/>
              </w:rPr>
              <w:t>) – предоставляются, если условиями проводимой закупки (подраздел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_Ref125359973 \r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1.2</w:t>
            </w:r>
            <w:r>
              <w:rPr>
                <w:sz w:val="26"/>
                <w:kern w:val="0"/>
                <w:szCs w:val="22"/>
                <w:rFonts w:eastAsia="Calibri" w:cs="Arial"/>
                <w:lang w:val="ru-RU" w:eastAsia="en-US" w:bidi="ar-SA"/>
              </w:rPr>
              <w:fldChar w:fldCharType="end"/>
            </w:r>
            <w:r>
              <w:rPr>
                <w:rFonts w:eastAsia="Calibri" w:cs="Arial"/>
                <w:kern w:val="0"/>
                <w:sz w:val="26"/>
                <w:szCs w:val="22"/>
                <w:lang w:val="ru-RU" w:eastAsia="en-US" w:bidi="ar-SA"/>
              </w:rPr>
              <w:t>) рассмотрение, оценка и сопоставление заявок Участников осуществляется с учетом привлекаемых субподрядчиков, и Участник подает заявку от лица Генерального подрядчика (подраздел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_Ref125361702 \r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3.3</w:t>
            </w:r>
            <w:r>
              <w:rPr>
                <w:sz w:val="26"/>
                <w:kern w:val="0"/>
                <w:szCs w:val="22"/>
                <w:rFonts w:eastAsia="Calibri" w:cs="Arial"/>
                <w:lang w:val="ru-RU" w:eastAsia="en-US" w:bidi="ar-SA"/>
              </w:rPr>
              <w:fldChar w:fldCharType="end"/>
            </w:r>
            <w:r>
              <w:rPr>
                <w:rFonts w:eastAsia="Calibri" w:cs="Arial"/>
                <w:kern w:val="0"/>
                <w:sz w:val="26"/>
                <w:szCs w:val="22"/>
                <w:lang w:val="ru-RU" w:eastAsia="en-US" w:bidi="ar-SA"/>
              </w:rPr>
              <w:t>), а именно:</w:t>
            </w:r>
          </w:p>
          <w:p>
            <w:pPr>
              <w:pStyle w:val="Style23"/>
              <w:widowControl/>
              <w:numPr>
                <w:ilvl w:val="0"/>
                <w:numId w:val="10"/>
              </w:numPr>
              <w:spacing w:lineRule="auto" w:line="240" w:before="60" w:after="0"/>
              <w:ind w:hanging="284" w:left="284"/>
              <w:rPr>
                <w:rFonts w:ascii="Times New Roman" w:hAnsi="Times New Roman" w:eastAsia="Calibri" w:cs="Arial"/>
                <w:sz w:val="26"/>
                <w:szCs w:val="22"/>
                <w:lang w:val="ru-RU" w:eastAsia="en-US" w:bidi="ar-SA"/>
              </w:rPr>
            </w:pPr>
            <w:r>
              <w:rPr>
                <w:rFonts w:eastAsia="Calibri" w:cs="Arial"/>
                <w:kern w:val="0"/>
                <w:sz w:val="26"/>
                <w:szCs w:val="22"/>
                <w:lang w:val="ru-RU" w:eastAsia="en-US" w:bidi="ar-SA"/>
              </w:rPr>
              <w:t>План распределения объемов поставки продукции (форма 10);</w:t>
            </w:r>
          </w:p>
          <w:p>
            <w:pPr>
              <w:pStyle w:val="Style23"/>
              <w:widowControl/>
              <w:numPr>
                <w:ilvl w:val="0"/>
                <w:numId w:val="10"/>
              </w:numPr>
              <w:spacing w:lineRule="auto" w:line="240" w:before="0" w:after="60"/>
              <w:ind w:hanging="284" w:left="284"/>
              <w:rPr>
                <w:rFonts w:ascii="Times New Roman" w:hAnsi="Times New Roman" w:eastAsia="Calibri" w:cs="Arial"/>
                <w:sz w:val="26"/>
                <w:szCs w:val="22"/>
                <w:lang w:val="ru-RU" w:eastAsia="en-US" w:bidi="ar-SA"/>
              </w:rPr>
            </w:pPr>
            <w:r>
              <w:rPr>
                <w:rFonts w:eastAsia="Calibri" w:cs="Arial"/>
                <w:kern w:val="0"/>
                <w:sz w:val="26"/>
                <w:szCs w:val="22"/>
                <w:lang w:val="ru-RU" w:eastAsia="en-US" w:bidi="ar-SA"/>
              </w:rPr>
              <w:t>прочие документы, определенные в подразделе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_Ref125709777 \r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8.6</w:t>
            </w:r>
            <w:r>
              <w:rPr>
                <w:sz w:val="26"/>
                <w:kern w:val="0"/>
                <w:szCs w:val="22"/>
                <w:rFonts w:eastAsia="Calibri" w:cs="Arial"/>
                <w:lang w:val="ru-RU" w:eastAsia="en-US" w:bidi="ar-SA"/>
              </w:rPr>
              <w:fldChar w:fldCharType="end"/>
            </w:r>
            <w:r>
              <w:rPr>
                <w:rFonts w:eastAsia="Calibri" w:cs="Arial"/>
                <w:kern w:val="0"/>
                <w:sz w:val="26"/>
                <w:szCs w:val="22"/>
                <w:lang w:val="ru-RU" w:eastAsia="en-US" w:bidi="ar-SA"/>
              </w:rPr>
              <w:t xml:space="preserve"> </w:t>
            </w:r>
            <w:hyperlink w:anchor="Прил03_ТребованияУчастникам" w:tgtFrame="#Прил03_ТребованияУчастникам">
              <w:r>
                <w:rPr>
                  <w:rFonts w:eastAsia="Calibri" w:cs="Arial"/>
                  <w:color w:val="000000"/>
                  <w:spacing w:val="0"/>
                  <w:kern w:val="0"/>
                  <w:sz w:val="26"/>
                  <w:szCs w:val="22"/>
                  <w:u w:val="single"/>
                  <w:shd w:fill="auto" w:val="clear"/>
                  <w:lang w:val="ru-RU" w:eastAsia="en-US" w:bidi="ar-SA"/>
                </w:rPr>
                <w:t>Приложения № 3</w:t>
              </w:r>
            </w:hyperlink>
            <w:r>
              <w:rPr>
                <w:rStyle w:val="Style6"/>
                <w:rFonts w:eastAsia="Calibri" w:cs="Arial"/>
                <w:kern w:val="0"/>
                <w:sz w:val="26"/>
                <w:szCs w:val="22"/>
                <w:lang w:eastAsia="en-US" w:bidi="ar-SA"/>
              </w:rPr>
              <w:t>;</w:t>
            </w:r>
          </w:p>
        </w:tc>
      </w:tr>
      <w:tr>
        <w:trPr/>
        <w:tc>
          <w:tcPr>
            <w:tcW w:w="707" w:type="dxa"/>
            <w:tcBorders/>
          </w:tcPr>
          <w:p>
            <w:pPr>
              <w:pStyle w:val="Style23"/>
              <w:widowControl/>
              <w:numPr>
                <w:ilvl w:val="0"/>
                <w:numId w:val="7"/>
              </w:numPr>
              <w:spacing w:lineRule="auto" w:line="240" w:before="60" w:after="60"/>
              <w:ind w:hanging="0" w:left="170"/>
              <w:jc w:val="center"/>
              <w:rPr>
                <w:rFonts w:ascii="Times New Roman" w:hAnsi="Times New Roman" w:eastAsia="Calibri" w:cs="Arial"/>
                <w:sz w:val="26"/>
                <w:szCs w:val="22"/>
                <w:lang w:val="ru-RU" w:eastAsia="en-US" w:bidi="ar-SA"/>
              </w:rPr>
            </w:pPr>
            <w:r>
              <w:rPr>
                <w:rFonts w:eastAsia="Calibri" w:cs="Arial"/>
                <w:sz w:val="26"/>
                <w:szCs w:val="22"/>
                <w:lang w:val="ru-RU" w:eastAsia="en-US" w:bidi="ar-SA"/>
              </w:rPr>
            </w:r>
          </w:p>
        </w:tc>
        <w:tc>
          <w:tcPr>
            <w:tcW w:w="8075" w:type="dxa"/>
            <w:tcBorders/>
          </w:tcPr>
          <w:p>
            <w:pPr>
              <w:pStyle w:val="Style23"/>
              <w:widowControl/>
              <w:spacing w:lineRule="auto" w:line="240" w:before="60" w:after="60"/>
              <w:rPr>
                <w:rFonts w:ascii="Times New Roman" w:hAnsi="Times New Roman" w:eastAsia="Calibri" w:cs="Arial"/>
                <w:sz w:val="26"/>
                <w:szCs w:val="22"/>
                <w:lang w:val="ru-RU" w:eastAsia="en-US" w:bidi="ar-SA"/>
              </w:rPr>
            </w:pPr>
            <w:r>
              <w:rPr>
                <w:rFonts w:eastAsia="Calibri" w:cs="Arial"/>
                <w:kern w:val="0"/>
                <w:sz w:val="26"/>
                <w:szCs w:val="22"/>
                <w:lang w:val="ru-RU" w:eastAsia="en-US" w:bidi="ar-SA"/>
              </w:rPr>
              <w:t>Документы, подтверждающие соответствие Генерального подрядчика с обязательным привлечением субподрядчиков (соисполнителей) из числа субъектов МСП требованиям Документации о закупке (подраздел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_Ref125710459 \r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8.7</w:t>
            </w:r>
            <w:r>
              <w:rPr>
                <w:sz w:val="26"/>
                <w:kern w:val="0"/>
                <w:szCs w:val="22"/>
                <w:rFonts w:eastAsia="Calibri" w:cs="Arial"/>
                <w:lang w:val="ru-RU" w:eastAsia="en-US" w:bidi="ar-SA"/>
              </w:rPr>
              <w:fldChar w:fldCharType="end"/>
            </w:r>
            <w:r>
              <w:rPr>
                <w:rFonts w:eastAsia="Calibri" w:cs="Arial"/>
                <w:kern w:val="0"/>
                <w:sz w:val="26"/>
                <w:szCs w:val="22"/>
                <w:lang w:val="ru-RU" w:eastAsia="en-US" w:bidi="ar-SA"/>
              </w:rPr>
              <w:t xml:space="preserve"> </w:t>
            </w:r>
            <w:hyperlink w:anchor="Прил03_ТребованияУчастникам" w:tgtFrame="#Прил03_ТребованияУчастникам">
              <w:r>
                <w:rPr>
                  <w:rFonts w:eastAsia="Calibri" w:cs="Arial"/>
                  <w:color w:val="000000"/>
                  <w:spacing w:val="0"/>
                  <w:kern w:val="0"/>
                  <w:sz w:val="26"/>
                  <w:szCs w:val="22"/>
                  <w:u w:val="single"/>
                  <w:shd w:fill="auto" w:val="clear"/>
                  <w:lang w:val="ru-RU" w:eastAsia="en-US" w:bidi="ar-SA"/>
                </w:rPr>
                <w:t>Приложения № 3</w:t>
              </w:r>
            </w:hyperlink>
            <w:r>
              <w:rPr>
                <w:rFonts w:eastAsia="Calibri" w:cs="Arial"/>
                <w:kern w:val="0"/>
                <w:sz w:val="26"/>
                <w:szCs w:val="22"/>
                <w:lang w:val="ru-RU" w:eastAsia="en-US" w:bidi="ar-SA"/>
              </w:rPr>
              <w:t>) – предоставляются, если условиями проводимой закупки (подраздел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_Ref125359973 \r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1.2</w:t>
            </w:r>
            <w:r>
              <w:rPr>
                <w:sz w:val="26"/>
                <w:kern w:val="0"/>
                <w:szCs w:val="22"/>
                <w:rFonts w:eastAsia="Calibri" w:cs="Arial"/>
                <w:lang w:val="ru-RU" w:eastAsia="en-US" w:bidi="ar-SA"/>
              </w:rPr>
              <w:fldChar w:fldCharType="end"/>
            </w:r>
            <w:r>
              <w:rPr>
                <w:rFonts w:eastAsia="Calibri" w:cs="Arial"/>
                <w:kern w:val="0"/>
                <w:sz w:val="26"/>
                <w:szCs w:val="22"/>
                <w:lang w:val="ru-RU" w:eastAsia="en-US" w:bidi="ar-SA"/>
              </w:rPr>
              <w:t>) предусмотрено участие в закупке Участников, которые должны привлечь к исполнению Договора субподрядчиков (соисполнителей) из числа субъектов МСП (подраздел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_Ref127524203 \r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3.4</w:t>
            </w:r>
            <w:r>
              <w:rPr>
                <w:sz w:val="26"/>
                <w:kern w:val="0"/>
                <w:szCs w:val="22"/>
                <w:rFonts w:eastAsia="Calibri" w:cs="Arial"/>
                <w:lang w:val="ru-RU" w:eastAsia="en-US" w:bidi="ar-SA"/>
              </w:rPr>
              <w:fldChar w:fldCharType="end"/>
            </w:r>
            <w:r>
              <w:rPr>
                <w:rFonts w:eastAsia="Calibri" w:cs="Arial"/>
                <w:kern w:val="0"/>
                <w:sz w:val="26"/>
                <w:szCs w:val="22"/>
                <w:lang w:val="ru-RU" w:eastAsia="en-US" w:bidi="ar-SA"/>
              </w:rPr>
              <w:t>), а именно План распределения объемов поставки продукции (форма 10);</w:t>
            </w:r>
          </w:p>
        </w:tc>
      </w:tr>
      <w:tr>
        <w:trPr/>
        <w:tc>
          <w:tcPr>
            <w:tcW w:w="707" w:type="dxa"/>
            <w:tcBorders/>
          </w:tcPr>
          <w:p>
            <w:pPr>
              <w:pStyle w:val="Style23"/>
              <w:widowControl/>
              <w:numPr>
                <w:ilvl w:val="0"/>
                <w:numId w:val="7"/>
              </w:numPr>
              <w:spacing w:lineRule="auto" w:line="240" w:before="60" w:after="60"/>
              <w:ind w:hanging="0" w:left="170"/>
              <w:jc w:val="center"/>
              <w:rPr>
                <w:rFonts w:ascii="Times New Roman" w:hAnsi="Times New Roman" w:eastAsia="Calibri" w:cs="Arial"/>
                <w:sz w:val="26"/>
                <w:szCs w:val="22"/>
                <w:lang w:val="ru-RU" w:eastAsia="en-US" w:bidi="ar-SA"/>
              </w:rPr>
            </w:pPr>
            <w:r>
              <w:rPr>
                <w:rFonts w:eastAsia="Calibri" w:cs="Arial"/>
                <w:sz w:val="26"/>
                <w:szCs w:val="22"/>
                <w:lang w:val="ru-RU" w:eastAsia="en-US" w:bidi="ar-SA"/>
              </w:rPr>
            </w:r>
          </w:p>
        </w:tc>
        <w:tc>
          <w:tcPr>
            <w:tcW w:w="8075" w:type="dxa"/>
            <w:tcBorders/>
          </w:tcPr>
          <w:p>
            <w:pPr>
              <w:pStyle w:val="Style23"/>
              <w:widowControl/>
              <w:spacing w:lineRule="auto" w:line="240" w:before="60" w:after="60"/>
              <w:rPr>
                <w:rFonts w:ascii="Times New Roman" w:hAnsi="Times New Roman" w:eastAsia="Calibri" w:cs="Arial"/>
                <w:sz w:val="26"/>
                <w:szCs w:val="22"/>
                <w:lang w:val="ru-RU" w:eastAsia="en-US" w:bidi="ar-SA"/>
              </w:rPr>
            </w:pPr>
            <w:r>
              <w:rPr>
                <w:rFonts w:eastAsia="Calibri" w:cs="Arial"/>
                <w:kern w:val="0"/>
                <w:sz w:val="26"/>
                <w:szCs w:val="22"/>
                <w:lang w:val="ru-RU" w:eastAsia="en-US" w:bidi="ar-SA"/>
              </w:rPr>
              <w:t>Документы (или их копии), подтверждающие соответствие предлагаемой к поставке продукции требованиям, установленным в </w:t>
            </w:r>
            <w:hyperlink w:anchor="Прил01_ТехТребования" w:tgtFrame="#Прил01_ТехТребования">
              <w:r>
                <w:rPr>
                  <w:rFonts w:eastAsia="Calibri" w:cs="Arial"/>
                  <w:color w:val="000000"/>
                  <w:spacing w:val="0"/>
                  <w:kern w:val="0"/>
                  <w:sz w:val="26"/>
                  <w:szCs w:val="22"/>
                  <w:u w:val="single"/>
                  <w:shd w:fill="auto" w:val="clear"/>
                  <w:lang w:val="ru-RU" w:eastAsia="en-US" w:bidi="ar-SA"/>
                </w:rPr>
                <w:t>Технических требованиях (Приложение № 1)</w:t>
              </w:r>
            </w:hyperlink>
            <w:r>
              <w:rPr>
                <w:rFonts w:eastAsia="Calibri" w:cs="Arial"/>
                <w:kern w:val="0"/>
                <w:sz w:val="26"/>
                <w:szCs w:val="22"/>
                <w:lang w:val="ru-RU" w:eastAsia="en-US" w:bidi="ar-SA"/>
              </w:rPr>
              <w:t xml:space="preserve"> – предоставляются, если в </w:t>
            </w:r>
            <w:hyperlink w:anchor="Прил01_ТехТребования" w:tgtFrame="#Прил01_ТехТребования">
              <w:r>
                <w:rPr>
                  <w:rFonts w:eastAsia="Calibri" w:cs="Arial"/>
                  <w:color w:val="000000"/>
                  <w:spacing w:val="0"/>
                  <w:kern w:val="0"/>
                  <w:sz w:val="26"/>
                  <w:szCs w:val="22"/>
                  <w:u w:val="single"/>
                  <w:shd w:fill="auto" w:val="clear"/>
                  <w:lang w:val="ru-RU" w:eastAsia="en-US" w:bidi="ar-SA"/>
                </w:rPr>
                <w:t>Технических требованиях (Приложение № 1)</w:t>
              </w:r>
            </w:hyperlink>
            <w:r>
              <w:rPr>
                <w:rFonts w:eastAsia="Calibri" w:cs="Arial"/>
                <w:kern w:val="0"/>
                <w:sz w:val="26"/>
                <w:szCs w:val="22"/>
                <w:lang w:val="ru-RU" w:eastAsia="en-US" w:bidi="ar-SA"/>
              </w:rPr>
              <w:t xml:space="preserve"> было установлено соответствующее требование;</w:t>
            </w:r>
          </w:p>
        </w:tc>
      </w:tr>
    </w:tbl>
    <w:p>
      <w:pPr>
        <w:sectPr>
          <w:headerReference w:type="default" r:id="rId26"/>
          <w:headerReference w:type="first" r:id="rId27"/>
          <w:footerReference w:type="default" r:id="rId28"/>
          <w:footerReference w:type="first" r:id="rId29"/>
          <w:footnotePr>
            <w:numFmt w:val="decimal"/>
          </w:footnotePr>
          <w:type w:val="nextPage"/>
          <w:pgSz w:w="11906" w:h="16838"/>
          <w:pgMar w:left="1134" w:right="850" w:gutter="0" w:header="567" w:top="851" w:footer="567" w:bottom="851"/>
          <w:pgNumType w:fmt="decimal"/>
          <w:formProt w:val="false"/>
          <w:textDirection w:val="lrTb"/>
          <w:docGrid w:type="default" w:linePitch="360" w:charSpace="0"/>
        </w:sectPr>
        <w:pStyle w:val="Style19"/>
        <w:spacing w:before="120" w:after="0"/>
        <w:rPr>
          <w:rStyle w:val="Style3"/>
          <w:i w:val="false"/>
          <w:i w:val="false"/>
          <w:iCs w:val="false"/>
          <w:shd w:fill="auto" w:val="clear"/>
        </w:rPr>
      </w:pPr>
      <w:r>
        <w:rPr>
          <w:rStyle w:val="Style3"/>
          <w:i w:val="false"/>
          <w:iCs w:val="false"/>
          <w:shd w:fill="auto" w:val="clear"/>
        </w:rPr>
        <w:t>Если по каким-либо причинам Участник не может предоставить какой-либо из требуемых документов, он может в составе заявки приложить составленную в произвольной форме справку, объясняющую причину отсутствия требуемого документа (однако предоставление данной справки носит исключительно информационный характер и не может являться основанием для снятия с Участника обязанности по предоставлению требуемого документа).</w:t>
      </w:r>
    </w:p>
    <w:p>
      <w:pPr>
        <w:pStyle w:val="Style17"/>
        <w:spacing w:before="0" w:after="0"/>
        <w:rPr/>
      </w:pPr>
      <w:bookmarkStart w:id="394" w:name="_Ref125365264"/>
      <w:bookmarkStart w:id="395" w:name="_Toc230928886"/>
      <w:bookmarkStart w:id="396" w:name="Прил07_ОтборочныеКритерии"/>
      <w:bookmarkEnd w:id="396"/>
      <w:r>
        <w:rPr>
          <w:rStyle w:val="Style3"/>
          <w:i w:val="false"/>
          <w:iCs w:val="false"/>
          <w:shd w:fill="auto" w:val="clear"/>
        </w:rPr>
        <w:t>Приложение №</w:t>
      </w:r>
      <w:r>
        <w:rPr/>
        <w:t> 7 – Отборочные критерии рассмотрения заявок</w:t>
      </w:r>
      <w:bookmarkEnd w:id="394"/>
      <w:bookmarkEnd w:id="395"/>
    </w:p>
    <w:p>
      <w:pPr>
        <w:pStyle w:val="Style18"/>
        <w:spacing w:before="360" w:after="120"/>
        <w:rPr>
          <w:rStyle w:val="Style3"/>
          <w:i w:val="false"/>
          <w:i w:val="false"/>
          <w:iCs w:val="false"/>
          <w:shd w:fill="auto" w:val="clear"/>
        </w:rPr>
      </w:pPr>
      <w:bookmarkStart w:id="397" w:name="_Toc230928887"/>
      <w:r>
        <w:rPr>
          <w:rStyle w:val="Style3"/>
          <w:i w:val="false"/>
          <w:iCs w:val="false"/>
          <w:shd w:fill="auto" w:val="clear"/>
        </w:rPr>
        <w:t>Отборочные критерии рассмотрения заявок</w:t>
      </w:r>
      <w:bookmarkEnd w:id="397"/>
    </w:p>
    <w:tbl>
      <w:tblPr>
        <w:tblStyle w:val="1497"/>
        <w:tblW w:w="15126" w:type="dxa"/>
        <w:jc w:val="left"/>
        <w:tblInd w:w="0" w:type="dxa"/>
        <w:tblLayout w:type="fixed"/>
        <w:tblCellMar>
          <w:top w:w="0" w:type="dxa"/>
          <w:left w:w="57" w:type="dxa"/>
          <w:bottom w:w="0" w:type="dxa"/>
          <w:right w:w="57" w:type="dxa"/>
        </w:tblCellMar>
        <w:tblLook w:val="04a0" w:noHBand="0" w:noVBand="1" w:firstColumn="1" w:lastRow="0" w:lastColumn="0" w:firstRow="1"/>
      </w:tblPr>
      <w:tblGrid>
        <w:gridCol w:w="1412"/>
        <w:gridCol w:w="8506"/>
        <w:gridCol w:w="3117"/>
        <w:gridCol w:w="2090"/>
      </w:tblGrid>
      <w:tr>
        <w:trPr/>
        <w:tc>
          <w:tcPr>
            <w:tcW w:w="1412" w:type="dxa"/>
            <w:tcBorders/>
          </w:tcPr>
          <w:p>
            <w:pPr>
              <w:pStyle w:val="Style23"/>
              <w:keepNext w:val="true"/>
              <w:keepLines w:val="false"/>
              <w:widowControl/>
              <w:spacing w:lineRule="auto" w:line="240" w:before="60" w:after="60"/>
              <w:jc w:val="center"/>
              <w:rPr>
                <w:rFonts w:ascii="Times New Roman" w:hAnsi="Times New Roman" w:eastAsia="Calibri" w:cs="Arial"/>
                <w:b/>
                <w:sz w:val="26"/>
                <w:szCs w:val="22"/>
                <w:lang w:val="ru-RU" w:eastAsia="en-US" w:bidi="ar-SA"/>
              </w:rPr>
            </w:pPr>
            <w:r>
              <w:rPr>
                <w:rFonts w:eastAsia="Calibri" w:cs="Arial"/>
                <w:b/>
                <w:kern w:val="0"/>
                <w:sz w:val="26"/>
                <w:szCs w:val="22"/>
                <w:lang w:val="ru-RU" w:eastAsia="en-US" w:bidi="ar-SA"/>
              </w:rPr>
              <w:t>Номер</w:t>
              <w:br/>
              <w:t>критерия</w:t>
            </w:r>
          </w:p>
        </w:tc>
        <w:tc>
          <w:tcPr>
            <w:tcW w:w="8506" w:type="dxa"/>
            <w:tcBorders/>
          </w:tcPr>
          <w:p>
            <w:pPr>
              <w:pStyle w:val="Style23"/>
              <w:keepNext w:val="true"/>
              <w:keepLines w:val="false"/>
              <w:widowControl/>
              <w:spacing w:lineRule="auto" w:line="240" w:before="60" w:after="60"/>
              <w:jc w:val="center"/>
              <w:rPr>
                <w:rFonts w:ascii="Times New Roman" w:hAnsi="Times New Roman" w:eastAsia="Calibri" w:cs="Arial"/>
                <w:b/>
                <w:sz w:val="26"/>
                <w:szCs w:val="22"/>
                <w:lang w:val="ru-RU" w:eastAsia="en-US" w:bidi="ar-SA"/>
              </w:rPr>
            </w:pPr>
            <w:r>
              <w:rPr>
                <w:rFonts w:eastAsia="Calibri" w:cs="Arial"/>
                <w:b/>
                <w:kern w:val="0"/>
                <w:sz w:val="26"/>
                <w:szCs w:val="22"/>
                <w:lang w:val="ru-RU" w:eastAsia="en-US" w:bidi="ar-SA"/>
              </w:rPr>
              <w:t>Наименование</w:t>
              <w:br/>
              <w:t>отборочного критерия</w:t>
            </w:r>
          </w:p>
        </w:tc>
        <w:tc>
          <w:tcPr>
            <w:tcW w:w="3117" w:type="dxa"/>
            <w:tcBorders/>
          </w:tcPr>
          <w:p>
            <w:pPr>
              <w:pStyle w:val="Style23"/>
              <w:keepNext w:val="true"/>
              <w:keepLines w:val="false"/>
              <w:widowControl/>
              <w:spacing w:lineRule="auto" w:line="240" w:before="60" w:after="60"/>
              <w:jc w:val="center"/>
              <w:rPr>
                <w:rFonts w:ascii="Times New Roman" w:hAnsi="Times New Roman" w:eastAsia="Calibri" w:cs="Arial"/>
                <w:b/>
                <w:sz w:val="26"/>
                <w:szCs w:val="22"/>
                <w:lang w:val="ru-RU" w:eastAsia="en-US" w:bidi="ar-SA"/>
              </w:rPr>
            </w:pPr>
            <w:r>
              <w:rPr>
                <w:rFonts w:eastAsia="Calibri" w:cs="Arial"/>
                <w:b/>
                <w:kern w:val="0"/>
                <w:sz w:val="26"/>
                <w:szCs w:val="22"/>
                <w:lang w:val="ru-RU" w:eastAsia="en-US" w:bidi="ar-SA"/>
              </w:rPr>
              <w:t>Номер пункта</w:t>
              <w:br/>
              <w:t>Документации о закупке</w:t>
            </w:r>
          </w:p>
        </w:tc>
        <w:tc>
          <w:tcPr>
            <w:tcW w:w="2090" w:type="dxa"/>
            <w:tcBorders/>
          </w:tcPr>
          <w:p>
            <w:pPr>
              <w:pStyle w:val="Style23"/>
              <w:keepNext w:val="true"/>
              <w:keepLines w:val="false"/>
              <w:widowControl/>
              <w:spacing w:lineRule="auto" w:line="240" w:before="60" w:after="60"/>
              <w:jc w:val="center"/>
              <w:rPr>
                <w:rFonts w:ascii="Times New Roman" w:hAnsi="Times New Roman" w:eastAsia="Calibri" w:cs="Arial"/>
                <w:b/>
                <w:sz w:val="26"/>
                <w:szCs w:val="22"/>
                <w:lang w:val="ru-RU" w:eastAsia="en-US" w:bidi="ar-SA"/>
              </w:rPr>
            </w:pPr>
            <w:r>
              <w:rPr>
                <w:rFonts w:eastAsia="Calibri" w:cs="Arial"/>
                <w:b/>
                <w:kern w:val="0"/>
                <w:sz w:val="26"/>
                <w:szCs w:val="22"/>
                <w:lang w:val="ru-RU" w:eastAsia="en-US" w:bidi="ar-SA"/>
              </w:rPr>
              <w:t>Направления</w:t>
              <w:br/>
              <w:t>оценки заявок*</w:t>
            </w:r>
          </w:p>
        </w:tc>
      </w:tr>
      <w:tr>
        <w:trPr/>
        <w:tc>
          <w:tcPr>
            <w:tcW w:w="9918" w:type="dxa"/>
            <w:gridSpan w:val="2"/>
            <w:tcBorders/>
          </w:tcPr>
          <w:p>
            <w:pPr>
              <w:pStyle w:val="Style23"/>
              <w:keepNext w:val="true"/>
              <w:widowControl/>
              <w:spacing w:lineRule="auto" w:line="240" w:before="60" w:after="60"/>
              <w:rPr>
                <w:b/>
                <w:bCs/>
              </w:rPr>
            </w:pPr>
            <w:r>
              <w:rPr>
                <w:rFonts w:eastAsia="Calibri" w:cs="Arial"/>
                <w:b/>
                <w:bCs/>
                <w:kern w:val="0"/>
                <w:sz w:val="26"/>
                <w:szCs w:val="22"/>
                <w:lang w:val="ru-RU" w:eastAsia="en-US" w:bidi="ar-SA"/>
              </w:rPr>
              <w:t>Состав заявки и правильность ее оформления, в том числе:</w:t>
            </w:r>
          </w:p>
        </w:tc>
        <w:tc>
          <w:tcPr>
            <w:tcW w:w="3117" w:type="dxa"/>
            <w:tcBorders/>
          </w:tcPr>
          <w:p>
            <w:pPr>
              <w:pStyle w:val="Style23"/>
              <w:widowControl/>
              <w:spacing w:lineRule="auto" w:line="240" w:before="60" w:after="60"/>
              <w:jc w:val="center"/>
              <w:rPr>
                <w:b/>
                <w:bCs/>
              </w:rPr>
            </w:pPr>
            <w:r>
              <w:rPr>
                <w:rFonts w:eastAsia="Calibri" w:cs="Arial"/>
                <w:b/>
                <w:bCs/>
                <w:kern w:val="0"/>
                <w:sz w:val="26"/>
                <w:szCs w:val="22"/>
                <w:lang w:val="ru-RU" w:eastAsia="en-US" w:bidi="ar-SA"/>
              </w:rPr>
              <w:t>–</w:t>
            </w:r>
          </w:p>
        </w:tc>
        <w:tc>
          <w:tcPr>
            <w:tcW w:w="2090" w:type="dxa"/>
            <w:tcBorders/>
          </w:tcPr>
          <w:p>
            <w:pPr>
              <w:pStyle w:val="Style23"/>
              <w:widowControl/>
              <w:spacing w:lineRule="auto" w:line="240" w:before="60" w:after="60"/>
              <w:jc w:val="center"/>
              <w:rPr>
                <w:b/>
                <w:bCs/>
              </w:rPr>
            </w:pPr>
            <w:r>
              <w:rPr>
                <w:rFonts w:eastAsia="Calibri" w:cs="Arial"/>
                <w:b/>
                <w:bCs/>
                <w:kern w:val="0"/>
                <w:sz w:val="26"/>
                <w:szCs w:val="22"/>
                <w:lang w:val="ru-RU" w:eastAsia="en-US" w:bidi="ar-SA"/>
              </w:rPr>
              <w:t>–</w:t>
            </w:r>
          </w:p>
        </w:tc>
      </w:tr>
      <w:tr>
        <w:trPr/>
        <w:tc>
          <w:tcPr>
            <w:tcW w:w="1412" w:type="dxa"/>
            <w:tcBorders/>
          </w:tcPr>
          <w:p>
            <w:pPr>
              <w:pStyle w:val="Style23"/>
              <w:widowControl/>
              <w:numPr>
                <w:ilvl w:val="0"/>
                <w:numId w:val="8"/>
              </w:numPr>
              <w:spacing w:lineRule="auto" w:line="240" w:before="60" w:after="60"/>
              <w:ind w:hanging="0" w:left="170"/>
              <w:jc w:val="center"/>
              <w:rPr>
                <w:rFonts w:ascii="Times New Roman" w:hAnsi="Times New Roman" w:eastAsia="Calibri" w:cs="Arial"/>
                <w:sz w:val="26"/>
                <w:szCs w:val="22"/>
                <w:lang w:val="ru-RU" w:eastAsia="en-US" w:bidi="ar-SA"/>
              </w:rPr>
            </w:pPr>
            <w:r>
              <w:rPr>
                <w:rFonts w:eastAsia="Calibri" w:cs="Arial"/>
                <w:sz w:val="26"/>
                <w:szCs w:val="22"/>
                <w:lang w:val="ru-RU" w:eastAsia="en-US" w:bidi="ar-SA"/>
              </w:rPr>
            </w:r>
          </w:p>
        </w:tc>
        <w:tc>
          <w:tcPr>
            <w:tcW w:w="8506" w:type="dxa"/>
            <w:tcBorders/>
          </w:tcPr>
          <w:p>
            <w:pPr>
              <w:pStyle w:val="Style23"/>
              <w:widowControl/>
              <w:spacing w:lineRule="auto" w:line="240" w:before="60" w:after="60"/>
              <w:rPr>
                <w:rFonts w:ascii="Times New Roman" w:hAnsi="Times New Roman" w:eastAsia="Calibri" w:cs="Arial"/>
                <w:sz w:val="26"/>
                <w:szCs w:val="22"/>
                <w:lang w:val="ru-RU" w:eastAsia="en-US" w:bidi="ar-SA"/>
              </w:rPr>
            </w:pPr>
            <w:r>
              <w:rPr>
                <w:rFonts w:eastAsia="Calibri" w:cs="Arial"/>
                <w:kern w:val="0"/>
                <w:sz w:val="26"/>
                <w:szCs w:val="22"/>
                <w:lang w:val="ru-RU" w:eastAsia="en-US" w:bidi="ar-SA"/>
              </w:rPr>
              <w:t xml:space="preserve">Наличие в составе заявки обязательных к предоставлению (для целей рассмотрения заявок в рамках отборочной стадии) документов в соответствии с требованиями </w:t>
            </w:r>
            <w:hyperlink w:anchor="Прил06_СоставЗаявки" w:tgtFrame="#Прил06_СоставЗаявки">
              <w:r>
                <w:rPr>
                  <w:rFonts w:eastAsia="Calibri" w:cs="Arial"/>
                  <w:color w:val="000000"/>
                  <w:spacing w:val="0"/>
                  <w:kern w:val="0"/>
                  <w:sz w:val="26"/>
                  <w:szCs w:val="22"/>
                  <w:u w:val="single"/>
                  <w:shd w:fill="auto" w:val="clear"/>
                  <w:lang w:val="ru-RU" w:eastAsia="en-US" w:bidi="ar-SA"/>
                </w:rPr>
                <w:t>Приложения № 6 «Состав заявки»</w:t>
              </w:r>
            </w:hyperlink>
            <w:r>
              <w:rPr>
                <w:rFonts w:eastAsia="Calibri" w:cs="Arial"/>
                <w:kern w:val="0"/>
                <w:sz w:val="26"/>
                <w:szCs w:val="22"/>
                <w:lang w:val="ru-RU" w:eastAsia="en-US" w:bidi="ar-SA"/>
              </w:rPr>
              <w:t>, а также правильность их оформления (в т.ч. в части наличия должных печатей, подписей, формы заверения, языка и валюты заявки)</w:t>
            </w:r>
          </w:p>
        </w:tc>
        <w:tc>
          <w:tcPr>
            <w:tcW w:w="3117" w:type="dxa"/>
            <w:tcBorders/>
          </w:tcPr>
          <w:p>
            <w:pPr>
              <w:pStyle w:val="Style23"/>
              <w:widowControl/>
              <w:spacing w:lineRule="auto" w:line="240" w:before="60" w:after="60"/>
              <w:jc w:val="center"/>
              <w:rPr>
                <w:rStyle w:val="Style6"/>
              </w:rPr>
            </w:pPr>
            <w:r>
              <w:rPr>
                <w:rFonts w:eastAsia="Calibri" w:cs="Arial"/>
                <w:kern w:val="0"/>
                <w:sz w:val="26"/>
                <w:szCs w:val="22"/>
                <w:lang w:val="ru-RU" w:eastAsia="en-US" w:bidi="ar-SA"/>
              </w:rPr>
              <w:t>подразделы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_Ref130394681 \r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4.3</w:t>
            </w:r>
            <w:r>
              <w:rPr>
                <w:sz w:val="26"/>
                <w:kern w:val="0"/>
                <w:szCs w:val="22"/>
                <w:rFonts w:eastAsia="Calibri" w:cs="Arial"/>
                <w:lang w:val="ru-RU" w:eastAsia="en-US" w:bidi="ar-SA"/>
              </w:rPr>
              <w:fldChar w:fldCharType="end"/>
            </w:r>
            <w:r>
              <w:rPr>
                <w:rFonts w:eastAsia="Calibri" w:cs="Arial"/>
                <w:kern w:val="0"/>
                <w:sz w:val="26"/>
                <w:szCs w:val="22"/>
                <w:lang w:val="ru-RU" w:eastAsia="en-US" w:bidi="ar-SA"/>
              </w:rPr>
              <w:t xml:space="preserve">,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_Ref125362119 \r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4.6</w:t>
            </w:r>
            <w:r>
              <w:rPr>
                <w:sz w:val="26"/>
                <w:kern w:val="0"/>
                <w:szCs w:val="22"/>
                <w:rFonts w:eastAsia="Calibri" w:cs="Arial"/>
                <w:lang w:val="ru-RU" w:eastAsia="en-US" w:bidi="ar-SA"/>
              </w:rPr>
              <w:fldChar w:fldCharType="end"/>
            </w:r>
            <w:r>
              <w:rPr>
                <w:rFonts w:eastAsia="Calibri" w:cs="Arial"/>
                <w:kern w:val="0"/>
                <w:sz w:val="26"/>
                <w:szCs w:val="22"/>
                <w:lang w:val="ru-RU" w:eastAsia="en-US" w:bidi="ar-SA"/>
              </w:rPr>
              <w:t>,</w:t>
              <w:br/>
            </w:r>
            <w:hyperlink w:anchor="Прил06_СоставЗаявки" w:tgtFrame="#Прил06_СоставЗаявки">
              <w:r>
                <w:rPr>
                  <w:rFonts w:eastAsia="Calibri" w:cs="Arial"/>
                  <w:color w:val="000000"/>
                  <w:spacing w:val="0"/>
                  <w:kern w:val="0"/>
                  <w:sz w:val="26"/>
                  <w:szCs w:val="22"/>
                  <w:u w:val="single"/>
                  <w:shd w:fill="auto" w:val="clear"/>
                  <w:lang w:val="ru-RU" w:eastAsia="en-US" w:bidi="ar-SA"/>
                </w:rPr>
                <w:t>Приложение № 6</w:t>
              </w:r>
            </w:hyperlink>
          </w:p>
        </w:tc>
        <w:tc>
          <w:tcPr>
            <w:tcW w:w="2090" w:type="dxa"/>
            <w:tcBorders/>
          </w:tcPr>
          <w:p>
            <w:pPr>
              <w:pStyle w:val="Style23"/>
              <w:widowControl/>
              <w:spacing w:lineRule="auto" w:line="240" w:before="60" w:after="60"/>
              <w:jc w:val="center"/>
              <w:rPr>
                <w:rFonts w:ascii="Times New Roman" w:hAnsi="Times New Roman" w:eastAsia="Calibri" w:cs="Arial"/>
                <w:sz w:val="26"/>
                <w:szCs w:val="22"/>
                <w:lang w:val="ru-RU" w:eastAsia="en-US" w:bidi="ar-SA"/>
              </w:rPr>
            </w:pPr>
            <w:r>
              <w:rPr>
                <w:rFonts w:eastAsia="Calibri" w:cs="Arial"/>
                <w:kern w:val="0"/>
                <w:sz w:val="26"/>
                <w:szCs w:val="22"/>
                <w:lang w:val="ru-RU" w:eastAsia="en-US" w:bidi="ar-SA"/>
              </w:rPr>
              <w:t>Орг, Тех,</w:t>
              <w:br/>
              <w:t>Цена, Юр</w:t>
            </w:r>
          </w:p>
        </w:tc>
      </w:tr>
      <w:tr>
        <w:trPr/>
        <w:tc>
          <w:tcPr>
            <w:tcW w:w="1412" w:type="dxa"/>
            <w:tcBorders/>
          </w:tcPr>
          <w:p>
            <w:pPr>
              <w:pStyle w:val="Style23"/>
              <w:widowControl/>
              <w:numPr>
                <w:ilvl w:val="0"/>
                <w:numId w:val="8"/>
              </w:numPr>
              <w:spacing w:lineRule="auto" w:line="240" w:before="60" w:after="60"/>
              <w:ind w:hanging="0" w:left="170"/>
              <w:jc w:val="center"/>
              <w:rPr>
                <w:rFonts w:ascii="Times New Roman" w:hAnsi="Times New Roman" w:eastAsia="Calibri" w:cs="Arial"/>
                <w:sz w:val="26"/>
                <w:szCs w:val="22"/>
                <w:lang w:val="ru-RU" w:eastAsia="en-US" w:bidi="ar-SA"/>
              </w:rPr>
            </w:pPr>
            <w:r>
              <w:rPr>
                <w:rFonts w:eastAsia="Calibri" w:cs="Arial"/>
                <w:sz w:val="26"/>
                <w:szCs w:val="22"/>
                <w:lang w:val="ru-RU" w:eastAsia="en-US" w:bidi="ar-SA"/>
              </w:rPr>
            </w:r>
          </w:p>
        </w:tc>
        <w:tc>
          <w:tcPr>
            <w:tcW w:w="8506" w:type="dxa"/>
            <w:tcBorders/>
          </w:tcPr>
          <w:p>
            <w:pPr>
              <w:pStyle w:val="Style23"/>
              <w:widowControl/>
              <w:spacing w:lineRule="auto" w:line="240" w:before="60" w:after="60"/>
              <w:rPr>
                <w:rFonts w:ascii="Times New Roman" w:hAnsi="Times New Roman" w:eastAsia="Calibri" w:cs="Arial"/>
                <w:sz w:val="26"/>
                <w:szCs w:val="22"/>
                <w:lang w:val="ru-RU" w:eastAsia="en-US" w:bidi="ar-SA"/>
              </w:rPr>
            </w:pPr>
            <w:r>
              <w:rPr>
                <w:rFonts w:eastAsia="Calibri" w:cs="Arial"/>
                <w:kern w:val="0"/>
                <w:sz w:val="26"/>
                <w:szCs w:val="22"/>
                <w:lang w:val="ru-RU" w:eastAsia="en-US" w:bidi="ar-SA"/>
              </w:rPr>
              <w:t>Отсутствие в материалах (документах) заявки недостоверных сведений или намеренно искаженной информации и (или) документов, внутренних противоречий между различными частями и (или) документами заявки, в том числе по тексту внутри одного документа</w:t>
            </w:r>
          </w:p>
        </w:tc>
        <w:tc>
          <w:tcPr>
            <w:tcW w:w="3117" w:type="dxa"/>
            <w:tcBorders/>
          </w:tcPr>
          <w:p>
            <w:pPr>
              <w:pStyle w:val="Style23"/>
              <w:widowControl/>
              <w:spacing w:lineRule="auto" w:line="240" w:before="60" w:after="60"/>
              <w:jc w:val="center"/>
              <w:rPr>
                <w:rFonts w:ascii="Times New Roman" w:hAnsi="Times New Roman" w:eastAsia="Calibri" w:cs="Arial"/>
                <w:sz w:val="26"/>
                <w:szCs w:val="22"/>
                <w:lang w:val="ru-RU" w:eastAsia="en-US" w:bidi="ar-SA"/>
              </w:rPr>
            </w:pPr>
            <w:r>
              <w:rPr>
                <w:rFonts w:eastAsia="Calibri" w:cs="Arial"/>
                <w:kern w:val="0"/>
                <w:sz w:val="26"/>
                <w:szCs w:val="22"/>
                <w:lang w:val="ru-RU" w:eastAsia="en-US" w:bidi="ar-SA"/>
              </w:rPr>
              <w:t>подразделы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_Ref130394681 \r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4.3</w:t>
            </w:r>
            <w:r>
              <w:rPr>
                <w:sz w:val="26"/>
                <w:kern w:val="0"/>
                <w:szCs w:val="22"/>
                <w:rFonts w:eastAsia="Calibri" w:cs="Arial"/>
                <w:lang w:val="ru-RU" w:eastAsia="en-US" w:bidi="ar-SA"/>
              </w:rPr>
              <w:fldChar w:fldCharType="end"/>
            </w:r>
            <w:r>
              <w:rPr>
                <w:rFonts w:eastAsia="Calibri" w:cs="Arial"/>
                <w:kern w:val="0"/>
                <w:sz w:val="26"/>
                <w:szCs w:val="22"/>
                <w:lang w:val="ru-RU" w:eastAsia="en-US" w:bidi="ar-SA"/>
              </w:rPr>
              <w:t xml:space="preserve">,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_Ref135749133 \r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4.9</w:t>
            </w:r>
            <w:r>
              <w:rPr>
                <w:sz w:val="26"/>
                <w:kern w:val="0"/>
                <w:szCs w:val="22"/>
                <w:rFonts w:eastAsia="Calibri" w:cs="Arial"/>
                <w:lang w:val="ru-RU" w:eastAsia="en-US" w:bidi="ar-SA"/>
              </w:rPr>
              <w:fldChar w:fldCharType="end"/>
            </w:r>
          </w:p>
        </w:tc>
        <w:tc>
          <w:tcPr>
            <w:tcW w:w="2090" w:type="dxa"/>
            <w:tcBorders/>
          </w:tcPr>
          <w:p>
            <w:pPr>
              <w:pStyle w:val="Style23"/>
              <w:widowControl/>
              <w:spacing w:lineRule="auto" w:line="240" w:before="60" w:after="60"/>
              <w:jc w:val="center"/>
              <w:rPr>
                <w:rFonts w:ascii="Times New Roman" w:hAnsi="Times New Roman" w:eastAsia="Calibri" w:cs="Arial"/>
                <w:sz w:val="26"/>
                <w:szCs w:val="22"/>
                <w:lang w:val="ru-RU" w:eastAsia="en-US" w:bidi="ar-SA"/>
              </w:rPr>
            </w:pPr>
            <w:r>
              <w:rPr>
                <w:rFonts w:eastAsia="Calibri" w:cs="Arial"/>
                <w:kern w:val="0"/>
                <w:sz w:val="26"/>
                <w:szCs w:val="22"/>
                <w:lang w:val="ru-RU" w:eastAsia="en-US" w:bidi="ar-SA"/>
              </w:rPr>
              <w:t>Орг, Тех,</w:t>
              <w:br/>
              <w:t>Цена, Юр</w:t>
            </w:r>
          </w:p>
        </w:tc>
      </w:tr>
      <w:tr>
        <w:trPr/>
        <w:tc>
          <w:tcPr>
            <w:tcW w:w="1412" w:type="dxa"/>
            <w:tcBorders/>
          </w:tcPr>
          <w:p>
            <w:pPr>
              <w:pStyle w:val="Style23"/>
              <w:widowControl/>
              <w:numPr>
                <w:ilvl w:val="0"/>
                <w:numId w:val="8"/>
              </w:numPr>
              <w:spacing w:lineRule="auto" w:line="240" w:before="60" w:after="60"/>
              <w:ind w:hanging="0" w:left="170"/>
              <w:jc w:val="center"/>
              <w:rPr>
                <w:rFonts w:ascii="Times New Roman" w:hAnsi="Times New Roman" w:eastAsia="Calibri" w:cs="Arial"/>
                <w:sz w:val="26"/>
                <w:szCs w:val="22"/>
                <w:lang w:val="ru-RU" w:eastAsia="en-US" w:bidi="ar-SA"/>
              </w:rPr>
            </w:pPr>
            <w:r>
              <w:rPr>
                <w:rFonts w:eastAsia="Calibri" w:cs="Arial"/>
                <w:sz w:val="26"/>
                <w:szCs w:val="22"/>
                <w:lang w:val="ru-RU" w:eastAsia="en-US" w:bidi="ar-SA"/>
              </w:rPr>
            </w:r>
          </w:p>
        </w:tc>
        <w:tc>
          <w:tcPr>
            <w:tcW w:w="8506" w:type="dxa"/>
            <w:tcBorders/>
          </w:tcPr>
          <w:p>
            <w:pPr>
              <w:pStyle w:val="Style23"/>
              <w:widowControl/>
              <w:spacing w:lineRule="auto" w:line="240" w:before="60" w:after="60"/>
              <w:rPr>
                <w:rFonts w:ascii="Times New Roman" w:hAnsi="Times New Roman" w:eastAsia="Calibri" w:cs="Arial"/>
                <w:sz w:val="26"/>
                <w:szCs w:val="22"/>
                <w:lang w:val="ru-RU" w:eastAsia="en-US" w:bidi="ar-SA"/>
              </w:rPr>
            </w:pPr>
            <w:r>
              <w:rPr>
                <w:rFonts w:eastAsia="Calibri" w:cs="Arial"/>
                <w:kern w:val="0"/>
                <w:sz w:val="26"/>
                <w:szCs w:val="22"/>
                <w:lang w:val="ru-RU" w:eastAsia="en-US" w:bidi="ar-SA"/>
              </w:rPr>
              <w:t>Наличие обеспечения обязательств Участника, связанного с подачей заявки, в виде банковской гарантии и ее соответствие установленным требованиям Документации о закупке – если подразделом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_Ref125359973 \r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1.2</w:t>
            </w:r>
            <w:r>
              <w:rPr>
                <w:sz w:val="26"/>
                <w:kern w:val="0"/>
                <w:szCs w:val="22"/>
                <w:rFonts w:eastAsia="Calibri" w:cs="Arial"/>
                <w:lang w:val="ru-RU" w:eastAsia="en-US" w:bidi="ar-SA"/>
              </w:rPr>
              <w:fldChar w:fldCharType="end"/>
            </w:r>
            <w:r>
              <w:rPr>
                <w:rFonts w:eastAsia="Calibri" w:cs="Arial"/>
                <w:kern w:val="0"/>
                <w:sz w:val="26"/>
                <w:szCs w:val="22"/>
                <w:lang w:val="ru-RU" w:eastAsia="en-US" w:bidi="ar-SA"/>
              </w:rPr>
              <w:t xml:space="preserve"> предусмотрена обязанность Участников предоставить обеспечение заявки на участие в закупке и в случае отсутствия внесенных Участником денежных средств на индивидуальный счет, открытый Участнику Оператором ЭП в соответствии с Регламентом ЭП</w:t>
            </w:r>
          </w:p>
        </w:tc>
        <w:tc>
          <w:tcPr>
            <w:tcW w:w="3117" w:type="dxa"/>
            <w:tcBorders/>
          </w:tcPr>
          <w:p>
            <w:pPr>
              <w:pStyle w:val="Style23"/>
              <w:widowControl/>
              <w:spacing w:lineRule="auto" w:line="240" w:before="60" w:after="60"/>
              <w:jc w:val="center"/>
              <w:rPr>
                <w:rFonts w:ascii="Times New Roman" w:hAnsi="Times New Roman" w:eastAsia="Calibri" w:cs="Arial"/>
                <w:sz w:val="26"/>
                <w:szCs w:val="22"/>
                <w:lang w:val="ru-RU" w:eastAsia="en-US" w:bidi="ar-SA"/>
              </w:rPr>
            </w:pPr>
            <w:r>
              <w:rPr>
                <w:rFonts w:eastAsia="Calibri" w:cs="Arial"/>
                <w:kern w:val="0"/>
                <w:sz w:val="26"/>
                <w:szCs w:val="22"/>
                <w:lang w:val="ru-RU" w:eastAsia="en-US" w:bidi="ar-SA"/>
              </w:rPr>
              <w:t>подраздел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_Ref130455226 \r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4.17</w:t>
            </w:r>
            <w:r>
              <w:rPr>
                <w:sz w:val="26"/>
                <w:kern w:val="0"/>
                <w:szCs w:val="22"/>
                <w:rFonts w:eastAsia="Calibri" w:cs="Arial"/>
                <w:lang w:val="ru-RU" w:eastAsia="en-US" w:bidi="ar-SA"/>
              </w:rPr>
              <w:fldChar w:fldCharType="end"/>
            </w:r>
          </w:p>
        </w:tc>
        <w:tc>
          <w:tcPr>
            <w:tcW w:w="2090" w:type="dxa"/>
            <w:tcBorders/>
          </w:tcPr>
          <w:p>
            <w:pPr>
              <w:pStyle w:val="Style23"/>
              <w:widowControl/>
              <w:spacing w:lineRule="auto" w:line="240" w:before="60" w:after="60"/>
              <w:jc w:val="center"/>
              <w:rPr>
                <w:rFonts w:ascii="Times New Roman" w:hAnsi="Times New Roman" w:eastAsia="Calibri" w:cs="Arial"/>
                <w:sz w:val="26"/>
                <w:szCs w:val="22"/>
                <w:lang w:val="ru-RU" w:eastAsia="en-US" w:bidi="ar-SA"/>
              </w:rPr>
            </w:pPr>
            <w:r>
              <w:rPr>
                <w:rFonts w:eastAsia="Calibri" w:cs="Arial"/>
                <w:kern w:val="0"/>
                <w:sz w:val="26"/>
                <w:szCs w:val="22"/>
                <w:lang w:val="ru-RU" w:eastAsia="en-US" w:bidi="ar-SA"/>
              </w:rPr>
              <w:t>Орг – в части наличия сведений в реестре,</w:t>
            </w:r>
          </w:p>
          <w:p>
            <w:pPr>
              <w:pStyle w:val="Style23"/>
              <w:widowControl/>
              <w:spacing w:lineRule="auto" w:line="240" w:before="60" w:after="60"/>
              <w:jc w:val="center"/>
              <w:rPr>
                <w:rFonts w:ascii="Times New Roman" w:hAnsi="Times New Roman" w:eastAsia="Calibri" w:cs="Arial"/>
                <w:sz w:val="26"/>
                <w:szCs w:val="22"/>
                <w:lang w:val="ru-RU" w:eastAsia="en-US" w:bidi="ar-SA"/>
              </w:rPr>
            </w:pPr>
            <w:r>
              <w:rPr>
                <w:rFonts w:eastAsia="Calibri" w:cs="Arial"/>
                <w:kern w:val="0"/>
                <w:sz w:val="26"/>
                <w:szCs w:val="22"/>
                <w:lang w:val="ru-RU" w:eastAsia="en-US" w:bidi="ar-SA"/>
              </w:rPr>
              <w:t>Фин – в части соответствия</w:t>
            </w:r>
          </w:p>
        </w:tc>
      </w:tr>
      <w:tr>
        <w:trPr/>
        <w:tc>
          <w:tcPr>
            <w:tcW w:w="9918" w:type="dxa"/>
            <w:gridSpan w:val="2"/>
            <w:tcBorders/>
          </w:tcPr>
          <w:p>
            <w:pPr>
              <w:pStyle w:val="Style23"/>
              <w:keepNext w:val="true"/>
              <w:widowControl/>
              <w:spacing w:lineRule="auto" w:line="240" w:before="60" w:after="60"/>
              <w:rPr>
                <w:b/>
                <w:bCs/>
              </w:rPr>
            </w:pPr>
            <w:r>
              <w:rPr>
                <w:rFonts w:eastAsia="Calibri" w:cs="Arial"/>
                <w:b/>
                <w:bCs/>
                <w:kern w:val="0"/>
                <w:sz w:val="26"/>
                <w:szCs w:val="22"/>
                <w:lang w:val="ru-RU" w:eastAsia="en-US" w:bidi="ar-SA"/>
              </w:rPr>
              <w:t>Соответствие Письма о подаче оферты:</w:t>
            </w:r>
          </w:p>
        </w:tc>
        <w:tc>
          <w:tcPr>
            <w:tcW w:w="3117" w:type="dxa"/>
            <w:tcBorders/>
          </w:tcPr>
          <w:p>
            <w:pPr>
              <w:pStyle w:val="Style23"/>
              <w:keepNext w:val="true"/>
              <w:widowControl/>
              <w:spacing w:lineRule="auto" w:line="240" w:before="60" w:after="60"/>
              <w:jc w:val="center"/>
              <w:rPr>
                <w:rFonts w:ascii="Times New Roman" w:hAnsi="Times New Roman" w:eastAsia="Calibri" w:cs="Arial"/>
                <w:sz w:val="26"/>
                <w:szCs w:val="22"/>
                <w:lang w:val="ru-RU" w:eastAsia="en-US" w:bidi="ar-SA"/>
              </w:rPr>
            </w:pPr>
            <w:r>
              <w:rPr>
                <w:rFonts w:eastAsia="Calibri" w:cs="Arial"/>
                <w:b/>
                <w:bCs/>
                <w:kern w:val="0"/>
                <w:sz w:val="26"/>
                <w:szCs w:val="22"/>
                <w:lang w:val="ru-RU" w:eastAsia="en-US" w:bidi="ar-SA"/>
              </w:rPr>
              <w:t>–</w:t>
            </w:r>
          </w:p>
        </w:tc>
        <w:tc>
          <w:tcPr>
            <w:tcW w:w="2090" w:type="dxa"/>
            <w:tcBorders/>
          </w:tcPr>
          <w:p>
            <w:pPr>
              <w:pStyle w:val="Style23"/>
              <w:keepNext w:val="true"/>
              <w:widowControl/>
              <w:spacing w:lineRule="auto" w:line="240" w:before="60" w:after="60"/>
              <w:jc w:val="center"/>
              <w:rPr>
                <w:rFonts w:ascii="Times New Roman" w:hAnsi="Times New Roman" w:eastAsia="Calibri" w:cs="Arial"/>
                <w:sz w:val="26"/>
                <w:szCs w:val="22"/>
                <w:lang w:val="ru-RU" w:eastAsia="en-US" w:bidi="ar-SA"/>
              </w:rPr>
            </w:pPr>
            <w:r>
              <w:rPr>
                <w:rFonts w:eastAsia="Calibri" w:cs="Arial"/>
                <w:b/>
                <w:bCs/>
                <w:kern w:val="0"/>
                <w:sz w:val="26"/>
                <w:szCs w:val="22"/>
                <w:lang w:val="ru-RU" w:eastAsia="en-US" w:bidi="ar-SA"/>
              </w:rPr>
              <w:t>–</w:t>
            </w:r>
          </w:p>
        </w:tc>
      </w:tr>
      <w:tr>
        <w:trPr/>
        <w:tc>
          <w:tcPr>
            <w:tcW w:w="1412" w:type="dxa"/>
            <w:tcBorders/>
          </w:tcPr>
          <w:p>
            <w:pPr>
              <w:pStyle w:val="Style23"/>
              <w:widowControl/>
              <w:numPr>
                <w:ilvl w:val="0"/>
                <w:numId w:val="8"/>
              </w:numPr>
              <w:spacing w:lineRule="auto" w:line="240" w:before="60" w:after="60"/>
              <w:ind w:hanging="0" w:left="170"/>
              <w:jc w:val="center"/>
              <w:rPr>
                <w:rFonts w:ascii="Times New Roman" w:hAnsi="Times New Roman" w:eastAsia="Calibri" w:cs="Arial"/>
                <w:sz w:val="26"/>
                <w:szCs w:val="22"/>
                <w:lang w:val="ru-RU" w:eastAsia="en-US" w:bidi="ar-SA"/>
              </w:rPr>
            </w:pPr>
            <w:r>
              <w:rPr>
                <w:rFonts w:eastAsia="Calibri" w:cs="Arial"/>
                <w:sz w:val="26"/>
                <w:szCs w:val="22"/>
                <w:lang w:val="ru-RU" w:eastAsia="en-US" w:bidi="ar-SA"/>
              </w:rPr>
            </w:r>
          </w:p>
        </w:tc>
        <w:tc>
          <w:tcPr>
            <w:tcW w:w="8506" w:type="dxa"/>
            <w:tcBorders/>
          </w:tcPr>
          <w:p>
            <w:pPr>
              <w:pStyle w:val="Style23"/>
              <w:widowControl/>
              <w:spacing w:lineRule="auto" w:line="240" w:before="60" w:after="60"/>
              <w:rPr>
                <w:rFonts w:ascii="Times New Roman" w:hAnsi="Times New Roman" w:eastAsia="Calibri" w:cs="Arial"/>
                <w:sz w:val="26"/>
                <w:szCs w:val="22"/>
                <w:lang w:val="ru-RU" w:eastAsia="en-US" w:bidi="ar-SA"/>
              </w:rPr>
            </w:pPr>
            <w:r>
              <w:rPr>
                <w:rFonts w:eastAsia="Calibri" w:cs="Arial"/>
                <w:kern w:val="0"/>
                <w:sz w:val="26"/>
                <w:szCs w:val="22"/>
                <w:lang w:val="ru-RU" w:eastAsia="en-US" w:bidi="ar-SA"/>
              </w:rPr>
              <w:t>Соответствие (в том числе содержание) Письма о подаче оферты установленной форме и иным требованиям Документации о закупке, в т.ч. в части наличия должных печатей (при наличии), подписей, формы заверения, языка, валюты и срока действия заявки</w:t>
            </w:r>
          </w:p>
        </w:tc>
        <w:tc>
          <w:tcPr>
            <w:tcW w:w="3117" w:type="dxa"/>
            <w:tcBorders/>
          </w:tcPr>
          <w:p>
            <w:pPr>
              <w:pStyle w:val="Style23"/>
              <w:widowControl/>
              <w:spacing w:lineRule="auto" w:line="240" w:before="60" w:after="60"/>
              <w:jc w:val="center"/>
              <w:rPr>
                <w:rFonts w:ascii="Times New Roman" w:hAnsi="Times New Roman" w:eastAsia="Calibri" w:cs="Arial"/>
                <w:sz w:val="26"/>
                <w:szCs w:val="22"/>
                <w:lang w:val="ru-RU" w:eastAsia="en-US" w:bidi="ar-SA"/>
              </w:rPr>
            </w:pPr>
            <w:r>
              <w:rPr>
                <w:rFonts w:eastAsia="Calibri" w:cs="Arial"/>
                <w:kern w:val="0"/>
                <w:sz w:val="26"/>
                <w:szCs w:val="22"/>
                <w:lang w:val="ru-RU" w:eastAsia="en-US" w:bidi="ar-SA"/>
              </w:rPr>
              <w:t>подразделы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_Ref130394681 \r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4.3</w:t>
            </w:r>
            <w:r>
              <w:rPr>
                <w:sz w:val="26"/>
                <w:kern w:val="0"/>
                <w:szCs w:val="22"/>
                <w:rFonts w:eastAsia="Calibri" w:cs="Arial"/>
                <w:lang w:val="ru-RU" w:eastAsia="en-US" w:bidi="ar-SA"/>
              </w:rPr>
              <w:fldChar w:fldCharType="end"/>
            </w:r>
            <w:r>
              <w:rPr>
                <w:rFonts w:eastAsia="Calibri" w:cs="Arial"/>
                <w:kern w:val="0"/>
                <w:sz w:val="26"/>
                <w:szCs w:val="22"/>
                <w:lang w:val="ru-RU" w:eastAsia="en-US" w:bidi="ar-SA"/>
              </w:rPr>
              <w:t xml:space="preserve">,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_Ref125362119 \r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4.6</w:t>
            </w:r>
            <w:r>
              <w:rPr>
                <w:sz w:val="26"/>
                <w:kern w:val="0"/>
                <w:szCs w:val="22"/>
                <w:rFonts w:eastAsia="Calibri" w:cs="Arial"/>
                <w:lang w:val="ru-RU" w:eastAsia="en-US" w:bidi="ar-SA"/>
              </w:rPr>
              <w:fldChar w:fldCharType="end"/>
            </w:r>
            <w:r>
              <w:rPr>
                <w:rFonts w:eastAsia="Calibri" w:cs="Arial"/>
                <w:kern w:val="0"/>
                <w:sz w:val="26"/>
                <w:szCs w:val="22"/>
                <w:lang w:val="ru-RU" w:eastAsia="en-US" w:bidi="ar-SA"/>
              </w:rPr>
              <w:br/>
            </w:r>
            <w:hyperlink w:anchor="Прил04_ФормыЗаявки" w:tgtFrame="#Прил04_ФормыЗаявки">
              <w:r>
                <w:rPr>
                  <w:rFonts w:eastAsia="Calibri" w:cs="Arial"/>
                  <w:color w:val="000000"/>
                  <w:spacing w:val="0"/>
                  <w:kern w:val="0"/>
                  <w:sz w:val="26"/>
                  <w:szCs w:val="22"/>
                  <w:u w:val="single"/>
                  <w:shd w:fill="auto" w:val="clear"/>
                  <w:lang w:val="ru-RU" w:eastAsia="en-US" w:bidi="ar-SA"/>
                </w:rPr>
                <w:t>Приложение № 4</w:t>
              </w:r>
            </w:hyperlink>
          </w:p>
        </w:tc>
        <w:tc>
          <w:tcPr>
            <w:tcW w:w="2090" w:type="dxa"/>
            <w:tcBorders/>
          </w:tcPr>
          <w:p>
            <w:pPr>
              <w:pStyle w:val="Style23"/>
              <w:widowControl/>
              <w:spacing w:lineRule="auto" w:line="240" w:before="60" w:after="60"/>
              <w:jc w:val="center"/>
              <w:rPr>
                <w:rFonts w:ascii="Times New Roman" w:hAnsi="Times New Roman" w:eastAsia="Calibri" w:cs="Arial"/>
                <w:sz w:val="26"/>
                <w:szCs w:val="22"/>
                <w:lang w:val="ru-RU" w:eastAsia="en-US" w:bidi="ar-SA"/>
              </w:rPr>
            </w:pPr>
            <w:r>
              <w:rPr>
                <w:rFonts w:eastAsia="Calibri" w:cs="Arial"/>
                <w:kern w:val="0"/>
                <w:sz w:val="26"/>
                <w:szCs w:val="22"/>
                <w:lang w:val="ru-RU" w:eastAsia="en-US" w:bidi="ar-SA"/>
              </w:rPr>
              <w:t>Орг</w:t>
            </w:r>
          </w:p>
        </w:tc>
      </w:tr>
      <w:tr>
        <w:trPr/>
        <w:tc>
          <w:tcPr>
            <w:tcW w:w="9918" w:type="dxa"/>
            <w:gridSpan w:val="2"/>
            <w:tcBorders/>
          </w:tcPr>
          <w:p>
            <w:pPr>
              <w:pStyle w:val="Style23"/>
              <w:keepNext w:val="true"/>
              <w:widowControl/>
              <w:spacing w:lineRule="auto" w:line="240" w:before="60" w:after="60"/>
              <w:rPr>
                <w:b/>
                <w:bCs/>
              </w:rPr>
            </w:pPr>
            <w:r>
              <w:rPr>
                <w:rFonts w:eastAsia="Calibri" w:cs="Arial"/>
                <w:b/>
                <w:bCs/>
                <w:kern w:val="0"/>
                <w:sz w:val="26"/>
                <w:szCs w:val="22"/>
                <w:lang w:val="ru-RU" w:eastAsia="en-US" w:bidi="ar-SA"/>
              </w:rPr>
              <w:t>Соответствие Участника установленным требованиям Документации о закупке, в том числе:</w:t>
            </w:r>
          </w:p>
        </w:tc>
        <w:tc>
          <w:tcPr>
            <w:tcW w:w="3117" w:type="dxa"/>
            <w:tcBorders/>
          </w:tcPr>
          <w:p>
            <w:pPr>
              <w:pStyle w:val="Style23"/>
              <w:widowControl/>
              <w:spacing w:lineRule="auto" w:line="240" w:before="60" w:after="60"/>
              <w:jc w:val="center"/>
              <w:rPr>
                <w:b/>
                <w:bCs/>
              </w:rPr>
            </w:pPr>
            <w:r>
              <w:rPr>
                <w:rFonts w:eastAsia="Calibri" w:cs="Arial"/>
                <w:b/>
                <w:bCs/>
                <w:kern w:val="0"/>
                <w:sz w:val="26"/>
                <w:szCs w:val="22"/>
                <w:lang w:val="ru-RU" w:eastAsia="en-US" w:bidi="ar-SA"/>
              </w:rPr>
              <w:t>–</w:t>
            </w:r>
          </w:p>
        </w:tc>
        <w:tc>
          <w:tcPr>
            <w:tcW w:w="2090" w:type="dxa"/>
            <w:tcBorders/>
          </w:tcPr>
          <w:p>
            <w:pPr>
              <w:pStyle w:val="Style23"/>
              <w:widowControl/>
              <w:spacing w:lineRule="auto" w:line="240" w:before="60" w:after="60"/>
              <w:jc w:val="center"/>
              <w:rPr>
                <w:b/>
                <w:bCs/>
              </w:rPr>
            </w:pPr>
            <w:r>
              <w:rPr>
                <w:rFonts w:eastAsia="Calibri" w:cs="Arial"/>
                <w:b/>
                <w:bCs/>
                <w:kern w:val="0"/>
                <w:sz w:val="26"/>
                <w:szCs w:val="22"/>
                <w:lang w:val="ru-RU" w:eastAsia="en-US" w:bidi="ar-SA"/>
              </w:rPr>
              <w:t>–</w:t>
            </w:r>
          </w:p>
        </w:tc>
      </w:tr>
      <w:tr>
        <w:trPr/>
        <w:tc>
          <w:tcPr>
            <w:tcW w:w="1412" w:type="dxa"/>
            <w:tcBorders/>
          </w:tcPr>
          <w:p>
            <w:pPr>
              <w:pStyle w:val="Style23"/>
              <w:widowControl/>
              <w:numPr>
                <w:ilvl w:val="0"/>
                <w:numId w:val="8"/>
              </w:numPr>
              <w:spacing w:lineRule="auto" w:line="240" w:before="60" w:after="60"/>
              <w:ind w:hanging="0" w:left="170"/>
              <w:jc w:val="center"/>
              <w:rPr>
                <w:rFonts w:ascii="Times New Roman" w:hAnsi="Times New Roman" w:eastAsia="Calibri" w:cs="Arial"/>
                <w:sz w:val="26"/>
                <w:szCs w:val="22"/>
                <w:lang w:val="ru-RU" w:eastAsia="en-US" w:bidi="ar-SA"/>
              </w:rPr>
            </w:pPr>
            <w:r>
              <w:rPr>
                <w:rFonts w:eastAsia="Calibri" w:cs="Arial"/>
                <w:sz w:val="26"/>
                <w:szCs w:val="22"/>
                <w:lang w:val="ru-RU" w:eastAsia="en-US" w:bidi="ar-SA"/>
              </w:rPr>
            </w:r>
          </w:p>
        </w:tc>
        <w:tc>
          <w:tcPr>
            <w:tcW w:w="8506" w:type="dxa"/>
            <w:tcBorders/>
          </w:tcPr>
          <w:p>
            <w:pPr>
              <w:pStyle w:val="Style23"/>
              <w:widowControl/>
              <w:spacing w:lineRule="auto" w:line="240" w:before="60" w:after="60"/>
              <w:rPr>
                <w:rFonts w:ascii="Times New Roman" w:hAnsi="Times New Roman" w:eastAsia="Calibri" w:cs="Arial"/>
                <w:sz w:val="26"/>
                <w:szCs w:val="22"/>
                <w:lang w:val="ru-RU" w:eastAsia="en-US" w:bidi="ar-SA"/>
              </w:rPr>
            </w:pPr>
            <w:r>
              <w:rPr>
                <w:rFonts w:eastAsia="Calibri" w:cs="Arial"/>
                <w:kern w:val="0"/>
                <w:sz w:val="26"/>
                <w:szCs w:val="22"/>
                <w:lang w:val="ru-RU" w:eastAsia="en-US" w:bidi="ar-SA"/>
              </w:rPr>
              <w:t>Соответствие Участника пункту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_Ref125552433 \w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1</w:t>
            </w:r>
            <w:r>
              <w:rPr>
                <w:sz w:val="26"/>
                <w:kern w:val="0"/>
                <w:szCs w:val="22"/>
                <w:rFonts w:eastAsia="Calibri" w:cs="Arial"/>
                <w:lang w:val="ru-RU" w:eastAsia="en-US" w:bidi="ar-SA"/>
              </w:rPr>
              <w:fldChar w:fldCharType="end"/>
            </w:r>
            <w:r>
              <w:rPr>
                <w:rFonts w:eastAsia="Calibri" w:cs="Arial"/>
                <w:kern w:val="0"/>
                <w:sz w:val="26"/>
                <w:szCs w:val="22"/>
                <w:lang w:val="ru-RU" w:eastAsia="en-US" w:bidi="ar-SA"/>
              </w:rPr>
              <w:t xml:space="preserve"> обязательных требований к Участникам</w:t>
            </w:r>
          </w:p>
          <w:p>
            <w:pPr>
              <w:pStyle w:val="Style23"/>
              <w:widowControl/>
              <w:spacing w:lineRule="auto" w:line="240" w:before="60" w:after="60"/>
              <w:rPr>
                <w:i/>
                <w:i/>
                <w:iCs/>
              </w:rPr>
            </w:pPr>
            <w:r>
              <w:rPr>
                <w:rFonts w:eastAsia="Calibri" w:cs="Arial"/>
                <w:i/>
                <w:iCs/>
                <w:kern w:val="0"/>
                <w:sz w:val="26"/>
                <w:szCs w:val="22"/>
                <w:lang w:val="ru-RU" w:eastAsia="en-US" w:bidi="ar-SA"/>
              </w:rPr>
              <w:t>(в рамках осуществления экспертизы заявки Участника в том числе проверяется наличие у него статуса «аккредитован» / «аккредитация не требуется», или проводится процедура его аккредитации (при</w:t>
            </w:r>
            <w:r>
              <w:rPr>
                <w:rFonts w:eastAsia="Calibri" w:cs="Arial"/>
                <w:i/>
                <w:iCs/>
                <w:kern w:val="0"/>
                <w:sz w:val="26"/>
                <w:szCs w:val="22"/>
                <w:lang w:val="en-US" w:eastAsia="en-US" w:bidi="ar-SA"/>
              </w:rPr>
              <w:t> </w:t>
            </w:r>
            <w:r>
              <w:rPr>
                <w:rFonts w:eastAsia="Calibri" w:cs="Arial"/>
                <w:i/>
                <w:iCs/>
                <w:kern w:val="0"/>
                <w:sz w:val="26"/>
                <w:szCs w:val="22"/>
                <w:lang w:val="ru-RU" w:eastAsia="en-US" w:bidi="ar-SA"/>
              </w:rPr>
              <w:t>необходимости). В рамках заключения Договора Победитель в целях подтверждения своего соответствия предоставляет документы в порядке, предусмотренном подразделом </w:t>
            </w:r>
            <w:r>
              <w:rPr>
                <w:rFonts w:eastAsia="Calibri" w:cs="Arial"/>
                <w:i/>
                <w:iCs/>
                <w:kern w:val="0"/>
                <w:sz w:val="26"/>
                <w:szCs w:val="22"/>
                <w:lang w:val="ru-RU" w:eastAsia="en-US" w:bidi="ar-SA"/>
              </w:rPr>
              <w:fldChar w:fldCharType="begin"/>
            </w:r>
            <w:r>
              <w:rPr>
                <w:sz w:val="26"/>
                <w:i/>
                <w:kern w:val="0"/>
                <w:szCs w:val="22"/>
                <w:iCs/>
                <w:rFonts w:eastAsia="Calibri" w:cs="Arial"/>
                <w:lang w:val="ru-RU" w:eastAsia="en-US" w:bidi="ar-SA"/>
              </w:rPr>
              <w:instrText xml:space="preserve"> REF _Ref138232981 \r \h </w:instrText>
            </w:r>
            <w:r>
              <w:rPr>
                <w:sz w:val="26"/>
                <w:i/>
                <w:kern w:val="0"/>
                <w:szCs w:val="22"/>
                <w:iCs/>
                <w:rFonts w:eastAsia="Calibri" w:cs="Arial"/>
                <w:lang w:val="ru-RU" w:eastAsia="en-US" w:bidi="ar-SA"/>
              </w:rPr>
              <w:fldChar w:fldCharType="separate"/>
            </w:r>
            <w:r>
              <w:rPr>
                <w:sz w:val="26"/>
                <w:i/>
                <w:kern w:val="0"/>
                <w:szCs w:val="22"/>
                <w:iCs/>
                <w:rFonts w:eastAsia="Calibri" w:cs="Arial"/>
                <w:lang w:val="ru-RU" w:eastAsia="en-US" w:bidi="ar-SA"/>
              </w:rPr>
              <w:t>5.2</w:t>
            </w:r>
            <w:r>
              <w:rPr>
                <w:sz w:val="26"/>
                <w:i/>
                <w:kern w:val="0"/>
                <w:szCs w:val="22"/>
                <w:iCs/>
                <w:rFonts w:eastAsia="Calibri" w:cs="Arial"/>
                <w:lang w:val="ru-RU" w:eastAsia="en-US" w:bidi="ar-SA"/>
              </w:rPr>
              <w:fldChar w:fldCharType="end"/>
            </w:r>
            <w:r>
              <w:rPr>
                <w:rFonts w:eastAsia="Calibri" w:cs="Arial"/>
                <w:i/>
                <w:iCs/>
                <w:kern w:val="0"/>
                <w:sz w:val="26"/>
                <w:szCs w:val="22"/>
                <w:lang w:val="ru-RU" w:eastAsia="en-US" w:bidi="ar-SA"/>
              </w:rPr>
              <w:t>)</w:t>
            </w:r>
          </w:p>
        </w:tc>
        <w:tc>
          <w:tcPr>
            <w:tcW w:w="3117" w:type="dxa"/>
            <w:tcBorders/>
          </w:tcPr>
          <w:p>
            <w:pPr>
              <w:pStyle w:val="Style23"/>
              <w:widowControl/>
              <w:spacing w:lineRule="auto" w:line="240" w:before="60" w:after="60"/>
              <w:jc w:val="center"/>
              <w:rPr>
                <w:rFonts w:ascii="Times New Roman" w:hAnsi="Times New Roman" w:eastAsia="Calibri" w:cs="Arial"/>
                <w:sz w:val="26"/>
                <w:szCs w:val="22"/>
                <w:lang w:val="ru-RU" w:eastAsia="en-US" w:bidi="ar-SA"/>
              </w:rPr>
            </w:pPr>
            <w:r>
              <w:rPr>
                <w:rFonts w:eastAsia="Calibri" w:cs="Arial"/>
                <w:kern w:val="0"/>
                <w:sz w:val="26"/>
                <w:szCs w:val="22"/>
                <w:lang w:val="ru-RU" w:eastAsia="en-US" w:bidi="ar-SA"/>
              </w:rPr>
              <w:t>подраздел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_Ref125361435 \w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8.2</w:t>
            </w:r>
            <w:r>
              <w:rPr>
                <w:sz w:val="26"/>
                <w:kern w:val="0"/>
                <w:szCs w:val="22"/>
                <w:rFonts w:eastAsia="Calibri" w:cs="Arial"/>
                <w:lang w:val="ru-RU" w:eastAsia="en-US" w:bidi="ar-SA"/>
              </w:rPr>
              <w:fldChar w:fldCharType="end"/>
            </w:r>
            <w:r>
              <w:rPr>
                <w:rFonts w:eastAsia="Calibri" w:cs="Arial"/>
                <w:kern w:val="0"/>
                <w:sz w:val="26"/>
                <w:szCs w:val="22"/>
                <w:lang w:val="ru-RU" w:eastAsia="en-US" w:bidi="ar-SA"/>
              </w:rPr>
              <w:br/>
              <w:t>(</w:t>
            </w:r>
            <w:hyperlink w:anchor="Прил03_ТребованияУчастникам" w:tgtFrame="#Прил03_ТребованияУчастникам">
              <w:r>
                <w:rPr>
                  <w:rFonts w:eastAsia="Calibri" w:cs="Arial"/>
                  <w:color w:val="000000"/>
                  <w:spacing w:val="0"/>
                  <w:kern w:val="0"/>
                  <w:sz w:val="26"/>
                  <w:szCs w:val="22"/>
                  <w:u w:val="single"/>
                  <w:shd w:fill="auto" w:val="clear"/>
                  <w:lang w:val="ru-RU" w:eastAsia="en-US" w:bidi="ar-SA"/>
                </w:rPr>
                <w:t>Приложение № 3</w:t>
              </w:r>
            </w:hyperlink>
            <w:r>
              <w:rPr>
                <w:rFonts w:eastAsia="Calibri" w:cs="Arial"/>
                <w:kern w:val="0"/>
                <w:sz w:val="26"/>
                <w:szCs w:val="22"/>
                <w:lang w:val="ru-RU" w:eastAsia="en-US" w:bidi="ar-SA"/>
              </w:rPr>
              <w:t>)</w:t>
            </w:r>
          </w:p>
        </w:tc>
        <w:tc>
          <w:tcPr>
            <w:tcW w:w="2090" w:type="dxa"/>
            <w:tcBorders/>
          </w:tcPr>
          <w:p>
            <w:pPr>
              <w:pStyle w:val="Style23"/>
              <w:widowControl/>
              <w:spacing w:lineRule="auto" w:line="240" w:before="60" w:after="60"/>
              <w:jc w:val="center"/>
              <w:rPr>
                <w:rFonts w:ascii="Times New Roman" w:hAnsi="Times New Roman" w:eastAsia="Calibri" w:cs="Arial"/>
                <w:sz w:val="26"/>
                <w:szCs w:val="22"/>
                <w:lang w:val="ru-RU" w:eastAsia="en-US" w:bidi="ar-SA"/>
              </w:rPr>
            </w:pPr>
            <w:r>
              <w:rPr>
                <w:rFonts w:eastAsia="Calibri" w:cs="Arial"/>
                <w:kern w:val="0"/>
                <w:sz w:val="26"/>
                <w:szCs w:val="22"/>
                <w:lang w:val="ru-RU" w:eastAsia="en-US" w:bidi="ar-SA"/>
              </w:rPr>
              <w:t>Орг, Юр</w:t>
            </w:r>
          </w:p>
        </w:tc>
      </w:tr>
      <w:tr>
        <w:trPr/>
        <w:tc>
          <w:tcPr>
            <w:tcW w:w="1412" w:type="dxa"/>
            <w:tcBorders/>
          </w:tcPr>
          <w:p>
            <w:pPr>
              <w:pStyle w:val="Style23"/>
              <w:widowControl/>
              <w:numPr>
                <w:ilvl w:val="0"/>
                <w:numId w:val="8"/>
              </w:numPr>
              <w:spacing w:lineRule="auto" w:line="240" w:before="60" w:after="60"/>
              <w:ind w:hanging="0" w:left="170"/>
              <w:jc w:val="center"/>
              <w:rPr>
                <w:rFonts w:ascii="Times New Roman" w:hAnsi="Times New Roman" w:eastAsia="Calibri" w:cs="Arial"/>
                <w:sz w:val="26"/>
                <w:szCs w:val="22"/>
                <w:lang w:val="ru-RU" w:eastAsia="en-US" w:bidi="ar-SA"/>
              </w:rPr>
            </w:pPr>
            <w:r>
              <w:rPr>
                <w:rFonts w:eastAsia="Calibri" w:cs="Arial"/>
                <w:sz w:val="26"/>
                <w:szCs w:val="22"/>
                <w:lang w:val="ru-RU" w:eastAsia="en-US" w:bidi="ar-SA"/>
              </w:rPr>
            </w:r>
          </w:p>
        </w:tc>
        <w:tc>
          <w:tcPr>
            <w:tcW w:w="8506" w:type="dxa"/>
            <w:tcBorders/>
          </w:tcPr>
          <w:p>
            <w:pPr>
              <w:pStyle w:val="Style23"/>
              <w:widowControl/>
              <w:spacing w:lineRule="auto" w:line="240" w:before="60" w:after="60"/>
              <w:rPr>
                <w:rFonts w:ascii="Times New Roman" w:hAnsi="Times New Roman" w:eastAsia="Calibri" w:cs="Arial"/>
                <w:sz w:val="26"/>
                <w:szCs w:val="22"/>
                <w:lang w:val="ru-RU" w:eastAsia="en-US" w:bidi="ar-SA"/>
              </w:rPr>
            </w:pPr>
            <w:r>
              <w:rPr>
                <w:rFonts w:eastAsia="Calibri" w:cs="Arial"/>
                <w:kern w:val="0"/>
                <w:sz w:val="26"/>
                <w:szCs w:val="22"/>
                <w:lang w:val="ru-RU" w:eastAsia="en-US" w:bidi="ar-SA"/>
              </w:rPr>
              <w:t>Соответствие Участника пункту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_Ref139028406 \r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2</w:t>
            </w:r>
            <w:r>
              <w:rPr>
                <w:sz w:val="26"/>
                <w:kern w:val="0"/>
                <w:szCs w:val="22"/>
                <w:rFonts w:eastAsia="Calibri" w:cs="Arial"/>
                <w:lang w:val="ru-RU" w:eastAsia="en-US" w:bidi="ar-SA"/>
              </w:rPr>
              <w:fldChar w:fldCharType="end"/>
            </w:r>
            <w:r>
              <w:rPr>
                <w:rFonts w:eastAsia="Calibri" w:cs="Arial"/>
                <w:kern w:val="0"/>
                <w:sz w:val="26"/>
                <w:szCs w:val="22"/>
                <w:lang w:val="ru-RU" w:eastAsia="en-US" w:bidi="ar-SA"/>
              </w:rPr>
              <w:t xml:space="preserve"> обязательных требований к Участникам</w:t>
            </w:r>
          </w:p>
        </w:tc>
        <w:tc>
          <w:tcPr>
            <w:tcW w:w="3117" w:type="dxa"/>
            <w:tcBorders/>
          </w:tcPr>
          <w:p>
            <w:pPr>
              <w:pStyle w:val="Style23"/>
              <w:widowControl/>
              <w:spacing w:lineRule="auto" w:line="240" w:before="60" w:after="60"/>
              <w:jc w:val="center"/>
              <w:rPr>
                <w:rFonts w:ascii="Times New Roman" w:hAnsi="Times New Roman" w:eastAsia="Calibri" w:cs="Arial"/>
                <w:sz w:val="26"/>
                <w:szCs w:val="22"/>
                <w:lang w:val="ru-RU" w:eastAsia="en-US" w:bidi="ar-SA"/>
              </w:rPr>
            </w:pPr>
            <w:r>
              <w:rPr>
                <w:rFonts w:eastAsia="Calibri" w:cs="Arial"/>
                <w:kern w:val="0"/>
                <w:sz w:val="26"/>
                <w:szCs w:val="22"/>
                <w:lang w:val="ru-RU" w:eastAsia="en-US" w:bidi="ar-SA"/>
              </w:rPr>
              <w:t>подраздел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_Ref125361435 \w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8.2</w:t>
            </w:r>
            <w:r>
              <w:rPr>
                <w:sz w:val="26"/>
                <w:kern w:val="0"/>
                <w:szCs w:val="22"/>
                <w:rFonts w:eastAsia="Calibri" w:cs="Arial"/>
                <w:lang w:val="ru-RU" w:eastAsia="en-US" w:bidi="ar-SA"/>
              </w:rPr>
              <w:fldChar w:fldCharType="end"/>
            </w:r>
            <w:r>
              <w:rPr>
                <w:rFonts w:eastAsia="Calibri" w:cs="Arial"/>
                <w:kern w:val="0"/>
                <w:sz w:val="26"/>
                <w:szCs w:val="22"/>
                <w:lang w:val="ru-RU" w:eastAsia="en-US" w:bidi="ar-SA"/>
              </w:rPr>
              <w:br/>
              <w:t>(</w:t>
            </w:r>
            <w:hyperlink w:anchor="Прил03_ТребованияУчастникам" w:tgtFrame="#Прил03_ТребованияУчастникам">
              <w:r>
                <w:rPr>
                  <w:rFonts w:eastAsia="Calibri" w:cs="Arial"/>
                  <w:color w:val="000000"/>
                  <w:spacing w:val="0"/>
                  <w:kern w:val="0"/>
                  <w:sz w:val="26"/>
                  <w:szCs w:val="22"/>
                  <w:u w:val="single"/>
                  <w:shd w:fill="auto" w:val="clear"/>
                  <w:lang w:val="ru-RU" w:eastAsia="en-US" w:bidi="ar-SA"/>
                </w:rPr>
                <w:t>Приложение № 3</w:t>
              </w:r>
            </w:hyperlink>
            <w:r>
              <w:rPr>
                <w:rFonts w:eastAsia="Calibri" w:cs="Arial"/>
                <w:kern w:val="0"/>
                <w:sz w:val="26"/>
                <w:szCs w:val="22"/>
                <w:lang w:val="ru-RU" w:eastAsia="en-US" w:bidi="ar-SA"/>
              </w:rPr>
              <w:t>)</w:t>
            </w:r>
          </w:p>
        </w:tc>
        <w:tc>
          <w:tcPr>
            <w:tcW w:w="2090" w:type="dxa"/>
            <w:tcBorders/>
          </w:tcPr>
          <w:p>
            <w:pPr>
              <w:pStyle w:val="Style23"/>
              <w:widowControl/>
              <w:spacing w:lineRule="auto" w:line="240" w:before="60" w:after="60"/>
              <w:jc w:val="center"/>
              <w:rPr>
                <w:rFonts w:ascii="Times New Roman" w:hAnsi="Times New Roman" w:eastAsia="Calibri" w:cs="Arial"/>
                <w:sz w:val="26"/>
                <w:szCs w:val="22"/>
                <w:lang w:val="ru-RU" w:eastAsia="en-US" w:bidi="ar-SA"/>
              </w:rPr>
            </w:pPr>
            <w:r>
              <w:rPr>
                <w:rFonts w:eastAsia="Calibri" w:cs="Arial"/>
                <w:kern w:val="0"/>
                <w:sz w:val="26"/>
                <w:szCs w:val="22"/>
                <w:lang w:val="ru-RU" w:eastAsia="en-US" w:bidi="ar-SA"/>
              </w:rPr>
              <w:t>Орг</w:t>
            </w:r>
          </w:p>
        </w:tc>
      </w:tr>
      <w:tr>
        <w:trPr/>
        <w:tc>
          <w:tcPr>
            <w:tcW w:w="1412" w:type="dxa"/>
            <w:tcBorders/>
          </w:tcPr>
          <w:p>
            <w:pPr>
              <w:pStyle w:val="Style23"/>
              <w:widowControl/>
              <w:numPr>
                <w:ilvl w:val="0"/>
                <w:numId w:val="8"/>
              </w:numPr>
              <w:spacing w:lineRule="auto" w:line="240" w:before="60" w:after="60"/>
              <w:ind w:hanging="0" w:left="170"/>
              <w:jc w:val="center"/>
              <w:rPr>
                <w:rFonts w:ascii="Times New Roman" w:hAnsi="Times New Roman" w:eastAsia="Calibri" w:cs="Arial"/>
                <w:sz w:val="26"/>
                <w:szCs w:val="22"/>
                <w:lang w:val="ru-RU" w:eastAsia="en-US" w:bidi="ar-SA"/>
              </w:rPr>
            </w:pPr>
            <w:r>
              <w:rPr>
                <w:rFonts w:eastAsia="Calibri" w:cs="Arial"/>
                <w:sz w:val="26"/>
                <w:szCs w:val="22"/>
                <w:lang w:val="ru-RU" w:eastAsia="en-US" w:bidi="ar-SA"/>
              </w:rPr>
            </w:r>
          </w:p>
        </w:tc>
        <w:tc>
          <w:tcPr>
            <w:tcW w:w="8506" w:type="dxa"/>
            <w:tcBorders/>
          </w:tcPr>
          <w:p>
            <w:pPr>
              <w:pStyle w:val="Style23"/>
              <w:widowControl/>
              <w:spacing w:lineRule="auto" w:line="240" w:before="60" w:after="60"/>
              <w:rPr>
                <w:rFonts w:ascii="Times New Roman" w:hAnsi="Times New Roman" w:eastAsia="Calibri" w:cs="Arial"/>
                <w:sz w:val="26"/>
                <w:szCs w:val="22"/>
                <w:lang w:val="ru-RU" w:eastAsia="en-US" w:bidi="ar-SA"/>
              </w:rPr>
            </w:pPr>
            <w:r>
              <w:rPr>
                <w:rFonts w:eastAsia="Calibri" w:cs="Arial"/>
                <w:kern w:val="0"/>
                <w:sz w:val="26"/>
                <w:szCs w:val="22"/>
                <w:lang w:val="ru-RU" w:eastAsia="en-US" w:bidi="ar-SA"/>
              </w:rPr>
              <w:t>Соответствие Участника пункту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_Ref186213321 \r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3</w:t>
            </w:r>
            <w:r>
              <w:rPr>
                <w:sz w:val="26"/>
                <w:kern w:val="0"/>
                <w:szCs w:val="22"/>
                <w:rFonts w:eastAsia="Calibri" w:cs="Arial"/>
                <w:lang w:val="ru-RU" w:eastAsia="en-US" w:bidi="ar-SA"/>
              </w:rPr>
              <w:fldChar w:fldCharType="end"/>
            </w:r>
            <w:r>
              <w:rPr>
                <w:rFonts w:eastAsia="Calibri" w:cs="Arial"/>
                <w:kern w:val="0"/>
                <w:sz w:val="26"/>
                <w:szCs w:val="22"/>
                <w:lang w:val="ru-RU" w:eastAsia="en-US" w:bidi="ar-SA"/>
              </w:rPr>
              <w:t xml:space="preserve"> обязательных требований к Участникам</w:t>
            </w:r>
          </w:p>
          <w:p>
            <w:pPr>
              <w:pStyle w:val="Style23"/>
              <w:widowControl/>
              <w:spacing w:lineRule="auto" w:line="240" w:before="60" w:after="60"/>
              <w:rPr>
                <w:i/>
                <w:i/>
                <w:iCs/>
              </w:rPr>
            </w:pPr>
            <w:r>
              <w:rPr>
                <w:rFonts w:eastAsia="Calibri" w:cs="Arial"/>
                <w:i/>
                <w:iCs/>
                <w:kern w:val="0"/>
                <w:sz w:val="26"/>
                <w:szCs w:val="22"/>
                <w:lang w:val="ru-RU" w:eastAsia="en-US" w:bidi="ar-SA"/>
              </w:rPr>
              <w:t>(пункт применяется только в случае установления режима запрета закупки иностранной продукции (подраздел </w:t>
            </w:r>
            <w:r>
              <w:rPr>
                <w:rFonts w:eastAsia="Calibri" w:cs="Arial"/>
                <w:i/>
                <w:iCs/>
                <w:kern w:val="0"/>
                <w:sz w:val="26"/>
                <w:szCs w:val="22"/>
                <w:lang w:val="ru-RU" w:eastAsia="en-US" w:bidi="ar-SA"/>
              </w:rPr>
              <w:fldChar w:fldCharType="begin"/>
            </w:r>
            <w:r>
              <w:rPr>
                <w:sz w:val="26"/>
                <w:i/>
                <w:kern w:val="0"/>
                <w:szCs w:val="22"/>
                <w:iCs/>
                <w:rFonts w:eastAsia="Calibri" w:cs="Arial"/>
                <w:lang w:val="ru-RU" w:eastAsia="en-US" w:bidi="ar-SA"/>
              </w:rPr>
              <w:instrText xml:space="preserve"> REF _Ref130985951 \r \h </w:instrText>
            </w:r>
            <w:r>
              <w:rPr>
                <w:sz w:val="26"/>
                <w:i/>
                <w:kern w:val="0"/>
                <w:szCs w:val="22"/>
                <w:iCs/>
                <w:rFonts w:eastAsia="Calibri" w:cs="Arial"/>
                <w:lang w:val="ru-RU" w:eastAsia="en-US" w:bidi="ar-SA"/>
              </w:rPr>
              <w:fldChar w:fldCharType="separate"/>
            </w:r>
            <w:r>
              <w:rPr>
                <w:sz w:val="26"/>
                <w:i/>
                <w:kern w:val="0"/>
                <w:szCs w:val="22"/>
                <w:iCs/>
                <w:rFonts w:eastAsia="Calibri" w:cs="Arial"/>
                <w:lang w:val="ru-RU" w:eastAsia="en-US" w:bidi="ar-SA"/>
              </w:rPr>
              <w:t>4.13</w:t>
            </w:r>
            <w:r>
              <w:rPr>
                <w:sz w:val="26"/>
                <w:i/>
                <w:kern w:val="0"/>
                <w:szCs w:val="22"/>
                <w:iCs/>
                <w:rFonts w:eastAsia="Calibri" w:cs="Arial"/>
                <w:lang w:val="ru-RU" w:eastAsia="en-US" w:bidi="ar-SA"/>
              </w:rPr>
              <w:fldChar w:fldCharType="end"/>
            </w:r>
            <w:r>
              <w:rPr>
                <w:rFonts w:eastAsia="Calibri" w:cs="Arial"/>
                <w:i/>
                <w:iCs/>
                <w:kern w:val="0"/>
                <w:sz w:val="26"/>
                <w:szCs w:val="22"/>
                <w:lang w:val="ru-RU" w:eastAsia="en-US" w:bidi="ar-SA"/>
              </w:rPr>
              <w:t>))</w:t>
            </w:r>
          </w:p>
        </w:tc>
        <w:tc>
          <w:tcPr>
            <w:tcW w:w="3117" w:type="dxa"/>
            <w:tcBorders/>
          </w:tcPr>
          <w:p>
            <w:pPr>
              <w:pStyle w:val="Style23"/>
              <w:widowControl/>
              <w:spacing w:lineRule="auto" w:line="240" w:before="60" w:after="60"/>
              <w:jc w:val="center"/>
              <w:rPr>
                <w:rFonts w:ascii="Times New Roman" w:hAnsi="Times New Roman" w:eastAsia="Calibri" w:cs="Arial"/>
                <w:sz w:val="26"/>
                <w:szCs w:val="22"/>
                <w:lang w:val="ru-RU" w:eastAsia="en-US" w:bidi="ar-SA"/>
              </w:rPr>
            </w:pPr>
            <w:r>
              <w:rPr>
                <w:rFonts w:eastAsia="Calibri" w:cs="Arial"/>
                <w:kern w:val="0"/>
                <w:sz w:val="26"/>
                <w:szCs w:val="22"/>
                <w:lang w:val="ru-RU" w:eastAsia="en-US" w:bidi="ar-SA"/>
              </w:rPr>
              <w:t xml:space="preserve">Подразделы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_Ref186213053 \r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4.13</w:t>
            </w:r>
            <w:r>
              <w:rPr>
                <w:sz w:val="26"/>
                <w:kern w:val="0"/>
                <w:szCs w:val="22"/>
                <w:rFonts w:eastAsia="Calibri" w:cs="Arial"/>
                <w:lang w:val="ru-RU" w:eastAsia="en-US" w:bidi="ar-SA"/>
              </w:rPr>
              <w:fldChar w:fldCharType="end"/>
            </w:r>
            <w:r>
              <w:rPr>
                <w:rFonts w:eastAsia="Calibri" w:cs="Arial"/>
                <w:kern w:val="0"/>
                <w:sz w:val="26"/>
                <w:szCs w:val="22"/>
                <w:lang w:val="ru-RU" w:eastAsia="en-US" w:bidi="ar-SA"/>
              </w:rPr>
              <w:t>,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_Ref125361435 \w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8.2</w:t>
            </w:r>
            <w:r>
              <w:rPr>
                <w:sz w:val="26"/>
                <w:kern w:val="0"/>
                <w:szCs w:val="22"/>
                <w:rFonts w:eastAsia="Calibri" w:cs="Arial"/>
                <w:lang w:val="ru-RU" w:eastAsia="en-US" w:bidi="ar-SA"/>
              </w:rPr>
              <w:fldChar w:fldCharType="end"/>
            </w:r>
            <w:r>
              <w:rPr>
                <w:rFonts w:eastAsia="Calibri" w:cs="Arial"/>
                <w:kern w:val="0"/>
                <w:sz w:val="26"/>
                <w:szCs w:val="22"/>
                <w:lang w:val="ru-RU" w:eastAsia="en-US" w:bidi="ar-SA"/>
              </w:rPr>
              <w:br/>
              <w:t>(</w:t>
            </w:r>
            <w:hyperlink w:anchor="Прил03_ТребованияУчастникам" w:tgtFrame="#Прил03_ТребованияУчастникам">
              <w:r>
                <w:rPr>
                  <w:rFonts w:eastAsia="Calibri" w:cs="Arial"/>
                  <w:color w:val="000000"/>
                  <w:spacing w:val="0"/>
                  <w:kern w:val="0"/>
                  <w:sz w:val="26"/>
                  <w:szCs w:val="22"/>
                  <w:u w:val="single"/>
                  <w:shd w:fill="auto" w:val="clear"/>
                  <w:lang w:val="ru-RU" w:eastAsia="en-US" w:bidi="ar-SA"/>
                </w:rPr>
                <w:t>Приложение № 3</w:t>
              </w:r>
            </w:hyperlink>
            <w:r>
              <w:rPr>
                <w:rFonts w:eastAsia="Calibri" w:cs="Arial"/>
                <w:kern w:val="0"/>
                <w:sz w:val="26"/>
                <w:szCs w:val="22"/>
                <w:lang w:val="ru-RU" w:eastAsia="en-US" w:bidi="ar-SA"/>
              </w:rPr>
              <w:t>)</w:t>
            </w:r>
          </w:p>
        </w:tc>
        <w:tc>
          <w:tcPr>
            <w:tcW w:w="2090" w:type="dxa"/>
            <w:tcBorders/>
          </w:tcPr>
          <w:p>
            <w:pPr>
              <w:pStyle w:val="Style23"/>
              <w:widowControl/>
              <w:spacing w:lineRule="auto" w:line="240" w:before="60" w:after="60"/>
              <w:jc w:val="center"/>
              <w:rPr>
                <w:rFonts w:ascii="Times New Roman" w:hAnsi="Times New Roman" w:eastAsia="Calibri" w:cs="Arial"/>
                <w:sz w:val="26"/>
                <w:szCs w:val="22"/>
                <w:lang w:val="ru-RU" w:eastAsia="en-US" w:bidi="ar-SA"/>
              </w:rPr>
            </w:pPr>
            <w:r>
              <w:rPr>
                <w:rFonts w:eastAsia="Calibri" w:cs="Arial"/>
                <w:kern w:val="0"/>
                <w:sz w:val="26"/>
                <w:szCs w:val="22"/>
                <w:lang w:val="ru-RU" w:eastAsia="en-US" w:bidi="ar-SA"/>
              </w:rPr>
              <w:t>Тех</w:t>
            </w:r>
          </w:p>
        </w:tc>
      </w:tr>
      <w:tr>
        <w:trPr/>
        <w:tc>
          <w:tcPr>
            <w:tcW w:w="1412" w:type="dxa"/>
            <w:tcBorders/>
          </w:tcPr>
          <w:p>
            <w:pPr>
              <w:pStyle w:val="Style23"/>
              <w:widowControl/>
              <w:numPr>
                <w:ilvl w:val="0"/>
                <w:numId w:val="8"/>
              </w:numPr>
              <w:spacing w:lineRule="auto" w:line="240" w:before="60" w:after="60"/>
              <w:ind w:hanging="0" w:left="170"/>
              <w:jc w:val="center"/>
              <w:rPr>
                <w:rFonts w:ascii="Times New Roman" w:hAnsi="Times New Roman" w:eastAsia="Calibri" w:cs="Arial"/>
                <w:sz w:val="26"/>
                <w:szCs w:val="22"/>
                <w:lang w:val="ru-RU" w:eastAsia="en-US" w:bidi="ar-SA"/>
              </w:rPr>
            </w:pPr>
            <w:r>
              <w:rPr>
                <w:rFonts w:eastAsia="Calibri" w:cs="Arial"/>
                <w:sz w:val="26"/>
                <w:szCs w:val="22"/>
                <w:lang w:val="ru-RU" w:eastAsia="en-US" w:bidi="ar-SA"/>
              </w:rPr>
            </w:r>
          </w:p>
        </w:tc>
        <w:tc>
          <w:tcPr>
            <w:tcW w:w="8506" w:type="dxa"/>
            <w:tcBorders/>
          </w:tcPr>
          <w:p>
            <w:pPr>
              <w:pStyle w:val="Style23"/>
              <w:widowControl/>
              <w:spacing w:lineRule="auto" w:line="240" w:before="60" w:after="60"/>
              <w:rPr>
                <w:rFonts w:ascii="Times New Roman" w:hAnsi="Times New Roman" w:eastAsia="Calibri" w:cs="Arial"/>
                <w:sz w:val="26"/>
                <w:szCs w:val="22"/>
                <w:lang w:val="ru-RU" w:eastAsia="en-US" w:bidi="ar-SA"/>
              </w:rPr>
            </w:pPr>
            <w:r>
              <w:rPr>
                <w:rFonts w:eastAsia="Calibri" w:cs="Arial"/>
                <w:kern w:val="0"/>
                <w:sz w:val="26"/>
                <w:szCs w:val="22"/>
                <w:lang w:val="ru-RU" w:eastAsia="en-US" w:bidi="ar-SA"/>
              </w:rPr>
              <w:t>Соответствие Участника пункту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_Ref186213327 \r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4</w:t>
            </w:r>
            <w:r>
              <w:rPr>
                <w:sz w:val="26"/>
                <w:kern w:val="0"/>
                <w:szCs w:val="22"/>
                <w:rFonts w:eastAsia="Calibri" w:cs="Arial"/>
                <w:lang w:val="ru-RU" w:eastAsia="en-US" w:bidi="ar-SA"/>
              </w:rPr>
              <w:fldChar w:fldCharType="end"/>
            </w:r>
            <w:r>
              <w:rPr>
                <w:rFonts w:eastAsia="Calibri" w:cs="Arial"/>
                <w:kern w:val="0"/>
                <w:sz w:val="26"/>
                <w:szCs w:val="22"/>
                <w:lang w:val="ru-RU" w:eastAsia="en-US" w:bidi="ar-SA"/>
              </w:rPr>
              <w:t xml:space="preserve"> обязательных требований к Участникам</w:t>
            </w:r>
          </w:p>
          <w:p>
            <w:pPr>
              <w:pStyle w:val="Style23"/>
              <w:widowControl/>
              <w:spacing w:lineRule="auto" w:line="240" w:before="60" w:after="60"/>
              <w:rPr>
                <w:i/>
                <w:i/>
                <w:iCs/>
                <w:u w:val="single"/>
              </w:rPr>
            </w:pPr>
            <w:r>
              <w:rPr>
                <w:rFonts w:eastAsia="Calibri" w:cs="Arial"/>
                <w:i/>
                <w:iCs/>
                <w:kern w:val="0"/>
                <w:sz w:val="26"/>
                <w:szCs w:val="22"/>
                <w:u w:val="single"/>
                <w:lang w:val="ru-RU" w:eastAsia="en-US" w:bidi="ar-SA"/>
              </w:rPr>
              <w:t>(пункт применяется только в случае установления режима ограничения закупки иностранной продукции (подраздел </w:t>
            </w:r>
            <w:r>
              <w:rPr>
                <w:rFonts w:eastAsia="Calibri" w:cs="Arial"/>
                <w:i/>
                <w:iCs/>
                <w:kern w:val="0"/>
                <w:sz w:val="26"/>
                <w:szCs w:val="22"/>
                <w:u w:val="single"/>
                <w:lang w:val="ru-RU" w:eastAsia="en-US" w:bidi="ar-SA"/>
              </w:rPr>
              <w:fldChar w:fldCharType="begin"/>
            </w:r>
            <w:r>
              <w:rPr>
                <w:sz w:val="26"/>
                <w:i/>
                <w:u w:val="single"/>
                <w:kern w:val="0"/>
                <w:szCs w:val="22"/>
                <w:iCs/>
                <w:rFonts w:eastAsia="Calibri" w:cs="Arial"/>
                <w:lang w:val="ru-RU" w:eastAsia="en-US" w:bidi="ar-SA"/>
              </w:rPr>
              <w:instrText xml:space="preserve"> REF _Ref130985951 \r \h </w:instrText>
            </w:r>
            <w:r>
              <w:rPr>
                <w:sz w:val="26"/>
                <w:i/>
                <w:u w:val="single"/>
                <w:kern w:val="0"/>
                <w:szCs w:val="22"/>
                <w:iCs/>
                <w:rFonts w:eastAsia="Calibri" w:cs="Arial"/>
                <w:lang w:val="ru-RU" w:eastAsia="en-US" w:bidi="ar-SA"/>
              </w:rPr>
              <w:fldChar w:fldCharType="separate"/>
            </w:r>
            <w:r>
              <w:rPr>
                <w:sz w:val="26"/>
                <w:i/>
                <w:u w:val="single"/>
                <w:kern w:val="0"/>
                <w:szCs w:val="22"/>
                <w:iCs/>
                <w:rFonts w:eastAsia="Calibri" w:cs="Arial"/>
                <w:lang w:val="ru-RU" w:eastAsia="en-US" w:bidi="ar-SA"/>
              </w:rPr>
              <w:t>4.13</w:t>
            </w:r>
            <w:r>
              <w:rPr>
                <w:sz w:val="26"/>
                <w:i/>
                <w:u w:val="single"/>
                <w:kern w:val="0"/>
                <w:szCs w:val="22"/>
                <w:iCs/>
                <w:rFonts w:eastAsia="Calibri" w:cs="Arial"/>
                <w:lang w:val="ru-RU" w:eastAsia="en-US" w:bidi="ar-SA"/>
              </w:rPr>
              <w:fldChar w:fldCharType="end"/>
            </w:r>
            <w:r>
              <w:rPr>
                <w:rFonts w:eastAsia="Calibri" w:cs="Arial"/>
                <w:i/>
                <w:iCs/>
                <w:kern w:val="0"/>
                <w:sz w:val="26"/>
                <w:szCs w:val="22"/>
                <w:u w:val="single"/>
                <w:lang w:val="ru-RU" w:eastAsia="en-US" w:bidi="ar-SA"/>
              </w:rPr>
              <w:t>))</w:t>
            </w:r>
          </w:p>
        </w:tc>
        <w:tc>
          <w:tcPr>
            <w:tcW w:w="3117" w:type="dxa"/>
            <w:tcBorders/>
          </w:tcPr>
          <w:p>
            <w:pPr>
              <w:pStyle w:val="Style23"/>
              <w:widowControl/>
              <w:spacing w:lineRule="auto" w:line="240" w:before="60" w:after="60"/>
              <w:jc w:val="center"/>
              <w:rPr>
                <w:rFonts w:ascii="Times New Roman" w:hAnsi="Times New Roman" w:eastAsia="Calibri" w:cs="Arial"/>
                <w:sz w:val="26"/>
                <w:szCs w:val="22"/>
                <w:lang w:val="ru-RU" w:eastAsia="en-US" w:bidi="ar-SA"/>
              </w:rPr>
            </w:pPr>
            <w:r>
              <w:rPr>
                <w:rFonts w:eastAsia="Calibri" w:cs="Arial"/>
                <w:kern w:val="0"/>
                <w:sz w:val="26"/>
                <w:szCs w:val="22"/>
                <w:lang w:val="ru-RU" w:eastAsia="en-US" w:bidi="ar-SA"/>
              </w:rPr>
              <w:t xml:space="preserve">Подразделы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_Ref186213053 \r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4.13</w:t>
            </w:r>
            <w:r>
              <w:rPr>
                <w:sz w:val="26"/>
                <w:kern w:val="0"/>
                <w:szCs w:val="22"/>
                <w:rFonts w:eastAsia="Calibri" w:cs="Arial"/>
                <w:lang w:val="ru-RU" w:eastAsia="en-US" w:bidi="ar-SA"/>
              </w:rPr>
              <w:fldChar w:fldCharType="end"/>
            </w:r>
            <w:r>
              <w:rPr>
                <w:rFonts w:eastAsia="Calibri" w:cs="Arial"/>
                <w:kern w:val="0"/>
                <w:sz w:val="26"/>
                <w:szCs w:val="22"/>
                <w:lang w:val="ru-RU" w:eastAsia="en-US" w:bidi="ar-SA"/>
              </w:rPr>
              <w:t>,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_Ref125361435 \w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8.2</w:t>
            </w:r>
            <w:r>
              <w:rPr>
                <w:sz w:val="26"/>
                <w:kern w:val="0"/>
                <w:szCs w:val="22"/>
                <w:rFonts w:eastAsia="Calibri" w:cs="Arial"/>
                <w:lang w:val="ru-RU" w:eastAsia="en-US" w:bidi="ar-SA"/>
              </w:rPr>
              <w:fldChar w:fldCharType="end"/>
            </w:r>
            <w:r>
              <w:rPr>
                <w:rFonts w:eastAsia="Calibri" w:cs="Arial"/>
                <w:kern w:val="0"/>
                <w:sz w:val="26"/>
                <w:szCs w:val="22"/>
                <w:lang w:val="ru-RU" w:eastAsia="en-US" w:bidi="ar-SA"/>
              </w:rPr>
              <w:br/>
              <w:t>(</w:t>
            </w:r>
            <w:hyperlink w:anchor="Прил03_ТребованияУчастникам" w:tgtFrame="#Прил03_ТребованияУчастникам">
              <w:r>
                <w:rPr>
                  <w:rFonts w:eastAsia="Calibri" w:cs="Arial"/>
                  <w:color w:val="000000"/>
                  <w:spacing w:val="0"/>
                  <w:kern w:val="0"/>
                  <w:sz w:val="26"/>
                  <w:szCs w:val="22"/>
                  <w:u w:val="single"/>
                  <w:shd w:fill="auto" w:val="clear"/>
                  <w:lang w:val="ru-RU" w:eastAsia="en-US" w:bidi="ar-SA"/>
                </w:rPr>
                <w:t>Приложение № 3</w:t>
              </w:r>
            </w:hyperlink>
            <w:r>
              <w:rPr>
                <w:rFonts w:eastAsia="Calibri" w:cs="Arial"/>
                <w:kern w:val="0"/>
                <w:sz w:val="26"/>
                <w:szCs w:val="22"/>
                <w:lang w:val="ru-RU" w:eastAsia="en-US" w:bidi="ar-SA"/>
              </w:rPr>
              <w:t>)</w:t>
            </w:r>
          </w:p>
        </w:tc>
        <w:tc>
          <w:tcPr>
            <w:tcW w:w="2090" w:type="dxa"/>
            <w:tcBorders/>
          </w:tcPr>
          <w:p>
            <w:pPr>
              <w:pStyle w:val="Style23"/>
              <w:widowControl/>
              <w:spacing w:lineRule="auto" w:line="240" w:before="60" w:after="60"/>
              <w:jc w:val="center"/>
              <w:rPr>
                <w:rFonts w:ascii="Times New Roman" w:hAnsi="Times New Roman" w:eastAsia="Calibri" w:cs="Arial"/>
                <w:sz w:val="26"/>
                <w:szCs w:val="22"/>
                <w:lang w:val="ru-RU" w:eastAsia="en-US" w:bidi="ar-SA"/>
              </w:rPr>
            </w:pPr>
            <w:r>
              <w:rPr>
                <w:rFonts w:eastAsia="Calibri" w:cs="Arial"/>
                <w:kern w:val="0"/>
                <w:sz w:val="26"/>
                <w:szCs w:val="22"/>
                <w:lang w:val="ru-RU" w:eastAsia="en-US" w:bidi="ar-SA"/>
              </w:rPr>
              <w:t>Тех</w:t>
            </w:r>
          </w:p>
        </w:tc>
      </w:tr>
      <w:tr>
        <w:trPr/>
        <w:tc>
          <w:tcPr>
            <w:tcW w:w="1412" w:type="dxa"/>
            <w:tcBorders/>
          </w:tcPr>
          <w:p>
            <w:pPr>
              <w:pStyle w:val="Style23"/>
              <w:widowControl/>
              <w:numPr>
                <w:ilvl w:val="0"/>
                <w:numId w:val="8"/>
              </w:numPr>
              <w:spacing w:lineRule="auto" w:line="240" w:before="60" w:after="60"/>
              <w:ind w:hanging="0" w:left="170"/>
              <w:jc w:val="center"/>
              <w:rPr>
                <w:rFonts w:ascii="Times New Roman" w:hAnsi="Times New Roman" w:eastAsia="Calibri" w:cs="Arial"/>
                <w:sz w:val="26"/>
                <w:szCs w:val="22"/>
                <w:lang w:val="ru-RU" w:eastAsia="en-US" w:bidi="ar-SA"/>
              </w:rPr>
            </w:pPr>
            <w:r>
              <w:rPr>
                <w:rFonts w:eastAsia="Calibri" w:cs="Arial"/>
                <w:sz w:val="26"/>
                <w:szCs w:val="22"/>
                <w:lang w:val="ru-RU" w:eastAsia="en-US" w:bidi="ar-SA"/>
              </w:rPr>
            </w:r>
          </w:p>
        </w:tc>
        <w:tc>
          <w:tcPr>
            <w:tcW w:w="8506" w:type="dxa"/>
            <w:tcBorders/>
          </w:tcPr>
          <w:p>
            <w:pPr>
              <w:pStyle w:val="Style23"/>
              <w:widowControl/>
              <w:spacing w:lineRule="auto" w:line="240" w:before="60" w:after="60"/>
              <w:rPr>
                <w:rFonts w:ascii="Times New Roman" w:hAnsi="Times New Roman" w:eastAsia="Calibri" w:cs="Arial"/>
                <w:sz w:val="26"/>
                <w:szCs w:val="22"/>
                <w:lang w:val="ru-RU" w:eastAsia="en-US" w:bidi="ar-SA"/>
              </w:rPr>
            </w:pPr>
            <w:r>
              <w:rPr>
                <w:rFonts w:eastAsia="Calibri" w:cs="Arial"/>
                <w:kern w:val="0"/>
                <w:sz w:val="26"/>
                <w:szCs w:val="22"/>
                <w:lang w:val="ru-RU" w:eastAsia="en-US" w:bidi="ar-SA"/>
              </w:rPr>
              <w:t>Соответствие Участника специальным требованиям к Участникам</w:t>
            </w:r>
          </w:p>
          <w:p>
            <w:pPr>
              <w:pStyle w:val="Style23"/>
              <w:widowControl/>
              <w:spacing w:lineRule="auto" w:line="240" w:before="60" w:after="60"/>
              <w:rPr>
                <w:rFonts w:ascii="Times New Roman" w:hAnsi="Times New Roman" w:eastAsia="Calibri" w:cs="Arial"/>
                <w:sz w:val="26"/>
                <w:szCs w:val="22"/>
                <w:lang w:val="ru-RU" w:eastAsia="en-US" w:bidi="ar-SA"/>
              </w:rPr>
            </w:pPr>
            <w:r>
              <w:rPr>
                <w:rFonts w:eastAsia="Calibri" w:cs="Arial"/>
                <w:i/>
                <w:iCs/>
                <w:kern w:val="0"/>
                <w:sz w:val="26"/>
                <w:szCs w:val="22"/>
                <w:lang w:val="ru-RU" w:eastAsia="en-US" w:bidi="ar-SA"/>
              </w:rPr>
              <w:t>(пункт применяется только в случае установления соответствующих требований)</w:t>
            </w:r>
          </w:p>
        </w:tc>
        <w:tc>
          <w:tcPr>
            <w:tcW w:w="3117" w:type="dxa"/>
            <w:tcBorders/>
          </w:tcPr>
          <w:p>
            <w:pPr>
              <w:pStyle w:val="Style23"/>
              <w:widowControl/>
              <w:spacing w:lineRule="auto" w:line="240" w:before="60" w:after="60"/>
              <w:jc w:val="center"/>
              <w:rPr>
                <w:rFonts w:ascii="Times New Roman" w:hAnsi="Times New Roman" w:eastAsia="Calibri" w:cs="Arial"/>
                <w:sz w:val="26"/>
                <w:szCs w:val="22"/>
                <w:lang w:val="ru-RU" w:eastAsia="en-US" w:bidi="ar-SA"/>
              </w:rPr>
            </w:pPr>
            <w:r>
              <w:rPr>
                <w:rFonts w:eastAsia="Calibri" w:cs="Arial"/>
                <w:kern w:val="0"/>
                <w:sz w:val="26"/>
                <w:szCs w:val="22"/>
                <w:lang w:val="ru-RU" w:eastAsia="en-US" w:bidi="ar-SA"/>
              </w:rPr>
              <w:t>подраздел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_Ref125361442 \r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8.3</w:t>
            </w:r>
            <w:r>
              <w:rPr>
                <w:sz w:val="26"/>
                <w:kern w:val="0"/>
                <w:szCs w:val="22"/>
                <w:rFonts w:eastAsia="Calibri" w:cs="Arial"/>
                <w:lang w:val="ru-RU" w:eastAsia="en-US" w:bidi="ar-SA"/>
              </w:rPr>
              <w:fldChar w:fldCharType="end"/>
            </w:r>
            <w:r>
              <w:rPr>
                <w:rFonts w:eastAsia="Calibri" w:cs="Arial"/>
                <w:kern w:val="0"/>
                <w:sz w:val="26"/>
                <w:szCs w:val="22"/>
                <w:lang w:val="ru-RU" w:eastAsia="en-US" w:bidi="ar-SA"/>
              </w:rPr>
              <w:br/>
              <w:t>(</w:t>
            </w:r>
            <w:hyperlink w:anchor="Прил03_ТребованияУчастникам" w:tgtFrame="#Прил03_ТребованияУчастникам">
              <w:r>
                <w:rPr>
                  <w:rFonts w:eastAsia="Calibri" w:cs="Arial"/>
                  <w:color w:val="000000"/>
                  <w:spacing w:val="0"/>
                  <w:kern w:val="0"/>
                  <w:sz w:val="26"/>
                  <w:szCs w:val="22"/>
                  <w:u w:val="single"/>
                  <w:shd w:fill="auto" w:val="clear"/>
                  <w:lang w:val="ru-RU" w:eastAsia="en-US" w:bidi="ar-SA"/>
                </w:rPr>
                <w:t>Приложение № 3</w:t>
              </w:r>
            </w:hyperlink>
            <w:r>
              <w:rPr>
                <w:rFonts w:eastAsia="Calibri" w:cs="Arial"/>
                <w:kern w:val="0"/>
                <w:sz w:val="26"/>
                <w:szCs w:val="22"/>
                <w:lang w:val="ru-RU" w:eastAsia="en-US" w:bidi="ar-SA"/>
              </w:rPr>
              <w:t>)</w:t>
            </w:r>
          </w:p>
        </w:tc>
        <w:tc>
          <w:tcPr>
            <w:tcW w:w="2090" w:type="dxa"/>
            <w:tcBorders/>
          </w:tcPr>
          <w:p>
            <w:pPr>
              <w:pStyle w:val="Style23"/>
              <w:widowControl/>
              <w:spacing w:lineRule="auto" w:line="240" w:before="60" w:after="60"/>
              <w:jc w:val="center"/>
              <w:rPr>
                <w:rFonts w:ascii="Times New Roman" w:hAnsi="Times New Roman" w:eastAsia="Calibri" w:cs="Arial"/>
                <w:sz w:val="26"/>
                <w:szCs w:val="22"/>
                <w:lang w:val="ru-RU" w:eastAsia="en-US" w:bidi="ar-SA"/>
              </w:rPr>
            </w:pPr>
            <w:r>
              <w:rPr>
                <w:rFonts w:eastAsia="Calibri" w:cs="Arial"/>
                <w:kern w:val="0"/>
                <w:sz w:val="26"/>
                <w:szCs w:val="22"/>
                <w:lang w:val="ru-RU" w:eastAsia="en-US" w:bidi="ar-SA"/>
              </w:rPr>
              <w:t>Тех</w:t>
            </w:r>
          </w:p>
        </w:tc>
      </w:tr>
      <w:tr>
        <w:trPr/>
        <w:tc>
          <w:tcPr>
            <w:tcW w:w="1412" w:type="dxa"/>
            <w:tcBorders/>
          </w:tcPr>
          <w:p>
            <w:pPr>
              <w:pStyle w:val="Style23"/>
              <w:widowControl/>
              <w:numPr>
                <w:ilvl w:val="0"/>
                <w:numId w:val="8"/>
              </w:numPr>
              <w:spacing w:lineRule="auto" w:line="240" w:before="60" w:after="60"/>
              <w:ind w:hanging="0" w:left="170"/>
              <w:jc w:val="center"/>
              <w:rPr>
                <w:rFonts w:ascii="Times New Roman" w:hAnsi="Times New Roman" w:eastAsia="Calibri" w:cs="Arial"/>
                <w:sz w:val="26"/>
                <w:szCs w:val="22"/>
                <w:lang w:val="ru-RU" w:eastAsia="en-US" w:bidi="ar-SA"/>
              </w:rPr>
            </w:pPr>
            <w:r>
              <w:rPr>
                <w:rFonts w:eastAsia="Calibri" w:cs="Arial"/>
                <w:sz w:val="26"/>
                <w:szCs w:val="22"/>
                <w:lang w:val="ru-RU" w:eastAsia="en-US" w:bidi="ar-SA"/>
              </w:rPr>
            </w:r>
          </w:p>
        </w:tc>
        <w:tc>
          <w:tcPr>
            <w:tcW w:w="8506" w:type="dxa"/>
            <w:tcBorders/>
          </w:tcPr>
          <w:p>
            <w:pPr>
              <w:pStyle w:val="Style23"/>
              <w:widowControl/>
              <w:spacing w:lineRule="auto" w:line="240" w:before="60" w:after="60"/>
              <w:rPr>
                <w:rFonts w:ascii="Times New Roman" w:hAnsi="Times New Roman" w:eastAsia="Calibri" w:cs="Arial"/>
                <w:sz w:val="26"/>
                <w:szCs w:val="22"/>
                <w:lang w:val="ru-RU" w:eastAsia="en-US" w:bidi="ar-SA"/>
              </w:rPr>
            </w:pPr>
            <w:r>
              <w:rPr>
                <w:rFonts w:eastAsia="Calibri" w:cs="Arial"/>
                <w:kern w:val="0"/>
                <w:sz w:val="26"/>
                <w:szCs w:val="22"/>
                <w:lang w:val="ru-RU" w:eastAsia="en-US" w:bidi="ar-SA"/>
              </w:rPr>
              <w:t>Соответствие Участника квалификационным требованиям к Участникам</w:t>
            </w:r>
          </w:p>
          <w:p>
            <w:pPr>
              <w:pStyle w:val="Style23"/>
              <w:widowControl/>
              <w:spacing w:lineRule="auto" w:line="240" w:before="60" w:after="60"/>
              <w:rPr>
                <w:rFonts w:ascii="Times New Roman" w:hAnsi="Times New Roman" w:eastAsia="Calibri" w:cs="Arial"/>
                <w:sz w:val="26"/>
                <w:szCs w:val="22"/>
                <w:lang w:val="ru-RU" w:eastAsia="en-US" w:bidi="ar-SA"/>
              </w:rPr>
            </w:pPr>
            <w:r>
              <w:rPr>
                <w:rFonts w:eastAsia="Calibri" w:cs="Arial"/>
                <w:i/>
                <w:iCs/>
                <w:kern w:val="0"/>
                <w:sz w:val="26"/>
                <w:szCs w:val="22"/>
                <w:lang w:val="ru-RU" w:eastAsia="en-US" w:bidi="ar-SA"/>
              </w:rPr>
              <w:t>(пункт применяется только в случае установления соответствующих требований)</w:t>
            </w:r>
          </w:p>
        </w:tc>
        <w:tc>
          <w:tcPr>
            <w:tcW w:w="3117" w:type="dxa"/>
            <w:tcBorders/>
          </w:tcPr>
          <w:p>
            <w:pPr>
              <w:pStyle w:val="Style23"/>
              <w:widowControl/>
              <w:spacing w:lineRule="auto" w:line="240" w:before="60" w:after="60"/>
              <w:jc w:val="center"/>
              <w:rPr>
                <w:rFonts w:ascii="Times New Roman" w:hAnsi="Times New Roman" w:eastAsia="Calibri" w:cs="Arial"/>
                <w:sz w:val="26"/>
                <w:szCs w:val="22"/>
                <w:lang w:val="ru-RU" w:eastAsia="en-US" w:bidi="ar-SA"/>
              </w:rPr>
            </w:pPr>
            <w:r>
              <w:rPr>
                <w:rFonts w:eastAsia="Calibri" w:cs="Arial"/>
                <w:kern w:val="0"/>
                <w:sz w:val="26"/>
                <w:szCs w:val="22"/>
                <w:lang w:val="ru-RU" w:eastAsia="en-US" w:bidi="ar-SA"/>
              </w:rPr>
              <w:t>подраздел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_Ref125550270 \r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8.4</w:t>
            </w:r>
            <w:r>
              <w:rPr>
                <w:sz w:val="26"/>
                <w:kern w:val="0"/>
                <w:szCs w:val="22"/>
                <w:rFonts w:eastAsia="Calibri" w:cs="Arial"/>
                <w:lang w:val="ru-RU" w:eastAsia="en-US" w:bidi="ar-SA"/>
              </w:rPr>
              <w:fldChar w:fldCharType="end"/>
            </w:r>
            <w:r>
              <w:rPr>
                <w:rFonts w:eastAsia="Calibri" w:cs="Arial"/>
                <w:kern w:val="0"/>
                <w:sz w:val="26"/>
                <w:szCs w:val="22"/>
                <w:lang w:val="ru-RU" w:eastAsia="en-US" w:bidi="ar-SA"/>
              </w:rPr>
              <w:br/>
              <w:t>(</w:t>
            </w:r>
            <w:hyperlink w:anchor="Прил03_ТребованияУчастникам" w:tgtFrame="#Прил03_ТребованияУчастникам">
              <w:r>
                <w:rPr>
                  <w:rFonts w:eastAsia="Calibri" w:cs="Arial"/>
                  <w:color w:val="000000"/>
                  <w:spacing w:val="0"/>
                  <w:kern w:val="0"/>
                  <w:sz w:val="26"/>
                  <w:szCs w:val="22"/>
                  <w:u w:val="single"/>
                  <w:shd w:fill="auto" w:val="clear"/>
                  <w:lang w:val="ru-RU" w:eastAsia="en-US" w:bidi="ar-SA"/>
                </w:rPr>
                <w:t>Приложение № 3</w:t>
              </w:r>
            </w:hyperlink>
            <w:r>
              <w:rPr>
                <w:rFonts w:eastAsia="Calibri" w:cs="Arial"/>
                <w:kern w:val="0"/>
                <w:sz w:val="26"/>
                <w:szCs w:val="22"/>
                <w:lang w:val="ru-RU" w:eastAsia="en-US" w:bidi="ar-SA"/>
              </w:rPr>
              <w:t>)</w:t>
            </w:r>
          </w:p>
        </w:tc>
        <w:tc>
          <w:tcPr>
            <w:tcW w:w="2090" w:type="dxa"/>
            <w:tcBorders/>
          </w:tcPr>
          <w:p>
            <w:pPr>
              <w:pStyle w:val="Style23"/>
              <w:widowControl/>
              <w:spacing w:lineRule="auto" w:line="240" w:before="60" w:after="60"/>
              <w:jc w:val="center"/>
              <w:rPr>
                <w:rFonts w:ascii="Times New Roman" w:hAnsi="Times New Roman" w:eastAsia="Calibri" w:cs="Arial"/>
                <w:sz w:val="26"/>
                <w:szCs w:val="22"/>
                <w:lang w:val="ru-RU" w:eastAsia="en-US" w:bidi="ar-SA"/>
              </w:rPr>
            </w:pPr>
            <w:r>
              <w:rPr>
                <w:rFonts w:eastAsia="Calibri" w:cs="Arial"/>
                <w:kern w:val="0"/>
                <w:sz w:val="26"/>
                <w:szCs w:val="22"/>
                <w:lang w:val="ru-RU" w:eastAsia="en-US" w:bidi="ar-SA"/>
              </w:rPr>
              <w:t>Тех</w:t>
            </w:r>
          </w:p>
        </w:tc>
      </w:tr>
      <w:tr>
        <w:trPr/>
        <w:tc>
          <w:tcPr>
            <w:tcW w:w="1412" w:type="dxa"/>
            <w:tcBorders/>
          </w:tcPr>
          <w:p>
            <w:pPr>
              <w:pStyle w:val="Style23"/>
              <w:widowControl/>
              <w:numPr>
                <w:ilvl w:val="0"/>
                <w:numId w:val="8"/>
              </w:numPr>
              <w:spacing w:lineRule="auto" w:line="240" w:before="60" w:after="60"/>
              <w:ind w:hanging="0" w:left="170"/>
              <w:jc w:val="center"/>
              <w:rPr>
                <w:rFonts w:ascii="Times New Roman" w:hAnsi="Times New Roman" w:eastAsia="Calibri" w:cs="Arial"/>
                <w:sz w:val="26"/>
                <w:szCs w:val="22"/>
                <w:lang w:val="ru-RU" w:eastAsia="en-US" w:bidi="ar-SA"/>
              </w:rPr>
            </w:pPr>
            <w:r>
              <w:rPr>
                <w:rFonts w:eastAsia="Calibri" w:cs="Arial"/>
                <w:sz w:val="26"/>
                <w:szCs w:val="22"/>
                <w:lang w:val="ru-RU" w:eastAsia="en-US" w:bidi="ar-SA"/>
              </w:rPr>
            </w:r>
          </w:p>
        </w:tc>
        <w:tc>
          <w:tcPr>
            <w:tcW w:w="8506" w:type="dxa"/>
            <w:tcBorders/>
          </w:tcPr>
          <w:p>
            <w:pPr>
              <w:pStyle w:val="Style23"/>
              <w:widowControl/>
              <w:spacing w:lineRule="auto" w:line="240" w:before="60" w:after="60"/>
              <w:rPr>
                <w:rFonts w:ascii="Times New Roman" w:hAnsi="Times New Roman" w:eastAsia="Calibri" w:cs="Arial"/>
                <w:sz w:val="26"/>
                <w:szCs w:val="22"/>
                <w:lang w:val="ru-RU" w:eastAsia="en-US" w:bidi="ar-SA"/>
              </w:rPr>
            </w:pPr>
            <w:r>
              <w:rPr>
                <w:rFonts w:eastAsia="Calibri" w:cs="Arial"/>
                <w:kern w:val="0"/>
                <w:sz w:val="26"/>
                <w:szCs w:val="22"/>
                <w:lang w:val="ru-RU" w:eastAsia="en-US" w:bidi="ar-SA"/>
              </w:rPr>
              <w:t>Соответствие Коллективного участника установленным в отношении его требованиям:</w:t>
            </w:r>
          </w:p>
          <w:p>
            <w:pPr>
              <w:pStyle w:val="Style23"/>
              <w:widowControl/>
              <w:spacing w:lineRule="auto" w:line="240" w:before="60" w:after="60"/>
              <w:rPr>
                <w:rFonts w:ascii="Times New Roman" w:hAnsi="Times New Roman" w:eastAsia="Calibri" w:cs="Arial"/>
                <w:sz w:val="26"/>
                <w:szCs w:val="22"/>
                <w:lang w:val="ru-RU" w:eastAsia="en-US" w:bidi="ar-SA"/>
              </w:rPr>
            </w:pPr>
            <w:r>
              <w:rPr>
                <w:rFonts w:eastAsia="Calibri" w:cs="Arial"/>
                <w:i/>
                <w:iCs/>
                <w:kern w:val="0"/>
                <w:sz w:val="26"/>
                <w:szCs w:val="22"/>
                <w:lang w:val="ru-RU" w:eastAsia="en-US" w:bidi="ar-SA"/>
              </w:rPr>
              <w:t>(пункт применяется только в случае рассмотрения заявки, поданной Коллективным участником (подраздел </w:t>
            </w:r>
            <w:r>
              <w:rPr>
                <w:rFonts w:eastAsia="Calibri" w:cs="Arial"/>
                <w:i/>
                <w:iCs/>
                <w:kern w:val="0"/>
                <w:sz w:val="26"/>
                <w:szCs w:val="22"/>
                <w:lang w:val="ru-RU" w:eastAsia="en-US" w:bidi="ar-SA"/>
              </w:rPr>
              <w:fldChar w:fldCharType="begin"/>
            </w:r>
            <w:r>
              <w:rPr>
                <w:sz w:val="26"/>
                <w:i/>
                <w:kern w:val="0"/>
                <w:szCs w:val="22"/>
                <w:iCs/>
                <w:rFonts w:eastAsia="Calibri" w:cs="Arial"/>
                <w:lang w:val="ru-RU" w:eastAsia="en-US" w:bidi="ar-SA"/>
              </w:rPr>
              <w:instrText xml:space="preserve"> REF _Ref130305355 \r \h </w:instrText>
            </w:r>
            <w:r>
              <w:rPr>
                <w:sz w:val="26"/>
                <w:i/>
                <w:kern w:val="0"/>
                <w:szCs w:val="22"/>
                <w:iCs/>
                <w:rFonts w:eastAsia="Calibri" w:cs="Arial"/>
                <w:lang w:val="ru-RU" w:eastAsia="en-US" w:bidi="ar-SA"/>
              </w:rPr>
              <w:fldChar w:fldCharType="separate"/>
            </w:r>
            <w:r>
              <w:rPr>
                <w:sz w:val="26"/>
                <w:i/>
                <w:kern w:val="0"/>
                <w:szCs w:val="22"/>
                <w:iCs/>
                <w:rFonts w:eastAsia="Calibri" w:cs="Arial"/>
                <w:lang w:val="ru-RU" w:eastAsia="en-US" w:bidi="ar-SA"/>
              </w:rPr>
              <w:t>3.2</w:t>
            </w:r>
            <w:r>
              <w:rPr>
                <w:sz w:val="26"/>
                <w:i/>
                <w:kern w:val="0"/>
                <w:szCs w:val="22"/>
                <w:iCs/>
                <w:rFonts w:eastAsia="Calibri" w:cs="Arial"/>
                <w:lang w:val="ru-RU" w:eastAsia="en-US" w:bidi="ar-SA"/>
              </w:rPr>
              <w:fldChar w:fldCharType="end"/>
            </w:r>
            <w:r>
              <w:rPr>
                <w:rFonts w:eastAsia="Calibri" w:cs="Arial"/>
                <w:i/>
                <w:iCs/>
                <w:kern w:val="0"/>
                <w:sz w:val="26"/>
                <w:szCs w:val="22"/>
                <w:lang w:val="ru-RU" w:eastAsia="en-US" w:bidi="ar-SA"/>
              </w:rPr>
              <w:t>))</w:t>
            </w:r>
          </w:p>
        </w:tc>
        <w:tc>
          <w:tcPr>
            <w:tcW w:w="3117" w:type="dxa"/>
            <w:tcBorders/>
          </w:tcPr>
          <w:p>
            <w:pPr>
              <w:pStyle w:val="Style23"/>
              <w:widowControl/>
              <w:spacing w:lineRule="auto" w:line="240" w:before="60" w:after="60"/>
              <w:jc w:val="center"/>
              <w:rPr>
                <w:rFonts w:ascii="Times New Roman" w:hAnsi="Times New Roman" w:eastAsia="Calibri" w:cs="Arial"/>
                <w:sz w:val="26"/>
                <w:szCs w:val="22"/>
                <w:lang w:val="ru-RU" w:eastAsia="en-US" w:bidi="ar-SA"/>
              </w:rPr>
            </w:pPr>
            <w:r>
              <w:rPr>
                <w:rFonts w:eastAsia="Calibri" w:cs="Arial"/>
                <w:b/>
                <w:bCs/>
                <w:kern w:val="0"/>
                <w:sz w:val="26"/>
                <w:szCs w:val="22"/>
                <w:lang w:val="ru-RU" w:eastAsia="en-US" w:bidi="ar-SA"/>
              </w:rPr>
              <w:t>–</w:t>
            </w:r>
          </w:p>
        </w:tc>
        <w:tc>
          <w:tcPr>
            <w:tcW w:w="2090" w:type="dxa"/>
            <w:tcBorders/>
          </w:tcPr>
          <w:p>
            <w:pPr>
              <w:pStyle w:val="Style23"/>
              <w:widowControl/>
              <w:spacing w:lineRule="auto" w:line="240" w:before="60" w:after="60"/>
              <w:jc w:val="center"/>
              <w:rPr>
                <w:rFonts w:ascii="Times New Roman" w:hAnsi="Times New Roman" w:eastAsia="Calibri" w:cs="Arial"/>
                <w:sz w:val="26"/>
                <w:szCs w:val="22"/>
                <w:lang w:val="ru-RU" w:eastAsia="en-US" w:bidi="ar-SA"/>
              </w:rPr>
            </w:pPr>
            <w:r>
              <w:rPr>
                <w:rFonts w:eastAsia="Calibri" w:cs="Arial"/>
                <w:b/>
                <w:bCs/>
                <w:kern w:val="0"/>
                <w:sz w:val="26"/>
                <w:szCs w:val="22"/>
                <w:lang w:val="ru-RU" w:eastAsia="en-US" w:bidi="ar-SA"/>
              </w:rPr>
              <w:t>–</w:t>
            </w:r>
          </w:p>
        </w:tc>
      </w:tr>
      <w:tr>
        <w:trPr/>
        <w:tc>
          <w:tcPr>
            <w:tcW w:w="1412" w:type="dxa"/>
            <w:tcBorders/>
          </w:tcPr>
          <w:p>
            <w:pPr>
              <w:pStyle w:val="Style23"/>
              <w:widowControl/>
              <w:numPr>
                <w:ilvl w:val="1"/>
                <w:numId w:val="8"/>
              </w:numPr>
              <w:spacing w:lineRule="auto" w:line="240" w:before="60" w:after="60"/>
              <w:ind w:hanging="0" w:left="170"/>
              <w:jc w:val="center"/>
              <w:rPr>
                <w:rFonts w:ascii="Times New Roman" w:hAnsi="Times New Roman" w:eastAsia="Calibri" w:cs="Arial"/>
                <w:sz w:val="26"/>
                <w:szCs w:val="22"/>
                <w:lang w:val="ru-RU" w:eastAsia="en-US" w:bidi="ar-SA"/>
              </w:rPr>
            </w:pPr>
            <w:r>
              <w:rPr>
                <w:rFonts w:eastAsia="Calibri" w:cs="Arial"/>
                <w:sz w:val="26"/>
                <w:szCs w:val="22"/>
                <w:lang w:val="ru-RU" w:eastAsia="en-US" w:bidi="ar-SA"/>
              </w:rPr>
            </w:r>
          </w:p>
        </w:tc>
        <w:tc>
          <w:tcPr>
            <w:tcW w:w="8506" w:type="dxa"/>
            <w:tcBorders/>
          </w:tcPr>
          <w:p>
            <w:pPr>
              <w:pStyle w:val="Style23"/>
              <w:widowControl/>
              <w:numPr>
                <w:ilvl w:val="0"/>
                <w:numId w:val="10"/>
              </w:numPr>
              <w:spacing w:lineRule="auto" w:line="240" w:before="60" w:after="60"/>
              <w:ind w:hanging="284" w:left="284"/>
              <w:rPr>
                <w:rFonts w:ascii="Times New Roman" w:hAnsi="Times New Roman" w:eastAsia="Calibri" w:cs="Arial"/>
                <w:sz w:val="26"/>
                <w:szCs w:val="22"/>
                <w:lang w:val="ru-RU" w:eastAsia="en-US" w:bidi="ar-SA"/>
              </w:rPr>
            </w:pPr>
            <w:r>
              <w:rPr>
                <w:rFonts w:eastAsia="Calibri" w:cs="Arial"/>
                <w:kern w:val="0"/>
                <w:sz w:val="26"/>
                <w:szCs w:val="22"/>
                <w:lang w:val="ru-RU" w:eastAsia="en-US" w:bidi="ar-SA"/>
              </w:rPr>
              <w:t>в части требований пункта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_Ref125370156 \w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1</w:t>
            </w:r>
            <w:r>
              <w:rPr>
                <w:sz w:val="26"/>
                <w:kern w:val="0"/>
                <w:szCs w:val="22"/>
                <w:rFonts w:eastAsia="Calibri" w:cs="Arial"/>
                <w:lang w:val="ru-RU" w:eastAsia="en-US" w:bidi="ar-SA"/>
              </w:rPr>
              <w:fldChar w:fldCharType="end"/>
            </w:r>
          </w:p>
          <w:p>
            <w:pPr>
              <w:pStyle w:val="Style23"/>
              <w:widowControl/>
              <w:spacing w:lineRule="auto" w:line="240" w:before="60" w:after="60"/>
              <w:ind w:left="219"/>
              <w:rPr>
                <w:rFonts w:ascii="Times New Roman" w:hAnsi="Times New Roman" w:eastAsia="Calibri" w:cs="Arial"/>
                <w:sz w:val="26"/>
                <w:szCs w:val="22"/>
                <w:lang w:val="ru-RU" w:eastAsia="en-US" w:bidi="ar-SA"/>
              </w:rPr>
            </w:pPr>
            <w:r>
              <w:rPr>
                <w:rFonts w:eastAsia="Calibri" w:cs="Arial"/>
                <w:i/>
                <w:iCs/>
                <w:kern w:val="0"/>
                <w:sz w:val="26"/>
                <w:szCs w:val="22"/>
                <w:lang w:val="ru-RU" w:eastAsia="en-US" w:bidi="ar-SA"/>
              </w:rPr>
              <w:t>(в рамках заключения Договора Победитель в целях подтверждения своего соответствия предоставляет документы в порядке, предусмотренном подразделом </w:t>
            </w:r>
            <w:r>
              <w:rPr>
                <w:rFonts w:eastAsia="Calibri" w:cs="Arial"/>
                <w:i/>
                <w:iCs/>
                <w:kern w:val="0"/>
                <w:sz w:val="26"/>
                <w:szCs w:val="22"/>
                <w:lang w:val="ru-RU" w:eastAsia="en-US" w:bidi="ar-SA"/>
              </w:rPr>
              <w:fldChar w:fldCharType="begin"/>
            </w:r>
            <w:r>
              <w:rPr>
                <w:sz w:val="26"/>
                <w:i/>
                <w:kern w:val="0"/>
                <w:szCs w:val="22"/>
                <w:iCs/>
                <w:rFonts w:eastAsia="Calibri" w:cs="Arial"/>
                <w:lang w:val="ru-RU" w:eastAsia="en-US" w:bidi="ar-SA"/>
              </w:rPr>
              <w:instrText xml:space="preserve"> REF _Ref138232981 \r \h </w:instrText>
            </w:r>
            <w:r>
              <w:rPr>
                <w:sz w:val="26"/>
                <w:i/>
                <w:kern w:val="0"/>
                <w:szCs w:val="22"/>
                <w:iCs/>
                <w:rFonts w:eastAsia="Calibri" w:cs="Arial"/>
                <w:lang w:val="ru-RU" w:eastAsia="en-US" w:bidi="ar-SA"/>
              </w:rPr>
              <w:fldChar w:fldCharType="separate"/>
            </w:r>
            <w:r>
              <w:rPr>
                <w:sz w:val="26"/>
                <w:i/>
                <w:kern w:val="0"/>
                <w:szCs w:val="22"/>
                <w:iCs/>
                <w:rFonts w:eastAsia="Calibri" w:cs="Arial"/>
                <w:lang w:val="ru-RU" w:eastAsia="en-US" w:bidi="ar-SA"/>
              </w:rPr>
              <w:t>5.2</w:t>
            </w:r>
            <w:r>
              <w:rPr>
                <w:sz w:val="26"/>
                <w:i/>
                <w:kern w:val="0"/>
                <w:szCs w:val="22"/>
                <w:iCs/>
                <w:rFonts w:eastAsia="Calibri" w:cs="Arial"/>
                <w:lang w:val="ru-RU" w:eastAsia="en-US" w:bidi="ar-SA"/>
              </w:rPr>
              <w:fldChar w:fldCharType="end"/>
            </w:r>
            <w:r>
              <w:rPr>
                <w:rFonts w:eastAsia="Calibri" w:cs="Arial"/>
                <w:i/>
                <w:iCs/>
                <w:kern w:val="0"/>
                <w:sz w:val="26"/>
                <w:szCs w:val="22"/>
                <w:lang w:val="ru-RU" w:eastAsia="en-US" w:bidi="ar-SA"/>
              </w:rPr>
              <w:t>)</w:t>
            </w:r>
          </w:p>
        </w:tc>
        <w:tc>
          <w:tcPr>
            <w:tcW w:w="3117" w:type="dxa"/>
            <w:tcBorders/>
          </w:tcPr>
          <w:p>
            <w:pPr>
              <w:pStyle w:val="Style23"/>
              <w:widowControl/>
              <w:spacing w:lineRule="auto" w:line="240" w:before="60" w:after="60"/>
              <w:jc w:val="center"/>
              <w:rPr>
                <w:rFonts w:ascii="Times New Roman" w:hAnsi="Times New Roman" w:eastAsia="Calibri" w:cs="Arial"/>
                <w:sz w:val="26"/>
                <w:szCs w:val="22"/>
                <w:lang w:val="ru-RU" w:eastAsia="en-US" w:bidi="ar-SA"/>
              </w:rPr>
            </w:pPr>
            <w:r>
              <w:rPr>
                <w:rFonts w:eastAsia="Calibri" w:cs="Arial"/>
                <w:kern w:val="0"/>
                <w:sz w:val="26"/>
                <w:szCs w:val="22"/>
                <w:lang w:val="ru-RU" w:eastAsia="en-US" w:bidi="ar-SA"/>
              </w:rPr>
              <w:t>подраздел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_Ref125552455 \r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8.5</w:t>
            </w:r>
            <w:r>
              <w:rPr>
                <w:sz w:val="26"/>
                <w:kern w:val="0"/>
                <w:szCs w:val="22"/>
                <w:rFonts w:eastAsia="Calibri" w:cs="Arial"/>
                <w:lang w:val="ru-RU" w:eastAsia="en-US" w:bidi="ar-SA"/>
              </w:rPr>
              <w:fldChar w:fldCharType="end"/>
            </w:r>
            <w:r>
              <w:rPr>
                <w:rFonts w:eastAsia="Calibri" w:cs="Arial"/>
                <w:kern w:val="0"/>
                <w:sz w:val="26"/>
                <w:szCs w:val="22"/>
                <w:lang w:val="ru-RU" w:eastAsia="en-US" w:bidi="ar-SA"/>
              </w:rPr>
              <w:br/>
              <w:t>(</w:t>
            </w:r>
            <w:hyperlink w:anchor="Прил03_ТребованияУчастникам" w:tgtFrame="#Прил03_ТребованияУчастникам">
              <w:r>
                <w:rPr>
                  <w:rFonts w:eastAsia="Calibri" w:cs="Arial"/>
                  <w:color w:val="000000"/>
                  <w:spacing w:val="0"/>
                  <w:kern w:val="0"/>
                  <w:sz w:val="26"/>
                  <w:szCs w:val="22"/>
                  <w:u w:val="single"/>
                  <w:shd w:fill="auto" w:val="clear"/>
                  <w:lang w:val="ru-RU" w:eastAsia="en-US" w:bidi="ar-SA"/>
                </w:rPr>
                <w:t>Приложение № 3</w:t>
              </w:r>
            </w:hyperlink>
            <w:r>
              <w:rPr>
                <w:rFonts w:eastAsia="Calibri" w:cs="Arial"/>
                <w:kern w:val="0"/>
                <w:sz w:val="26"/>
                <w:szCs w:val="22"/>
                <w:lang w:val="ru-RU" w:eastAsia="en-US" w:bidi="ar-SA"/>
              </w:rPr>
              <w:t>)</w:t>
            </w:r>
          </w:p>
        </w:tc>
        <w:tc>
          <w:tcPr>
            <w:tcW w:w="2090" w:type="dxa"/>
            <w:tcBorders/>
          </w:tcPr>
          <w:p>
            <w:pPr>
              <w:pStyle w:val="Style23"/>
              <w:widowControl/>
              <w:spacing w:lineRule="auto" w:line="240" w:before="60" w:after="60"/>
              <w:jc w:val="center"/>
              <w:rPr>
                <w:rFonts w:ascii="Times New Roman" w:hAnsi="Times New Roman" w:eastAsia="Calibri" w:cs="Arial"/>
                <w:sz w:val="26"/>
                <w:szCs w:val="22"/>
                <w:lang w:val="ru-RU" w:eastAsia="en-US" w:bidi="ar-SA"/>
              </w:rPr>
            </w:pPr>
            <w:r>
              <w:rPr>
                <w:rFonts w:eastAsia="Calibri" w:cs="Arial"/>
                <w:kern w:val="0"/>
                <w:sz w:val="26"/>
                <w:szCs w:val="22"/>
                <w:lang w:val="ru-RU" w:eastAsia="en-US" w:bidi="ar-SA"/>
              </w:rPr>
              <w:t>Юр</w:t>
            </w:r>
          </w:p>
        </w:tc>
      </w:tr>
      <w:tr>
        <w:trPr/>
        <w:tc>
          <w:tcPr>
            <w:tcW w:w="1412" w:type="dxa"/>
            <w:tcBorders/>
          </w:tcPr>
          <w:p>
            <w:pPr>
              <w:pStyle w:val="Style23"/>
              <w:widowControl/>
              <w:numPr>
                <w:ilvl w:val="1"/>
                <w:numId w:val="8"/>
              </w:numPr>
              <w:spacing w:lineRule="auto" w:line="240" w:before="60" w:after="60"/>
              <w:ind w:hanging="0" w:left="170"/>
              <w:jc w:val="center"/>
              <w:rPr>
                <w:rFonts w:ascii="Times New Roman" w:hAnsi="Times New Roman" w:eastAsia="Calibri" w:cs="Arial"/>
                <w:sz w:val="26"/>
                <w:szCs w:val="22"/>
                <w:lang w:val="ru-RU" w:eastAsia="en-US" w:bidi="ar-SA"/>
              </w:rPr>
            </w:pPr>
            <w:r>
              <w:rPr>
                <w:rFonts w:eastAsia="Calibri" w:cs="Arial"/>
                <w:sz w:val="26"/>
                <w:szCs w:val="22"/>
                <w:lang w:val="ru-RU" w:eastAsia="en-US" w:bidi="ar-SA"/>
              </w:rPr>
            </w:r>
          </w:p>
        </w:tc>
        <w:tc>
          <w:tcPr>
            <w:tcW w:w="8506" w:type="dxa"/>
            <w:tcBorders/>
          </w:tcPr>
          <w:p>
            <w:pPr>
              <w:pStyle w:val="Style23"/>
              <w:widowControl/>
              <w:numPr>
                <w:ilvl w:val="0"/>
                <w:numId w:val="10"/>
              </w:numPr>
              <w:spacing w:lineRule="auto" w:line="240" w:before="60" w:after="60"/>
              <w:ind w:hanging="284" w:left="284"/>
              <w:rPr>
                <w:rFonts w:ascii="Times New Roman" w:hAnsi="Times New Roman" w:eastAsia="Calibri" w:cs="Arial"/>
                <w:sz w:val="26"/>
                <w:szCs w:val="22"/>
                <w:lang w:val="ru-RU" w:eastAsia="en-US" w:bidi="ar-SA"/>
              </w:rPr>
            </w:pPr>
            <w:r>
              <w:rPr>
                <w:rFonts w:eastAsia="Calibri" w:cs="Arial"/>
                <w:kern w:val="0"/>
                <w:sz w:val="26"/>
                <w:szCs w:val="22"/>
                <w:lang w:val="ru-RU" w:eastAsia="en-US" w:bidi="ar-SA"/>
              </w:rPr>
              <w:t>в части требований пункта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_Ref125553738 \w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2</w:t>
            </w:r>
            <w:r>
              <w:rPr>
                <w:sz w:val="26"/>
                <w:kern w:val="0"/>
                <w:szCs w:val="22"/>
                <w:rFonts w:eastAsia="Calibri" w:cs="Arial"/>
                <w:lang w:val="ru-RU" w:eastAsia="en-US" w:bidi="ar-SA"/>
              </w:rPr>
              <w:fldChar w:fldCharType="end"/>
            </w:r>
          </w:p>
        </w:tc>
        <w:tc>
          <w:tcPr>
            <w:tcW w:w="3117" w:type="dxa"/>
            <w:tcBorders/>
          </w:tcPr>
          <w:p>
            <w:pPr>
              <w:pStyle w:val="Style23"/>
              <w:widowControl/>
              <w:spacing w:lineRule="auto" w:line="240" w:before="60" w:after="60"/>
              <w:jc w:val="center"/>
              <w:rPr>
                <w:rFonts w:ascii="Times New Roman" w:hAnsi="Times New Roman" w:eastAsia="Calibri" w:cs="Arial"/>
                <w:sz w:val="26"/>
                <w:szCs w:val="22"/>
                <w:lang w:val="ru-RU" w:eastAsia="en-US" w:bidi="ar-SA"/>
              </w:rPr>
            </w:pPr>
            <w:r>
              <w:rPr>
                <w:rFonts w:eastAsia="Calibri" w:cs="Arial"/>
                <w:kern w:val="0"/>
                <w:sz w:val="26"/>
                <w:szCs w:val="22"/>
                <w:lang w:val="ru-RU" w:eastAsia="en-US" w:bidi="ar-SA"/>
              </w:rPr>
              <w:t>подраздел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_Ref125552455 \r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8.5</w:t>
            </w:r>
            <w:r>
              <w:rPr>
                <w:sz w:val="26"/>
                <w:kern w:val="0"/>
                <w:szCs w:val="22"/>
                <w:rFonts w:eastAsia="Calibri" w:cs="Arial"/>
                <w:lang w:val="ru-RU" w:eastAsia="en-US" w:bidi="ar-SA"/>
              </w:rPr>
              <w:fldChar w:fldCharType="end"/>
            </w:r>
            <w:r>
              <w:rPr>
                <w:rFonts w:eastAsia="Calibri" w:cs="Arial"/>
                <w:kern w:val="0"/>
                <w:sz w:val="26"/>
                <w:szCs w:val="22"/>
                <w:lang w:val="ru-RU" w:eastAsia="en-US" w:bidi="ar-SA"/>
              </w:rPr>
              <w:br/>
              <w:t>(</w:t>
            </w:r>
            <w:hyperlink w:anchor="Прил03_ТребованияУчастникам" w:tgtFrame="#Прил03_ТребованияУчастникам">
              <w:r>
                <w:rPr>
                  <w:rFonts w:eastAsia="Calibri" w:cs="Arial"/>
                  <w:color w:val="000000"/>
                  <w:spacing w:val="0"/>
                  <w:kern w:val="0"/>
                  <w:sz w:val="26"/>
                  <w:szCs w:val="22"/>
                  <w:u w:val="single"/>
                  <w:shd w:fill="auto" w:val="clear"/>
                  <w:lang w:val="ru-RU" w:eastAsia="en-US" w:bidi="ar-SA"/>
                </w:rPr>
                <w:t>Приложение № 3</w:t>
              </w:r>
            </w:hyperlink>
            <w:r>
              <w:rPr>
                <w:rFonts w:eastAsia="Calibri" w:cs="Arial"/>
                <w:kern w:val="0"/>
                <w:sz w:val="26"/>
                <w:szCs w:val="22"/>
                <w:lang w:val="ru-RU" w:eastAsia="en-US" w:bidi="ar-SA"/>
              </w:rPr>
              <w:t>)</w:t>
            </w:r>
          </w:p>
        </w:tc>
        <w:tc>
          <w:tcPr>
            <w:tcW w:w="2090" w:type="dxa"/>
            <w:tcBorders/>
          </w:tcPr>
          <w:p>
            <w:pPr>
              <w:pStyle w:val="Style23"/>
              <w:widowControl/>
              <w:spacing w:lineRule="auto" w:line="240" w:before="60" w:after="60"/>
              <w:jc w:val="center"/>
              <w:rPr>
                <w:rFonts w:ascii="Times New Roman" w:hAnsi="Times New Roman" w:eastAsia="Calibri" w:cs="Arial"/>
                <w:sz w:val="26"/>
                <w:szCs w:val="22"/>
                <w:lang w:val="ru-RU" w:eastAsia="en-US" w:bidi="ar-SA"/>
              </w:rPr>
            </w:pPr>
            <w:r>
              <w:rPr>
                <w:rFonts w:eastAsia="Calibri" w:cs="Arial"/>
                <w:kern w:val="0"/>
                <w:sz w:val="26"/>
                <w:szCs w:val="22"/>
                <w:lang w:val="ru-RU" w:eastAsia="en-US" w:bidi="ar-SA"/>
              </w:rPr>
              <w:t>Тех</w:t>
            </w:r>
          </w:p>
        </w:tc>
      </w:tr>
      <w:tr>
        <w:trPr/>
        <w:tc>
          <w:tcPr>
            <w:tcW w:w="1412" w:type="dxa"/>
            <w:tcBorders/>
          </w:tcPr>
          <w:p>
            <w:pPr>
              <w:pStyle w:val="Style23"/>
              <w:widowControl/>
              <w:numPr>
                <w:ilvl w:val="1"/>
                <w:numId w:val="8"/>
              </w:numPr>
              <w:spacing w:lineRule="auto" w:line="240" w:before="60" w:after="60"/>
              <w:ind w:hanging="0" w:left="170"/>
              <w:jc w:val="center"/>
              <w:rPr>
                <w:rFonts w:ascii="Times New Roman" w:hAnsi="Times New Roman" w:eastAsia="Calibri" w:cs="Arial"/>
                <w:sz w:val="26"/>
                <w:szCs w:val="22"/>
                <w:lang w:val="ru-RU" w:eastAsia="en-US" w:bidi="ar-SA"/>
              </w:rPr>
            </w:pPr>
            <w:r>
              <w:rPr>
                <w:rFonts w:eastAsia="Calibri" w:cs="Arial"/>
                <w:sz w:val="26"/>
                <w:szCs w:val="22"/>
                <w:lang w:val="ru-RU" w:eastAsia="en-US" w:bidi="ar-SA"/>
              </w:rPr>
            </w:r>
          </w:p>
        </w:tc>
        <w:tc>
          <w:tcPr>
            <w:tcW w:w="8506" w:type="dxa"/>
            <w:tcBorders/>
          </w:tcPr>
          <w:p>
            <w:pPr>
              <w:pStyle w:val="Style23"/>
              <w:widowControl/>
              <w:numPr>
                <w:ilvl w:val="0"/>
                <w:numId w:val="10"/>
              </w:numPr>
              <w:spacing w:lineRule="auto" w:line="240" w:before="60" w:after="60"/>
              <w:ind w:hanging="284" w:left="284"/>
              <w:rPr>
                <w:rFonts w:ascii="Times New Roman" w:hAnsi="Times New Roman" w:eastAsia="Calibri" w:cs="Arial"/>
                <w:sz w:val="26"/>
                <w:szCs w:val="22"/>
                <w:lang w:val="ru-RU" w:eastAsia="en-US" w:bidi="ar-SA"/>
              </w:rPr>
            </w:pPr>
            <w:r>
              <w:rPr>
                <w:rFonts w:eastAsia="Calibri" w:cs="Arial"/>
                <w:kern w:val="0"/>
                <w:sz w:val="26"/>
                <w:szCs w:val="22"/>
                <w:lang w:val="ru-RU" w:eastAsia="en-US" w:bidi="ar-SA"/>
              </w:rPr>
              <w:t>в части требований пункта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_Ref125370162 \w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3</w:t>
            </w:r>
            <w:r>
              <w:rPr>
                <w:sz w:val="26"/>
                <w:kern w:val="0"/>
                <w:szCs w:val="22"/>
                <w:rFonts w:eastAsia="Calibri" w:cs="Arial"/>
                <w:lang w:val="ru-RU" w:eastAsia="en-US" w:bidi="ar-SA"/>
              </w:rPr>
              <w:fldChar w:fldCharType="end"/>
            </w:r>
          </w:p>
          <w:p>
            <w:pPr>
              <w:pStyle w:val="Style23"/>
              <w:widowControl/>
              <w:spacing w:lineRule="auto" w:line="240" w:before="60" w:after="60"/>
              <w:ind w:left="219"/>
              <w:rPr>
                <w:rFonts w:ascii="Times New Roman" w:hAnsi="Times New Roman" w:eastAsia="Calibri" w:cs="Arial"/>
                <w:sz w:val="26"/>
                <w:szCs w:val="22"/>
                <w:lang w:val="ru-RU" w:eastAsia="en-US" w:bidi="ar-SA"/>
              </w:rPr>
            </w:pPr>
            <w:r>
              <w:rPr>
                <w:rFonts w:eastAsia="Calibri" w:cs="Arial"/>
                <w:i/>
                <w:iCs/>
                <w:kern w:val="0"/>
                <w:sz w:val="26"/>
                <w:szCs w:val="22"/>
                <w:lang w:val="ru-RU" w:eastAsia="en-US" w:bidi="ar-SA"/>
              </w:rPr>
              <w:t>(в рамках осуществления экспертизы заявки Участника в отношении каждого члена Коллективного участника в том числе проверяется наличие у него статуса «аккредитован» / «аккредитация не требуется», или проводится процедура его аккредитации (при необходимости). В рамках заключения Договора Победитель в целях подтверждения своего соответствия предоставляет документы в порядке, предусмотренном подразделом </w:t>
            </w:r>
            <w:r>
              <w:rPr>
                <w:rFonts w:eastAsia="Calibri" w:cs="Arial"/>
                <w:i/>
                <w:iCs/>
                <w:kern w:val="0"/>
                <w:sz w:val="26"/>
                <w:szCs w:val="22"/>
                <w:lang w:val="ru-RU" w:eastAsia="en-US" w:bidi="ar-SA"/>
              </w:rPr>
              <w:fldChar w:fldCharType="begin"/>
            </w:r>
            <w:r>
              <w:rPr>
                <w:sz w:val="26"/>
                <w:i/>
                <w:kern w:val="0"/>
                <w:szCs w:val="22"/>
                <w:iCs/>
                <w:rFonts w:eastAsia="Calibri" w:cs="Arial"/>
                <w:lang w:val="ru-RU" w:eastAsia="en-US" w:bidi="ar-SA"/>
              </w:rPr>
              <w:instrText xml:space="preserve"> REF _Ref138232981 \r \h </w:instrText>
            </w:r>
            <w:r>
              <w:rPr>
                <w:sz w:val="26"/>
                <w:i/>
                <w:kern w:val="0"/>
                <w:szCs w:val="22"/>
                <w:iCs/>
                <w:rFonts w:eastAsia="Calibri" w:cs="Arial"/>
                <w:lang w:val="ru-RU" w:eastAsia="en-US" w:bidi="ar-SA"/>
              </w:rPr>
              <w:fldChar w:fldCharType="separate"/>
            </w:r>
            <w:r>
              <w:rPr>
                <w:sz w:val="26"/>
                <w:i/>
                <w:kern w:val="0"/>
                <w:szCs w:val="22"/>
                <w:iCs/>
                <w:rFonts w:eastAsia="Calibri" w:cs="Arial"/>
                <w:lang w:val="ru-RU" w:eastAsia="en-US" w:bidi="ar-SA"/>
              </w:rPr>
              <w:t>5.2</w:t>
            </w:r>
            <w:r>
              <w:rPr>
                <w:sz w:val="26"/>
                <w:i/>
                <w:kern w:val="0"/>
                <w:szCs w:val="22"/>
                <w:iCs/>
                <w:rFonts w:eastAsia="Calibri" w:cs="Arial"/>
                <w:lang w:val="ru-RU" w:eastAsia="en-US" w:bidi="ar-SA"/>
              </w:rPr>
              <w:fldChar w:fldCharType="end"/>
            </w:r>
            <w:r>
              <w:rPr>
                <w:rFonts w:eastAsia="Calibri" w:cs="Arial"/>
                <w:i/>
                <w:iCs/>
                <w:kern w:val="0"/>
                <w:sz w:val="26"/>
                <w:szCs w:val="22"/>
                <w:lang w:val="ru-RU" w:eastAsia="en-US" w:bidi="ar-SA"/>
              </w:rPr>
              <w:t>)</w:t>
            </w:r>
          </w:p>
        </w:tc>
        <w:tc>
          <w:tcPr>
            <w:tcW w:w="3117" w:type="dxa"/>
            <w:tcBorders/>
          </w:tcPr>
          <w:p>
            <w:pPr>
              <w:pStyle w:val="Style23"/>
              <w:widowControl/>
              <w:spacing w:lineRule="auto" w:line="240" w:before="60" w:after="60"/>
              <w:jc w:val="center"/>
              <w:rPr>
                <w:rFonts w:ascii="Times New Roman" w:hAnsi="Times New Roman" w:eastAsia="Calibri" w:cs="Arial"/>
                <w:sz w:val="26"/>
                <w:szCs w:val="22"/>
                <w:lang w:val="ru-RU" w:eastAsia="en-US" w:bidi="ar-SA"/>
              </w:rPr>
            </w:pPr>
            <w:r>
              <w:rPr>
                <w:rFonts w:eastAsia="Calibri" w:cs="Arial"/>
                <w:kern w:val="0"/>
                <w:sz w:val="26"/>
                <w:szCs w:val="22"/>
                <w:lang w:val="ru-RU" w:eastAsia="en-US" w:bidi="ar-SA"/>
              </w:rPr>
              <w:t>подраздел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_Ref125552455 \r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8.5</w:t>
            </w:r>
            <w:r>
              <w:rPr>
                <w:sz w:val="26"/>
                <w:kern w:val="0"/>
                <w:szCs w:val="22"/>
                <w:rFonts w:eastAsia="Calibri" w:cs="Arial"/>
                <w:lang w:val="ru-RU" w:eastAsia="en-US" w:bidi="ar-SA"/>
              </w:rPr>
              <w:fldChar w:fldCharType="end"/>
            </w:r>
            <w:r>
              <w:rPr>
                <w:rFonts w:eastAsia="Calibri" w:cs="Arial"/>
                <w:kern w:val="0"/>
                <w:sz w:val="26"/>
                <w:szCs w:val="22"/>
                <w:lang w:val="ru-RU" w:eastAsia="en-US" w:bidi="ar-SA"/>
              </w:rPr>
              <w:br/>
              <w:t>(</w:t>
            </w:r>
            <w:hyperlink w:anchor="Прил03_ТребованияУчастникам" w:tgtFrame="#Прил03_ТребованияУчастникам">
              <w:r>
                <w:rPr>
                  <w:rFonts w:eastAsia="Calibri" w:cs="Arial"/>
                  <w:color w:val="000000"/>
                  <w:spacing w:val="0"/>
                  <w:kern w:val="0"/>
                  <w:sz w:val="26"/>
                  <w:szCs w:val="22"/>
                  <w:u w:val="single"/>
                  <w:shd w:fill="auto" w:val="clear"/>
                  <w:lang w:val="ru-RU" w:eastAsia="en-US" w:bidi="ar-SA"/>
                </w:rPr>
                <w:t>Приложение № 3</w:t>
              </w:r>
            </w:hyperlink>
            <w:r>
              <w:rPr>
                <w:rFonts w:eastAsia="Calibri" w:cs="Arial"/>
                <w:kern w:val="0"/>
                <w:sz w:val="26"/>
                <w:szCs w:val="22"/>
                <w:lang w:val="ru-RU" w:eastAsia="en-US" w:bidi="ar-SA"/>
              </w:rPr>
              <w:t>)</w:t>
            </w:r>
          </w:p>
        </w:tc>
        <w:tc>
          <w:tcPr>
            <w:tcW w:w="2090" w:type="dxa"/>
            <w:tcBorders/>
          </w:tcPr>
          <w:p>
            <w:pPr>
              <w:pStyle w:val="Style23"/>
              <w:widowControl/>
              <w:spacing w:lineRule="auto" w:line="240" w:before="60" w:after="60"/>
              <w:jc w:val="center"/>
              <w:rPr>
                <w:rFonts w:ascii="Times New Roman" w:hAnsi="Times New Roman" w:eastAsia="Calibri" w:cs="Arial"/>
                <w:sz w:val="26"/>
                <w:szCs w:val="22"/>
                <w:lang w:val="ru-RU" w:eastAsia="en-US" w:bidi="ar-SA"/>
              </w:rPr>
            </w:pPr>
            <w:r>
              <w:rPr>
                <w:rFonts w:eastAsia="Calibri" w:cs="Arial"/>
                <w:kern w:val="0"/>
                <w:sz w:val="26"/>
                <w:szCs w:val="22"/>
                <w:lang w:val="ru-RU" w:eastAsia="en-US" w:bidi="ar-SA"/>
              </w:rPr>
              <w:t>Орг, Тех,</w:t>
              <w:br/>
              <w:t>Юр</w:t>
            </w:r>
          </w:p>
        </w:tc>
      </w:tr>
      <w:tr>
        <w:trPr/>
        <w:tc>
          <w:tcPr>
            <w:tcW w:w="1412" w:type="dxa"/>
            <w:tcBorders/>
          </w:tcPr>
          <w:p>
            <w:pPr>
              <w:pStyle w:val="Style23"/>
              <w:widowControl/>
              <w:numPr>
                <w:ilvl w:val="0"/>
                <w:numId w:val="8"/>
              </w:numPr>
              <w:spacing w:lineRule="auto" w:line="240" w:before="60" w:after="60"/>
              <w:ind w:hanging="0" w:left="170"/>
              <w:jc w:val="center"/>
              <w:rPr>
                <w:rFonts w:ascii="Times New Roman" w:hAnsi="Times New Roman" w:eastAsia="Calibri" w:cs="Arial"/>
                <w:sz w:val="26"/>
                <w:szCs w:val="22"/>
                <w:lang w:val="ru-RU" w:eastAsia="en-US" w:bidi="ar-SA"/>
              </w:rPr>
            </w:pPr>
            <w:r>
              <w:rPr>
                <w:rFonts w:eastAsia="Calibri" w:cs="Arial"/>
                <w:sz w:val="26"/>
                <w:szCs w:val="22"/>
                <w:lang w:val="ru-RU" w:eastAsia="en-US" w:bidi="ar-SA"/>
              </w:rPr>
            </w:r>
          </w:p>
        </w:tc>
        <w:tc>
          <w:tcPr>
            <w:tcW w:w="8506" w:type="dxa"/>
            <w:tcBorders/>
          </w:tcPr>
          <w:p>
            <w:pPr>
              <w:pStyle w:val="Style23"/>
              <w:widowControl/>
              <w:spacing w:lineRule="auto" w:line="240" w:before="60" w:after="60"/>
              <w:rPr>
                <w:rFonts w:ascii="Times New Roman" w:hAnsi="Times New Roman" w:eastAsia="Calibri" w:cs="Arial"/>
                <w:sz w:val="26"/>
                <w:szCs w:val="22"/>
                <w:lang w:val="ru-RU" w:eastAsia="en-US" w:bidi="ar-SA"/>
              </w:rPr>
            </w:pPr>
            <w:r>
              <w:rPr>
                <w:rFonts w:eastAsia="Calibri" w:cs="Arial"/>
                <w:kern w:val="0"/>
                <w:sz w:val="26"/>
                <w:szCs w:val="22"/>
                <w:lang w:val="ru-RU" w:eastAsia="en-US" w:bidi="ar-SA"/>
              </w:rPr>
              <w:t>Соответствие Генерального подрядчика установленным в отношении его требованиям:</w:t>
            </w:r>
          </w:p>
          <w:p>
            <w:pPr>
              <w:pStyle w:val="Style23"/>
              <w:widowControl/>
              <w:spacing w:lineRule="auto" w:line="240" w:before="60" w:after="60"/>
              <w:rPr>
                <w:i/>
                <w:i/>
                <w:iCs/>
              </w:rPr>
            </w:pPr>
            <w:r>
              <w:rPr>
                <w:rFonts w:eastAsia="Calibri" w:cs="Arial"/>
                <w:i/>
                <w:iCs/>
                <w:kern w:val="0"/>
                <w:sz w:val="26"/>
                <w:szCs w:val="22"/>
                <w:lang w:val="ru-RU" w:eastAsia="en-US" w:bidi="ar-SA"/>
              </w:rPr>
              <w:t>(пункт применяется только в случае проведения закупки, в которой предусмотрена возможность рассмотрения, оценки и сопоставления заявок Участников с учетом привлекаемых субподрядчиков (подраздел </w:t>
            </w:r>
            <w:r>
              <w:rPr>
                <w:rFonts w:eastAsia="Calibri" w:cs="Arial"/>
                <w:i/>
                <w:iCs/>
                <w:kern w:val="0"/>
                <w:sz w:val="26"/>
                <w:szCs w:val="22"/>
                <w:lang w:val="ru-RU" w:eastAsia="en-US" w:bidi="ar-SA"/>
              </w:rPr>
              <w:fldChar w:fldCharType="begin"/>
            </w:r>
            <w:r>
              <w:rPr>
                <w:sz w:val="26"/>
                <w:i/>
                <w:kern w:val="0"/>
                <w:szCs w:val="22"/>
                <w:iCs/>
                <w:rFonts w:eastAsia="Calibri" w:cs="Arial"/>
                <w:lang w:val="ru-RU" w:eastAsia="en-US" w:bidi="ar-SA"/>
              </w:rPr>
              <w:instrText xml:space="preserve"> REF _Ref125359973 \r \h </w:instrText>
            </w:r>
            <w:r>
              <w:rPr>
                <w:sz w:val="26"/>
                <w:i/>
                <w:kern w:val="0"/>
                <w:szCs w:val="22"/>
                <w:iCs/>
                <w:rFonts w:eastAsia="Calibri" w:cs="Arial"/>
                <w:lang w:val="ru-RU" w:eastAsia="en-US" w:bidi="ar-SA"/>
              </w:rPr>
              <w:fldChar w:fldCharType="separate"/>
            </w:r>
            <w:r>
              <w:rPr>
                <w:sz w:val="26"/>
                <w:i/>
                <w:kern w:val="0"/>
                <w:szCs w:val="22"/>
                <w:iCs/>
                <w:rFonts w:eastAsia="Calibri" w:cs="Arial"/>
                <w:lang w:val="ru-RU" w:eastAsia="en-US" w:bidi="ar-SA"/>
              </w:rPr>
              <w:t>1.2</w:t>
            </w:r>
            <w:r>
              <w:rPr>
                <w:sz w:val="26"/>
                <w:i/>
                <w:kern w:val="0"/>
                <w:szCs w:val="22"/>
                <w:iCs/>
                <w:rFonts w:eastAsia="Calibri" w:cs="Arial"/>
                <w:lang w:val="ru-RU" w:eastAsia="en-US" w:bidi="ar-SA"/>
              </w:rPr>
              <w:fldChar w:fldCharType="end"/>
            </w:r>
            <w:r>
              <w:rPr>
                <w:rFonts w:eastAsia="Calibri" w:cs="Arial"/>
                <w:i/>
                <w:iCs/>
                <w:kern w:val="0"/>
                <w:sz w:val="26"/>
                <w:szCs w:val="22"/>
                <w:lang w:val="ru-RU" w:eastAsia="en-US" w:bidi="ar-SA"/>
              </w:rPr>
              <w:t>, подраздел </w:t>
            </w:r>
            <w:r>
              <w:rPr>
                <w:rFonts w:eastAsia="Calibri" w:cs="Arial"/>
                <w:i/>
                <w:iCs/>
                <w:kern w:val="0"/>
                <w:sz w:val="26"/>
                <w:szCs w:val="22"/>
                <w:lang w:val="ru-RU" w:eastAsia="en-US" w:bidi="ar-SA"/>
              </w:rPr>
              <w:fldChar w:fldCharType="begin"/>
            </w:r>
            <w:r>
              <w:rPr>
                <w:sz w:val="26"/>
                <w:i/>
                <w:kern w:val="0"/>
                <w:szCs w:val="22"/>
                <w:iCs/>
                <w:rFonts w:eastAsia="Calibri" w:cs="Arial"/>
                <w:lang w:val="ru-RU" w:eastAsia="en-US" w:bidi="ar-SA"/>
              </w:rPr>
              <w:instrText xml:space="preserve"> REF _Ref125361702 \r \h </w:instrText>
            </w:r>
            <w:r>
              <w:rPr>
                <w:sz w:val="26"/>
                <w:i/>
                <w:kern w:val="0"/>
                <w:szCs w:val="22"/>
                <w:iCs/>
                <w:rFonts w:eastAsia="Calibri" w:cs="Arial"/>
                <w:lang w:val="ru-RU" w:eastAsia="en-US" w:bidi="ar-SA"/>
              </w:rPr>
              <w:fldChar w:fldCharType="separate"/>
            </w:r>
            <w:r>
              <w:rPr>
                <w:sz w:val="26"/>
                <w:i/>
                <w:kern w:val="0"/>
                <w:szCs w:val="22"/>
                <w:iCs/>
                <w:rFonts w:eastAsia="Calibri" w:cs="Arial"/>
                <w:lang w:val="ru-RU" w:eastAsia="en-US" w:bidi="ar-SA"/>
              </w:rPr>
              <w:t>3.3</w:t>
            </w:r>
            <w:r>
              <w:rPr>
                <w:sz w:val="26"/>
                <w:i/>
                <w:kern w:val="0"/>
                <w:szCs w:val="22"/>
                <w:iCs/>
                <w:rFonts w:eastAsia="Calibri" w:cs="Arial"/>
                <w:lang w:val="ru-RU" w:eastAsia="en-US" w:bidi="ar-SA"/>
              </w:rPr>
              <w:fldChar w:fldCharType="end"/>
            </w:r>
            <w:r>
              <w:rPr>
                <w:rFonts w:eastAsia="Calibri" w:cs="Arial"/>
                <w:i/>
                <w:iCs/>
                <w:kern w:val="0"/>
                <w:sz w:val="26"/>
                <w:szCs w:val="22"/>
                <w:lang w:val="ru-RU" w:eastAsia="en-US" w:bidi="ar-SA"/>
              </w:rPr>
              <w:t>))</w:t>
            </w:r>
          </w:p>
        </w:tc>
        <w:tc>
          <w:tcPr>
            <w:tcW w:w="3117" w:type="dxa"/>
            <w:tcBorders/>
          </w:tcPr>
          <w:p>
            <w:pPr>
              <w:pStyle w:val="Style23"/>
              <w:widowControl/>
              <w:spacing w:lineRule="auto" w:line="240" w:before="60" w:after="60"/>
              <w:jc w:val="center"/>
              <w:rPr>
                <w:rFonts w:ascii="Times New Roman" w:hAnsi="Times New Roman" w:eastAsia="Calibri" w:cs="Arial"/>
                <w:sz w:val="26"/>
                <w:szCs w:val="22"/>
                <w:lang w:val="ru-RU" w:eastAsia="en-US" w:bidi="ar-SA"/>
              </w:rPr>
            </w:pPr>
            <w:r>
              <w:rPr>
                <w:rFonts w:eastAsia="Calibri" w:cs="Arial"/>
                <w:b/>
                <w:bCs/>
                <w:kern w:val="0"/>
                <w:sz w:val="26"/>
                <w:szCs w:val="22"/>
                <w:lang w:val="ru-RU" w:eastAsia="en-US" w:bidi="ar-SA"/>
              </w:rPr>
              <w:t>–</w:t>
            </w:r>
          </w:p>
        </w:tc>
        <w:tc>
          <w:tcPr>
            <w:tcW w:w="2090" w:type="dxa"/>
            <w:tcBorders/>
          </w:tcPr>
          <w:p>
            <w:pPr>
              <w:pStyle w:val="Style23"/>
              <w:widowControl/>
              <w:spacing w:lineRule="auto" w:line="240" w:before="60" w:after="60"/>
              <w:jc w:val="center"/>
              <w:rPr>
                <w:rFonts w:ascii="Times New Roman" w:hAnsi="Times New Roman" w:eastAsia="Calibri" w:cs="Arial"/>
                <w:sz w:val="26"/>
                <w:szCs w:val="22"/>
                <w:lang w:val="ru-RU" w:eastAsia="en-US" w:bidi="ar-SA"/>
              </w:rPr>
            </w:pPr>
            <w:r>
              <w:rPr>
                <w:rFonts w:eastAsia="Calibri" w:cs="Arial"/>
                <w:b/>
                <w:bCs/>
                <w:kern w:val="0"/>
                <w:sz w:val="26"/>
                <w:szCs w:val="22"/>
                <w:lang w:val="ru-RU" w:eastAsia="en-US" w:bidi="ar-SA"/>
              </w:rPr>
              <w:t>–</w:t>
            </w:r>
          </w:p>
        </w:tc>
      </w:tr>
      <w:tr>
        <w:trPr/>
        <w:tc>
          <w:tcPr>
            <w:tcW w:w="1412" w:type="dxa"/>
            <w:tcBorders/>
          </w:tcPr>
          <w:p>
            <w:pPr>
              <w:pStyle w:val="Style23"/>
              <w:widowControl/>
              <w:numPr>
                <w:ilvl w:val="1"/>
                <w:numId w:val="8"/>
              </w:numPr>
              <w:spacing w:lineRule="auto" w:line="240" w:before="60" w:after="60"/>
              <w:ind w:hanging="0" w:left="170"/>
              <w:jc w:val="center"/>
              <w:rPr>
                <w:rFonts w:ascii="Times New Roman" w:hAnsi="Times New Roman" w:eastAsia="Calibri" w:cs="Arial"/>
                <w:sz w:val="26"/>
                <w:szCs w:val="22"/>
                <w:lang w:val="ru-RU" w:eastAsia="en-US" w:bidi="ar-SA"/>
              </w:rPr>
            </w:pPr>
            <w:r>
              <w:rPr>
                <w:rFonts w:eastAsia="Calibri" w:cs="Arial"/>
                <w:sz w:val="26"/>
                <w:szCs w:val="22"/>
                <w:lang w:val="ru-RU" w:eastAsia="en-US" w:bidi="ar-SA"/>
              </w:rPr>
            </w:r>
          </w:p>
        </w:tc>
        <w:tc>
          <w:tcPr>
            <w:tcW w:w="8506" w:type="dxa"/>
            <w:tcBorders/>
          </w:tcPr>
          <w:p>
            <w:pPr>
              <w:pStyle w:val="Style23"/>
              <w:widowControl/>
              <w:numPr>
                <w:ilvl w:val="0"/>
                <w:numId w:val="10"/>
              </w:numPr>
              <w:spacing w:lineRule="auto" w:line="240" w:before="60" w:after="60"/>
              <w:ind w:hanging="284" w:left="284"/>
              <w:rPr>
                <w:rFonts w:ascii="Times New Roman" w:hAnsi="Times New Roman" w:eastAsia="Calibri" w:cs="Arial"/>
                <w:sz w:val="26"/>
                <w:szCs w:val="22"/>
                <w:lang w:val="ru-RU" w:eastAsia="en-US" w:bidi="ar-SA"/>
              </w:rPr>
            </w:pPr>
            <w:r>
              <w:rPr>
                <w:rFonts w:eastAsia="Calibri" w:cs="Arial"/>
                <w:kern w:val="0"/>
                <w:sz w:val="26"/>
                <w:szCs w:val="22"/>
                <w:lang w:val="ru-RU" w:eastAsia="en-US" w:bidi="ar-SA"/>
              </w:rPr>
              <w:t>в части требований пунктов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_Ref125370187 \w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1</w:t>
            </w:r>
            <w:r>
              <w:rPr>
                <w:sz w:val="26"/>
                <w:kern w:val="0"/>
                <w:szCs w:val="22"/>
                <w:rFonts w:eastAsia="Calibri" w:cs="Arial"/>
                <w:lang w:val="ru-RU" w:eastAsia="en-US" w:bidi="ar-SA"/>
              </w:rPr>
              <w:fldChar w:fldCharType="end"/>
            </w:r>
            <w:r>
              <w:rPr>
                <w:rFonts w:eastAsia="Calibri" w:cs="Arial"/>
                <w:kern w:val="0"/>
                <w:sz w:val="26"/>
                <w:szCs w:val="22"/>
                <w:lang w:val="ru-RU" w:eastAsia="en-US" w:bidi="ar-SA"/>
              </w:rPr>
              <w:t xml:space="preserve">,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_Ref125370199 \w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2</w:t>
            </w:r>
            <w:r>
              <w:rPr>
                <w:sz w:val="26"/>
                <w:kern w:val="0"/>
                <w:szCs w:val="22"/>
                <w:rFonts w:eastAsia="Calibri" w:cs="Arial"/>
                <w:lang w:val="ru-RU" w:eastAsia="en-US" w:bidi="ar-SA"/>
              </w:rPr>
              <w:fldChar w:fldCharType="end"/>
            </w:r>
            <w:r>
              <w:rPr>
                <w:rFonts w:eastAsia="Calibri" w:cs="Arial"/>
                <w:kern w:val="0"/>
                <w:sz w:val="26"/>
                <w:szCs w:val="22"/>
                <w:lang w:val="ru-RU" w:eastAsia="en-US" w:bidi="ar-SA"/>
              </w:rPr>
              <w:t xml:space="preserve">,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_Ref125553847 \w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4</w:t>
            </w:r>
            <w:r>
              <w:rPr>
                <w:sz w:val="26"/>
                <w:kern w:val="0"/>
                <w:szCs w:val="22"/>
                <w:rFonts w:eastAsia="Calibri" w:cs="Arial"/>
                <w:lang w:val="ru-RU" w:eastAsia="en-US" w:bidi="ar-SA"/>
              </w:rPr>
              <w:fldChar w:fldCharType="end"/>
            </w:r>
          </w:p>
        </w:tc>
        <w:tc>
          <w:tcPr>
            <w:tcW w:w="3117" w:type="dxa"/>
            <w:tcBorders/>
          </w:tcPr>
          <w:p>
            <w:pPr>
              <w:pStyle w:val="Style23"/>
              <w:widowControl/>
              <w:spacing w:lineRule="auto" w:line="240" w:before="60" w:after="60"/>
              <w:jc w:val="center"/>
              <w:rPr>
                <w:rFonts w:ascii="Times New Roman" w:hAnsi="Times New Roman" w:eastAsia="Calibri" w:cs="Arial"/>
                <w:sz w:val="26"/>
                <w:szCs w:val="22"/>
                <w:lang w:val="ru-RU" w:eastAsia="en-US" w:bidi="ar-SA"/>
              </w:rPr>
            </w:pPr>
            <w:r>
              <w:rPr>
                <w:rFonts w:eastAsia="Calibri" w:cs="Arial"/>
                <w:kern w:val="0"/>
                <w:sz w:val="26"/>
                <w:szCs w:val="22"/>
                <w:lang w:val="ru-RU" w:eastAsia="en-US" w:bidi="ar-SA"/>
              </w:rPr>
              <w:t>подраздел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_Ref125709777 \r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8.6</w:t>
            </w:r>
            <w:r>
              <w:rPr>
                <w:sz w:val="26"/>
                <w:kern w:val="0"/>
                <w:szCs w:val="22"/>
                <w:rFonts w:eastAsia="Calibri" w:cs="Arial"/>
                <w:lang w:val="ru-RU" w:eastAsia="en-US" w:bidi="ar-SA"/>
              </w:rPr>
              <w:fldChar w:fldCharType="end"/>
            </w:r>
            <w:r>
              <w:rPr>
                <w:rFonts w:eastAsia="Calibri" w:cs="Arial"/>
                <w:kern w:val="0"/>
                <w:sz w:val="26"/>
                <w:szCs w:val="22"/>
                <w:lang w:val="ru-RU" w:eastAsia="en-US" w:bidi="ar-SA"/>
              </w:rPr>
              <w:br/>
              <w:t>(</w:t>
            </w:r>
            <w:hyperlink w:anchor="Прил03_ТребованияУчастникам" w:tgtFrame="#Прил03_ТребованияУчастникам">
              <w:r>
                <w:rPr>
                  <w:rFonts w:eastAsia="Calibri" w:cs="Arial"/>
                  <w:color w:val="000000"/>
                  <w:spacing w:val="0"/>
                  <w:kern w:val="0"/>
                  <w:sz w:val="26"/>
                  <w:szCs w:val="22"/>
                  <w:u w:val="single"/>
                  <w:shd w:fill="auto" w:val="clear"/>
                  <w:lang w:val="ru-RU" w:eastAsia="en-US" w:bidi="ar-SA"/>
                </w:rPr>
                <w:t>Приложение № 3</w:t>
              </w:r>
            </w:hyperlink>
            <w:r>
              <w:rPr>
                <w:rFonts w:eastAsia="Calibri" w:cs="Arial"/>
                <w:kern w:val="0"/>
                <w:sz w:val="26"/>
                <w:szCs w:val="22"/>
                <w:lang w:val="ru-RU" w:eastAsia="en-US" w:bidi="ar-SA"/>
              </w:rPr>
              <w:t>)</w:t>
            </w:r>
          </w:p>
        </w:tc>
        <w:tc>
          <w:tcPr>
            <w:tcW w:w="2090" w:type="dxa"/>
            <w:tcBorders/>
          </w:tcPr>
          <w:p>
            <w:pPr>
              <w:pStyle w:val="Style23"/>
              <w:widowControl/>
              <w:spacing w:lineRule="auto" w:line="240" w:before="60" w:after="60"/>
              <w:jc w:val="center"/>
              <w:rPr>
                <w:rFonts w:ascii="Times New Roman" w:hAnsi="Times New Roman" w:eastAsia="Calibri" w:cs="Arial"/>
                <w:sz w:val="26"/>
                <w:szCs w:val="22"/>
                <w:lang w:val="ru-RU" w:eastAsia="en-US" w:bidi="ar-SA"/>
              </w:rPr>
            </w:pPr>
            <w:r>
              <w:rPr>
                <w:rFonts w:eastAsia="Calibri" w:cs="Arial"/>
                <w:kern w:val="0"/>
                <w:sz w:val="26"/>
                <w:szCs w:val="22"/>
                <w:lang w:val="ru-RU" w:eastAsia="en-US" w:bidi="ar-SA"/>
              </w:rPr>
              <w:t>Тех</w:t>
            </w:r>
          </w:p>
        </w:tc>
      </w:tr>
      <w:tr>
        <w:trPr/>
        <w:tc>
          <w:tcPr>
            <w:tcW w:w="1412" w:type="dxa"/>
            <w:tcBorders/>
          </w:tcPr>
          <w:p>
            <w:pPr>
              <w:pStyle w:val="Style23"/>
              <w:widowControl/>
              <w:numPr>
                <w:ilvl w:val="1"/>
                <w:numId w:val="8"/>
              </w:numPr>
              <w:spacing w:lineRule="auto" w:line="240" w:before="60" w:after="60"/>
              <w:ind w:hanging="0" w:left="170"/>
              <w:jc w:val="center"/>
              <w:rPr>
                <w:rFonts w:ascii="Times New Roman" w:hAnsi="Times New Roman" w:eastAsia="Calibri" w:cs="Arial"/>
                <w:sz w:val="26"/>
                <w:szCs w:val="22"/>
                <w:lang w:val="ru-RU" w:eastAsia="en-US" w:bidi="ar-SA"/>
              </w:rPr>
            </w:pPr>
            <w:r>
              <w:rPr>
                <w:rFonts w:eastAsia="Calibri" w:cs="Arial"/>
                <w:sz w:val="26"/>
                <w:szCs w:val="22"/>
                <w:lang w:val="ru-RU" w:eastAsia="en-US" w:bidi="ar-SA"/>
              </w:rPr>
            </w:r>
          </w:p>
        </w:tc>
        <w:tc>
          <w:tcPr>
            <w:tcW w:w="8506" w:type="dxa"/>
            <w:tcBorders/>
          </w:tcPr>
          <w:p>
            <w:pPr>
              <w:pStyle w:val="Style23"/>
              <w:widowControl/>
              <w:numPr>
                <w:ilvl w:val="0"/>
                <w:numId w:val="10"/>
              </w:numPr>
              <w:spacing w:lineRule="auto" w:line="240" w:before="60" w:after="60"/>
              <w:ind w:hanging="284" w:left="284"/>
              <w:rPr>
                <w:rFonts w:ascii="Times New Roman" w:hAnsi="Times New Roman" w:eastAsia="Calibri" w:cs="Arial"/>
                <w:sz w:val="26"/>
                <w:szCs w:val="22"/>
                <w:lang w:val="ru-RU" w:eastAsia="en-US" w:bidi="ar-SA"/>
              </w:rPr>
            </w:pPr>
            <w:r>
              <w:rPr>
                <w:rFonts w:eastAsia="Calibri" w:cs="Arial"/>
                <w:kern w:val="0"/>
                <w:sz w:val="26"/>
                <w:szCs w:val="22"/>
                <w:lang w:val="ru-RU" w:eastAsia="en-US" w:bidi="ar-SA"/>
              </w:rPr>
              <w:t>в части требований пункта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_Ref125370193 \w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3</w:t>
            </w:r>
            <w:r>
              <w:rPr>
                <w:sz w:val="26"/>
                <w:kern w:val="0"/>
                <w:szCs w:val="22"/>
                <w:rFonts w:eastAsia="Calibri" w:cs="Arial"/>
                <w:lang w:val="ru-RU" w:eastAsia="en-US" w:bidi="ar-SA"/>
              </w:rPr>
              <w:fldChar w:fldCharType="end"/>
            </w:r>
          </w:p>
        </w:tc>
        <w:tc>
          <w:tcPr>
            <w:tcW w:w="3117" w:type="dxa"/>
            <w:tcBorders/>
          </w:tcPr>
          <w:p>
            <w:pPr>
              <w:pStyle w:val="Style23"/>
              <w:widowControl/>
              <w:spacing w:lineRule="auto" w:line="240" w:before="60" w:after="60"/>
              <w:jc w:val="center"/>
              <w:rPr>
                <w:rFonts w:ascii="Times New Roman" w:hAnsi="Times New Roman" w:eastAsia="Calibri" w:cs="Arial"/>
                <w:sz w:val="26"/>
                <w:szCs w:val="22"/>
                <w:lang w:val="ru-RU" w:eastAsia="en-US" w:bidi="ar-SA"/>
              </w:rPr>
            </w:pPr>
            <w:r>
              <w:rPr>
                <w:rFonts w:eastAsia="Calibri" w:cs="Arial"/>
                <w:kern w:val="0"/>
                <w:sz w:val="26"/>
                <w:szCs w:val="22"/>
                <w:lang w:val="ru-RU" w:eastAsia="en-US" w:bidi="ar-SA"/>
              </w:rPr>
              <w:t>подраздел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_Ref125709777 \r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8.6</w:t>
            </w:r>
            <w:r>
              <w:rPr>
                <w:sz w:val="26"/>
                <w:kern w:val="0"/>
                <w:szCs w:val="22"/>
                <w:rFonts w:eastAsia="Calibri" w:cs="Arial"/>
                <w:lang w:val="ru-RU" w:eastAsia="en-US" w:bidi="ar-SA"/>
              </w:rPr>
              <w:fldChar w:fldCharType="end"/>
            </w:r>
            <w:r>
              <w:rPr>
                <w:rFonts w:eastAsia="Calibri" w:cs="Arial"/>
                <w:kern w:val="0"/>
                <w:sz w:val="26"/>
                <w:szCs w:val="22"/>
                <w:lang w:val="ru-RU" w:eastAsia="en-US" w:bidi="ar-SA"/>
              </w:rPr>
              <w:br/>
              <w:t>(</w:t>
            </w:r>
            <w:hyperlink w:anchor="Прил03_ТребованияУчастникам" w:tgtFrame="#Прил03_ТребованияУчастникам">
              <w:r>
                <w:rPr>
                  <w:rFonts w:eastAsia="Calibri" w:cs="Arial"/>
                  <w:color w:val="000000"/>
                  <w:spacing w:val="0"/>
                  <w:kern w:val="0"/>
                  <w:sz w:val="26"/>
                  <w:szCs w:val="22"/>
                  <w:u w:val="single"/>
                  <w:shd w:fill="auto" w:val="clear"/>
                  <w:lang w:val="ru-RU" w:eastAsia="en-US" w:bidi="ar-SA"/>
                </w:rPr>
                <w:t>Приложение № 3</w:t>
              </w:r>
            </w:hyperlink>
            <w:r>
              <w:rPr>
                <w:rFonts w:eastAsia="Calibri" w:cs="Arial"/>
                <w:kern w:val="0"/>
                <w:sz w:val="26"/>
                <w:szCs w:val="22"/>
                <w:lang w:val="ru-RU" w:eastAsia="en-US" w:bidi="ar-SA"/>
              </w:rPr>
              <w:t>)</w:t>
            </w:r>
          </w:p>
        </w:tc>
        <w:tc>
          <w:tcPr>
            <w:tcW w:w="2090" w:type="dxa"/>
            <w:tcBorders/>
          </w:tcPr>
          <w:p>
            <w:pPr>
              <w:pStyle w:val="Style23"/>
              <w:widowControl/>
              <w:spacing w:lineRule="auto" w:line="240" w:before="60" w:after="60"/>
              <w:jc w:val="center"/>
              <w:rPr>
                <w:rFonts w:ascii="Times New Roman" w:hAnsi="Times New Roman" w:eastAsia="Calibri" w:cs="Arial"/>
                <w:sz w:val="26"/>
                <w:szCs w:val="22"/>
                <w:lang w:val="ru-RU" w:eastAsia="en-US" w:bidi="ar-SA"/>
              </w:rPr>
            </w:pPr>
            <w:r>
              <w:rPr>
                <w:rFonts w:eastAsia="Calibri" w:cs="Arial"/>
                <w:kern w:val="0"/>
                <w:sz w:val="26"/>
                <w:szCs w:val="22"/>
                <w:lang w:val="ru-RU" w:eastAsia="en-US" w:bidi="ar-SA"/>
              </w:rPr>
              <w:t>Орг, Тех</w:t>
            </w:r>
          </w:p>
        </w:tc>
      </w:tr>
      <w:tr>
        <w:trPr/>
        <w:tc>
          <w:tcPr>
            <w:tcW w:w="1412" w:type="dxa"/>
            <w:tcBorders/>
          </w:tcPr>
          <w:p>
            <w:pPr>
              <w:pStyle w:val="Style23"/>
              <w:widowControl/>
              <w:numPr>
                <w:ilvl w:val="0"/>
                <w:numId w:val="8"/>
              </w:numPr>
              <w:spacing w:lineRule="auto" w:line="240" w:before="60" w:after="60"/>
              <w:ind w:hanging="0" w:left="170"/>
              <w:jc w:val="center"/>
              <w:rPr>
                <w:rFonts w:ascii="Times New Roman" w:hAnsi="Times New Roman" w:eastAsia="Calibri" w:cs="Arial"/>
                <w:sz w:val="26"/>
                <w:szCs w:val="22"/>
                <w:lang w:val="ru-RU" w:eastAsia="en-US" w:bidi="ar-SA"/>
              </w:rPr>
            </w:pPr>
            <w:r>
              <w:rPr>
                <w:rFonts w:eastAsia="Calibri" w:cs="Arial"/>
                <w:sz w:val="26"/>
                <w:szCs w:val="22"/>
                <w:lang w:val="ru-RU" w:eastAsia="en-US" w:bidi="ar-SA"/>
              </w:rPr>
            </w:r>
          </w:p>
        </w:tc>
        <w:tc>
          <w:tcPr>
            <w:tcW w:w="8506" w:type="dxa"/>
            <w:tcBorders/>
          </w:tcPr>
          <w:p>
            <w:pPr>
              <w:pStyle w:val="Style23"/>
              <w:widowControl/>
              <w:spacing w:lineRule="auto" w:line="240" w:before="60" w:after="60"/>
              <w:rPr>
                <w:rFonts w:ascii="Times New Roman" w:hAnsi="Times New Roman" w:eastAsia="Calibri" w:cs="Arial"/>
                <w:sz w:val="26"/>
                <w:szCs w:val="22"/>
                <w:lang w:val="ru-RU" w:eastAsia="en-US" w:bidi="ar-SA"/>
              </w:rPr>
            </w:pPr>
            <w:r>
              <w:rPr>
                <w:rFonts w:eastAsia="Calibri" w:cs="Arial"/>
                <w:kern w:val="0"/>
                <w:sz w:val="26"/>
                <w:szCs w:val="22"/>
                <w:lang w:val="ru-RU" w:eastAsia="en-US" w:bidi="ar-SA"/>
              </w:rPr>
              <w:t>Соответствие Генерального подрядчика с обязательным привлечением субподрядчиков (соисполнителей) из числа субъектов МСП установленным в отношении его требованиям</w:t>
            </w:r>
          </w:p>
          <w:p>
            <w:pPr>
              <w:pStyle w:val="Style23"/>
              <w:widowControl/>
              <w:spacing w:lineRule="auto" w:line="240" w:before="60" w:after="60"/>
              <w:rPr>
                <w:i/>
                <w:i/>
                <w:iCs/>
              </w:rPr>
            </w:pPr>
            <w:r>
              <w:rPr>
                <w:rFonts w:eastAsia="Calibri" w:cs="Arial"/>
                <w:i/>
                <w:iCs/>
                <w:kern w:val="0"/>
                <w:sz w:val="26"/>
                <w:szCs w:val="22"/>
                <w:lang w:val="ru-RU" w:eastAsia="en-US" w:bidi="ar-SA"/>
              </w:rPr>
              <w:t>(пункт применяется только в случае проведения закупки, участвовать в которой могут только лица, обязанные привлечь к исполнению Договора субподрядчиков (соисполнителей) из числа субъектов МСП (подраздел </w:t>
            </w:r>
            <w:r>
              <w:rPr>
                <w:rFonts w:eastAsia="Calibri" w:cs="Arial"/>
                <w:i/>
                <w:iCs/>
                <w:kern w:val="0"/>
                <w:sz w:val="26"/>
                <w:szCs w:val="22"/>
                <w:lang w:val="ru-RU" w:eastAsia="en-US" w:bidi="ar-SA"/>
              </w:rPr>
              <w:fldChar w:fldCharType="begin"/>
            </w:r>
            <w:r>
              <w:rPr>
                <w:sz w:val="26"/>
                <w:i/>
                <w:kern w:val="0"/>
                <w:szCs w:val="22"/>
                <w:iCs/>
                <w:rFonts w:eastAsia="Calibri" w:cs="Arial"/>
                <w:lang w:val="ru-RU" w:eastAsia="en-US" w:bidi="ar-SA"/>
              </w:rPr>
              <w:instrText xml:space="preserve"> REF _Ref125359973 \r \h </w:instrText>
            </w:r>
            <w:r>
              <w:rPr>
                <w:sz w:val="26"/>
                <w:i/>
                <w:kern w:val="0"/>
                <w:szCs w:val="22"/>
                <w:iCs/>
                <w:rFonts w:eastAsia="Calibri" w:cs="Arial"/>
                <w:lang w:val="ru-RU" w:eastAsia="en-US" w:bidi="ar-SA"/>
              </w:rPr>
              <w:fldChar w:fldCharType="separate"/>
            </w:r>
            <w:r>
              <w:rPr>
                <w:sz w:val="26"/>
                <w:i/>
                <w:kern w:val="0"/>
                <w:szCs w:val="22"/>
                <w:iCs/>
                <w:rFonts w:eastAsia="Calibri" w:cs="Arial"/>
                <w:lang w:val="ru-RU" w:eastAsia="en-US" w:bidi="ar-SA"/>
              </w:rPr>
              <w:t>1.2</w:t>
            </w:r>
            <w:r>
              <w:rPr>
                <w:sz w:val="26"/>
                <w:i/>
                <w:kern w:val="0"/>
                <w:szCs w:val="22"/>
                <w:iCs/>
                <w:rFonts w:eastAsia="Calibri" w:cs="Arial"/>
                <w:lang w:val="ru-RU" w:eastAsia="en-US" w:bidi="ar-SA"/>
              </w:rPr>
              <w:fldChar w:fldCharType="end"/>
            </w:r>
            <w:r>
              <w:rPr>
                <w:rFonts w:eastAsia="Calibri" w:cs="Arial"/>
                <w:i/>
                <w:iCs/>
                <w:kern w:val="0"/>
                <w:sz w:val="26"/>
                <w:szCs w:val="22"/>
                <w:lang w:val="ru-RU" w:eastAsia="en-US" w:bidi="ar-SA"/>
              </w:rPr>
              <w:t>, подраздел </w:t>
            </w:r>
            <w:r>
              <w:rPr>
                <w:rFonts w:eastAsia="Calibri" w:cs="Arial"/>
                <w:i/>
                <w:iCs/>
                <w:kern w:val="0"/>
                <w:sz w:val="26"/>
                <w:szCs w:val="22"/>
                <w:lang w:val="ru-RU" w:eastAsia="en-US" w:bidi="ar-SA"/>
              </w:rPr>
              <w:fldChar w:fldCharType="begin"/>
            </w:r>
            <w:r>
              <w:rPr>
                <w:sz w:val="26"/>
                <w:i/>
                <w:kern w:val="0"/>
                <w:szCs w:val="22"/>
                <w:iCs/>
                <w:rFonts w:eastAsia="Calibri" w:cs="Arial"/>
                <w:lang w:val="ru-RU" w:eastAsia="en-US" w:bidi="ar-SA"/>
              </w:rPr>
              <w:instrText xml:space="preserve"> REF _Ref127524203 \r \h </w:instrText>
            </w:r>
            <w:r>
              <w:rPr>
                <w:sz w:val="26"/>
                <w:i/>
                <w:kern w:val="0"/>
                <w:szCs w:val="22"/>
                <w:iCs/>
                <w:rFonts w:eastAsia="Calibri" w:cs="Arial"/>
                <w:lang w:val="ru-RU" w:eastAsia="en-US" w:bidi="ar-SA"/>
              </w:rPr>
              <w:fldChar w:fldCharType="separate"/>
            </w:r>
            <w:r>
              <w:rPr>
                <w:sz w:val="26"/>
                <w:i/>
                <w:kern w:val="0"/>
                <w:szCs w:val="22"/>
                <w:iCs/>
                <w:rFonts w:eastAsia="Calibri" w:cs="Arial"/>
                <w:lang w:val="ru-RU" w:eastAsia="en-US" w:bidi="ar-SA"/>
              </w:rPr>
              <w:t>3.4</w:t>
            </w:r>
            <w:r>
              <w:rPr>
                <w:sz w:val="26"/>
                <w:i/>
                <w:kern w:val="0"/>
                <w:szCs w:val="22"/>
                <w:iCs/>
                <w:rFonts w:eastAsia="Calibri" w:cs="Arial"/>
                <w:lang w:val="ru-RU" w:eastAsia="en-US" w:bidi="ar-SA"/>
              </w:rPr>
              <w:fldChar w:fldCharType="end"/>
            </w:r>
            <w:r>
              <w:rPr>
                <w:rFonts w:eastAsia="Calibri" w:cs="Arial"/>
                <w:i/>
                <w:iCs/>
                <w:kern w:val="0"/>
                <w:sz w:val="26"/>
                <w:szCs w:val="22"/>
                <w:lang w:val="ru-RU" w:eastAsia="en-US" w:bidi="ar-SA"/>
              </w:rPr>
              <w:t>))</w:t>
            </w:r>
          </w:p>
        </w:tc>
        <w:tc>
          <w:tcPr>
            <w:tcW w:w="3117" w:type="dxa"/>
            <w:tcBorders/>
          </w:tcPr>
          <w:p>
            <w:pPr>
              <w:pStyle w:val="Style23"/>
              <w:widowControl/>
              <w:spacing w:lineRule="auto" w:line="240" w:before="60" w:after="60"/>
              <w:jc w:val="center"/>
              <w:rPr>
                <w:rFonts w:ascii="Times New Roman" w:hAnsi="Times New Roman" w:eastAsia="Calibri" w:cs="Arial"/>
                <w:sz w:val="26"/>
                <w:szCs w:val="22"/>
                <w:lang w:val="ru-RU" w:eastAsia="en-US" w:bidi="ar-SA"/>
              </w:rPr>
            </w:pPr>
            <w:r>
              <w:rPr>
                <w:rFonts w:eastAsia="Calibri" w:cs="Arial"/>
                <w:kern w:val="0"/>
                <w:sz w:val="26"/>
                <w:szCs w:val="22"/>
                <w:lang w:val="ru-RU" w:eastAsia="en-US" w:bidi="ar-SA"/>
              </w:rPr>
              <w:t>подраздел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_Ref125550523 \r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8.7</w:t>
            </w:r>
            <w:r>
              <w:rPr>
                <w:sz w:val="26"/>
                <w:kern w:val="0"/>
                <w:szCs w:val="22"/>
                <w:rFonts w:eastAsia="Calibri" w:cs="Arial"/>
                <w:lang w:val="ru-RU" w:eastAsia="en-US" w:bidi="ar-SA"/>
              </w:rPr>
              <w:fldChar w:fldCharType="end"/>
            </w:r>
            <w:r>
              <w:rPr>
                <w:rFonts w:eastAsia="Calibri" w:cs="Arial"/>
                <w:kern w:val="0"/>
                <w:sz w:val="26"/>
                <w:szCs w:val="22"/>
                <w:lang w:val="ru-RU" w:eastAsia="en-US" w:bidi="ar-SA"/>
              </w:rPr>
              <w:br/>
              <w:t>(</w:t>
            </w:r>
            <w:hyperlink w:anchor="Прил03_ТребованияУчастникам" w:tgtFrame="#Прил03_ТребованияУчастникам">
              <w:r>
                <w:rPr>
                  <w:rFonts w:eastAsia="Calibri" w:cs="Arial"/>
                  <w:color w:val="000000"/>
                  <w:spacing w:val="0"/>
                  <w:kern w:val="0"/>
                  <w:sz w:val="26"/>
                  <w:szCs w:val="22"/>
                  <w:u w:val="single"/>
                  <w:shd w:fill="auto" w:val="clear"/>
                  <w:lang w:val="ru-RU" w:eastAsia="en-US" w:bidi="ar-SA"/>
                </w:rPr>
                <w:t>Приложение № 3</w:t>
              </w:r>
            </w:hyperlink>
            <w:r>
              <w:rPr>
                <w:rFonts w:eastAsia="Calibri" w:cs="Arial"/>
                <w:kern w:val="0"/>
                <w:sz w:val="26"/>
                <w:szCs w:val="22"/>
                <w:lang w:val="ru-RU" w:eastAsia="en-US" w:bidi="ar-SA"/>
              </w:rPr>
              <w:t>)</w:t>
            </w:r>
          </w:p>
        </w:tc>
        <w:tc>
          <w:tcPr>
            <w:tcW w:w="2090" w:type="dxa"/>
            <w:tcBorders/>
          </w:tcPr>
          <w:p>
            <w:pPr>
              <w:pStyle w:val="Style23"/>
              <w:widowControl/>
              <w:spacing w:lineRule="auto" w:line="240" w:before="60" w:after="60"/>
              <w:jc w:val="center"/>
              <w:rPr>
                <w:rFonts w:ascii="Times New Roman" w:hAnsi="Times New Roman" w:eastAsia="Calibri" w:cs="Arial"/>
                <w:sz w:val="26"/>
                <w:szCs w:val="22"/>
                <w:lang w:val="ru-RU" w:eastAsia="en-US" w:bidi="ar-SA"/>
              </w:rPr>
            </w:pPr>
            <w:r>
              <w:rPr>
                <w:rFonts w:eastAsia="Calibri" w:cs="Arial"/>
                <w:kern w:val="0"/>
                <w:sz w:val="26"/>
                <w:szCs w:val="22"/>
                <w:lang w:val="ru-RU" w:eastAsia="en-US" w:bidi="ar-SA"/>
              </w:rPr>
              <w:t>Орг</w:t>
            </w:r>
          </w:p>
        </w:tc>
      </w:tr>
      <w:tr>
        <w:trPr/>
        <w:tc>
          <w:tcPr>
            <w:tcW w:w="9918" w:type="dxa"/>
            <w:gridSpan w:val="2"/>
            <w:tcBorders/>
          </w:tcPr>
          <w:p>
            <w:pPr>
              <w:pStyle w:val="Style23"/>
              <w:keepNext w:val="true"/>
              <w:widowControl/>
              <w:spacing w:lineRule="auto" w:line="240" w:before="60" w:after="60"/>
              <w:rPr>
                <w:b/>
                <w:bCs/>
              </w:rPr>
            </w:pPr>
            <w:r>
              <w:rPr>
                <w:rFonts w:eastAsia="Calibri" w:cs="Arial"/>
                <w:b/>
                <w:bCs/>
                <w:kern w:val="0"/>
                <w:sz w:val="26"/>
                <w:szCs w:val="22"/>
                <w:lang w:val="ru-RU" w:eastAsia="en-US" w:bidi="ar-SA"/>
              </w:rPr>
              <w:t xml:space="preserve">Соответствие Технического предложения Участника </w:t>
            </w:r>
            <w:hyperlink w:anchor="Прил01_ТехТребования" w:tgtFrame="#Прил01_ТехТребования">
              <w:r>
                <w:rPr>
                  <w:rFonts w:eastAsia="Calibri" w:cs="Arial"/>
                  <w:b/>
                  <w:bCs/>
                  <w:color w:val="000000"/>
                  <w:spacing w:val="0"/>
                  <w:kern w:val="0"/>
                  <w:sz w:val="26"/>
                  <w:szCs w:val="22"/>
                  <w:u w:val="single"/>
                  <w:shd w:fill="auto" w:val="clear"/>
                  <w:lang w:val="ru-RU" w:eastAsia="en-US" w:bidi="ar-SA"/>
                </w:rPr>
                <w:t>Техническим требованиям (Приложение № 1)</w:t>
              </w:r>
            </w:hyperlink>
            <w:r>
              <w:rPr>
                <w:rFonts w:eastAsia="Calibri" w:cs="Arial"/>
                <w:b/>
                <w:bCs/>
                <w:kern w:val="0"/>
                <w:sz w:val="26"/>
                <w:szCs w:val="22"/>
                <w:lang w:val="ru-RU" w:eastAsia="en-US" w:bidi="ar-SA"/>
              </w:rPr>
              <w:t>, в том числе:</w:t>
            </w:r>
          </w:p>
        </w:tc>
        <w:tc>
          <w:tcPr>
            <w:tcW w:w="3117" w:type="dxa"/>
            <w:tcBorders/>
          </w:tcPr>
          <w:p>
            <w:pPr>
              <w:pStyle w:val="Style23"/>
              <w:keepNext w:val="true"/>
              <w:widowControl/>
              <w:spacing w:lineRule="auto" w:line="240" w:before="60" w:after="60"/>
              <w:jc w:val="center"/>
              <w:rPr>
                <w:b/>
                <w:bCs/>
              </w:rPr>
            </w:pPr>
            <w:r>
              <w:rPr>
                <w:rFonts w:eastAsia="Calibri" w:cs="Arial"/>
                <w:b/>
                <w:bCs/>
                <w:kern w:val="0"/>
                <w:sz w:val="26"/>
                <w:szCs w:val="22"/>
                <w:lang w:val="ru-RU" w:eastAsia="en-US" w:bidi="ar-SA"/>
              </w:rPr>
              <w:t>–</w:t>
            </w:r>
          </w:p>
        </w:tc>
        <w:tc>
          <w:tcPr>
            <w:tcW w:w="2090" w:type="dxa"/>
            <w:tcBorders/>
          </w:tcPr>
          <w:p>
            <w:pPr>
              <w:pStyle w:val="Style23"/>
              <w:keepNext w:val="true"/>
              <w:widowControl/>
              <w:spacing w:lineRule="auto" w:line="240" w:before="60" w:after="60"/>
              <w:jc w:val="center"/>
              <w:rPr>
                <w:b/>
                <w:bCs/>
              </w:rPr>
            </w:pPr>
            <w:r>
              <w:rPr>
                <w:rFonts w:eastAsia="Calibri" w:cs="Arial"/>
                <w:b/>
                <w:bCs/>
                <w:kern w:val="0"/>
                <w:sz w:val="26"/>
                <w:szCs w:val="22"/>
                <w:lang w:val="ru-RU" w:eastAsia="en-US" w:bidi="ar-SA"/>
              </w:rPr>
              <w:t>–</w:t>
            </w:r>
          </w:p>
        </w:tc>
      </w:tr>
      <w:tr>
        <w:trPr/>
        <w:tc>
          <w:tcPr>
            <w:tcW w:w="1412" w:type="dxa"/>
            <w:tcBorders/>
          </w:tcPr>
          <w:p>
            <w:pPr>
              <w:pStyle w:val="Style23"/>
              <w:widowControl/>
              <w:numPr>
                <w:ilvl w:val="0"/>
                <w:numId w:val="8"/>
              </w:numPr>
              <w:spacing w:lineRule="auto" w:line="240" w:before="60" w:after="60"/>
              <w:ind w:hanging="0" w:left="170"/>
              <w:jc w:val="center"/>
              <w:rPr>
                <w:rFonts w:ascii="Times New Roman" w:hAnsi="Times New Roman" w:eastAsia="Calibri" w:cs="Arial"/>
                <w:sz w:val="26"/>
                <w:szCs w:val="22"/>
                <w:lang w:val="ru-RU" w:eastAsia="en-US" w:bidi="ar-SA"/>
              </w:rPr>
            </w:pPr>
            <w:r>
              <w:rPr>
                <w:rFonts w:eastAsia="Calibri" w:cs="Arial"/>
                <w:sz w:val="26"/>
                <w:szCs w:val="22"/>
                <w:lang w:val="ru-RU" w:eastAsia="en-US" w:bidi="ar-SA"/>
              </w:rPr>
            </w:r>
          </w:p>
        </w:tc>
        <w:tc>
          <w:tcPr>
            <w:tcW w:w="8506" w:type="dxa"/>
            <w:tcBorders/>
          </w:tcPr>
          <w:p>
            <w:pPr>
              <w:pStyle w:val="Style23"/>
              <w:widowControl/>
              <w:spacing w:lineRule="auto" w:line="240" w:before="60" w:after="60"/>
              <w:rPr>
                <w:rFonts w:ascii="Times New Roman" w:hAnsi="Times New Roman" w:eastAsia="Calibri" w:cs="Arial"/>
                <w:sz w:val="26"/>
                <w:szCs w:val="22"/>
                <w:lang w:val="ru-RU" w:eastAsia="en-US" w:bidi="ar-SA"/>
              </w:rPr>
            </w:pPr>
            <w:r>
              <w:rPr>
                <w:rFonts w:eastAsia="Calibri" w:cs="Arial"/>
                <w:kern w:val="0"/>
                <w:sz w:val="26"/>
                <w:szCs w:val="22"/>
                <w:lang w:val="ru-RU" w:eastAsia="en-US" w:bidi="ar-SA"/>
              </w:rPr>
              <w:t>Соответствие предложения требованиям к стране происхождения поставляемого товара, установленным в Технических требованиях</w:t>
            </w:r>
          </w:p>
          <w:p>
            <w:pPr>
              <w:pStyle w:val="Style23"/>
              <w:widowControl/>
              <w:spacing w:lineRule="auto" w:line="240" w:before="60" w:after="60"/>
              <w:rPr>
                <w:i/>
                <w:i/>
                <w:iCs/>
              </w:rPr>
            </w:pPr>
            <w:r>
              <w:rPr>
                <w:rFonts w:eastAsia="Calibri" w:cs="Arial"/>
                <w:i/>
                <w:iCs/>
                <w:kern w:val="0"/>
                <w:sz w:val="26"/>
                <w:szCs w:val="22"/>
                <w:lang w:val="ru-RU" w:eastAsia="en-US" w:bidi="ar-SA"/>
              </w:rPr>
              <w:t>(пункт применяется только в случае исполнения Заказчиком</w:t>
            </w:r>
            <w:r>
              <w:rPr>
                <w:rFonts w:eastAsia="Calibri" w:cs="Arial"/>
                <w:kern w:val="0"/>
                <w:sz w:val="26"/>
                <w:szCs w:val="22"/>
                <w:lang w:val="ru-RU" w:eastAsia="en-US" w:bidi="ar-SA"/>
              </w:rPr>
              <w:t xml:space="preserve"> </w:t>
            </w:r>
            <w:r>
              <w:rPr>
                <w:rFonts w:eastAsia="Calibri" w:cs="Arial"/>
                <w:i/>
                <w:iCs/>
                <w:kern w:val="0"/>
                <w:sz w:val="26"/>
                <w:szCs w:val="22"/>
                <w:lang w:val="ru-RU" w:eastAsia="en-US" w:bidi="ar-SA"/>
              </w:rPr>
              <w:t>норм в части минимальной обязательной доли закупок товаров российского происхождения (подраздел </w:t>
            </w:r>
            <w:r>
              <w:rPr>
                <w:rFonts w:eastAsia="Calibri" w:cs="Arial"/>
                <w:i/>
                <w:iCs/>
                <w:kern w:val="0"/>
                <w:sz w:val="26"/>
                <w:szCs w:val="22"/>
                <w:lang w:val="ru-RU" w:eastAsia="en-US" w:bidi="ar-SA"/>
              </w:rPr>
              <w:fldChar w:fldCharType="begin"/>
            </w:r>
            <w:r>
              <w:rPr>
                <w:sz w:val="26"/>
                <w:i/>
                <w:kern w:val="0"/>
                <w:szCs w:val="22"/>
                <w:iCs/>
                <w:rFonts w:eastAsia="Calibri" w:cs="Arial"/>
                <w:lang w:val="ru-RU" w:eastAsia="en-US" w:bidi="ar-SA"/>
              </w:rPr>
              <w:instrText xml:space="preserve"> REF _Ref186213053 \r \h </w:instrText>
            </w:r>
            <w:r>
              <w:rPr>
                <w:sz w:val="26"/>
                <w:i/>
                <w:kern w:val="0"/>
                <w:szCs w:val="22"/>
                <w:iCs/>
                <w:rFonts w:eastAsia="Calibri" w:cs="Arial"/>
                <w:lang w:val="ru-RU" w:eastAsia="en-US" w:bidi="ar-SA"/>
              </w:rPr>
              <w:fldChar w:fldCharType="separate"/>
            </w:r>
            <w:r>
              <w:rPr>
                <w:sz w:val="26"/>
                <w:i/>
                <w:kern w:val="0"/>
                <w:szCs w:val="22"/>
                <w:iCs/>
                <w:rFonts w:eastAsia="Calibri" w:cs="Arial"/>
                <w:lang w:val="ru-RU" w:eastAsia="en-US" w:bidi="ar-SA"/>
              </w:rPr>
              <w:t>4.13</w:t>
            </w:r>
            <w:r>
              <w:rPr>
                <w:sz w:val="26"/>
                <w:i/>
                <w:kern w:val="0"/>
                <w:szCs w:val="22"/>
                <w:iCs/>
                <w:rFonts w:eastAsia="Calibri" w:cs="Arial"/>
                <w:lang w:val="ru-RU" w:eastAsia="en-US" w:bidi="ar-SA"/>
              </w:rPr>
              <w:fldChar w:fldCharType="end"/>
            </w:r>
            <w:r>
              <w:rPr>
                <w:rFonts w:eastAsia="Calibri" w:cs="Arial"/>
                <w:i/>
                <w:iCs/>
                <w:kern w:val="0"/>
                <w:sz w:val="26"/>
                <w:szCs w:val="22"/>
                <w:lang w:val="ru-RU" w:eastAsia="en-US" w:bidi="ar-SA"/>
              </w:rPr>
              <w:t>))</w:t>
            </w:r>
          </w:p>
        </w:tc>
        <w:tc>
          <w:tcPr>
            <w:tcW w:w="3117" w:type="dxa"/>
            <w:tcBorders/>
          </w:tcPr>
          <w:p>
            <w:pPr>
              <w:pStyle w:val="Style23"/>
              <w:widowControl/>
              <w:spacing w:lineRule="auto" w:line="240" w:before="60" w:after="60"/>
              <w:jc w:val="center"/>
              <w:rPr>
                <w:rFonts w:ascii="Times New Roman" w:hAnsi="Times New Roman" w:eastAsia="Calibri" w:cs="Arial"/>
                <w:sz w:val="26"/>
                <w:szCs w:val="22"/>
                <w:lang w:val="ru-RU" w:eastAsia="en-US" w:bidi="ar-SA"/>
              </w:rPr>
            </w:pPr>
            <w:r>
              <w:rPr>
                <w:rFonts w:eastAsia="Calibri" w:cs="Arial"/>
                <w:kern w:val="0"/>
                <w:sz w:val="26"/>
                <w:szCs w:val="22"/>
                <w:lang w:val="ru-RU" w:eastAsia="en-US" w:bidi="ar-SA"/>
              </w:rPr>
              <w:t>подразделы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_Ref130394681 \r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4.3</w:t>
            </w:r>
            <w:r>
              <w:rPr>
                <w:sz w:val="26"/>
                <w:kern w:val="0"/>
                <w:szCs w:val="22"/>
                <w:rFonts w:eastAsia="Calibri" w:cs="Arial"/>
                <w:lang w:val="ru-RU" w:eastAsia="en-US" w:bidi="ar-SA"/>
              </w:rPr>
              <w:fldChar w:fldCharType="end"/>
            </w:r>
            <w:r>
              <w:rPr>
                <w:rFonts w:eastAsia="Calibri" w:cs="Arial"/>
                <w:kern w:val="0"/>
                <w:sz w:val="26"/>
                <w:szCs w:val="22"/>
                <w:lang w:val="ru-RU" w:eastAsia="en-US" w:bidi="ar-SA"/>
              </w:rPr>
              <w:t xml:space="preserve">,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_Ref130985951 \r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4.13</w:t>
            </w:r>
            <w:r>
              <w:rPr>
                <w:sz w:val="26"/>
                <w:kern w:val="0"/>
                <w:szCs w:val="22"/>
                <w:rFonts w:eastAsia="Calibri" w:cs="Arial"/>
                <w:lang w:val="ru-RU" w:eastAsia="en-US" w:bidi="ar-SA"/>
              </w:rPr>
              <w:fldChar w:fldCharType="end"/>
            </w:r>
            <w:r>
              <w:rPr>
                <w:rFonts w:eastAsia="Calibri" w:cs="Arial"/>
                <w:kern w:val="0"/>
                <w:sz w:val="26"/>
                <w:szCs w:val="22"/>
                <w:lang w:val="ru-RU" w:eastAsia="en-US" w:bidi="ar-SA"/>
              </w:rPr>
              <w:br/>
            </w:r>
            <w:hyperlink w:anchor="Прил01_ТехТребования" w:tgtFrame="#Прил01_ТехТребования">
              <w:r>
                <w:rPr>
                  <w:rFonts w:eastAsia="Calibri" w:cs="Arial"/>
                  <w:color w:val="000000"/>
                  <w:spacing w:val="0"/>
                  <w:kern w:val="0"/>
                  <w:sz w:val="26"/>
                  <w:szCs w:val="22"/>
                  <w:u w:val="single"/>
                  <w:shd w:fill="auto" w:val="clear"/>
                  <w:lang w:val="ru-RU" w:eastAsia="en-US" w:bidi="ar-SA"/>
                </w:rPr>
                <w:t>Приложение № 1</w:t>
              </w:r>
            </w:hyperlink>
          </w:p>
        </w:tc>
        <w:tc>
          <w:tcPr>
            <w:tcW w:w="2090" w:type="dxa"/>
            <w:tcBorders/>
          </w:tcPr>
          <w:p>
            <w:pPr>
              <w:pStyle w:val="Style23"/>
              <w:widowControl/>
              <w:spacing w:lineRule="auto" w:line="240" w:before="60" w:after="60"/>
              <w:jc w:val="center"/>
              <w:rPr>
                <w:rFonts w:ascii="Times New Roman" w:hAnsi="Times New Roman" w:eastAsia="Calibri" w:cs="Arial"/>
                <w:sz w:val="26"/>
                <w:szCs w:val="22"/>
                <w:lang w:val="ru-RU" w:eastAsia="en-US" w:bidi="ar-SA"/>
              </w:rPr>
            </w:pPr>
            <w:r>
              <w:rPr>
                <w:rFonts w:eastAsia="Calibri" w:cs="Arial"/>
                <w:kern w:val="0"/>
                <w:sz w:val="26"/>
                <w:szCs w:val="22"/>
                <w:lang w:val="ru-RU" w:eastAsia="en-US" w:bidi="ar-SA"/>
              </w:rPr>
              <w:t>Тех</w:t>
            </w:r>
          </w:p>
        </w:tc>
      </w:tr>
      <w:tr>
        <w:trPr/>
        <w:tc>
          <w:tcPr>
            <w:tcW w:w="1412" w:type="dxa"/>
            <w:tcBorders/>
          </w:tcPr>
          <w:p>
            <w:pPr>
              <w:pStyle w:val="Style23"/>
              <w:widowControl/>
              <w:numPr>
                <w:ilvl w:val="0"/>
                <w:numId w:val="8"/>
              </w:numPr>
              <w:spacing w:lineRule="auto" w:line="240" w:before="60" w:after="60"/>
              <w:ind w:hanging="0" w:left="170"/>
              <w:jc w:val="center"/>
              <w:rPr>
                <w:rFonts w:ascii="Times New Roman" w:hAnsi="Times New Roman" w:eastAsia="Calibri" w:cs="Arial"/>
                <w:sz w:val="26"/>
                <w:szCs w:val="22"/>
                <w:lang w:val="ru-RU" w:eastAsia="en-US" w:bidi="ar-SA"/>
              </w:rPr>
            </w:pPr>
            <w:r>
              <w:rPr>
                <w:rFonts w:eastAsia="Calibri" w:cs="Arial"/>
                <w:sz w:val="26"/>
                <w:szCs w:val="22"/>
                <w:lang w:val="ru-RU" w:eastAsia="en-US" w:bidi="ar-SA"/>
              </w:rPr>
            </w:r>
          </w:p>
        </w:tc>
        <w:tc>
          <w:tcPr>
            <w:tcW w:w="8506" w:type="dxa"/>
            <w:tcBorders/>
          </w:tcPr>
          <w:p>
            <w:pPr>
              <w:pStyle w:val="Style23"/>
              <w:widowControl/>
              <w:spacing w:lineRule="auto" w:line="240" w:before="60" w:after="60"/>
              <w:rPr>
                <w:rFonts w:ascii="Times New Roman" w:hAnsi="Times New Roman" w:eastAsia="Calibri" w:cs="Arial"/>
                <w:sz w:val="26"/>
                <w:szCs w:val="22"/>
                <w:lang w:val="ru-RU" w:eastAsia="en-US" w:bidi="ar-SA"/>
              </w:rPr>
            </w:pPr>
            <w:r>
              <w:rPr>
                <w:rFonts w:eastAsia="Calibri" w:cs="Arial"/>
                <w:kern w:val="0"/>
                <w:sz w:val="26"/>
                <w:szCs w:val="22"/>
                <w:lang w:val="ru-RU" w:eastAsia="en-US" w:bidi="ar-SA"/>
              </w:rPr>
              <w:t xml:space="preserve">Соответствие объемов и состава работ / услуг, технологии производства работ, предложенных Участником в Техническом предложении, Коммерческом предложении и (или) прилагаемой к нему подтверждающей документации, требованиям, указанным в </w:t>
            </w:r>
            <w:hyperlink w:anchor="Прил01_ТехТребования" w:tgtFrame="#Прил01_ТехТребования">
              <w:r>
                <w:rPr>
                  <w:rFonts w:eastAsia="Calibri" w:cs="Arial"/>
                  <w:color w:val="000000"/>
                  <w:spacing w:val="0"/>
                  <w:kern w:val="0"/>
                  <w:sz w:val="26"/>
                  <w:szCs w:val="22"/>
                  <w:u w:val="single"/>
                  <w:shd w:fill="auto" w:val="clear"/>
                  <w:lang w:val="ru-RU" w:eastAsia="en-US" w:bidi="ar-SA"/>
                </w:rPr>
                <w:t>Технических требованиях (Приложение № 1)</w:t>
              </w:r>
            </w:hyperlink>
          </w:p>
        </w:tc>
        <w:tc>
          <w:tcPr>
            <w:tcW w:w="3117" w:type="dxa"/>
            <w:tcBorders/>
          </w:tcPr>
          <w:p>
            <w:pPr>
              <w:pStyle w:val="Style23"/>
              <w:widowControl/>
              <w:spacing w:lineRule="auto" w:line="240" w:before="60" w:after="60"/>
              <w:jc w:val="center"/>
              <w:rPr>
                <w:rFonts w:ascii="Times New Roman" w:hAnsi="Times New Roman" w:eastAsia="Calibri" w:cs="Arial"/>
                <w:sz w:val="26"/>
                <w:szCs w:val="22"/>
                <w:lang w:val="ru-RU" w:eastAsia="en-US" w:bidi="ar-SA"/>
              </w:rPr>
            </w:pPr>
            <w:r>
              <w:rPr>
                <w:rFonts w:eastAsia="Calibri" w:cs="Arial"/>
                <w:kern w:val="0"/>
                <w:sz w:val="26"/>
                <w:szCs w:val="22"/>
                <w:lang w:val="ru-RU" w:eastAsia="en-US" w:bidi="ar-SA"/>
              </w:rPr>
              <w:t>подраздел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_Ref130394681 \r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4.3</w:t>
            </w:r>
            <w:r>
              <w:rPr>
                <w:sz w:val="26"/>
                <w:kern w:val="0"/>
                <w:szCs w:val="22"/>
                <w:rFonts w:eastAsia="Calibri" w:cs="Arial"/>
                <w:lang w:val="ru-RU" w:eastAsia="en-US" w:bidi="ar-SA"/>
              </w:rPr>
              <w:fldChar w:fldCharType="end"/>
            </w:r>
            <w:r>
              <w:rPr>
                <w:rFonts w:eastAsia="Calibri" w:cs="Arial"/>
                <w:kern w:val="0"/>
                <w:sz w:val="26"/>
                <w:szCs w:val="22"/>
                <w:lang w:val="ru-RU" w:eastAsia="en-US" w:bidi="ar-SA"/>
              </w:rPr>
              <w:br/>
            </w:r>
            <w:hyperlink w:anchor="Прил01_ТехТребования" w:tgtFrame="#Прил01_ТехТребования">
              <w:r>
                <w:rPr>
                  <w:rFonts w:eastAsia="Calibri" w:cs="Arial"/>
                  <w:color w:val="000000"/>
                  <w:spacing w:val="0"/>
                  <w:kern w:val="0"/>
                  <w:sz w:val="26"/>
                  <w:szCs w:val="22"/>
                  <w:u w:val="single"/>
                  <w:shd w:fill="auto" w:val="clear"/>
                  <w:lang w:val="ru-RU" w:eastAsia="en-US" w:bidi="ar-SA"/>
                </w:rPr>
                <w:t>Приложение № 1</w:t>
              </w:r>
            </w:hyperlink>
          </w:p>
        </w:tc>
        <w:tc>
          <w:tcPr>
            <w:tcW w:w="2090" w:type="dxa"/>
            <w:tcBorders/>
          </w:tcPr>
          <w:p>
            <w:pPr>
              <w:pStyle w:val="Style23"/>
              <w:widowControl/>
              <w:spacing w:lineRule="auto" w:line="240" w:before="60" w:after="60"/>
              <w:jc w:val="center"/>
              <w:rPr>
                <w:rFonts w:ascii="Times New Roman" w:hAnsi="Times New Roman" w:eastAsia="Calibri" w:cs="Arial"/>
                <w:sz w:val="26"/>
                <w:szCs w:val="22"/>
                <w:lang w:val="ru-RU" w:eastAsia="en-US" w:bidi="ar-SA"/>
              </w:rPr>
            </w:pPr>
            <w:r>
              <w:rPr>
                <w:rFonts w:eastAsia="Calibri" w:cs="Arial"/>
                <w:kern w:val="0"/>
                <w:sz w:val="26"/>
                <w:szCs w:val="22"/>
                <w:lang w:val="ru-RU" w:eastAsia="en-US" w:bidi="ar-SA"/>
              </w:rPr>
              <w:t>Тех</w:t>
            </w:r>
          </w:p>
        </w:tc>
      </w:tr>
      <w:tr>
        <w:trPr/>
        <w:tc>
          <w:tcPr>
            <w:tcW w:w="1412" w:type="dxa"/>
            <w:tcBorders/>
          </w:tcPr>
          <w:p>
            <w:pPr>
              <w:pStyle w:val="Style23"/>
              <w:widowControl/>
              <w:numPr>
                <w:ilvl w:val="0"/>
                <w:numId w:val="8"/>
              </w:numPr>
              <w:spacing w:lineRule="auto" w:line="240" w:before="60" w:after="60"/>
              <w:ind w:hanging="0" w:left="170"/>
              <w:jc w:val="center"/>
              <w:rPr>
                <w:rFonts w:ascii="Times New Roman" w:hAnsi="Times New Roman" w:eastAsia="Calibri" w:cs="Arial"/>
                <w:sz w:val="26"/>
                <w:szCs w:val="22"/>
                <w:lang w:val="ru-RU" w:eastAsia="en-US" w:bidi="ar-SA"/>
              </w:rPr>
            </w:pPr>
            <w:r>
              <w:rPr>
                <w:rFonts w:eastAsia="Calibri" w:cs="Arial"/>
                <w:sz w:val="26"/>
                <w:szCs w:val="22"/>
                <w:lang w:val="ru-RU" w:eastAsia="en-US" w:bidi="ar-SA"/>
              </w:rPr>
            </w:r>
          </w:p>
        </w:tc>
        <w:tc>
          <w:tcPr>
            <w:tcW w:w="8506" w:type="dxa"/>
            <w:tcBorders/>
          </w:tcPr>
          <w:p>
            <w:pPr>
              <w:pStyle w:val="Style23"/>
              <w:widowControl/>
              <w:spacing w:lineRule="auto" w:line="240" w:before="60" w:after="60"/>
              <w:rPr>
                <w:rFonts w:ascii="Times New Roman" w:hAnsi="Times New Roman" w:eastAsia="Calibri" w:cs="Arial"/>
                <w:sz w:val="26"/>
                <w:szCs w:val="22"/>
                <w:lang w:val="ru-RU" w:eastAsia="en-US" w:bidi="ar-SA"/>
              </w:rPr>
            </w:pPr>
            <w:r>
              <w:rPr>
                <w:rFonts w:eastAsia="Calibri" w:cs="Arial"/>
                <w:kern w:val="0"/>
                <w:sz w:val="26"/>
                <w:szCs w:val="22"/>
                <w:lang w:val="ru-RU" w:eastAsia="en-US" w:bidi="ar-SA"/>
              </w:rPr>
              <w:t xml:space="preserve">Соответствие номенклатуры, количества и характеристик материалов / оборудования, предложенных Участником в Техническом предложении, Коммерческом предложении и (или) прилагаемой к нему подтверждающей документации, требованиям, указанным в </w:t>
            </w:r>
            <w:hyperlink w:anchor="Прил01_ТехТребования" w:tgtFrame="#Прил01_ТехТребования">
              <w:r>
                <w:rPr>
                  <w:rFonts w:eastAsia="Calibri" w:cs="Arial"/>
                  <w:color w:val="000000"/>
                  <w:spacing w:val="0"/>
                  <w:kern w:val="0"/>
                  <w:sz w:val="26"/>
                  <w:szCs w:val="22"/>
                  <w:u w:val="single"/>
                  <w:shd w:fill="auto" w:val="clear"/>
                  <w:lang w:val="ru-RU" w:eastAsia="en-US" w:bidi="ar-SA"/>
                </w:rPr>
                <w:t>Технических требованиях (Приложение № 1)</w:t>
              </w:r>
            </w:hyperlink>
          </w:p>
        </w:tc>
        <w:tc>
          <w:tcPr>
            <w:tcW w:w="3117" w:type="dxa"/>
            <w:tcBorders/>
          </w:tcPr>
          <w:p>
            <w:pPr>
              <w:pStyle w:val="Style23"/>
              <w:widowControl/>
              <w:spacing w:lineRule="auto" w:line="240" w:before="60" w:after="60"/>
              <w:jc w:val="center"/>
              <w:rPr>
                <w:rFonts w:ascii="Times New Roman" w:hAnsi="Times New Roman" w:eastAsia="Calibri" w:cs="Arial"/>
                <w:sz w:val="26"/>
                <w:szCs w:val="22"/>
                <w:lang w:val="ru-RU" w:eastAsia="en-US" w:bidi="ar-SA"/>
              </w:rPr>
            </w:pPr>
            <w:r>
              <w:rPr>
                <w:rFonts w:eastAsia="Calibri" w:cs="Arial"/>
                <w:kern w:val="0"/>
                <w:sz w:val="26"/>
                <w:szCs w:val="22"/>
                <w:lang w:val="ru-RU" w:eastAsia="en-US" w:bidi="ar-SA"/>
              </w:rPr>
              <w:t>Подразделы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_Ref130394681 \r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4.3</w:t>
            </w:r>
            <w:r>
              <w:rPr>
                <w:sz w:val="26"/>
                <w:kern w:val="0"/>
                <w:szCs w:val="22"/>
                <w:rFonts w:eastAsia="Calibri" w:cs="Arial"/>
                <w:lang w:val="ru-RU" w:eastAsia="en-US" w:bidi="ar-SA"/>
              </w:rPr>
              <w:fldChar w:fldCharType="end"/>
            </w:r>
            <w:r>
              <w:rPr>
                <w:rFonts w:eastAsia="Calibri" w:cs="Arial"/>
                <w:kern w:val="0"/>
                <w:sz w:val="26"/>
                <w:szCs w:val="22"/>
                <w:lang w:val="ru-RU" w:eastAsia="en-US" w:bidi="ar-SA"/>
              </w:rPr>
              <w:t xml:space="preserve">,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_Ref130985951 \r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4.13</w:t>
            </w:r>
            <w:r>
              <w:rPr>
                <w:sz w:val="26"/>
                <w:kern w:val="0"/>
                <w:szCs w:val="22"/>
                <w:rFonts w:eastAsia="Calibri" w:cs="Arial"/>
                <w:lang w:val="ru-RU" w:eastAsia="en-US" w:bidi="ar-SA"/>
              </w:rPr>
              <w:fldChar w:fldCharType="end"/>
            </w:r>
            <w:r>
              <w:rPr>
                <w:rFonts w:eastAsia="Calibri" w:cs="Arial"/>
                <w:kern w:val="0"/>
                <w:sz w:val="26"/>
                <w:szCs w:val="22"/>
                <w:lang w:val="ru-RU" w:eastAsia="en-US" w:bidi="ar-SA"/>
              </w:rPr>
              <w:br/>
            </w:r>
            <w:hyperlink w:anchor="Прил01_ТехТребования" w:tgtFrame="#Прил01_ТехТребования">
              <w:r>
                <w:rPr>
                  <w:rFonts w:eastAsia="Calibri" w:cs="Arial"/>
                  <w:color w:val="000000"/>
                  <w:spacing w:val="0"/>
                  <w:kern w:val="0"/>
                  <w:sz w:val="26"/>
                  <w:szCs w:val="22"/>
                  <w:u w:val="single"/>
                  <w:shd w:fill="auto" w:val="clear"/>
                  <w:lang w:val="ru-RU" w:eastAsia="en-US" w:bidi="ar-SA"/>
                </w:rPr>
                <w:t>Приложение № 1</w:t>
              </w:r>
            </w:hyperlink>
          </w:p>
        </w:tc>
        <w:tc>
          <w:tcPr>
            <w:tcW w:w="2090" w:type="dxa"/>
            <w:tcBorders/>
          </w:tcPr>
          <w:p>
            <w:pPr>
              <w:pStyle w:val="Style23"/>
              <w:widowControl/>
              <w:spacing w:lineRule="auto" w:line="240" w:before="60" w:after="60"/>
              <w:jc w:val="center"/>
              <w:rPr>
                <w:rFonts w:ascii="Times New Roman" w:hAnsi="Times New Roman" w:eastAsia="Calibri" w:cs="Arial"/>
                <w:sz w:val="26"/>
                <w:szCs w:val="22"/>
                <w:lang w:val="ru-RU" w:eastAsia="en-US" w:bidi="ar-SA"/>
              </w:rPr>
            </w:pPr>
            <w:r>
              <w:rPr>
                <w:rFonts w:eastAsia="Calibri" w:cs="Arial"/>
                <w:kern w:val="0"/>
                <w:sz w:val="26"/>
                <w:szCs w:val="22"/>
                <w:lang w:val="ru-RU" w:eastAsia="en-US" w:bidi="ar-SA"/>
              </w:rPr>
              <w:t>Тех</w:t>
            </w:r>
          </w:p>
        </w:tc>
      </w:tr>
      <w:tr>
        <w:trPr/>
        <w:tc>
          <w:tcPr>
            <w:tcW w:w="1412" w:type="dxa"/>
            <w:tcBorders/>
          </w:tcPr>
          <w:p>
            <w:pPr>
              <w:pStyle w:val="Style23"/>
              <w:widowControl/>
              <w:numPr>
                <w:ilvl w:val="0"/>
                <w:numId w:val="8"/>
              </w:numPr>
              <w:spacing w:lineRule="auto" w:line="240" w:before="60" w:after="60"/>
              <w:ind w:hanging="0" w:left="170"/>
              <w:jc w:val="center"/>
              <w:rPr>
                <w:rFonts w:ascii="Times New Roman" w:hAnsi="Times New Roman" w:eastAsia="Calibri" w:cs="Arial"/>
                <w:sz w:val="26"/>
                <w:szCs w:val="22"/>
                <w:lang w:val="ru-RU" w:eastAsia="en-US" w:bidi="ar-SA"/>
              </w:rPr>
            </w:pPr>
            <w:r>
              <w:rPr>
                <w:rFonts w:eastAsia="Calibri" w:cs="Arial"/>
                <w:sz w:val="26"/>
                <w:szCs w:val="22"/>
                <w:lang w:val="ru-RU" w:eastAsia="en-US" w:bidi="ar-SA"/>
              </w:rPr>
            </w:r>
          </w:p>
        </w:tc>
        <w:tc>
          <w:tcPr>
            <w:tcW w:w="8506" w:type="dxa"/>
            <w:tcBorders/>
          </w:tcPr>
          <w:p>
            <w:pPr>
              <w:pStyle w:val="Style23"/>
              <w:widowControl/>
              <w:spacing w:lineRule="auto" w:line="240" w:before="60" w:after="60"/>
              <w:rPr>
                <w:rFonts w:ascii="Times New Roman" w:hAnsi="Times New Roman" w:eastAsia="Calibri" w:cs="Arial"/>
                <w:sz w:val="26"/>
                <w:szCs w:val="22"/>
                <w:lang w:val="ru-RU" w:eastAsia="en-US" w:bidi="ar-SA"/>
              </w:rPr>
            </w:pPr>
            <w:r>
              <w:rPr>
                <w:rFonts w:eastAsia="Calibri" w:cs="Arial"/>
                <w:kern w:val="0"/>
                <w:sz w:val="26"/>
                <w:szCs w:val="22"/>
                <w:lang w:val="ru-RU" w:eastAsia="en-US" w:bidi="ar-SA"/>
              </w:rPr>
              <w:t xml:space="preserve">Соответствие сроков (и (или) этапов) реализации Договора, предложенных Участником в Техническом предложении, указанным в </w:t>
            </w:r>
            <w:hyperlink w:anchor="Прил01_ТехТребования" w:tgtFrame="#Прил01_ТехТребования">
              <w:r>
                <w:rPr>
                  <w:rFonts w:eastAsia="Calibri" w:cs="Arial"/>
                  <w:color w:val="000000"/>
                  <w:spacing w:val="0"/>
                  <w:kern w:val="0"/>
                  <w:sz w:val="26"/>
                  <w:szCs w:val="22"/>
                  <w:u w:val="single"/>
                  <w:shd w:fill="auto" w:val="clear"/>
                  <w:lang w:val="ru-RU" w:eastAsia="en-US" w:bidi="ar-SA"/>
                </w:rPr>
                <w:t>Технических требованиях (Приложение № 1)</w:t>
              </w:r>
            </w:hyperlink>
            <w:r>
              <w:rPr>
                <w:rFonts w:eastAsia="Calibri" w:cs="Arial"/>
                <w:kern w:val="0"/>
                <w:sz w:val="26"/>
                <w:szCs w:val="22"/>
                <w:lang w:val="ru-RU" w:eastAsia="en-US" w:bidi="ar-SA"/>
              </w:rPr>
              <w:t xml:space="preserve"> и (или) в </w:t>
            </w:r>
            <w:hyperlink w:anchor="Прил02_ПроектДоговора" w:tgtFrame="#Прил02_ПроектДоговора">
              <w:r>
                <w:rPr>
                  <w:rFonts w:eastAsia="Calibri" w:cs="Arial"/>
                  <w:color w:val="000000"/>
                  <w:spacing w:val="0"/>
                  <w:kern w:val="0"/>
                  <w:sz w:val="26"/>
                  <w:szCs w:val="22"/>
                  <w:u w:val="single"/>
                  <w:shd w:fill="auto" w:val="clear"/>
                  <w:lang w:val="ru-RU" w:eastAsia="en-US" w:bidi="ar-SA"/>
                </w:rPr>
                <w:t>Проекте договора (Приложение № 2)</w:t>
              </w:r>
            </w:hyperlink>
            <w:r>
              <w:rPr>
                <w:rFonts w:eastAsia="Calibri" w:cs="Arial"/>
                <w:kern w:val="0"/>
                <w:sz w:val="26"/>
                <w:szCs w:val="22"/>
                <w:lang w:val="ru-RU" w:eastAsia="en-US" w:bidi="ar-SA"/>
              </w:rPr>
              <w:t>, или согласие с ними в Письме о подаче оферты</w:t>
            </w:r>
          </w:p>
        </w:tc>
        <w:tc>
          <w:tcPr>
            <w:tcW w:w="3117" w:type="dxa"/>
            <w:tcBorders/>
          </w:tcPr>
          <w:p>
            <w:pPr>
              <w:pStyle w:val="Style23"/>
              <w:widowControl/>
              <w:spacing w:lineRule="auto" w:line="240" w:before="60" w:after="60"/>
              <w:jc w:val="center"/>
              <w:rPr>
                <w:rFonts w:ascii="Times New Roman" w:hAnsi="Times New Roman" w:eastAsia="Calibri" w:cs="Arial"/>
                <w:sz w:val="26"/>
                <w:szCs w:val="22"/>
                <w:lang w:val="ru-RU" w:eastAsia="en-US" w:bidi="ar-SA"/>
              </w:rPr>
            </w:pPr>
            <w:hyperlink w:anchor="Прил01_ТехТребования" w:tgtFrame="#Прил01_ТехТребования">
              <w:r>
                <w:rPr>
                  <w:rFonts w:eastAsia="Calibri" w:cs="Arial"/>
                  <w:color w:val="000000"/>
                  <w:spacing w:val="0"/>
                  <w:kern w:val="0"/>
                  <w:sz w:val="26"/>
                  <w:szCs w:val="22"/>
                  <w:u w:val="single"/>
                  <w:shd w:fill="auto" w:val="clear"/>
                  <w:lang w:val="ru-RU" w:eastAsia="en-US" w:bidi="ar-SA"/>
                </w:rPr>
                <w:t>Приложение № 1</w:t>
              </w:r>
            </w:hyperlink>
            <w:r>
              <w:rPr>
                <w:rFonts w:eastAsia="Calibri" w:cs="Arial"/>
                <w:kern w:val="0"/>
                <w:sz w:val="26"/>
                <w:szCs w:val="22"/>
                <w:lang w:val="ru-RU" w:eastAsia="en-US" w:bidi="ar-SA"/>
              </w:rPr>
              <w:t>,</w:t>
              <w:br/>
            </w:r>
            <w:hyperlink w:anchor="Прил02_ПроектДоговора" w:tgtFrame="#Прил02_ПроектДоговора">
              <w:r>
                <w:rPr>
                  <w:rFonts w:eastAsia="Calibri" w:cs="Arial"/>
                  <w:color w:val="000000"/>
                  <w:spacing w:val="0"/>
                  <w:kern w:val="0"/>
                  <w:sz w:val="26"/>
                  <w:szCs w:val="22"/>
                  <w:u w:val="single"/>
                  <w:shd w:fill="auto" w:val="clear"/>
                  <w:lang w:val="ru-RU" w:eastAsia="en-US" w:bidi="ar-SA"/>
                </w:rPr>
                <w:t>Приложение № 2</w:t>
              </w:r>
            </w:hyperlink>
          </w:p>
        </w:tc>
        <w:tc>
          <w:tcPr>
            <w:tcW w:w="2090" w:type="dxa"/>
            <w:tcBorders/>
          </w:tcPr>
          <w:p>
            <w:pPr>
              <w:pStyle w:val="Style23"/>
              <w:widowControl/>
              <w:spacing w:lineRule="auto" w:line="240" w:before="60" w:after="60"/>
              <w:jc w:val="center"/>
              <w:rPr>
                <w:rFonts w:ascii="Times New Roman" w:hAnsi="Times New Roman" w:eastAsia="Calibri" w:cs="Arial"/>
                <w:sz w:val="26"/>
                <w:szCs w:val="22"/>
                <w:lang w:val="ru-RU" w:eastAsia="en-US" w:bidi="ar-SA"/>
              </w:rPr>
            </w:pPr>
            <w:r>
              <w:rPr>
                <w:rFonts w:eastAsia="Calibri" w:cs="Arial"/>
                <w:kern w:val="0"/>
                <w:sz w:val="26"/>
                <w:szCs w:val="22"/>
                <w:lang w:val="ru-RU" w:eastAsia="en-US" w:bidi="ar-SA"/>
              </w:rPr>
              <w:t>Тех</w:t>
            </w:r>
          </w:p>
        </w:tc>
      </w:tr>
      <w:tr>
        <w:trPr/>
        <w:tc>
          <w:tcPr>
            <w:tcW w:w="1412" w:type="dxa"/>
            <w:tcBorders/>
          </w:tcPr>
          <w:p>
            <w:pPr>
              <w:pStyle w:val="Style23"/>
              <w:widowControl/>
              <w:numPr>
                <w:ilvl w:val="0"/>
                <w:numId w:val="8"/>
              </w:numPr>
              <w:spacing w:lineRule="auto" w:line="240" w:before="60" w:after="60"/>
              <w:ind w:hanging="0" w:left="170"/>
              <w:jc w:val="center"/>
              <w:rPr>
                <w:rFonts w:ascii="Times New Roman" w:hAnsi="Times New Roman" w:eastAsia="Calibri" w:cs="Arial"/>
                <w:sz w:val="26"/>
                <w:szCs w:val="22"/>
                <w:lang w:val="ru-RU" w:eastAsia="en-US" w:bidi="ar-SA"/>
              </w:rPr>
            </w:pPr>
            <w:r>
              <w:rPr>
                <w:rFonts w:eastAsia="Calibri" w:cs="Arial"/>
                <w:sz w:val="26"/>
                <w:szCs w:val="22"/>
                <w:lang w:val="ru-RU" w:eastAsia="en-US" w:bidi="ar-SA"/>
              </w:rPr>
            </w:r>
          </w:p>
        </w:tc>
        <w:tc>
          <w:tcPr>
            <w:tcW w:w="8506" w:type="dxa"/>
            <w:tcBorders/>
          </w:tcPr>
          <w:p>
            <w:pPr>
              <w:pStyle w:val="Style23"/>
              <w:widowControl/>
              <w:spacing w:lineRule="auto" w:line="240" w:before="60" w:after="60"/>
              <w:rPr>
                <w:rFonts w:ascii="Times New Roman" w:hAnsi="Times New Roman" w:eastAsia="Calibri" w:cs="Arial"/>
                <w:sz w:val="26"/>
                <w:szCs w:val="22"/>
                <w:lang w:val="ru-RU" w:eastAsia="en-US" w:bidi="ar-SA"/>
              </w:rPr>
            </w:pPr>
            <w:r>
              <w:rPr>
                <w:rFonts w:eastAsia="Calibri" w:cs="Arial"/>
                <w:kern w:val="0"/>
                <w:sz w:val="26"/>
                <w:szCs w:val="22"/>
                <w:lang w:val="ru-RU" w:eastAsia="en-US" w:bidi="ar-SA"/>
              </w:rPr>
              <w:t xml:space="preserve">Соответствие требованиям к гарантии на поставляемые материалы / оборудование и результаты выполненных работ, указанным в </w:t>
            </w:r>
            <w:hyperlink w:anchor="Прил01_ТехТребования" w:tgtFrame="#Прил01_ТехТребования">
              <w:r>
                <w:rPr>
                  <w:rFonts w:eastAsia="Calibri" w:cs="Arial"/>
                  <w:color w:val="000000"/>
                  <w:spacing w:val="0"/>
                  <w:kern w:val="0"/>
                  <w:sz w:val="26"/>
                  <w:szCs w:val="22"/>
                  <w:u w:val="single"/>
                  <w:shd w:fill="auto" w:val="clear"/>
                  <w:lang w:val="ru-RU" w:eastAsia="en-US" w:bidi="ar-SA"/>
                </w:rPr>
                <w:t>Технических требованиях (Приложение № 1)</w:t>
              </w:r>
            </w:hyperlink>
            <w:r>
              <w:rPr>
                <w:rFonts w:eastAsia="Calibri" w:cs="Arial"/>
                <w:kern w:val="0"/>
                <w:sz w:val="26"/>
                <w:szCs w:val="22"/>
                <w:lang w:val="ru-RU" w:eastAsia="en-US" w:bidi="ar-SA"/>
              </w:rPr>
              <w:t xml:space="preserve"> и (или) в </w:t>
            </w:r>
            <w:hyperlink w:anchor="Прил02_ПроектДоговора" w:tgtFrame="#Прил02_ПроектДоговора">
              <w:r>
                <w:rPr>
                  <w:rFonts w:eastAsia="Calibri" w:cs="Arial"/>
                  <w:color w:val="000000"/>
                  <w:spacing w:val="0"/>
                  <w:kern w:val="0"/>
                  <w:sz w:val="26"/>
                  <w:szCs w:val="22"/>
                  <w:u w:val="single"/>
                  <w:shd w:fill="auto" w:val="clear"/>
                  <w:lang w:val="ru-RU" w:eastAsia="en-US" w:bidi="ar-SA"/>
                </w:rPr>
                <w:t>Проекте договора (Приложение № 2)</w:t>
              </w:r>
            </w:hyperlink>
          </w:p>
          <w:p>
            <w:pPr>
              <w:pStyle w:val="Style23"/>
              <w:widowControl/>
              <w:spacing w:lineRule="auto" w:line="240" w:before="60" w:after="60"/>
              <w:rPr>
                <w:rFonts w:ascii="Times New Roman" w:hAnsi="Times New Roman" w:eastAsia="Calibri" w:cs="Arial"/>
                <w:sz w:val="26"/>
                <w:szCs w:val="22"/>
                <w:lang w:val="ru-RU" w:eastAsia="en-US" w:bidi="ar-SA"/>
              </w:rPr>
            </w:pPr>
            <w:r>
              <w:rPr>
                <w:rFonts w:eastAsia="Calibri" w:cs="Arial"/>
                <w:i/>
                <w:iCs/>
                <w:kern w:val="0"/>
                <w:sz w:val="26"/>
                <w:szCs w:val="22"/>
                <w:lang w:val="ru-RU" w:eastAsia="en-US" w:bidi="ar-SA"/>
              </w:rPr>
              <w:t>(пункт применяется только в случае установления соответствующих требований)</w:t>
            </w:r>
          </w:p>
        </w:tc>
        <w:tc>
          <w:tcPr>
            <w:tcW w:w="3117" w:type="dxa"/>
            <w:tcBorders/>
          </w:tcPr>
          <w:p>
            <w:pPr>
              <w:pStyle w:val="Style23"/>
              <w:widowControl/>
              <w:spacing w:lineRule="auto" w:line="240" w:before="60" w:after="60"/>
              <w:jc w:val="center"/>
              <w:rPr>
                <w:rFonts w:ascii="Times New Roman" w:hAnsi="Times New Roman" w:eastAsia="Calibri" w:cs="Arial"/>
                <w:sz w:val="26"/>
                <w:szCs w:val="22"/>
                <w:lang w:val="ru-RU" w:eastAsia="en-US" w:bidi="ar-SA"/>
              </w:rPr>
            </w:pPr>
            <w:hyperlink w:anchor="Прил01_ТехТребования" w:tgtFrame="#Прил01_ТехТребования">
              <w:r>
                <w:rPr>
                  <w:rFonts w:eastAsia="Calibri" w:cs="Arial"/>
                  <w:color w:val="000000"/>
                  <w:spacing w:val="0"/>
                  <w:kern w:val="0"/>
                  <w:sz w:val="26"/>
                  <w:szCs w:val="22"/>
                  <w:u w:val="single"/>
                  <w:shd w:fill="auto" w:val="clear"/>
                  <w:lang w:val="ru-RU" w:eastAsia="en-US" w:bidi="ar-SA"/>
                </w:rPr>
                <w:t>Приложение № 1</w:t>
              </w:r>
            </w:hyperlink>
            <w:r>
              <w:rPr>
                <w:rFonts w:eastAsia="Calibri" w:cs="Arial"/>
                <w:kern w:val="0"/>
                <w:sz w:val="26"/>
                <w:szCs w:val="22"/>
                <w:lang w:val="ru-RU" w:eastAsia="en-US" w:bidi="ar-SA"/>
              </w:rPr>
              <w:t>,</w:t>
              <w:br/>
            </w:r>
            <w:hyperlink w:anchor="Прил02_ПроектДоговора" w:tgtFrame="#Прил02_ПроектДоговора">
              <w:r>
                <w:rPr>
                  <w:rFonts w:eastAsia="Calibri" w:cs="Arial"/>
                  <w:color w:val="000000"/>
                  <w:spacing w:val="0"/>
                  <w:kern w:val="0"/>
                  <w:sz w:val="26"/>
                  <w:szCs w:val="22"/>
                  <w:u w:val="single"/>
                  <w:shd w:fill="auto" w:val="clear"/>
                  <w:lang w:val="ru-RU" w:eastAsia="en-US" w:bidi="ar-SA"/>
                </w:rPr>
                <w:t>Приложение № 2</w:t>
              </w:r>
            </w:hyperlink>
          </w:p>
        </w:tc>
        <w:tc>
          <w:tcPr>
            <w:tcW w:w="2090" w:type="dxa"/>
            <w:tcBorders/>
          </w:tcPr>
          <w:p>
            <w:pPr>
              <w:pStyle w:val="Style23"/>
              <w:widowControl/>
              <w:spacing w:lineRule="auto" w:line="240" w:before="60" w:after="60"/>
              <w:jc w:val="center"/>
              <w:rPr>
                <w:rFonts w:ascii="Times New Roman" w:hAnsi="Times New Roman" w:eastAsia="Calibri" w:cs="Arial"/>
                <w:sz w:val="26"/>
                <w:szCs w:val="22"/>
                <w:lang w:val="ru-RU" w:eastAsia="en-US" w:bidi="ar-SA"/>
              </w:rPr>
            </w:pPr>
            <w:r>
              <w:rPr>
                <w:rFonts w:eastAsia="Calibri" w:cs="Arial"/>
                <w:kern w:val="0"/>
                <w:sz w:val="26"/>
                <w:szCs w:val="22"/>
                <w:lang w:val="ru-RU" w:eastAsia="en-US" w:bidi="ar-SA"/>
              </w:rPr>
              <w:t>Тех</w:t>
            </w:r>
          </w:p>
        </w:tc>
      </w:tr>
      <w:tr>
        <w:trPr/>
        <w:tc>
          <w:tcPr>
            <w:tcW w:w="1412" w:type="dxa"/>
            <w:tcBorders/>
          </w:tcPr>
          <w:p>
            <w:pPr>
              <w:pStyle w:val="Style23"/>
              <w:widowControl/>
              <w:numPr>
                <w:ilvl w:val="0"/>
                <w:numId w:val="8"/>
              </w:numPr>
              <w:spacing w:lineRule="auto" w:line="240" w:before="60" w:after="60"/>
              <w:ind w:hanging="0" w:left="170"/>
              <w:jc w:val="center"/>
              <w:rPr>
                <w:rFonts w:ascii="Times New Roman" w:hAnsi="Times New Roman" w:eastAsia="Calibri" w:cs="Arial"/>
                <w:sz w:val="26"/>
                <w:szCs w:val="22"/>
                <w:lang w:val="ru-RU" w:eastAsia="en-US" w:bidi="ar-SA"/>
              </w:rPr>
            </w:pPr>
            <w:r>
              <w:rPr>
                <w:rFonts w:eastAsia="Calibri" w:cs="Arial"/>
                <w:sz w:val="26"/>
                <w:szCs w:val="22"/>
                <w:lang w:val="ru-RU" w:eastAsia="en-US" w:bidi="ar-SA"/>
              </w:rPr>
            </w:r>
          </w:p>
        </w:tc>
        <w:tc>
          <w:tcPr>
            <w:tcW w:w="8506" w:type="dxa"/>
            <w:tcBorders/>
          </w:tcPr>
          <w:p>
            <w:pPr>
              <w:pStyle w:val="Style23"/>
              <w:widowControl/>
              <w:spacing w:lineRule="auto" w:line="240" w:before="60" w:after="60"/>
              <w:rPr>
                <w:rFonts w:ascii="Times New Roman" w:hAnsi="Times New Roman" w:eastAsia="Calibri" w:cs="Arial"/>
                <w:sz w:val="26"/>
                <w:szCs w:val="22"/>
                <w:lang w:val="ru-RU" w:eastAsia="en-US" w:bidi="ar-SA"/>
              </w:rPr>
            </w:pPr>
            <w:r>
              <w:rPr>
                <w:rFonts w:eastAsia="Calibri" w:cs="Arial"/>
                <w:kern w:val="0"/>
                <w:sz w:val="26"/>
                <w:szCs w:val="22"/>
                <w:lang w:val="ru-RU" w:eastAsia="en-US" w:bidi="ar-SA"/>
              </w:rPr>
              <w:t xml:space="preserve">Соответствие предлагаемой к поставке продукции иным требованиям, установленным в </w:t>
            </w:r>
            <w:hyperlink w:anchor="Прил01_ТехТребования" w:tgtFrame="#Прил01_ТехТребования">
              <w:r>
                <w:rPr>
                  <w:rFonts w:eastAsia="Calibri" w:cs="Arial"/>
                  <w:color w:val="000000"/>
                  <w:spacing w:val="0"/>
                  <w:kern w:val="0"/>
                  <w:sz w:val="26"/>
                  <w:szCs w:val="22"/>
                  <w:u w:val="single"/>
                  <w:shd w:fill="auto" w:val="clear"/>
                  <w:lang w:val="ru-RU" w:eastAsia="en-US" w:bidi="ar-SA"/>
                </w:rPr>
                <w:t>Технических требованиях (Приложение № 1)</w:t>
              </w:r>
            </w:hyperlink>
            <w:r>
              <w:rPr>
                <w:rFonts w:eastAsia="Calibri" w:cs="Arial"/>
                <w:kern w:val="0"/>
                <w:sz w:val="26"/>
                <w:szCs w:val="22"/>
                <w:lang w:val="ru-RU" w:eastAsia="en-US" w:bidi="ar-SA"/>
              </w:rPr>
              <w:t>, с предоставлением требуемых подтверждающих документов / сведений</w:t>
            </w:r>
          </w:p>
          <w:p>
            <w:pPr>
              <w:pStyle w:val="Style23"/>
              <w:widowControl/>
              <w:spacing w:lineRule="auto" w:line="240" w:before="60" w:after="60"/>
              <w:rPr>
                <w:rFonts w:ascii="Times New Roman" w:hAnsi="Times New Roman" w:eastAsia="Calibri" w:cs="Arial"/>
                <w:sz w:val="26"/>
                <w:szCs w:val="22"/>
                <w:lang w:val="ru-RU" w:eastAsia="en-US" w:bidi="ar-SA"/>
              </w:rPr>
            </w:pPr>
            <w:r>
              <w:rPr>
                <w:rFonts w:eastAsia="Calibri" w:cs="Arial"/>
                <w:i/>
                <w:iCs/>
                <w:kern w:val="0"/>
                <w:sz w:val="26"/>
                <w:szCs w:val="22"/>
                <w:lang w:val="ru-RU" w:eastAsia="en-US" w:bidi="ar-SA"/>
              </w:rPr>
              <w:t>(пункт применяется только в случае установления соответствующих требований)</w:t>
            </w:r>
          </w:p>
        </w:tc>
        <w:tc>
          <w:tcPr>
            <w:tcW w:w="3117" w:type="dxa"/>
            <w:tcBorders/>
          </w:tcPr>
          <w:p>
            <w:pPr>
              <w:pStyle w:val="Style23"/>
              <w:widowControl/>
              <w:spacing w:lineRule="auto" w:line="240" w:before="60" w:after="60"/>
              <w:jc w:val="center"/>
              <w:rPr>
                <w:rFonts w:ascii="Times New Roman" w:hAnsi="Times New Roman" w:eastAsia="Calibri" w:cs="Arial"/>
                <w:sz w:val="26"/>
                <w:szCs w:val="22"/>
                <w:lang w:val="ru-RU" w:eastAsia="en-US" w:bidi="ar-SA"/>
              </w:rPr>
            </w:pPr>
            <w:hyperlink w:anchor="Прил01_ТехТребования" w:tgtFrame="#Прил01_ТехТребования">
              <w:r>
                <w:rPr>
                  <w:rFonts w:eastAsia="Calibri" w:cs="Arial"/>
                  <w:color w:val="000000"/>
                  <w:spacing w:val="0"/>
                  <w:kern w:val="0"/>
                  <w:sz w:val="26"/>
                  <w:szCs w:val="22"/>
                  <w:u w:val="single"/>
                  <w:shd w:fill="auto" w:val="clear"/>
                  <w:lang w:val="ru-RU" w:eastAsia="en-US" w:bidi="ar-SA"/>
                </w:rPr>
                <w:t>Приложение № 1</w:t>
              </w:r>
            </w:hyperlink>
          </w:p>
        </w:tc>
        <w:tc>
          <w:tcPr>
            <w:tcW w:w="2090" w:type="dxa"/>
            <w:tcBorders/>
          </w:tcPr>
          <w:p>
            <w:pPr>
              <w:pStyle w:val="Style23"/>
              <w:widowControl/>
              <w:spacing w:lineRule="auto" w:line="240" w:before="60" w:after="60"/>
              <w:jc w:val="center"/>
              <w:rPr>
                <w:rFonts w:ascii="Times New Roman" w:hAnsi="Times New Roman" w:eastAsia="Calibri" w:cs="Arial"/>
                <w:sz w:val="26"/>
                <w:szCs w:val="22"/>
                <w:lang w:val="ru-RU" w:eastAsia="en-US" w:bidi="ar-SA"/>
              </w:rPr>
            </w:pPr>
            <w:r>
              <w:rPr>
                <w:rFonts w:eastAsia="Calibri" w:cs="Arial"/>
                <w:kern w:val="0"/>
                <w:sz w:val="26"/>
                <w:szCs w:val="22"/>
                <w:lang w:val="ru-RU" w:eastAsia="en-US" w:bidi="ar-SA"/>
              </w:rPr>
              <w:t>Тех</w:t>
            </w:r>
          </w:p>
        </w:tc>
      </w:tr>
      <w:tr>
        <w:trPr/>
        <w:tc>
          <w:tcPr>
            <w:tcW w:w="9918" w:type="dxa"/>
            <w:gridSpan w:val="2"/>
            <w:tcBorders/>
          </w:tcPr>
          <w:p>
            <w:pPr>
              <w:pStyle w:val="Style23"/>
              <w:keepNext w:val="true"/>
              <w:widowControl/>
              <w:spacing w:lineRule="auto" w:line="240" w:before="60" w:after="60"/>
              <w:rPr>
                <w:rFonts w:ascii="Times New Roman" w:hAnsi="Times New Roman" w:eastAsia="Calibri" w:cs="Arial"/>
                <w:sz w:val="26"/>
                <w:szCs w:val="22"/>
                <w:lang w:val="ru-RU" w:eastAsia="en-US" w:bidi="ar-SA"/>
              </w:rPr>
            </w:pPr>
            <w:r>
              <w:rPr>
                <w:rFonts w:eastAsia="Calibri" w:cs="Arial"/>
                <w:b/>
                <w:bCs/>
                <w:kern w:val="0"/>
                <w:sz w:val="26"/>
                <w:szCs w:val="22"/>
                <w:lang w:val="ru-RU" w:eastAsia="en-US" w:bidi="ar-SA"/>
              </w:rPr>
              <w:t>Соответствие Коммерческого предложения Участника требованиям Документации о закупке, в том числе:</w:t>
            </w:r>
          </w:p>
        </w:tc>
        <w:tc>
          <w:tcPr>
            <w:tcW w:w="3117" w:type="dxa"/>
            <w:tcBorders/>
          </w:tcPr>
          <w:p>
            <w:pPr>
              <w:pStyle w:val="Style23"/>
              <w:widowControl/>
              <w:spacing w:lineRule="auto" w:line="240" w:before="60" w:after="60"/>
              <w:jc w:val="center"/>
              <w:rPr>
                <w:rFonts w:ascii="Times New Roman" w:hAnsi="Times New Roman" w:eastAsia="Calibri" w:cs="Arial"/>
                <w:sz w:val="26"/>
                <w:szCs w:val="22"/>
                <w:lang w:val="ru-RU" w:eastAsia="en-US" w:bidi="ar-SA"/>
              </w:rPr>
            </w:pPr>
            <w:r>
              <w:rPr>
                <w:rFonts w:eastAsia="Calibri" w:cs="Arial"/>
                <w:b/>
                <w:bCs/>
                <w:kern w:val="0"/>
                <w:sz w:val="26"/>
                <w:szCs w:val="22"/>
                <w:lang w:val="ru-RU" w:eastAsia="en-US" w:bidi="ar-SA"/>
              </w:rPr>
              <w:t>–</w:t>
            </w:r>
          </w:p>
        </w:tc>
        <w:tc>
          <w:tcPr>
            <w:tcW w:w="2090" w:type="dxa"/>
            <w:tcBorders/>
          </w:tcPr>
          <w:p>
            <w:pPr>
              <w:pStyle w:val="Style23"/>
              <w:widowControl/>
              <w:spacing w:lineRule="auto" w:line="240" w:before="60" w:after="60"/>
              <w:jc w:val="center"/>
              <w:rPr>
                <w:rFonts w:ascii="Times New Roman" w:hAnsi="Times New Roman" w:eastAsia="Calibri" w:cs="Arial"/>
                <w:sz w:val="26"/>
                <w:szCs w:val="22"/>
                <w:lang w:val="ru-RU" w:eastAsia="en-US" w:bidi="ar-SA"/>
              </w:rPr>
            </w:pPr>
            <w:r>
              <w:rPr>
                <w:rFonts w:eastAsia="Calibri" w:cs="Arial"/>
                <w:b/>
                <w:bCs/>
                <w:kern w:val="0"/>
                <w:sz w:val="26"/>
                <w:szCs w:val="22"/>
                <w:lang w:val="ru-RU" w:eastAsia="en-US" w:bidi="ar-SA"/>
              </w:rPr>
              <w:t>–</w:t>
            </w:r>
          </w:p>
        </w:tc>
      </w:tr>
      <w:tr>
        <w:trPr/>
        <w:tc>
          <w:tcPr>
            <w:tcW w:w="1412" w:type="dxa"/>
            <w:tcBorders/>
          </w:tcPr>
          <w:p>
            <w:pPr>
              <w:pStyle w:val="Style23"/>
              <w:widowControl/>
              <w:numPr>
                <w:ilvl w:val="0"/>
                <w:numId w:val="8"/>
              </w:numPr>
              <w:spacing w:lineRule="auto" w:line="240" w:before="60" w:after="60"/>
              <w:ind w:hanging="0" w:left="170"/>
              <w:jc w:val="center"/>
              <w:rPr>
                <w:rFonts w:ascii="Times New Roman" w:hAnsi="Times New Roman" w:eastAsia="Calibri" w:cs="Arial"/>
                <w:sz w:val="26"/>
                <w:szCs w:val="22"/>
                <w:lang w:val="ru-RU" w:eastAsia="en-US" w:bidi="ar-SA"/>
              </w:rPr>
            </w:pPr>
            <w:r>
              <w:rPr>
                <w:rFonts w:eastAsia="Calibri" w:cs="Arial"/>
                <w:sz w:val="26"/>
                <w:szCs w:val="22"/>
                <w:lang w:val="ru-RU" w:eastAsia="en-US" w:bidi="ar-SA"/>
              </w:rPr>
            </w:r>
          </w:p>
        </w:tc>
        <w:tc>
          <w:tcPr>
            <w:tcW w:w="8506" w:type="dxa"/>
            <w:tcBorders/>
          </w:tcPr>
          <w:p>
            <w:pPr>
              <w:pStyle w:val="Style23"/>
              <w:widowControl/>
              <w:spacing w:lineRule="auto" w:line="240" w:before="60" w:after="60"/>
              <w:rPr>
                <w:rFonts w:ascii="Times New Roman" w:hAnsi="Times New Roman" w:eastAsia="Calibri" w:cs="Arial"/>
                <w:sz w:val="26"/>
                <w:szCs w:val="22"/>
                <w:lang w:val="ru-RU" w:eastAsia="en-US" w:bidi="ar-SA"/>
              </w:rPr>
            </w:pPr>
            <w:r>
              <w:rPr>
                <w:rFonts w:eastAsia="Calibri" w:cs="Arial"/>
                <w:kern w:val="0"/>
                <w:sz w:val="26"/>
                <w:szCs w:val="22"/>
                <w:lang w:val="ru-RU" w:eastAsia="en-US" w:bidi="ar-SA"/>
              </w:rPr>
              <w:t>Соответствие Коммерческого предложения (проверка наличия в составе заявки всех необходимых документов, оценка правильности их оформления; проверка отсутствия противоречий представленных в составе Коммерческого предложения (и приложениях к нему) документах).</w:t>
            </w:r>
          </w:p>
        </w:tc>
        <w:tc>
          <w:tcPr>
            <w:tcW w:w="3117" w:type="dxa"/>
            <w:tcBorders/>
          </w:tcPr>
          <w:p>
            <w:pPr>
              <w:pStyle w:val="Style23"/>
              <w:widowControl/>
              <w:spacing w:lineRule="auto" w:line="240" w:before="60" w:after="60"/>
              <w:jc w:val="center"/>
              <w:rPr>
                <w:rFonts w:ascii="Times New Roman" w:hAnsi="Times New Roman" w:eastAsia="Calibri" w:cs="Arial"/>
                <w:sz w:val="26"/>
                <w:szCs w:val="22"/>
                <w:lang w:val="ru-RU" w:eastAsia="en-US" w:bidi="ar-SA"/>
              </w:rPr>
            </w:pPr>
            <w:r>
              <w:rPr>
                <w:rFonts w:eastAsia="Calibri" w:cs="Arial"/>
                <w:kern w:val="0"/>
                <w:sz w:val="26"/>
                <w:szCs w:val="22"/>
                <w:lang w:val="ru-RU" w:eastAsia="en-US" w:bidi="ar-SA"/>
              </w:rPr>
              <w:t>подразделы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_Ref130394681 \r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4.3</w:t>
            </w:r>
            <w:r>
              <w:rPr>
                <w:sz w:val="26"/>
                <w:kern w:val="0"/>
                <w:szCs w:val="22"/>
                <w:rFonts w:eastAsia="Calibri" w:cs="Arial"/>
                <w:lang w:val="ru-RU" w:eastAsia="en-US" w:bidi="ar-SA"/>
              </w:rPr>
              <w:fldChar w:fldCharType="end"/>
            </w:r>
            <w:r>
              <w:rPr>
                <w:rFonts w:eastAsia="Calibri" w:cs="Arial"/>
                <w:kern w:val="0"/>
                <w:sz w:val="26"/>
                <w:szCs w:val="22"/>
                <w:lang w:val="ru-RU" w:eastAsia="en-US" w:bidi="ar-SA"/>
              </w:rPr>
              <w:t xml:space="preserve">,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_Ref135749133 \r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4.9</w:t>
            </w:r>
            <w:r>
              <w:rPr>
                <w:sz w:val="26"/>
                <w:kern w:val="0"/>
                <w:szCs w:val="22"/>
                <w:rFonts w:eastAsia="Calibri" w:cs="Arial"/>
                <w:lang w:val="ru-RU" w:eastAsia="en-US" w:bidi="ar-SA"/>
              </w:rPr>
              <w:fldChar w:fldCharType="end"/>
            </w:r>
          </w:p>
          <w:p>
            <w:pPr>
              <w:pStyle w:val="Style23"/>
              <w:widowControl/>
              <w:spacing w:lineRule="auto" w:line="240" w:before="60" w:after="60"/>
              <w:jc w:val="center"/>
              <w:rPr>
                <w:rFonts w:ascii="Times New Roman" w:hAnsi="Times New Roman" w:eastAsia="Calibri" w:cs="Arial"/>
                <w:sz w:val="26"/>
                <w:szCs w:val="22"/>
                <w:lang w:val="ru-RU" w:eastAsia="en-US" w:bidi="ar-SA"/>
              </w:rPr>
            </w:pPr>
            <w:r>
              <w:rPr>
                <w:rFonts w:eastAsia="Calibri" w:cs="Arial"/>
                <w:kern w:val="0"/>
                <w:sz w:val="26"/>
                <w:szCs w:val="22"/>
                <w:lang w:val="ru-RU" w:eastAsia="en-US" w:bidi="ar-SA"/>
              </w:rPr>
              <w:t>Приложение №1,</w:t>
              <w:br/>
            </w:r>
            <w:hyperlink w:anchor="Прил04_ФормыЗаявки" w:tgtFrame="#Прил04_ФормыЗаявки">
              <w:r>
                <w:rPr>
                  <w:rFonts w:eastAsia="Calibri" w:cs="Arial"/>
                  <w:color w:val="000000"/>
                  <w:spacing w:val="0"/>
                  <w:kern w:val="0"/>
                  <w:sz w:val="26"/>
                  <w:szCs w:val="22"/>
                  <w:u w:val="single"/>
                  <w:shd w:fill="auto" w:val="clear"/>
                  <w:lang w:val="ru-RU" w:eastAsia="en-US" w:bidi="ar-SA"/>
                </w:rPr>
                <w:t>Приложение № 4</w:t>
              </w:r>
            </w:hyperlink>
          </w:p>
        </w:tc>
        <w:tc>
          <w:tcPr>
            <w:tcW w:w="2090" w:type="dxa"/>
            <w:tcBorders/>
          </w:tcPr>
          <w:p>
            <w:pPr>
              <w:pStyle w:val="Style23"/>
              <w:widowControl/>
              <w:spacing w:lineRule="auto" w:line="240" w:before="60" w:after="60"/>
              <w:jc w:val="center"/>
              <w:rPr>
                <w:rFonts w:ascii="Times New Roman" w:hAnsi="Times New Roman" w:eastAsia="Calibri" w:cs="Arial"/>
                <w:sz w:val="26"/>
                <w:szCs w:val="22"/>
                <w:lang w:val="ru-RU" w:eastAsia="en-US" w:bidi="ar-SA"/>
              </w:rPr>
            </w:pPr>
            <w:r>
              <w:rPr>
                <w:rFonts w:eastAsia="Calibri" w:cs="Arial"/>
                <w:kern w:val="0"/>
                <w:sz w:val="26"/>
                <w:szCs w:val="22"/>
                <w:lang w:val="ru-RU" w:eastAsia="en-US" w:bidi="ar-SA"/>
              </w:rPr>
              <w:t>Цена</w:t>
            </w:r>
          </w:p>
        </w:tc>
      </w:tr>
      <w:tr>
        <w:trPr/>
        <w:tc>
          <w:tcPr>
            <w:tcW w:w="1412" w:type="dxa"/>
            <w:tcBorders/>
          </w:tcPr>
          <w:p>
            <w:pPr>
              <w:pStyle w:val="Style23"/>
              <w:widowControl/>
              <w:numPr>
                <w:ilvl w:val="0"/>
                <w:numId w:val="8"/>
              </w:numPr>
              <w:spacing w:lineRule="auto" w:line="240" w:before="60" w:after="60"/>
              <w:ind w:hanging="0" w:left="170"/>
              <w:jc w:val="center"/>
              <w:rPr>
                <w:rFonts w:ascii="Times New Roman" w:hAnsi="Times New Roman" w:eastAsia="Calibri" w:cs="Arial"/>
                <w:sz w:val="26"/>
                <w:szCs w:val="22"/>
                <w:lang w:val="ru-RU" w:eastAsia="en-US" w:bidi="ar-SA"/>
              </w:rPr>
            </w:pPr>
            <w:r>
              <w:rPr>
                <w:rFonts w:eastAsia="Calibri" w:cs="Arial"/>
                <w:sz w:val="26"/>
                <w:szCs w:val="22"/>
                <w:lang w:val="ru-RU" w:eastAsia="en-US" w:bidi="ar-SA"/>
              </w:rPr>
            </w:r>
          </w:p>
        </w:tc>
        <w:tc>
          <w:tcPr>
            <w:tcW w:w="8506" w:type="dxa"/>
            <w:tcBorders/>
          </w:tcPr>
          <w:p>
            <w:pPr>
              <w:pStyle w:val="Style23"/>
              <w:widowControl/>
              <w:spacing w:lineRule="auto" w:line="240" w:before="60" w:after="60"/>
              <w:rPr>
                <w:rFonts w:ascii="Times New Roman" w:hAnsi="Times New Roman" w:eastAsia="Calibri" w:cs="Arial"/>
                <w:sz w:val="26"/>
                <w:szCs w:val="22"/>
                <w:lang w:val="ru-RU" w:eastAsia="en-US" w:bidi="ar-SA"/>
              </w:rPr>
            </w:pPr>
            <w:r>
              <w:rPr>
                <w:rFonts w:eastAsia="Calibri" w:cs="Arial"/>
                <w:kern w:val="0"/>
                <w:sz w:val="26"/>
                <w:szCs w:val="22"/>
                <w:lang w:val="ru-RU" w:eastAsia="en-US" w:bidi="ar-SA"/>
              </w:rPr>
              <w:t>Соответствие предложения установленным законодательством требованиям к предоставлению национального режима, в том числе в части указания сведений, которые подтверждают страну происхождения товара в составе заявке в форме Коммерческого предложения (</w:t>
            </w:r>
            <w:hyperlink w:anchor="Прил04_ФормыЗаявки" w:tgtFrame="#Прил04_ФормыЗаявки">
              <w:r>
                <w:rPr>
                  <w:rFonts w:eastAsia="Calibri" w:cs="Arial"/>
                  <w:color w:val="000000"/>
                  <w:spacing w:val="0"/>
                  <w:kern w:val="0"/>
                  <w:sz w:val="26"/>
                  <w:szCs w:val="22"/>
                  <w:u w:val="single"/>
                  <w:shd w:fill="auto" w:val="clear"/>
                  <w:lang w:val="ru-RU" w:eastAsia="en-US" w:bidi="ar-SA"/>
                </w:rPr>
                <w:t>Приложение № 4</w:t>
              </w:r>
            </w:hyperlink>
            <w:r>
              <w:rPr>
                <w:rFonts w:eastAsia="Calibri" w:cs="Arial"/>
                <w:kern w:val="0"/>
                <w:sz w:val="26"/>
                <w:szCs w:val="22"/>
                <w:lang w:val="ru-RU" w:eastAsia="en-US" w:bidi="ar-SA"/>
              </w:rPr>
              <w:t>)</w:t>
            </w:r>
          </w:p>
          <w:p>
            <w:pPr>
              <w:pStyle w:val="Style23"/>
              <w:widowControl/>
              <w:spacing w:lineRule="auto" w:line="240" w:before="60" w:after="60"/>
              <w:rPr>
                <w:rFonts w:ascii="Times New Roman" w:hAnsi="Times New Roman" w:eastAsia="Calibri" w:cs="Arial"/>
                <w:sz w:val="26"/>
                <w:szCs w:val="22"/>
                <w:lang w:val="ru-RU" w:eastAsia="en-US" w:bidi="ar-SA"/>
              </w:rPr>
            </w:pPr>
            <w:r>
              <w:rPr>
                <w:rFonts w:eastAsia="Calibri" w:cs="Arial"/>
                <w:i/>
                <w:iCs/>
                <w:kern w:val="0"/>
                <w:sz w:val="26"/>
                <w:szCs w:val="22"/>
                <w:lang w:val="ru-RU" w:eastAsia="en-US" w:bidi="ar-SA"/>
              </w:rPr>
              <w:t>(пункт применяется только в случае установления режима запрета или ограничения закупки иностранной продукции, а также при исполнении Заказчиком норм в части минимальной обязательной доли закупок товаров российского происхождения (подраздел </w:t>
            </w:r>
            <w:r>
              <w:rPr>
                <w:rFonts w:eastAsia="Calibri" w:cs="Arial"/>
                <w:i/>
                <w:iCs/>
                <w:kern w:val="0"/>
                <w:sz w:val="26"/>
                <w:szCs w:val="22"/>
                <w:lang w:val="ru-RU" w:eastAsia="en-US" w:bidi="ar-SA"/>
              </w:rPr>
              <w:fldChar w:fldCharType="begin"/>
            </w:r>
            <w:r>
              <w:rPr>
                <w:sz w:val="26"/>
                <w:i/>
                <w:kern w:val="0"/>
                <w:szCs w:val="22"/>
                <w:iCs/>
                <w:rFonts w:eastAsia="Calibri" w:cs="Arial"/>
                <w:lang w:val="ru-RU" w:eastAsia="en-US" w:bidi="ar-SA"/>
              </w:rPr>
              <w:instrText xml:space="preserve"> REF _Ref130985951 \r \h </w:instrText>
            </w:r>
            <w:r>
              <w:rPr>
                <w:sz w:val="26"/>
                <w:i/>
                <w:kern w:val="0"/>
                <w:szCs w:val="22"/>
                <w:iCs/>
                <w:rFonts w:eastAsia="Calibri" w:cs="Arial"/>
                <w:lang w:val="ru-RU" w:eastAsia="en-US" w:bidi="ar-SA"/>
              </w:rPr>
              <w:fldChar w:fldCharType="separate"/>
            </w:r>
            <w:r>
              <w:rPr>
                <w:sz w:val="26"/>
                <w:i/>
                <w:kern w:val="0"/>
                <w:szCs w:val="22"/>
                <w:iCs/>
                <w:rFonts w:eastAsia="Calibri" w:cs="Arial"/>
                <w:lang w:val="ru-RU" w:eastAsia="en-US" w:bidi="ar-SA"/>
              </w:rPr>
              <w:t>4.13</w:t>
            </w:r>
            <w:r>
              <w:rPr>
                <w:sz w:val="26"/>
                <w:i/>
                <w:kern w:val="0"/>
                <w:szCs w:val="22"/>
                <w:iCs/>
                <w:rFonts w:eastAsia="Calibri" w:cs="Arial"/>
                <w:lang w:val="ru-RU" w:eastAsia="en-US" w:bidi="ar-SA"/>
              </w:rPr>
              <w:fldChar w:fldCharType="end"/>
            </w:r>
            <w:r>
              <w:rPr>
                <w:rFonts w:eastAsia="Calibri" w:cs="Arial"/>
                <w:i/>
                <w:iCs/>
                <w:kern w:val="0"/>
                <w:sz w:val="26"/>
                <w:szCs w:val="22"/>
                <w:lang w:val="ru-RU" w:eastAsia="en-US" w:bidi="ar-SA"/>
              </w:rPr>
              <w:t>))</w:t>
            </w:r>
          </w:p>
        </w:tc>
        <w:tc>
          <w:tcPr>
            <w:tcW w:w="3117" w:type="dxa"/>
            <w:tcBorders/>
          </w:tcPr>
          <w:p>
            <w:pPr>
              <w:pStyle w:val="Style23"/>
              <w:widowControl/>
              <w:spacing w:lineRule="auto" w:line="240" w:before="60" w:after="60"/>
              <w:jc w:val="center"/>
              <w:rPr>
                <w:rFonts w:ascii="Times New Roman" w:hAnsi="Times New Roman" w:eastAsia="Calibri" w:cs="Arial"/>
                <w:sz w:val="26"/>
                <w:szCs w:val="22"/>
                <w:lang w:val="ru-RU" w:eastAsia="en-US" w:bidi="ar-SA"/>
              </w:rPr>
            </w:pPr>
            <w:r>
              <w:rPr>
                <w:rFonts w:eastAsia="Calibri" w:cs="Arial"/>
                <w:kern w:val="0"/>
                <w:sz w:val="26"/>
                <w:szCs w:val="22"/>
                <w:lang w:val="ru-RU" w:eastAsia="en-US" w:bidi="ar-SA"/>
              </w:rPr>
              <w:t>подразделы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_Ref130394681 \r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4.3</w:t>
            </w:r>
            <w:r>
              <w:rPr>
                <w:sz w:val="26"/>
                <w:kern w:val="0"/>
                <w:szCs w:val="22"/>
                <w:rFonts w:eastAsia="Calibri" w:cs="Arial"/>
                <w:lang w:val="ru-RU" w:eastAsia="en-US" w:bidi="ar-SA"/>
              </w:rPr>
              <w:fldChar w:fldCharType="end"/>
            </w:r>
            <w:r>
              <w:rPr>
                <w:rFonts w:eastAsia="Calibri" w:cs="Arial"/>
                <w:kern w:val="0"/>
                <w:sz w:val="26"/>
                <w:szCs w:val="22"/>
                <w:lang w:val="ru-RU" w:eastAsia="en-US" w:bidi="ar-SA"/>
              </w:rPr>
              <w:t xml:space="preserve">,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_Ref130985951 \r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4.13</w:t>
            </w:r>
            <w:r>
              <w:rPr>
                <w:sz w:val="26"/>
                <w:kern w:val="0"/>
                <w:szCs w:val="22"/>
                <w:rFonts w:eastAsia="Calibri" w:cs="Arial"/>
                <w:lang w:val="ru-RU" w:eastAsia="en-US" w:bidi="ar-SA"/>
              </w:rPr>
              <w:fldChar w:fldCharType="end"/>
            </w:r>
            <w:r>
              <w:rPr>
                <w:rFonts w:eastAsia="Calibri" w:cs="Arial"/>
                <w:kern w:val="0"/>
                <w:sz w:val="26"/>
                <w:szCs w:val="22"/>
                <w:lang w:val="ru-RU" w:eastAsia="en-US" w:bidi="ar-SA"/>
              </w:rPr>
              <w:br/>
            </w:r>
            <w:hyperlink w:anchor="Прил04_ФормыЗаявки" w:tgtFrame="#Прил04_ФормыЗаявки">
              <w:r>
                <w:rPr>
                  <w:rFonts w:eastAsia="Calibri" w:cs="Arial"/>
                  <w:color w:val="000000"/>
                  <w:spacing w:val="0"/>
                  <w:kern w:val="0"/>
                  <w:sz w:val="26"/>
                  <w:szCs w:val="22"/>
                  <w:u w:val="single"/>
                  <w:shd w:fill="auto" w:val="clear"/>
                  <w:lang w:val="ru-RU" w:eastAsia="en-US" w:bidi="ar-SA"/>
                </w:rPr>
                <w:t>Приложение № 4</w:t>
              </w:r>
            </w:hyperlink>
            <w:r>
              <w:rPr>
                <w:rFonts w:eastAsia="Calibri" w:cs="Arial"/>
                <w:kern w:val="0"/>
                <w:sz w:val="26"/>
                <w:szCs w:val="22"/>
                <w:lang w:val="ru-RU" w:eastAsia="en-US" w:bidi="ar-SA"/>
              </w:rPr>
              <w:br/>
              <w:t>(форма Коммерческого предложения)</w:t>
            </w:r>
          </w:p>
        </w:tc>
        <w:tc>
          <w:tcPr>
            <w:tcW w:w="2090" w:type="dxa"/>
            <w:tcBorders/>
          </w:tcPr>
          <w:p>
            <w:pPr>
              <w:pStyle w:val="Style23"/>
              <w:widowControl/>
              <w:spacing w:lineRule="auto" w:line="240" w:before="60" w:after="60"/>
              <w:jc w:val="center"/>
              <w:rPr>
                <w:rFonts w:ascii="Times New Roman" w:hAnsi="Times New Roman" w:eastAsia="Calibri" w:cs="Arial"/>
                <w:sz w:val="26"/>
                <w:szCs w:val="22"/>
                <w:lang w:val="ru-RU" w:eastAsia="en-US" w:bidi="ar-SA"/>
              </w:rPr>
            </w:pPr>
            <w:r>
              <w:rPr>
                <w:rFonts w:eastAsia="Calibri" w:cs="Arial"/>
                <w:kern w:val="0"/>
                <w:sz w:val="26"/>
                <w:szCs w:val="22"/>
                <w:lang w:val="ru-RU" w:eastAsia="en-US" w:bidi="ar-SA"/>
              </w:rPr>
              <w:t>Тех</w:t>
            </w:r>
          </w:p>
        </w:tc>
      </w:tr>
      <w:tr>
        <w:trPr/>
        <w:tc>
          <w:tcPr>
            <w:tcW w:w="1412" w:type="dxa"/>
            <w:tcBorders/>
          </w:tcPr>
          <w:p>
            <w:pPr>
              <w:pStyle w:val="Style23"/>
              <w:widowControl/>
              <w:numPr>
                <w:ilvl w:val="0"/>
                <w:numId w:val="8"/>
              </w:numPr>
              <w:spacing w:lineRule="auto" w:line="240" w:before="60" w:after="60"/>
              <w:ind w:hanging="0" w:left="170"/>
              <w:jc w:val="center"/>
              <w:rPr>
                <w:rFonts w:ascii="Times New Roman" w:hAnsi="Times New Roman" w:eastAsia="Calibri" w:cs="Arial"/>
                <w:sz w:val="26"/>
                <w:szCs w:val="22"/>
                <w:lang w:val="ru-RU" w:eastAsia="en-US" w:bidi="ar-SA"/>
              </w:rPr>
            </w:pPr>
            <w:r>
              <w:rPr>
                <w:rFonts w:eastAsia="Calibri" w:cs="Arial"/>
                <w:sz w:val="26"/>
                <w:szCs w:val="22"/>
                <w:lang w:val="ru-RU" w:eastAsia="en-US" w:bidi="ar-SA"/>
              </w:rPr>
            </w:r>
          </w:p>
        </w:tc>
        <w:tc>
          <w:tcPr>
            <w:tcW w:w="8506" w:type="dxa"/>
            <w:tcBorders/>
          </w:tcPr>
          <w:p>
            <w:pPr>
              <w:pStyle w:val="Style23"/>
              <w:widowControl/>
              <w:spacing w:lineRule="auto" w:line="240" w:before="60" w:after="60"/>
              <w:rPr>
                <w:rFonts w:ascii="Times New Roman" w:hAnsi="Times New Roman" w:eastAsia="Calibri" w:cs="Arial"/>
                <w:sz w:val="26"/>
                <w:szCs w:val="22"/>
                <w:lang w:val="ru-RU" w:eastAsia="en-US" w:bidi="ar-SA"/>
              </w:rPr>
            </w:pPr>
            <w:r>
              <w:rPr>
                <w:rFonts w:eastAsia="Calibri" w:cs="Arial"/>
                <w:kern w:val="0"/>
                <w:sz w:val="26"/>
                <w:szCs w:val="22"/>
                <w:lang w:val="ru-RU" w:eastAsia="en-US" w:bidi="ar-SA"/>
              </w:rPr>
              <w:t>Соответствие подтверждающей документации, прилагаемой к</w:t>
            </w:r>
            <w:r>
              <w:rPr>
                <w:rFonts w:eastAsia="Calibri" w:cs="Arial"/>
                <w:kern w:val="0"/>
                <w:sz w:val="26"/>
                <w:szCs w:val="22"/>
                <w:lang w:val="en-US" w:eastAsia="en-US" w:bidi="ar-SA"/>
              </w:rPr>
              <w:t> </w:t>
            </w:r>
            <w:r>
              <w:rPr>
                <w:rFonts w:eastAsia="Calibri" w:cs="Arial"/>
                <w:kern w:val="0"/>
                <w:sz w:val="26"/>
                <w:szCs w:val="22"/>
                <w:lang w:val="ru-RU" w:eastAsia="en-US" w:bidi="ar-SA"/>
              </w:rPr>
              <w:t xml:space="preserve">Коммерческому приложению, требованиям, указанным в </w:t>
            </w:r>
            <w:hyperlink w:anchor="Прил01_ТехТребования" w:tgtFrame="#Прил01_ТехТребования">
              <w:r>
                <w:rPr>
                  <w:rFonts w:eastAsia="Calibri" w:cs="Arial"/>
                  <w:color w:val="000000"/>
                  <w:spacing w:val="0"/>
                  <w:kern w:val="0"/>
                  <w:sz w:val="26"/>
                  <w:szCs w:val="22"/>
                  <w:u w:val="single"/>
                  <w:shd w:fill="auto" w:val="clear"/>
                  <w:lang w:val="ru-RU" w:eastAsia="en-US" w:bidi="ar-SA"/>
                </w:rPr>
                <w:t>Технических требованиях (Приложение № 1)</w:t>
              </w:r>
            </w:hyperlink>
          </w:p>
          <w:p>
            <w:pPr>
              <w:pStyle w:val="Style23"/>
              <w:widowControl/>
              <w:spacing w:lineRule="auto" w:line="240" w:before="60" w:after="60"/>
              <w:rPr>
                <w:rFonts w:ascii="Times New Roman" w:hAnsi="Times New Roman" w:eastAsia="Calibri" w:cs="Arial"/>
                <w:sz w:val="26"/>
                <w:szCs w:val="22"/>
                <w:lang w:val="ru-RU" w:eastAsia="en-US" w:bidi="ar-SA"/>
              </w:rPr>
            </w:pPr>
            <w:r>
              <w:rPr>
                <w:rFonts w:eastAsia="Calibri" w:cs="Arial"/>
                <w:i/>
                <w:iCs/>
                <w:kern w:val="0"/>
                <w:sz w:val="26"/>
                <w:szCs w:val="22"/>
                <w:lang w:val="ru-RU" w:eastAsia="en-US" w:bidi="ar-SA"/>
              </w:rPr>
              <w:t xml:space="preserve">(пункт применяется только в случае установления соответствующих требований в </w:t>
            </w:r>
            <w:hyperlink w:anchor="Прил01_ТехТребования" w:tgtFrame="#Прил01_ТехТребования">
              <w:r>
                <w:rPr>
                  <w:rFonts w:eastAsia="Calibri" w:cs="Arial"/>
                  <w:i/>
                  <w:iCs/>
                  <w:color w:val="000000"/>
                  <w:spacing w:val="0"/>
                  <w:kern w:val="0"/>
                  <w:sz w:val="26"/>
                  <w:szCs w:val="22"/>
                  <w:u w:val="single"/>
                  <w:shd w:fill="auto" w:val="clear"/>
                  <w:lang w:val="ru-RU" w:eastAsia="en-US" w:bidi="ar-SA"/>
                </w:rPr>
                <w:t>Технических требованиях (Приложение № 1)</w:t>
              </w:r>
            </w:hyperlink>
            <w:r>
              <w:rPr>
                <w:rFonts w:eastAsia="Calibri" w:cs="Arial"/>
                <w:i/>
                <w:iCs/>
                <w:kern w:val="0"/>
                <w:sz w:val="26"/>
                <w:szCs w:val="22"/>
                <w:lang w:val="ru-RU" w:eastAsia="en-US" w:bidi="ar-SA"/>
              </w:rPr>
              <w:t>)</w:t>
            </w:r>
          </w:p>
        </w:tc>
        <w:tc>
          <w:tcPr>
            <w:tcW w:w="3117" w:type="dxa"/>
            <w:tcBorders/>
          </w:tcPr>
          <w:p>
            <w:pPr>
              <w:pStyle w:val="Style23"/>
              <w:widowControl/>
              <w:spacing w:lineRule="auto" w:line="240" w:before="60" w:after="60"/>
              <w:jc w:val="center"/>
              <w:rPr>
                <w:rFonts w:ascii="Times New Roman" w:hAnsi="Times New Roman" w:eastAsia="Calibri" w:cs="Arial"/>
                <w:sz w:val="26"/>
                <w:szCs w:val="22"/>
                <w:lang w:val="ru-RU" w:eastAsia="en-US" w:bidi="ar-SA"/>
              </w:rPr>
            </w:pPr>
            <w:hyperlink w:anchor="Прил01_ТехТребования" w:tgtFrame="#Прил01_ТехТребования">
              <w:r>
                <w:rPr>
                  <w:rFonts w:eastAsia="Calibri" w:cs="Arial"/>
                  <w:color w:val="000000"/>
                  <w:spacing w:val="0"/>
                  <w:kern w:val="0"/>
                  <w:sz w:val="26"/>
                  <w:szCs w:val="22"/>
                  <w:u w:val="single"/>
                  <w:shd w:fill="auto" w:val="clear"/>
                  <w:lang w:val="ru-RU" w:eastAsia="en-US" w:bidi="ar-SA"/>
                </w:rPr>
                <w:t>Приложение № 1</w:t>
              </w:r>
            </w:hyperlink>
          </w:p>
        </w:tc>
        <w:tc>
          <w:tcPr>
            <w:tcW w:w="2090" w:type="dxa"/>
            <w:tcBorders/>
          </w:tcPr>
          <w:p>
            <w:pPr>
              <w:pStyle w:val="Style23"/>
              <w:widowControl/>
              <w:spacing w:lineRule="auto" w:line="240" w:before="60" w:after="60"/>
              <w:jc w:val="center"/>
              <w:rPr>
                <w:rFonts w:ascii="Times New Roman" w:hAnsi="Times New Roman" w:eastAsia="Calibri" w:cs="Arial"/>
                <w:sz w:val="26"/>
                <w:szCs w:val="22"/>
                <w:lang w:val="ru-RU" w:eastAsia="en-US" w:bidi="ar-SA"/>
              </w:rPr>
            </w:pPr>
            <w:r>
              <w:rPr>
                <w:rFonts w:eastAsia="Calibri" w:cs="Arial"/>
                <w:kern w:val="0"/>
                <w:sz w:val="26"/>
                <w:szCs w:val="22"/>
                <w:lang w:val="ru-RU" w:eastAsia="en-US" w:bidi="ar-SA"/>
              </w:rPr>
              <w:t>Цена</w:t>
            </w:r>
          </w:p>
        </w:tc>
      </w:tr>
    </w:tbl>
    <w:p>
      <w:pPr>
        <w:pStyle w:val="Style18"/>
        <w:rPr>
          <w:rStyle w:val="Style3"/>
          <w:i w:val="false"/>
          <w:i w:val="false"/>
          <w:iCs w:val="false"/>
          <w:shd w:fill="auto" w:val="clear"/>
        </w:rPr>
      </w:pPr>
      <w:bookmarkStart w:id="398" w:name="_Toc230928888"/>
      <w:bookmarkStart w:id="399" w:name="_Ref207284016"/>
      <w:r>
        <w:rPr>
          <w:rStyle w:val="Style3"/>
          <w:i w:val="false"/>
          <w:iCs w:val="false"/>
          <w:shd w:fill="auto" w:val="clear"/>
        </w:rPr>
        <w:t>Дополнительные критерии проверки заявок на соответствие условиям Документации о закупке</w:t>
      </w:r>
      <w:bookmarkEnd w:id="398"/>
      <w:bookmarkEnd w:id="399"/>
    </w:p>
    <w:p>
      <w:pPr>
        <w:pStyle w:val="Style23"/>
        <w:keepNext w:val="true"/>
        <w:spacing w:before="120" w:after="120"/>
        <w:rPr/>
      </w:pPr>
      <w:r>
        <w:rPr/>
        <w:t>Несоответствие одному или всем дополнительным критериям не является основанием для отклонения заявки.</w:t>
      </w:r>
    </w:p>
    <w:tbl>
      <w:tblPr>
        <w:tblStyle w:val="1497"/>
        <w:tblW w:w="15126" w:type="dxa"/>
        <w:jc w:val="left"/>
        <w:tblInd w:w="0" w:type="dxa"/>
        <w:tblLayout w:type="fixed"/>
        <w:tblCellMar>
          <w:top w:w="0" w:type="dxa"/>
          <w:left w:w="57" w:type="dxa"/>
          <w:bottom w:w="0" w:type="dxa"/>
          <w:right w:w="57" w:type="dxa"/>
        </w:tblCellMar>
        <w:tblLook w:val="04a0" w:noHBand="0" w:noVBand="1" w:firstColumn="1" w:lastRow="0" w:lastColumn="0" w:firstRow="1"/>
      </w:tblPr>
      <w:tblGrid>
        <w:gridCol w:w="1403"/>
        <w:gridCol w:w="8179"/>
        <w:gridCol w:w="3473"/>
        <w:gridCol w:w="2070"/>
      </w:tblGrid>
      <w:tr>
        <w:trPr/>
        <w:tc>
          <w:tcPr>
            <w:tcW w:w="1403" w:type="dxa"/>
            <w:tcBorders/>
          </w:tcPr>
          <w:p>
            <w:pPr>
              <w:pStyle w:val="Style23"/>
              <w:keepNext w:val="true"/>
              <w:keepLines w:val="false"/>
              <w:widowControl/>
              <w:spacing w:lineRule="auto" w:line="240" w:before="60" w:after="60"/>
              <w:jc w:val="center"/>
              <w:rPr>
                <w:rFonts w:ascii="Times New Roman" w:hAnsi="Times New Roman" w:eastAsia="Calibri" w:cs="Arial"/>
                <w:b/>
                <w:sz w:val="26"/>
                <w:szCs w:val="22"/>
                <w:lang w:val="ru-RU" w:eastAsia="en-US" w:bidi="ar-SA"/>
              </w:rPr>
            </w:pPr>
            <w:r>
              <w:rPr>
                <w:rFonts w:eastAsia="Calibri" w:cs="Arial"/>
                <w:b/>
                <w:kern w:val="0"/>
                <w:sz w:val="26"/>
                <w:szCs w:val="22"/>
                <w:lang w:val="ru-RU" w:eastAsia="en-US" w:bidi="ar-SA"/>
              </w:rPr>
              <w:t>Номер</w:t>
              <w:br/>
              <w:t>критерия</w:t>
            </w:r>
          </w:p>
        </w:tc>
        <w:tc>
          <w:tcPr>
            <w:tcW w:w="8179" w:type="dxa"/>
            <w:tcBorders/>
          </w:tcPr>
          <w:p>
            <w:pPr>
              <w:pStyle w:val="Style23"/>
              <w:keepNext w:val="true"/>
              <w:keepLines w:val="false"/>
              <w:widowControl/>
              <w:spacing w:lineRule="auto" w:line="240" w:before="60" w:after="60"/>
              <w:jc w:val="center"/>
              <w:rPr>
                <w:rFonts w:ascii="Times New Roman" w:hAnsi="Times New Roman" w:eastAsia="Calibri" w:cs="Arial"/>
                <w:b/>
                <w:sz w:val="26"/>
                <w:szCs w:val="22"/>
                <w:lang w:val="ru-RU" w:eastAsia="en-US" w:bidi="ar-SA"/>
              </w:rPr>
            </w:pPr>
            <w:r>
              <w:rPr>
                <w:rFonts w:eastAsia="Calibri" w:cs="Arial"/>
                <w:b/>
                <w:kern w:val="0"/>
                <w:sz w:val="26"/>
                <w:szCs w:val="22"/>
                <w:lang w:val="ru-RU" w:eastAsia="en-US" w:bidi="ar-SA"/>
              </w:rPr>
              <w:t>Наименование</w:t>
              <w:br/>
              <w:t>критерия проверки</w:t>
            </w:r>
          </w:p>
        </w:tc>
        <w:tc>
          <w:tcPr>
            <w:tcW w:w="3473" w:type="dxa"/>
            <w:tcBorders/>
          </w:tcPr>
          <w:p>
            <w:pPr>
              <w:pStyle w:val="Style23"/>
              <w:keepNext w:val="true"/>
              <w:keepLines w:val="false"/>
              <w:widowControl/>
              <w:spacing w:lineRule="auto" w:line="240" w:before="60" w:after="60"/>
              <w:jc w:val="center"/>
              <w:rPr>
                <w:rFonts w:ascii="Times New Roman" w:hAnsi="Times New Roman" w:eastAsia="Calibri" w:cs="Arial"/>
                <w:b/>
                <w:sz w:val="26"/>
                <w:szCs w:val="22"/>
                <w:lang w:val="ru-RU" w:eastAsia="en-US" w:bidi="ar-SA"/>
              </w:rPr>
            </w:pPr>
            <w:r>
              <w:rPr>
                <w:rFonts w:eastAsia="Calibri" w:cs="Arial"/>
                <w:b/>
                <w:kern w:val="0"/>
                <w:sz w:val="26"/>
                <w:szCs w:val="22"/>
                <w:lang w:val="ru-RU" w:eastAsia="en-US" w:bidi="ar-SA"/>
              </w:rPr>
              <w:t>Номер пункта</w:t>
              <w:br/>
              <w:t>Документации о закупке</w:t>
            </w:r>
          </w:p>
        </w:tc>
        <w:tc>
          <w:tcPr>
            <w:tcW w:w="2070" w:type="dxa"/>
            <w:tcBorders/>
          </w:tcPr>
          <w:p>
            <w:pPr>
              <w:pStyle w:val="Style23"/>
              <w:keepNext w:val="true"/>
              <w:keepLines w:val="false"/>
              <w:widowControl/>
              <w:spacing w:lineRule="auto" w:line="240" w:before="60" w:after="60"/>
              <w:jc w:val="center"/>
              <w:rPr>
                <w:rFonts w:ascii="Times New Roman" w:hAnsi="Times New Roman" w:eastAsia="Calibri" w:cs="Arial"/>
                <w:b/>
                <w:sz w:val="26"/>
                <w:szCs w:val="22"/>
                <w:lang w:val="ru-RU" w:eastAsia="en-US" w:bidi="ar-SA"/>
              </w:rPr>
            </w:pPr>
            <w:r>
              <w:rPr>
                <w:rFonts w:eastAsia="Calibri" w:cs="Arial"/>
                <w:b/>
                <w:kern w:val="0"/>
                <w:sz w:val="26"/>
                <w:szCs w:val="22"/>
                <w:lang w:val="ru-RU" w:eastAsia="en-US" w:bidi="ar-SA"/>
              </w:rPr>
              <w:t>Направления</w:t>
              <w:br/>
              <w:t>оценки заявок*</w:t>
            </w:r>
          </w:p>
        </w:tc>
      </w:tr>
      <w:tr>
        <w:trPr/>
        <w:tc>
          <w:tcPr>
            <w:tcW w:w="1403" w:type="dxa"/>
            <w:tcBorders/>
          </w:tcPr>
          <w:p>
            <w:pPr>
              <w:pStyle w:val="Style23"/>
              <w:widowControl/>
              <w:numPr>
                <w:ilvl w:val="0"/>
                <w:numId w:val="14"/>
              </w:numPr>
              <w:spacing w:lineRule="auto" w:line="240" w:before="60" w:after="60"/>
              <w:ind w:hanging="0" w:left="170"/>
              <w:jc w:val="center"/>
              <w:rPr>
                <w:rFonts w:ascii="Times New Roman" w:hAnsi="Times New Roman" w:eastAsia="Calibri" w:cs="Arial"/>
                <w:sz w:val="26"/>
                <w:szCs w:val="22"/>
                <w:lang w:val="ru-RU" w:eastAsia="en-US" w:bidi="ar-SA"/>
              </w:rPr>
            </w:pPr>
            <w:r>
              <w:rPr>
                <w:rFonts w:eastAsia="Calibri" w:cs="Arial"/>
                <w:sz w:val="26"/>
                <w:szCs w:val="22"/>
                <w:lang w:val="ru-RU" w:eastAsia="en-US" w:bidi="ar-SA"/>
              </w:rPr>
            </w:r>
          </w:p>
        </w:tc>
        <w:tc>
          <w:tcPr>
            <w:tcW w:w="8179" w:type="dxa"/>
            <w:tcBorders/>
          </w:tcPr>
          <w:p>
            <w:pPr>
              <w:pStyle w:val="Style23"/>
              <w:widowControl/>
              <w:spacing w:lineRule="auto" w:line="240" w:before="60" w:after="60"/>
              <w:rPr>
                <w:rFonts w:ascii="Times New Roman" w:hAnsi="Times New Roman" w:eastAsia="Calibri" w:cs="Arial"/>
                <w:sz w:val="26"/>
                <w:szCs w:val="22"/>
                <w:lang w:val="ru-RU" w:eastAsia="en-US" w:bidi="ar-SA"/>
              </w:rPr>
            </w:pPr>
            <w:r>
              <w:rPr>
                <w:rFonts w:eastAsia="Calibri" w:cs="Arial"/>
                <w:kern w:val="0"/>
                <w:sz w:val="26"/>
                <w:szCs w:val="22"/>
                <w:lang w:val="ru-RU" w:eastAsia="en-US" w:bidi="ar-SA"/>
              </w:rPr>
              <w:t>Возможность применения преимущества, если в подразделе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_Ref125359973 \r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1.2</w:t>
            </w:r>
            <w:r>
              <w:rPr>
                <w:sz w:val="26"/>
                <w:kern w:val="0"/>
                <w:szCs w:val="22"/>
                <w:rFonts w:eastAsia="Calibri" w:cs="Arial"/>
                <w:lang w:val="ru-RU" w:eastAsia="en-US" w:bidi="ar-SA"/>
              </w:rPr>
              <w:fldChar w:fldCharType="end"/>
            </w:r>
            <w:r>
              <w:rPr>
                <w:rFonts w:eastAsia="Calibri" w:cs="Arial"/>
                <w:kern w:val="0"/>
                <w:sz w:val="26"/>
                <w:szCs w:val="22"/>
                <w:lang w:val="ru-RU" w:eastAsia="en-US" w:bidi="ar-SA"/>
              </w:rPr>
              <w:t xml:space="preserve"> установлен режим преимущества российской продукции, в отношении заявки с российской продукцией (на поставку товара российского происхождения (в том числе поставляемого при выполнении работ, оказании услуг))</w:t>
            </w:r>
          </w:p>
          <w:p>
            <w:pPr>
              <w:pStyle w:val="Style23"/>
              <w:widowControl/>
              <w:spacing w:lineRule="auto" w:line="240" w:before="60" w:after="60"/>
              <w:rPr>
                <w:rFonts w:ascii="Times New Roman" w:hAnsi="Times New Roman" w:eastAsia="Calibri" w:cs="Arial"/>
                <w:sz w:val="26"/>
                <w:szCs w:val="22"/>
                <w:lang w:val="ru-RU" w:eastAsia="en-US" w:bidi="ar-SA"/>
              </w:rPr>
            </w:pPr>
            <w:r>
              <w:rPr>
                <w:rFonts w:eastAsia="Calibri" w:cs="Arial"/>
                <w:i/>
                <w:iCs/>
                <w:kern w:val="0"/>
                <w:sz w:val="26"/>
                <w:szCs w:val="22"/>
                <w:lang w:val="ru-RU" w:eastAsia="en-US" w:bidi="ar-SA"/>
              </w:rPr>
              <w:t>(пункт применяется только в случае установления режима преимущества российской продукции (подраздел </w:t>
            </w:r>
            <w:r>
              <w:rPr>
                <w:rFonts w:eastAsia="Calibri" w:cs="Arial"/>
                <w:i/>
                <w:iCs/>
                <w:kern w:val="0"/>
                <w:sz w:val="26"/>
                <w:szCs w:val="22"/>
                <w:lang w:val="ru-RU" w:eastAsia="en-US" w:bidi="ar-SA"/>
              </w:rPr>
              <w:fldChar w:fldCharType="begin"/>
            </w:r>
            <w:r>
              <w:rPr>
                <w:sz w:val="26"/>
                <w:i/>
                <w:kern w:val="0"/>
                <w:szCs w:val="22"/>
                <w:iCs/>
                <w:rFonts w:eastAsia="Calibri" w:cs="Arial"/>
                <w:lang w:val="ru-RU" w:eastAsia="en-US" w:bidi="ar-SA"/>
              </w:rPr>
              <w:instrText xml:space="preserve"> REF _Ref130985951 \r \h </w:instrText>
            </w:r>
            <w:r>
              <w:rPr>
                <w:sz w:val="26"/>
                <w:i/>
                <w:kern w:val="0"/>
                <w:szCs w:val="22"/>
                <w:iCs/>
                <w:rFonts w:eastAsia="Calibri" w:cs="Arial"/>
                <w:lang w:val="ru-RU" w:eastAsia="en-US" w:bidi="ar-SA"/>
              </w:rPr>
              <w:fldChar w:fldCharType="separate"/>
            </w:r>
            <w:r>
              <w:rPr>
                <w:sz w:val="26"/>
                <w:i/>
                <w:kern w:val="0"/>
                <w:szCs w:val="22"/>
                <w:iCs/>
                <w:rFonts w:eastAsia="Calibri" w:cs="Arial"/>
                <w:lang w:val="ru-RU" w:eastAsia="en-US" w:bidi="ar-SA"/>
              </w:rPr>
              <w:t>4.13</w:t>
            </w:r>
            <w:r>
              <w:rPr>
                <w:sz w:val="26"/>
                <w:i/>
                <w:kern w:val="0"/>
                <w:szCs w:val="22"/>
                <w:iCs/>
                <w:rFonts w:eastAsia="Calibri" w:cs="Arial"/>
                <w:lang w:val="ru-RU" w:eastAsia="en-US" w:bidi="ar-SA"/>
              </w:rPr>
              <w:fldChar w:fldCharType="end"/>
            </w:r>
            <w:r>
              <w:rPr>
                <w:rFonts w:eastAsia="Calibri" w:cs="Arial"/>
                <w:i/>
                <w:iCs/>
                <w:kern w:val="0"/>
                <w:sz w:val="26"/>
                <w:szCs w:val="22"/>
                <w:lang w:val="ru-RU" w:eastAsia="en-US" w:bidi="ar-SA"/>
              </w:rPr>
              <w:t>))</w:t>
            </w:r>
          </w:p>
        </w:tc>
        <w:tc>
          <w:tcPr>
            <w:tcW w:w="3473" w:type="dxa"/>
            <w:tcBorders/>
          </w:tcPr>
          <w:p>
            <w:pPr>
              <w:pStyle w:val="Style23"/>
              <w:widowControl/>
              <w:spacing w:lineRule="auto" w:line="240" w:before="60" w:after="60"/>
              <w:jc w:val="center"/>
              <w:rPr>
                <w:rFonts w:ascii="Times New Roman" w:hAnsi="Times New Roman" w:eastAsia="Calibri" w:cs="Arial"/>
                <w:sz w:val="26"/>
                <w:szCs w:val="22"/>
                <w:lang w:val="ru-RU" w:eastAsia="en-US" w:bidi="ar-SA"/>
              </w:rPr>
            </w:pPr>
            <w:r>
              <w:rPr>
                <w:rFonts w:eastAsia="Calibri" w:cs="Arial"/>
                <w:bCs/>
                <w:kern w:val="0"/>
                <w:sz w:val="26"/>
                <w:szCs w:val="22"/>
                <w:lang w:val="ru-RU" w:eastAsia="en-US" w:bidi="ar-SA"/>
              </w:rPr>
              <w:t>подраздел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_Ref130985951 \r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4.13</w:t>
            </w:r>
            <w:r>
              <w:rPr>
                <w:sz w:val="26"/>
                <w:kern w:val="0"/>
                <w:szCs w:val="22"/>
                <w:rFonts w:eastAsia="Calibri" w:cs="Arial"/>
                <w:lang w:val="ru-RU" w:eastAsia="en-US" w:bidi="ar-SA"/>
              </w:rPr>
              <w:fldChar w:fldCharType="end"/>
            </w:r>
          </w:p>
        </w:tc>
        <w:tc>
          <w:tcPr>
            <w:tcW w:w="2070" w:type="dxa"/>
            <w:tcBorders/>
          </w:tcPr>
          <w:p>
            <w:pPr>
              <w:pStyle w:val="Style23"/>
              <w:widowControl/>
              <w:spacing w:lineRule="auto" w:line="240" w:before="60" w:after="60"/>
              <w:jc w:val="center"/>
              <w:rPr>
                <w:rFonts w:ascii="Times New Roman" w:hAnsi="Times New Roman" w:eastAsia="Calibri" w:cs="Arial"/>
                <w:sz w:val="26"/>
                <w:szCs w:val="22"/>
                <w:lang w:val="ru-RU" w:eastAsia="en-US" w:bidi="ar-SA"/>
              </w:rPr>
            </w:pPr>
            <w:r>
              <w:rPr>
                <w:rFonts w:eastAsia="Calibri" w:cs="Arial"/>
                <w:bCs/>
                <w:kern w:val="0"/>
                <w:sz w:val="26"/>
                <w:szCs w:val="22"/>
                <w:lang w:val="ru-RU" w:eastAsia="en-US" w:bidi="ar-SA"/>
              </w:rPr>
              <w:t>Тех</w:t>
            </w:r>
          </w:p>
        </w:tc>
      </w:tr>
    </w:tbl>
    <w:p>
      <w:pPr>
        <w:pStyle w:val="Style23"/>
        <w:keepNext w:val="true"/>
        <w:tabs>
          <w:tab w:val="clear" w:pos="708"/>
          <w:tab w:val="left" w:pos="851" w:leader="none"/>
        </w:tabs>
        <w:spacing w:before="240" w:after="0"/>
        <w:rPr>
          <w:b/>
          <w:bCs/>
        </w:rPr>
      </w:pPr>
      <w:r>
        <w:rPr>
          <w:b/>
          <w:bCs/>
        </w:rPr>
        <w:t>* Направления оценки заявок:</w:t>
      </w:r>
    </w:p>
    <w:p>
      <w:pPr>
        <w:pStyle w:val="Style23"/>
        <w:tabs>
          <w:tab w:val="clear" w:pos="708"/>
          <w:tab w:val="left" w:pos="1134" w:leader="none"/>
        </w:tabs>
        <w:ind w:hanging="1701" w:left="1701"/>
        <w:rPr/>
      </w:pPr>
      <w:r>
        <w:rPr>
          <w:b/>
          <w:bCs/>
        </w:rPr>
        <w:t>Орг</w:t>
      </w:r>
      <w:r>
        <w:rPr/>
        <w:tab/>
        <w:t>–</w:t>
        <w:tab/>
      </w:r>
      <w:bookmarkStart w:id="400" w:name="_Hlk138342484"/>
      <w:r>
        <w:rPr/>
        <w:t>проверка наличия в составе заявки необходимых документов для рассмотрения экспертом по своему направлению: проверка наличия в составе заявке и оценка правильности оформления Письма о подаче оферты</w:t>
      </w:r>
      <w:bookmarkEnd w:id="400"/>
      <w:r>
        <w:rPr/>
        <w:t xml:space="preserve">; </w:t>
      </w:r>
      <w:bookmarkStart w:id="401" w:name="_Hlk138342546"/>
      <w:r>
        <w:rPr/>
        <w:t xml:space="preserve">наличия обеспечения обязательств Участника, связанного с подачей заявки, в виде банковской гарантии (в том числе наличие сведений о ней в соответствующем реестре в ЕИС) – в случае отсутствия внесенных Участником денежных средств на индивидуальный счет, открытый Участнику Оператором ЭП в соответствии с Регламентом ЭП </w:t>
      </w:r>
      <w:r>
        <w:rPr>
          <w:i/>
          <w:iCs/>
        </w:rPr>
        <w:t>(последние применяется только в случае установления соответствующих требований)</w:t>
      </w:r>
      <w:r>
        <w:rPr/>
        <w:t>; наличие у Участника статуса «аккредитован», либо статуса «аккредитация не требуется» (или наличие заявки на аккредитацию (при необходимости))</w:t>
      </w:r>
      <w:bookmarkEnd w:id="401"/>
      <w:r>
        <w:rPr/>
        <w:t xml:space="preserve">, участвует в процедуре актуализации статуса аккредитации (при необходимости); проверка отсутствие сведений об Участнике в перечне юридических лиц, в отношении которых применяются специальные экономические меры, утвержденном Постановлением Правительства Российской Федерации от 11.05.2022 № 851; при установлении требования об обязательном привлечении к исполнению Договора субподрядчиков (соисполнителей) из числа субъектов МСП – проверка субподрядчиков (соисполнителей), указанных Участником в Плане распределения поставки продукции, на наличие информации о таком субподрядчике (соисполнителе) в Реестре МСП (https://rmsp.nalog.ru/index.html), а в отношении физических лиц, не являющихся индивидуальными предпринимателями и применяющих специальный налоговый режим «Налог на профессиональный доход» </w:t>
      </w:r>
      <w:bookmarkStart w:id="402" w:name="_Hlk138342572"/>
      <w:r>
        <w:rPr/>
        <w:t>–</w:t>
      </w:r>
      <w:bookmarkEnd w:id="402"/>
      <w:r>
        <w:rPr/>
        <w:t xml:space="preserve"> наличие информации на официальном сайте федерального органа исполнительной власти, уполномоченного по контролю и надзору в области налогов и сборов, о применении ими такого налогового режима (https://npd.nalog.ru/check-status/);</w:t>
      </w:r>
    </w:p>
    <w:p>
      <w:pPr>
        <w:pStyle w:val="Style23"/>
        <w:tabs>
          <w:tab w:val="clear" w:pos="708"/>
          <w:tab w:val="left" w:pos="1134" w:leader="none"/>
        </w:tabs>
        <w:ind w:hanging="1701" w:left="1701"/>
        <w:rPr/>
      </w:pPr>
      <w:r>
        <w:rPr>
          <w:b/>
          <w:bCs/>
        </w:rPr>
        <w:t>Тех</w:t>
      </w:r>
      <w:r>
        <w:rPr/>
        <w:tab/>
        <w:t>–</w:t>
        <w:tab/>
        <w:t xml:space="preserve">проверка наличия в составе заявки всех необходимых документов для рассмотрения экспертом по своему направлению, а также правильности их оформления; в целях применения законодательства о национальном режиме: а) при закупке товаров (в том числе поставляемых при выполнении работ, оказании услуг) – оценка сведений о стране происхождения предлагаемого к поставке товара; б) при закупке работ, услуг – оценка сведений о стране регистрации Участника (стране регистрации лица, согласно заявке выполняющего работу, оказывающего услугу); оценка Технических предложений и сведений, подтверждающих соответствия Участника квалификационным и специальным требованиям; </w:t>
      </w:r>
      <w:bookmarkStart w:id="403" w:name="_Hlk138342998"/>
      <w:r>
        <w:rPr/>
        <w:t>проверка технической части подтверждающей документации, прилагаемой к Коммерческому предложению (при наличии), а также, при необходимости, технических условий исполнения Договора</w:t>
      </w:r>
      <w:bookmarkEnd w:id="403"/>
      <w:r>
        <w:rPr/>
        <w:t>;</w:t>
      </w:r>
    </w:p>
    <w:p>
      <w:pPr>
        <w:pStyle w:val="Style23"/>
        <w:tabs>
          <w:tab w:val="clear" w:pos="708"/>
          <w:tab w:val="left" w:pos="1134" w:leader="none"/>
        </w:tabs>
        <w:ind w:hanging="1701" w:left="1701"/>
        <w:rPr/>
      </w:pPr>
      <w:r>
        <w:rPr>
          <w:b/>
          <w:bCs/>
        </w:rPr>
        <w:t>Юр</w:t>
      </w:r>
      <w:r>
        <w:rPr/>
        <w:tab/>
        <w:t>–</w:t>
        <w:tab/>
        <w:t>проверка наличия в составе заявки всех необходимых документов для рассмотрения экспертом по своему направлению, а также оценка правильности их оформления (в т.ч. в части наличия должных печатей, подписей, формы заверения, языка заявки); оценка юридических аспектов заявки, в том числе оценка правомочности подписанта доверенности (при необходимости) на основании выписки из ЕГРЮЛ (выписка из ЕГРЮЛ доступна на официальном сервисе ФНС России https://egrul.nalog.ru/index.html);</w:t>
      </w:r>
    </w:p>
    <w:p>
      <w:pPr>
        <w:pStyle w:val="Style23"/>
        <w:keepNext w:val="true"/>
        <w:tabs>
          <w:tab w:val="clear" w:pos="708"/>
          <w:tab w:val="left" w:pos="1134" w:leader="none"/>
        </w:tabs>
        <w:ind w:hanging="1701" w:left="1701"/>
        <w:rPr/>
      </w:pPr>
      <w:r>
        <w:rPr>
          <w:b/>
          <w:bCs/>
        </w:rPr>
        <w:t>Цена</w:t>
      </w:r>
      <w:r>
        <w:rPr/>
        <w:tab/>
        <w:t>–</w:t>
        <w:tab/>
        <w:t>проверка наличия в составе заявки всех необходимых документов для рассмотрения экспертом по своему направлению, а также оценка правильности их оформления (в т.ч. в части языка и валюты заявки); проверка отсутствия противоречий в представленных в составе Коммерческого предложения (и приложениях к нему) документах; проверка соответствия подтверждающей документации (документации по ценообразованию), прилагаемой к Коммерческому приложению, требованиям, указанным в Технических требованиях (при наличии такой документации и если ее предоставление требовалось в Документации о закупке), в том числе в части непревышения ценового предложения участника установленного размера НМЦ;</w:t>
      </w:r>
    </w:p>
    <w:p>
      <w:pPr>
        <w:pStyle w:val="Style23"/>
        <w:tabs>
          <w:tab w:val="clear" w:pos="708"/>
          <w:tab w:val="left" w:pos="1134" w:leader="none"/>
        </w:tabs>
        <w:ind w:hanging="1701" w:left="1701"/>
        <w:rPr/>
      </w:pPr>
      <w:r>
        <w:rPr>
          <w:b/>
          <w:bCs/>
        </w:rPr>
        <w:t>Фин</w:t>
      </w:r>
      <w:r>
        <w:rPr/>
        <w:tab/>
        <w:t>–</w:t>
        <w:tab/>
        <w:t xml:space="preserve">оценка банковской гарантии, в том числе правильность оформления рассматриваемых документов (в т.ч. в части наличия должных печатей, подписей, формы заверения, языка и валюты заявки) </w:t>
      </w:r>
      <w:r>
        <w:rPr>
          <w:i/>
          <w:iCs/>
        </w:rPr>
        <w:t>(финансовая экспертиза проводится по инициативе эксперта по направлениям Орг, в случае наличия в заявке банковской гарантии)</w:t>
      </w:r>
      <w:r>
        <w:rPr/>
        <w:t>.</w:t>
      </w:r>
    </w:p>
    <w:p>
      <w:pPr>
        <w:pStyle w:val="Style23"/>
        <w:keepNext w:val="true"/>
        <w:tabs>
          <w:tab w:val="clear" w:pos="708"/>
          <w:tab w:val="left" w:pos="1134" w:leader="none"/>
        </w:tabs>
        <w:ind w:hanging="1701" w:left="1701"/>
        <w:rPr/>
      </w:pPr>
      <w:r>
        <w:rPr/>
      </w:r>
    </w:p>
    <w:p>
      <w:pPr>
        <w:sectPr>
          <w:headerReference w:type="default" r:id="rId30"/>
          <w:headerReference w:type="first" r:id="rId31"/>
          <w:footerReference w:type="default" r:id="rId32"/>
          <w:footerReference w:type="first" r:id="rId33"/>
          <w:footnotePr>
            <w:numFmt w:val="decimal"/>
          </w:footnotePr>
          <w:type w:val="nextPage"/>
          <w:pgSz w:orient="landscape" w:w="16838" w:h="11906"/>
          <w:pgMar w:left="851" w:right="851" w:gutter="0" w:header="567" w:top="1134" w:footer="567" w:bottom="850"/>
          <w:pgNumType w:fmt="decimal"/>
          <w:formProt w:val="false"/>
          <w:textDirection w:val="lrTb"/>
          <w:docGrid w:type="default" w:linePitch="360" w:charSpace="0"/>
        </w:sectPr>
        <w:pStyle w:val="Style23"/>
        <w:rPr/>
      </w:pPr>
      <w:r>
        <w:rPr/>
        <w:t>В случае указания по одному критерию отбора сразу нескольких направлений оценки заявок – экспертиза на соответствие указанному критерию осуществляется в пределах компетенции эксперта (в рамках материалов (документов), являющихся предметом его экспертизы).</w:t>
      </w:r>
    </w:p>
    <w:p>
      <w:pPr>
        <w:pStyle w:val="Style17"/>
        <w:spacing w:before="0" w:after="0"/>
        <w:rPr/>
      </w:pPr>
      <w:bookmarkStart w:id="404" w:name="_Ref125368172"/>
      <w:bookmarkStart w:id="405" w:name="_Toc230928889"/>
      <w:bookmarkStart w:id="406" w:name="_Ref125369438"/>
      <w:bookmarkStart w:id="407" w:name="_Ref125369021"/>
      <w:bookmarkStart w:id="408" w:name="_Ref125368331"/>
      <w:bookmarkStart w:id="409" w:name="_Ref125368313"/>
      <w:bookmarkStart w:id="410" w:name="_Ref125368302"/>
      <w:bookmarkStart w:id="411" w:name="_Ref125368291"/>
      <w:bookmarkStart w:id="412" w:name="_Ref125368283"/>
      <w:bookmarkStart w:id="413" w:name="_Ref125368184"/>
      <w:bookmarkStart w:id="414" w:name="_Ref125368165"/>
      <w:bookmarkStart w:id="415" w:name="_Ref125368150"/>
      <w:bookmarkStart w:id="416" w:name="_Ref125368140"/>
      <w:bookmarkStart w:id="417" w:name="_Ref125366285"/>
      <w:bookmarkStart w:id="418" w:name="_Ref125366280"/>
      <w:bookmarkStart w:id="419" w:name="_Ref125366013"/>
      <w:bookmarkStart w:id="420" w:name="_Ref125361951"/>
      <w:bookmarkStart w:id="421" w:name="_Ref125361648"/>
      <w:bookmarkStart w:id="422" w:name="Прил08_ПорядокОценки"/>
      <w:bookmarkEnd w:id="422"/>
      <w:r>
        <w:rPr/>
        <w:t>Приложение № 8 – Порядок и критерии оценки и сопоставления заявок</w:t>
      </w:r>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p>
    <w:p>
      <w:pPr>
        <w:pStyle w:val="Style18"/>
        <w:spacing w:before="360" w:after="0"/>
        <w:rPr/>
      </w:pPr>
      <w:bookmarkStart w:id="423" w:name="_Toc230928890"/>
      <w:r>
        <w:rPr/>
        <w:t>Порядок и критерии оценки и сопоставления заявок</w:t>
      </w:r>
      <w:bookmarkEnd w:id="423"/>
    </w:p>
    <w:p>
      <w:pPr>
        <w:pStyle w:val="Style19"/>
        <w:rPr/>
      </w:pPr>
      <w:r>
        <w:rPr/>
        <w:t>Расчет итоговой оценки предпочтительности каждой заявки, успешно прошедшей отборочную стадию (подраздел </w:t>
      </w:r>
      <w:r>
        <w:rPr/>
        <w:fldChar w:fldCharType="begin"/>
      </w:r>
      <w:r>
        <w:rPr/>
        <w:instrText xml:space="preserve"> REF _Ref125362364 \w \h </w:instrText>
      </w:r>
      <w:r>
        <w:rPr/>
        <w:fldChar w:fldCharType="separate"/>
      </w:r>
      <w:r>
        <w:rPr/>
        <w:t>4.9</w:t>
      </w:r>
      <w:r>
        <w:rPr/>
        <w:fldChar w:fldCharType="end"/>
      </w:r>
      <w:r>
        <w:rPr/>
        <w:t>), осуществляется по следующим критериям оценки и в соответствии со следующим порядком оценки предпочтительности и сопоставления заявок:</w:t>
      </w:r>
    </w:p>
    <w:tbl>
      <w:tblPr>
        <w:tblW w:w="15137" w:type="dxa"/>
        <w:jc w:val="left"/>
        <w:tblInd w:w="-1" w:type="dxa"/>
        <w:tblLayout w:type="fixed"/>
        <w:tblCellMar>
          <w:top w:w="0" w:type="dxa"/>
          <w:left w:w="108" w:type="dxa"/>
          <w:bottom w:w="0" w:type="dxa"/>
          <w:right w:w="108" w:type="dxa"/>
        </w:tblCellMar>
        <w:tblLook w:val="04a0" w:noHBand="0" w:noVBand="1" w:firstColumn="1" w:lastRow="0" w:lastColumn="0" w:firstRow="1"/>
      </w:tblPr>
      <w:tblGrid>
        <w:gridCol w:w="850"/>
        <w:gridCol w:w="1276"/>
        <w:gridCol w:w="1417"/>
        <w:gridCol w:w="1559"/>
        <w:gridCol w:w="1263"/>
        <w:gridCol w:w="2051"/>
        <w:gridCol w:w="6720"/>
      </w:tblGrid>
      <w:tr>
        <w:trPr>
          <w:cantSplit w:val="true"/>
        </w:trPr>
        <w:tc>
          <w:tcPr>
            <w:tcW w:w="850" w:type="dxa"/>
            <w:vMerge w:val="restart"/>
            <w:tcBorders>
              <w:top w:val="single" w:sz="4" w:space="0" w:color="000000"/>
              <w:left w:val="single" w:sz="4" w:space="0" w:color="000000"/>
              <w:bottom w:val="single" w:sz="4" w:space="0" w:color="000000"/>
              <w:right w:val="single" w:sz="4" w:space="0" w:color="000000"/>
            </w:tcBorders>
            <w:shd w:color="FFFFFF" w:fill="D5DCE4" w:val="clear"/>
          </w:tcPr>
          <w:p>
            <w:pPr>
              <w:pStyle w:val="Style23"/>
              <w:spacing w:before="40" w:after="40"/>
              <w:jc w:val="center"/>
              <w:rPr>
                <w:sz w:val="18"/>
                <w:szCs w:val="18"/>
              </w:rPr>
            </w:pPr>
            <w:r>
              <w:rPr>
                <w:sz w:val="18"/>
                <w:szCs w:val="18"/>
              </w:rPr>
              <w:t>Номер критерия оценки в</w:t>
            </w:r>
            <w:r>
              <w:rPr>
                <w:sz w:val="18"/>
                <w:szCs w:val="18"/>
                <w:lang w:val="en-US"/>
              </w:rPr>
              <w:t> </w:t>
            </w:r>
            <w:r>
              <w:rPr>
                <w:sz w:val="18"/>
                <w:szCs w:val="18"/>
              </w:rPr>
              <w:t>структуре</w:t>
            </w:r>
          </w:p>
          <w:p>
            <w:pPr>
              <w:pStyle w:val="Normal"/>
              <w:keepNext w:val="true"/>
              <w:numPr>
                <w:ilvl w:val="0"/>
                <w:numId w:val="0"/>
              </w:numPr>
              <w:spacing w:lineRule="auto" w:line="240" w:before="40" w:after="40"/>
              <w:ind w:hanging="0" w:left="0"/>
              <w:jc w:val="center"/>
              <w:rPr>
                <w:rFonts w:eastAsia="Calibri"/>
                <w:sz w:val="20"/>
                <w:szCs w:val="20"/>
              </w:rPr>
            </w:pPr>
            <w:r>
              <w:rPr>
                <w:rFonts w:eastAsia="Calibri"/>
                <w:sz w:val="20"/>
                <w:szCs w:val="20"/>
              </w:rPr>
            </w:r>
          </w:p>
        </w:tc>
        <w:tc>
          <w:tcPr>
            <w:tcW w:w="1276" w:type="dxa"/>
            <w:vMerge w:val="restart"/>
            <w:tcBorders>
              <w:top w:val="single" w:sz="4" w:space="0" w:color="000000"/>
              <w:left w:val="single" w:sz="4" w:space="0" w:color="000000"/>
              <w:bottom w:val="single" w:sz="4" w:space="0" w:color="000000"/>
              <w:right w:val="single" w:sz="4" w:space="0" w:color="000000"/>
            </w:tcBorders>
            <w:shd w:color="FFFFFF" w:fill="D5DCE4" w:val="clear"/>
          </w:tcPr>
          <w:p>
            <w:pPr>
              <w:pStyle w:val="Normal"/>
              <w:keepNext w:val="true"/>
              <w:widowControl w:val="false"/>
              <w:spacing w:before="40" w:after="40"/>
              <w:jc w:val="center"/>
              <w:rPr>
                <w:rFonts w:cs="Times New Roman"/>
                <w:sz w:val="20"/>
                <w:szCs w:val="20"/>
              </w:rPr>
            </w:pPr>
            <w:r>
              <w:rPr>
                <w:rFonts w:cs="Times New Roman"/>
                <w:bCs/>
                <w:sz w:val="20"/>
                <w:szCs w:val="20"/>
              </w:rPr>
              <w:t>Вид критерия оценки / направление оценки заявок</w:t>
            </w:r>
          </w:p>
        </w:tc>
        <w:tc>
          <w:tcPr>
            <w:tcW w:w="2976" w:type="dxa"/>
            <w:gridSpan w:val="2"/>
            <w:tcBorders>
              <w:top w:val="single" w:sz="4" w:space="0" w:color="000000"/>
              <w:left w:val="single" w:sz="4" w:space="0" w:color="000000"/>
              <w:bottom w:val="single" w:sz="4" w:space="0" w:color="000000"/>
              <w:right w:val="single" w:sz="4" w:space="0" w:color="000000"/>
            </w:tcBorders>
            <w:shd w:color="FFFFFF" w:fill="D5DCE4" w:val="clear"/>
          </w:tcPr>
          <w:p>
            <w:pPr>
              <w:pStyle w:val="Normal"/>
              <w:keepNext w:val="true"/>
              <w:numPr>
                <w:ilvl w:val="0"/>
                <w:numId w:val="0"/>
              </w:numPr>
              <w:spacing w:lineRule="auto" w:line="240" w:before="40" w:after="40"/>
              <w:ind w:hanging="0" w:left="0"/>
              <w:jc w:val="center"/>
              <w:rPr>
                <w:rFonts w:eastAsia="Calibri"/>
                <w:sz w:val="20"/>
                <w:szCs w:val="20"/>
              </w:rPr>
            </w:pPr>
            <w:r>
              <w:rPr>
                <w:rFonts w:eastAsia="Calibri"/>
                <w:sz w:val="20"/>
                <w:szCs w:val="20"/>
              </w:rPr>
              <w:t>Наименование критерия оценки</w:t>
            </w:r>
          </w:p>
        </w:tc>
        <w:tc>
          <w:tcPr>
            <w:tcW w:w="1263" w:type="dxa"/>
            <w:vMerge w:val="restart"/>
            <w:tcBorders>
              <w:top w:val="single" w:sz="4" w:space="0" w:color="000000"/>
              <w:left w:val="single" w:sz="4" w:space="0" w:color="000000"/>
              <w:bottom w:val="single" w:sz="4" w:space="0" w:color="000000"/>
              <w:right w:val="single" w:sz="4" w:space="0" w:color="000000"/>
            </w:tcBorders>
            <w:shd w:color="FFFFFF" w:fill="D5DCE4" w:val="clear"/>
          </w:tcPr>
          <w:p>
            <w:pPr>
              <w:pStyle w:val="Normal"/>
              <w:keepNext w:val="true"/>
              <w:numPr>
                <w:ilvl w:val="0"/>
                <w:numId w:val="0"/>
              </w:numPr>
              <w:spacing w:lineRule="auto" w:line="240" w:before="40" w:after="40"/>
              <w:ind w:hanging="0" w:left="0"/>
              <w:jc w:val="center"/>
              <w:rPr>
                <w:rFonts w:eastAsia="Calibri"/>
                <w:sz w:val="20"/>
                <w:szCs w:val="20"/>
              </w:rPr>
            </w:pPr>
            <w:r>
              <w:rPr>
                <w:rFonts w:eastAsia="Calibri"/>
                <w:sz w:val="20"/>
                <w:szCs w:val="20"/>
              </w:rPr>
              <w:t>Значимость критерия оценки</w:t>
            </w:r>
          </w:p>
        </w:tc>
        <w:tc>
          <w:tcPr>
            <w:tcW w:w="2051" w:type="dxa"/>
            <w:vMerge w:val="restart"/>
            <w:tcBorders>
              <w:top w:val="single" w:sz="4" w:space="0" w:color="000000"/>
              <w:left w:val="single" w:sz="4" w:space="0" w:color="000000"/>
              <w:bottom w:val="single" w:sz="4" w:space="0" w:color="000000"/>
              <w:right w:val="single" w:sz="4" w:space="0" w:color="000000"/>
            </w:tcBorders>
            <w:shd w:color="FFFFFF" w:fill="D5DCE4" w:val="clear"/>
          </w:tcPr>
          <w:p>
            <w:pPr>
              <w:pStyle w:val="Normal"/>
              <w:keepNext w:val="true"/>
              <w:numPr>
                <w:ilvl w:val="0"/>
                <w:numId w:val="0"/>
              </w:numPr>
              <w:spacing w:lineRule="auto" w:line="240" w:before="40" w:after="40"/>
              <w:ind w:hanging="0" w:left="0"/>
              <w:jc w:val="center"/>
              <w:rPr>
                <w:rFonts w:eastAsia="Calibri"/>
                <w:sz w:val="20"/>
                <w:szCs w:val="20"/>
              </w:rPr>
            </w:pPr>
            <w:r>
              <w:rPr>
                <w:rFonts w:eastAsia="Calibri"/>
                <w:sz w:val="20"/>
                <w:szCs w:val="20"/>
              </w:rPr>
              <w:t>Содержание частного критерия оценки</w:t>
            </w:r>
          </w:p>
        </w:tc>
        <w:tc>
          <w:tcPr>
            <w:tcW w:w="6720" w:type="dxa"/>
            <w:vMerge w:val="restart"/>
            <w:tcBorders>
              <w:top w:val="single" w:sz="4" w:space="0" w:color="000000"/>
              <w:left w:val="single" w:sz="4" w:space="0" w:color="000000"/>
              <w:bottom w:val="single" w:sz="4" w:space="0" w:color="000000"/>
              <w:right w:val="single" w:sz="4" w:space="0" w:color="000000"/>
            </w:tcBorders>
            <w:shd w:color="FFFFFF" w:fill="D5DCE4" w:val="clear"/>
          </w:tcPr>
          <w:p>
            <w:pPr>
              <w:pStyle w:val="Normal"/>
              <w:keepNext w:val="true"/>
              <w:numPr>
                <w:ilvl w:val="0"/>
                <w:numId w:val="0"/>
              </w:numPr>
              <w:spacing w:lineRule="auto" w:line="240" w:before="40" w:after="40"/>
              <w:ind w:hanging="0" w:left="0"/>
              <w:jc w:val="center"/>
              <w:rPr>
                <w:rFonts w:eastAsia="Calibri"/>
                <w:sz w:val="20"/>
                <w:szCs w:val="20"/>
              </w:rPr>
            </w:pPr>
            <w:r>
              <w:rPr>
                <w:rFonts w:eastAsia="Calibri"/>
                <w:sz w:val="20"/>
                <w:szCs w:val="20"/>
              </w:rPr>
              <w:t>Расчёт оценки предпочтительности заявки</w:t>
            </w:r>
          </w:p>
        </w:tc>
      </w:tr>
      <w:tr>
        <w:trPr>
          <w:cantSplit w:val="true"/>
        </w:trPr>
        <w:tc>
          <w:tcPr>
            <w:tcW w:w="850" w:type="dxa"/>
            <w:vMerge w:val="continue"/>
            <w:tcBorders>
              <w:top w:val="single" w:sz="4" w:space="0" w:color="000000"/>
              <w:left w:val="single" w:sz="4" w:space="0" w:color="000000"/>
              <w:bottom w:val="single" w:sz="4" w:space="0" w:color="000000"/>
              <w:right w:val="single" w:sz="4" w:space="0" w:color="000000"/>
            </w:tcBorders>
            <w:shd w:color="FFFFFF" w:fill="D5DCE4" w:val="clear"/>
          </w:tcPr>
          <w:p>
            <w:pPr>
              <w:pStyle w:val="Normal"/>
              <w:keepNext w:val="true"/>
              <w:numPr>
                <w:ilvl w:val="0"/>
                <w:numId w:val="0"/>
              </w:numPr>
              <w:spacing w:lineRule="auto" w:line="240" w:before="40" w:after="40"/>
              <w:ind w:hanging="0" w:left="0"/>
              <w:jc w:val="center"/>
              <w:rPr>
                <w:rFonts w:eastAsia="Calibri"/>
                <w:color w:val="FF0000"/>
                <w:sz w:val="20"/>
              </w:rPr>
            </w:pPr>
            <w:r>
              <w:rPr>
                <w:rFonts w:eastAsia="Calibri"/>
                <w:color w:val="FF0000"/>
                <w:sz w:val="20"/>
              </w:rPr>
            </w:r>
          </w:p>
        </w:tc>
        <w:tc>
          <w:tcPr>
            <w:tcW w:w="1276" w:type="dxa"/>
            <w:vMerge w:val="continue"/>
            <w:tcBorders>
              <w:top w:val="single" w:sz="4" w:space="0" w:color="000000"/>
              <w:left w:val="single" w:sz="4" w:space="0" w:color="000000"/>
              <w:bottom w:val="single" w:sz="4" w:space="0" w:color="000000"/>
              <w:right w:val="single" w:sz="4" w:space="0" w:color="000000"/>
            </w:tcBorders>
            <w:shd w:color="FFFFFF" w:fill="D5DCE4" w:val="clear"/>
          </w:tcPr>
          <w:p>
            <w:pPr>
              <w:pStyle w:val="Normal"/>
              <w:keepNext w:val="true"/>
              <w:numPr>
                <w:ilvl w:val="0"/>
                <w:numId w:val="0"/>
              </w:numPr>
              <w:spacing w:lineRule="auto" w:line="240" w:before="40" w:after="40"/>
              <w:ind w:hanging="0" w:left="0"/>
              <w:jc w:val="center"/>
              <w:rPr>
                <w:rFonts w:eastAsia="Calibri"/>
                <w:color w:val="FF0000"/>
                <w:sz w:val="20"/>
              </w:rPr>
            </w:pPr>
            <w:r>
              <w:rPr>
                <w:rFonts w:eastAsia="Calibri"/>
                <w:color w:val="FF0000"/>
                <w:sz w:val="20"/>
              </w:rPr>
            </w:r>
          </w:p>
        </w:tc>
        <w:tc>
          <w:tcPr>
            <w:tcW w:w="1417" w:type="dxa"/>
            <w:tcBorders>
              <w:top w:val="single" w:sz="4" w:space="0" w:color="000000"/>
              <w:left w:val="single" w:sz="4" w:space="0" w:color="000000"/>
              <w:bottom w:val="single" w:sz="4" w:space="0" w:color="000000"/>
              <w:right w:val="single" w:sz="4" w:space="0" w:color="000000"/>
            </w:tcBorders>
            <w:shd w:color="FFFFFF" w:fill="D5DCE4" w:val="clear"/>
          </w:tcPr>
          <w:p>
            <w:pPr>
              <w:pStyle w:val="Normal"/>
              <w:keepNext w:val="true"/>
              <w:numPr>
                <w:ilvl w:val="0"/>
                <w:numId w:val="0"/>
              </w:numPr>
              <w:spacing w:lineRule="auto" w:line="240" w:before="40" w:after="40"/>
              <w:ind w:hanging="0" w:left="0"/>
              <w:jc w:val="center"/>
              <w:rPr>
                <w:rFonts w:eastAsia="Calibri"/>
                <w:sz w:val="20"/>
                <w:szCs w:val="20"/>
              </w:rPr>
            </w:pPr>
            <w:r>
              <w:rPr>
                <w:rFonts w:eastAsia="Calibri"/>
                <w:sz w:val="20"/>
                <w:szCs w:val="20"/>
              </w:rPr>
              <w:t>критерий оценки первого уровня</w:t>
            </w:r>
          </w:p>
        </w:tc>
        <w:tc>
          <w:tcPr>
            <w:tcW w:w="1559" w:type="dxa"/>
            <w:tcBorders>
              <w:top w:val="single" w:sz="4" w:space="0" w:color="000000"/>
              <w:left w:val="single" w:sz="4" w:space="0" w:color="000000"/>
              <w:bottom w:val="single" w:sz="4" w:space="0" w:color="000000"/>
              <w:right w:val="single" w:sz="4" w:space="0" w:color="000000"/>
            </w:tcBorders>
            <w:shd w:color="FFFFFF" w:fill="D5DCE4" w:val="clear"/>
          </w:tcPr>
          <w:p>
            <w:pPr>
              <w:pStyle w:val="Normal"/>
              <w:keepNext w:val="true"/>
              <w:numPr>
                <w:ilvl w:val="0"/>
                <w:numId w:val="0"/>
              </w:numPr>
              <w:spacing w:lineRule="auto" w:line="240" w:before="40" w:after="40"/>
              <w:ind w:hanging="0" w:left="0"/>
              <w:jc w:val="center"/>
              <w:rPr>
                <w:rFonts w:eastAsia="Calibri"/>
                <w:sz w:val="20"/>
                <w:szCs w:val="20"/>
              </w:rPr>
            </w:pPr>
            <w:r>
              <w:rPr>
                <w:rFonts w:eastAsia="Calibri"/>
                <w:sz w:val="20"/>
                <w:szCs w:val="20"/>
              </w:rPr>
              <w:t>критерий оценки второго уровня</w:t>
            </w:r>
          </w:p>
        </w:tc>
        <w:tc>
          <w:tcPr>
            <w:tcW w:w="1263" w:type="dxa"/>
            <w:vMerge w:val="continue"/>
            <w:tcBorders>
              <w:top w:val="single" w:sz="4" w:space="0" w:color="000000"/>
              <w:left w:val="single" w:sz="4" w:space="0" w:color="000000"/>
              <w:bottom w:val="single" w:sz="4" w:space="0" w:color="000000"/>
              <w:right w:val="single" w:sz="4" w:space="0" w:color="000000"/>
            </w:tcBorders>
            <w:shd w:color="FFFFFF" w:fill="D5DCE4" w:val="clear"/>
          </w:tcPr>
          <w:p>
            <w:pPr>
              <w:pStyle w:val="Normal"/>
              <w:keepNext w:val="true"/>
              <w:numPr>
                <w:ilvl w:val="0"/>
                <w:numId w:val="0"/>
              </w:numPr>
              <w:spacing w:lineRule="auto" w:line="240" w:before="40" w:after="40"/>
              <w:ind w:hanging="0" w:left="0"/>
              <w:jc w:val="center"/>
              <w:rPr>
                <w:rFonts w:eastAsia="Calibri"/>
                <w:color w:val="FF0000"/>
                <w:sz w:val="20"/>
              </w:rPr>
            </w:pPr>
            <w:r>
              <w:rPr>
                <w:rFonts w:eastAsia="Calibri"/>
                <w:color w:val="FF0000"/>
                <w:sz w:val="20"/>
              </w:rPr>
            </w:r>
          </w:p>
        </w:tc>
        <w:tc>
          <w:tcPr>
            <w:tcW w:w="2051" w:type="dxa"/>
            <w:vMerge w:val="continue"/>
            <w:tcBorders>
              <w:top w:val="single" w:sz="4" w:space="0" w:color="000000"/>
              <w:left w:val="single" w:sz="4" w:space="0" w:color="000000"/>
              <w:bottom w:val="single" w:sz="4" w:space="0" w:color="000000"/>
              <w:right w:val="single" w:sz="4" w:space="0" w:color="000000"/>
            </w:tcBorders>
            <w:shd w:color="FFFFFF" w:fill="D5DCE4" w:val="clear"/>
          </w:tcPr>
          <w:p>
            <w:pPr>
              <w:pStyle w:val="Normal"/>
              <w:keepNext w:val="true"/>
              <w:numPr>
                <w:ilvl w:val="0"/>
                <w:numId w:val="0"/>
              </w:numPr>
              <w:spacing w:lineRule="auto" w:line="240" w:before="40" w:after="40"/>
              <w:ind w:hanging="0" w:left="0"/>
              <w:jc w:val="center"/>
              <w:rPr>
                <w:rFonts w:eastAsia="Calibri"/>
                <w:color w:val="FF0000"/>
                <w:sz w:val="20"/>
              </w:rPr>
            </w:pPr>
            <w:r>
              <w:rPr>
                <w:rFonts w:eastAsia="Calibri"/>
                <w:color w:val="FF0000"/>
                <w:sz w:val="20"/>
              </w:rPr>
            </w:r>
          </w:p>
        </w:tc>
        <w:tc>
          <w:tcPr>
            <w:tcW w:w="6720" w:type="dxa"/>
            <w:vMerge w:val="continue"/>
            <w:tcBorders>
              <w:top w:val="single" w:sz="4" w:space="0" w:color="000000"/>
              <w:left w:val="single" w:sz="4" w:space="0" w:color="000000"/>
              <w:bottom w:val="single" w:sz="4" w:space="0" w:color="000000"/>
              <w:right w:val="single" w:sz="4" w:space="0" w:color="000000"/>
            </w:tcBorders>
            <w:shd w:color="FFFFFF" w:fill="D5DCE4" w:val="clear"/>
          </w:tcPr>
          <w:p>
            <w:pPr>
              <w:pStyle w:val="Normal"/>
              <w:keepNext w:val="true"/>
              <w:numPr>
                <w:ilvl w:val="0"/>
                <w:numId w:val="0"/>
              </w:numPr>
              <w:spacing w:lineRule="auto" w:line="240" w:before="40" w:after="40"/>
              <w:ind w:hanging="0" w:left="0"/>
              <w:jc w:val="center"/>
              <w:rPr>
                <w:rFonts w:eastAsia="Calibri"/>
                <w:color w:val="FF0000"/>
                <w:sz w:val="20"/>
              </w:rPr>
            </w:pPr>
            <w:r>
              <w:rPr>
                <w:rFonts w:eastAsia="Calibri"/>
                <w:color w:val="FF0000"/>
                <w:sz w:val="20"/>
              </w:rPr>
            </w:r>
          </w:p>
        </w:tc>
      </w:tr>
      <w:tr>
        <w:trPr>
          <w:trHeight w:val="4123" w:hRule="atLeast"/>
        </w:trPr>
        <w:tc>
          <w:tcPr>
            <w:tcW w:w="850" w:type="dxa"/>
            <w:tcBorders>
              <w:top w:val="single" w:sz="4" w:space="0" w:color="000000"/>
              <w:left w:val="single" w:sz="4" w:space="0" w:color="000000"/>
              <w:bottom w:val="single" w:sz="4" w:space="0" w:color="000000"/>
              <w:right w:val="single" w:sz="4" w:space="0" w:color="000000"/>
            </w:tcBorders>
            <w:shd w:color="FFFFFF" w:fill="FFFFFF" w:val="clear"/>
          </w:tcPr>
          <w:p>
            <w:pPr>
              <w:pStyle w:val="Normal"/>
              <w:numPr>
                <w:ilvl w:val="0"/>
                <w:numId w:val="0"/>
              </w:numPr>
              <w:spacing w:lineRule="auto" w:line="240" w:before="120" w:after="0"/>
              <w:ind w:hanging="0" w:left="0"/>
              <w:jc w:val="center"/>
              <w:rPr>
                <w:rFonts w:eastAsia="Calibri"/>
                <w:sz w:val="20"/>
                <w:szCs w:val="20"/>
              </w:rPr>
            </w:pPr>
            <w:r>
              <w:rPr>
                <w:rFonts w:eastAsia="Calibri"/>
                <w:sz w:val="20"/>
                <w:szCs w:val="20"/>
              </w:rPr>
              <w:t>1.</w:t>
            </w:r>
          </w:p>
        </w:tc>
        <w:tc>
          <w:tcPr>
            <w:tcW w:w="1276" w:type="dxa"/>
            <w:tcBorders>
              <w:top w:val="single" w:sz="4" w:space="0" w:color="000000"/>
              <w:left w:val="single" w:sz="4" w:space="0" w:color="000000"/>
              <w:bottom w:val="single" w:sz="4" w:space="0" w:color="000000"/>
              <w:right w:val="single" w:sz="4" w:space="0" w:color="000000"/>
            </w:tcBorders>
            <w:shd w:color="FFFFFF" w:fill="FFFFFF" w:val="clear"/>
          </w:tcPr>
          <w:p>
            <w:pPr>
              <w:pStyle w:val="Normal"/>
              <w:numPr>
                <w:ilvl w:val="0"/>
                <w:numId w:val="0"/>
              </w:numPr>
              <w:spacing w:lineRule="auto" w:line="240" w:beforeAutospacing="0" w:before="0" w:afterAutospacing="0" w:after="0"/>
              <w:ind w:hanging="0" w:left="0"/>
              <w:jc w:val="center"/>
              <w:rPr>
                <w:rFonts w:eastAsia="Calibri"/>
                <w:sz w:val="20"/>
                <w:szCs w:val="20"/>
              </w:rPr>
            </w:pPr>
            <w:r>
              <w:rPr>
                <w:sz w:val="20"/>
                <w:szCs w:val="20"/>
              </w:rPr>
              <w:t>Ценовой (стоимостный) частный критерий оценки первого уровня / ЦЕНА</w:t>
            </w:r>
          </w:p>
        </w:tc>
        <w:tc>
          <w:tcPr>
            <w:tcW w:w="1417" w:type="dxa"/>
            <w:tcBorders>
              <w:top w:val="single" w:sz="4" w:space="0" w:color="000000"/>
              <w:left w:val="single" w:sz="4" w:space="0" w:color="000000"/>
              <w:bottom w:val="single" w:sz="4" w:space="0" w:color="000000"/>
              <w:right w:val="single" w:sz="4" w:space="0" w:color="000000"/>
            </w:tcBorders>
            <w:shd w:color="FFFFFF" w:fill="FFFFFF" w:val="clear"/>
          </w:tcPr>
          <w:p>
            <w:pPr>
              <w:pStyle w:val="3"/>
              <w:widowControl w:val="false"/>
              <w:numPr>
                <w:ilvl w:val="7"/>
                <w:numId w:val="30"/>
              </w:numPr>
              <w:tabs>
                <w:tab w:val="clear" w:pos="708"/>
                <w:tab w:val="left" w:pos="1440" w:leader="none"/>
                <w:tab w:val="left" w:pos="2880" w:leader="none"/>
              </w:tabs>
              <w:spacing w:lineRule="auto" w:line="240" w:beforeAutospacing="0" w:before="119" w:after="0"/>
              <w:ind w:hanging="0" w:left="0" w:right="0"/>
              <w:contextualSpacing/>
              <w:jc w:val="center"/>
              <w:rPr>
                <w:rFonts w:ascii="Times New Roman" w:hAnsi="Times New Roman"/>
                <w:sz w:val="20"/>
                <w:szCs w:val="20"/>
              </w:rPr>
            </w:pPr>
            <w:r>
              <w:rPr>
                <w:sz w:val="20"/>
                <w:szCs w:val="20"/>
              </w:rPr>
              <w:t>Цена договора (стоимость заявки)</w:t>
            </w:r>
          </w:p>
          <w:p>
            <w:pPr>
              <w:pStyle w:val="3"/>
              <w:numPr>
                <w:ilvl w:val="7"/>
                <w:numId w:val="24"/>
              </w:numPr>
              <w:spacing w:lineRule="auto" w:line="240" w:before="40" w:after="40"/>
              <w:ind w:hanging="0" w:left="0" w:right="0"/>
              <w:jc w:val="center"/>
              <w:rPr>
                <w:sz w:val="18"/>
                <w:szCs w:val="18"/>
              </w:rPr>
            </w:pPr>
            <w:r>
              <w:rPr>
                <w:sz w:val="18"/>
                <w:szCs w:val="18"/>
              </w:rPr>
            </w:r>
          </w:p>
          <w:p>
            <w:pPr>
              <w:pStyle w:val="Normal"/>
              <w:numPr>
                <w:ilvl w:val="0"/>
                <w:numId w:val="0"/>
              </w:numPr>
              <w:spacing w:lineRule="auto" w:line="240" w:beforeAutospacing="0" w:before="0" w:afterAutospacing="0" w:after="0"/>
              <w:ind w:hanging="0" w:left="0"/>
              <w:jc w:val="center"/>
              <w:rPr>
                <w:rFonts w:eastAsia="Calibri"/>
                <w:sz w:val="20"/>
                <w:szCs w:val="20"/>
              </w:rPr>
            </w:pPr>
            <w:r>
              <w:rPr>
                <w:rFonts w:eastAsia="Calibri"/>
                <w:sz w:val="20"/>
                <w:szCs w:val="20"/>
              </w:rPr>
            </w:r>
          </w:p>
        </w:tc>
        <w:tc>
          <w:tcPr>
            <w:tcW w:w="1559" w:type="dxa"/>
            <w:tcBorders>
              <w:top w:val="single" w:sz="4" w:space="0" w:color="000000"/>
              <w:left w:val="single" w:sz="4" w:space="0" w:color="000000"/>
              <w:bottom w:val="single" w:sz="4" w:space="0" w:color="000000"/>
              <w:right w:val="single" w:sz="4" w:space="0" w:color="000000"/>
            </w:tcBorders>
            <w:shd w:color="FFFFFF" w:fill="FFFFFF" w:val="clear"/>
          </w:tcPr>
          <w:p>
            <w:pPr>
              <w:pStyle w:val="Normal"/>
              <w:numPr>
                <w:ilvl w:val="0"/>
                <w:numId w:val="0"/>
              </w:numPr>
              <w:spacing w:lineRule="auto" w:line="240" w:beforeAutospacing="0" w:before="0" w:afterAutospacing="0" w:after="0"/>
              <w:ind w:hanging="0" w:left="0"/>
              <w:jc w:val="center"/>
              <w:rPr>
                <w:rFonts w:eastAsia="Calibri"/>
                <w:bCs/>
                <w:i/>
                <w:i/>
                <w:sz w:val="20"/>
                <w:szCs w:val="20"/>
                <w:highlight w:val="none"/>
              </w:rPr>
            </w:pPr>
            <w:r>
              <w:rPr>
                <w:rFonts w:eastAsia="Calibri"/>
                <w:i/>
                <w:sz w:val="20"/>
                <w:szCs w:val="20"/>
              </w:rPr>
              <w:t>отсутствует</w:t>
            </w:r>
          </w:p>
          <w:p>
            <w:pPr>
              <w:pStyle w:val="Normal"/>
              <w:numPr>
                <w:ilvl w:val="0"/>
                <w:numId w:val="0"/>
              </w:numPr>
              <w:spacing w:lineRule="auto" w:line="240" w:beforeAutospacing="0" w:before="0" w:afterAutospacing="0" w:after="0"/>
              <w:ind w:hanging="0" w:left="0"/>
              <w:jc w:val="center"/>
              <w:rPr>
                <w:rFonts w:eastAsia="Calibri"/>
                <w:bCs/>
                <w:i/>
                <w:i/>
                <w:sz w:val="20"/>
                <w:szCs w:val="20"/>
              </w:rPr>
            </w:pPr>
            <w:r>
              <w:rPr>
                <w:rFonts w:eastAsia="Calibri"/>
                <w:bCs/>
                <w:i/>
                <w:sz w:val="20"/>
                <w:szCs w:val="20"/>
              </w:rPr>
            </w:r>
          </w:p>
        </w:tc>
        <w:tc>
          <w:tcPr>
            <w:tcW w:w="1263" w:type="dxa"/>
            <w:tcBorders>
              <w:top w:val="single" w:sz="4" w:space="0" w:color="000000"/>
              <w:left w:val="single" w:sz="4" w:space="0" w:color="000000"/>
              <w:bottom w:val="single" w:sz="4" w:space="0" w:color="000000"/>
              <w:right w:val="single" w:sz="4" w:space="0" w:color="000000"/>
            </w:tcBorders>
            <w:shd w:color="FFFFFF" w:fill="FFFFFF" w:val="clear"/>
          </w:tcPr>
          <w:p>
            <w:pPr>
              <w:pStyle w:val="Normal"/>
              <w:numPr>
                <w:ilvl w:val="0"/>
                <w:numId w:val="0"/>
              </w:numPr>
              <w:spacing w:lineRule="auto" w:line="240" w:beforeAutospacing="0" w:before="0" w:afterAutospacing="0" w:after="0"/>
              <w:ind w:hanging="0" w:left="0"/>
              <w:jc w:val="center"/>
              <w:rPr>
                <w:rFonts w:eastAsia="Calibri"/>
                <w:sz w:val="20"/>
                <w:szCs w:val="20"/>
              </w:rPr>
            </w:pPr>
            <w:r>
              <w:rPr>
                <w:rFonts w:eastAsia="Times New Roman" w:cs="Times New Roman"/>
                <w:sz w:val="20"/>
                <w:szCs w:val="20"/>
              </w:rPr>
              <w:t>90%</w:t>
              <w:br/>
              <w:t>(В</w:t>
            </w:r>
            <w:r>
              <w:rPr>
                <w:rFonts w:eastAsia="Times New Roman" w:cs="Times New Roman"/>
                <w:sz w:val="20"/>
                <w:szCs w:val="20"/>
                <w:vertAlign w:val="subscript"/>
              </w:rPr>
              <w:t>1</w:t>
            </w:r>
            <w:r>
              <w:rPr>
                <w:rFonts w:eastAsia="Times New Roman" w:cs="Times New Roman"/>
                <w:sz w:val="20"/>
                <w:szCs w:val="20"/>
              </w:rPr>
              <w:t xml:space="preserve"> = 0,90)</w:t>
            </w:r>
          </w:p>
        </w:tc>
        <w:tc>
          <w:tcPr>
            <w:tcW w:w="2051" w:type="dxa"/>
            <w:tcBorders>
              <w:top w:val="single" w:sz="4" w:space="0" w:color="000000"/>
              <w:left w:val="single" w:sz="4" w:space="0" w:color="000000"/>
              <w:bottom w:val="single" w:sz="4" w:space="0" w:color="000000"/>
              <w:right w:val="single" w:sz="4" w:space="0" w:color="000000"/>
            </w:tcBorders>
            <w:shd w:color="FFFFFF" w:fill="FFFFFF" w:val="clear"/>
          </w:tcPr>
          <w:p>
            <w:pPr>
              <w:pStyle w:val="3"/>
              <w:numPr>
                <w:ilvl w:val="7"/>
                <w:numId w:val="23"/>
              </w:numPr>
              <w:spacing w:lineRule="auto" w:line="240" w:beforeAutospacing="0" w:before="0" w:afterAutospacing="0" w:after="0"/>
              <w:ind w:hanging="0" w:left="0" w:right="0"/>
              <w:jc w:val="center"/>
              <w:rPr>
                <w:sz w:val="18"/>
                <w:szCs w:val="18"/>
              </w:rPr>
            </w:pPr>
            <w:r>
              <w:rPr>
                <w:sz w:val="20"/>
                <w:szCs w:val="20"/>
              </w:rPr>
              <w:t>Чем меньше стоимость заявки Участника, тем выше предпочтительность</w:t>
            </w:r>
          </w:p>
          <w:p>
            <w:pPr>
              <w:pStyle w:val="Normal"/>
              <w:numPr>
                <w:ilvl w:val="0"/>
                <w:numId w:val="0"/>
              </w:numPr>
              <w:spacing w:lineRule="auto" w:line="240" w:beforeAutospacing="0" w:before="0" w:afterAutospacing="0" w:after="0"/>
              <w:ind w:hanging="0" w:left="0"/>
              <w:jc w:val="center"/>
              <w:rPr>
                <w:rFonts w:eastAsia="Calibri"/>
                <w:sz w:val="20"/>
                <w:szCs w:val="20"/>
              </w:rPr>
            </w:pPr>
            <w:r>
              <w:rPr>
                <w:rFonts w:eastAsia="Calibri"/>
                <w:sz w:val="20"/>
                <w:szCs w:val="20"/>
              </w:rPr>
            </w:r>
          </w:p>
        </w:tc>
        <w:tc>
          <w:tcPr>
            <w:tcW w:w="6720" w:type="dxa"/>
            <w:tcBorders>
              <w:top w:val="single" w:sz="4" w:space="0" w:color="000000"/>
              <w:left w:val="single" w:sz="4" w:space="0" w:color="000000"/>
              <w:bottom w:val="single" w:sz="4" w:space="0" w:color="000000"/>
              <w:right w:val="single" w:sz="4" w:space="0" w:color="000000"/>
            </w:tcBorders>
            <w:shd w:color="FFFFFF" w:fill="FFFFFF" w:val="clear"/>
          </w:tcPr>
          <w:p>
            <w:pPr>
              <w:pStyle w:val="Normal"/>
              <w:numPr>
                <w:ilvl w:val="0"/>
                <w:numId w:val="0"/>
              </w:numPr>
              <w:spacing w:lineRule="auto" w:line="240" w:beforeAutospacing="0" w:before="0" w:afterAutospacing="0" w:after="0"/>
              <w:ind w:hanging="0" w:left="0"/>
              <w:jc w:val="both"/>
              <w:rPr>
                <w:rFonts w:eastAsia="Calibri"/>
                <w:sz w:val="20"/>
                <w:szCs w:val="20"/>
                <w:highlight w:val="none"/>
              </w:rPr>
            </w:pPr>
            <w:r>
              <w:rPr>
                <w:rFonts w:eastAsia="Calibri"/>
                <w:sz w:val="20"/>
                <w:szCs w:val="20"/>
              </w:rPr>
              <w:t>Расчет оценки предпочтительности по частному критерию по методу «Математическая формула, задающая «функцию ценности»:</w:t>
            </w:r>
          </w:p>
          <w:p>
            <w:pPr>
              <w:pStyle w:val="Normal"/>
              <w:numPr>
                <w:ilvl w:val="0"/>
                <w:numId w:val="0"/>
              </w:numPr>
              <w:spacing w:lineRule="auto" w:line="240" w:beforeAutospacing="0" w:before="0" w:afterAutospacing="0" w:after="0"/>
              <w:ind w:hanging="0" w:left="0"/>
              <w:jc w:val="both"/>
              <w:rPr>
                <w:rFonts w:eastAsia="Calibri"/>
                <w:sz w:val="20"/>
                <w:szCs w:val="20"/>
              </w:rPr>
            </w:pPr>
            <w:r>
              <w:rPr>
                <w:rFonts w:eastAsia="Calibri"/>
                <w:sz w:val="20"/>
                <w:szCs w:val="20"/>
              </w:rPr>
            </w:r>
          </w:p>
          <w:p>
            <w:pPr>
              <w:pStyle w:val="Normal"/>
              <w:numPr>
                <w:ilvl w:val="0"/>
                <w:numId w:val="0"/>
              </w:numPr>
              <w:spacing w:lineRule="auto" w:line="240" w:beforeAutospacing="0" w:before="0" w:afterAutospacing="0" w:after="0"/>
              <w:ind w:hanging="0" w:left="0"/>
              <w:jc w:val="center"/>
              <w:rPr>
                <w:rFonts w:eastAsia="Calibri"/>
                <w:sz w:val="20"/>
                <w:szCs w:val="20"/>
              </w:rPr>
            </w:pPr>
            <w:r>
              <w:rPr/>
            </w:r>
            <m:oMathPara xmlns:m="http://schemas.openxmlformats.org/officeDocument/2006/math">
              <m:oMathParaPr>
                <m:jc m:val="center"/>
              </m:oMathParaPr>
              <m:oMath>
                <m:sSub>
                  <m:e>
                    <m:r>
                      <w:rPr>
                        <w:rFonts w:ascii="Cambria Math" w:hAnsi="Cambria Math"/>
                      </w:rPr>
                      <m:t xml:space="preserve">Б</m:t>
                    </m:r>
                  </m:e>
                  <m:sub>
                    <m:r>
                      <w:rPr>
                        <w:rFonts w:ascii="Cambria Math" w:hAnsi="Cambria Math"/>
                      </w:rPr>
                      <m:t xml:space="preserve">1</m:t>
                    </m:r>
                  </m:sub>
                </m:sSub>
                <m:r>
                  <w:rPr>
                    <w:rFonts w:ascii="Cambria Math" w:hAnsi="Cambria Math"/>
                  </w:rPr>
                  <m:t xml:space="preserve">=</m:t>
                </m:r>
                <m:f>
                  <m:num>
                    <m:r>
                      <w:rPr>
                        <w:rFonts w:ascii="Cambria Math" w:hAnsi="Cambria Math"/>
                      </w:rPr>
                      <m:t xml:space="preserve">ЦЕНА</m:t>
                    </m:r>
                    <m:r>
                      <w:rPr>
                        <w:rFonts w:ascii="Cambria Math" w:hAnsi="Cambria Math"/>
                      </w:rPr>
                      <m:t xml:space="preserve">min</m:t>
                    </m:r>
                  </m:num>
                  <m:den>
                    <m:r>
                      <w:rPr>
                        <w:rFonts w:ascii="Cambria Math" w:hAnsi="Cambria Math"/>
                      </w:rPr>
                      <m:t xml:space="preserve">Ц</m:t>
                    </m:r>
                    <m:r>
                      <w:rPr>
                        <w:rFonts w:ascii="Cambria Math" w:hAnsi="Cambria Math"/>
                      </w:rPr>
                      <m:t xml:space="preserve">ЕНА</m:t>
                    </m:r>
                    <m:r>
                      <w:rPr>
                        <w:rFonts w:ascii="Cambria Math" w:hAnsi="Cambria Math"/>
                      </w:rPr>
                      <m:t xml:space="preserve">i</m:t>
                    </m:r>
                  </m:den>
                </m:f>
                <m:r>
                  <w:rPr>
                    <w:rFonts w:ascii="Cambria Math" w:hAnsi="Cambria Math"/>
                  </w:rPr>
                  <m:t xml:space="preserve">×</m:t>
                </m:r>
                <m:r>
                  <w:rPr>
                    <w:rFonts w:ascii="Cambria Math" w:hAnsi="Cambria Math"/>
                  </w:rPr>
                  <m:t xml:space="preserve">Ш</m:t>
                </m:r>
                <m:r>
                  <w:rPr>
                    <w:rFonts w:ascii="Cambria Math" w:hAnsi="Cambria Math"/>
                  </w:rPr>
                  <m:t xml:space="preserve">,</m:t>
                </m:r>
              </m:oMath>
            </m:oMathPara>
          </w:p>
          <w:p>
            <w:pPr>
              <w:pStyle w:val="Normal"/>
              <w:keepNext w:val="true"/>
              <w:numPr>
                <w:ilvl w:val="0"/>
                <w:numId w:val="0"/>
              </w:numPr>
              <w:spacing w:lineRule="auto" w:line="240" w:beforeAutospacing="0" w:before="0" w:afterAutospacing="0" w:after="0"/>
              <w:ind w:hanging="0" w:left="0"/>
              <w:jc w:val="both"/>
              <w:rPr>
                <w:rFonts w:eastAsia="Calibri"/>
                <w:sz w:val="20"/>
                <w:szCs w:val="20"/>
              </w:rPr>
            </w:pPr>
            <w:r>
              <w:rPr>
                <w:rFonts w:eastAsia="Calibri"/>
                <w:sz w:val="20"/>
                <w:szCs w:val="20"/>
              </w:rPr>
              <w:t>где:</w:t>
            </w:r>
          </w:p>
          <w:p>
            <w:pPr>
              <w:pStyle w:val="Normal"/>
              <w:numPr>
                <w:ilvl w:val="0"/>
                <w:numId w:val="0"/>
              </w:numPr>
              <w:spacing w:lineRule="auto" w:line="240" w:beforeAutospacing="0" w:before="0" w:afterAutospacing="0" w:after="0"/>
              <w:ind w:hanging="0" w:left="0"/>
              <w:jc w:val="both"/>
              <w:rPr>
                <w:rFonts w:eastAsia="Calibri"/>
                <w:sz w:val="20"/>
                <w:szCs w:val="20"/>
              </w:rPr>
            </w:pPr>
            <w:r>
              <w:rPr>
                <w:rFonts w:eastAsia="Calibri"/>
                <w:sz w:val="20"/>
                <w:szCs w:val="20"/>
                <w:lang w:eastAsia="en-US"/>
              </w:rPr>
              <w:t>Б</w:t>
            </w:r>
            <w:r>
              <w:rPr>
                <w:rFonts w:eastAsia="Calibri"/>
                <w:sz w:val="20"/>
                <w:szCs w:val="20"/>
                <w:vertAlign w:val="subscript"/>
                <w:lang w:eastAsia="en-US"/>
              </w:rPr>
              <w:t>1</w:t>
            </w:r>
            <w:r>
              <w:rPr>
                <w:rFonts w:eastAsia="Calibri"/>
                <w:sz w:val="20"/>
                <w:szCs w:val="20"/>
                <w:lang w:eastAsia="en-US"/>
              </w:rPr>
              <w:t xml:space="preserve"> – рассчитанная оценка предпочтительности по частному критерию оценки в баллах;</w:t>
            </w:r>
          </w:p>
          <w:p>
            <w:pPr>
              <w:pStyle w:val="Normal"/>
              <w:numPr>
                <w:ilvl w:val="0"/>
                <w:numId w:val="0"/>
              </w:numPr>
              <w:spacing w:lineRule="auto" w:line="240" w:beforeAutospacing="0" w:before="0" w:afterAutospacing="0" w:after="0"/>
              <w:ind w:hanging="0" w:left="0"/>
              <w:jc w:val="both"/>
              <w:rPr>
                <w:rFonts w:eastAsia="Calibri"/>
                <w:sz w:val="20"/>
                <w:szCs w:val="20"/>
              </w:rPr>
            </w:pPr>
            <w:r>
              <w:rPr>
                <w:rFonts w:eastAsia="Calibri"/>
                <w:sz w:val="20"/>
                <w:szCs w:val="20"/>
                <w:lang w:eastAsia="en-US"/>
              </w:rPr>
              <w:t>ЦЕНА</w:t>
            </w:r>
            <w:r>
              <w:rPr>
                <w:rFonts w:eastAsia="Calibri"/>
                <w:i/>
                <w:iCs/>
                <w:sz w:val="20"/>
                <w:szCs w:val="20"/>
                <w:vertAlign w:val="subscript"/>
                <w:lang w:val="en-US" w:eastAsia="en-US"/>
              </w:rPr>
              <w:t>i</w:t>
            </w:r>
            <w:r>
              <w:rPr>
                <w:rFonts w:eastAsia="Calibri"/>
                <w:sz w:val="20"/>
                <w:szCs w:val="20"/>
                <w:lang w:eastAsia="en-US"/>
              </w:rPr>
              <w:t>  – цена коммерческого предложения (без НДС), указанная в заявке допущенного участника;</w:t>
            </w:r>
          </w:p>
          <w:p>
            <w:pPr>
              <w:pStyle w:val="Normal"/>
              <w:numPr>
                <w:ilvl w:val="0"/>
                <w:numId w:val="0"/>
              </w:numPr>
              <w:spacing w:lineRule="auto" w:line="240" w:beforeAutospacing="0" w:before="0" w:afterAutospacing="0" w:after="0"/>
              <w:ind w:hanging="0" w:left="0"/>
              <w:jc w:val="both"/>
              <w:rPr>
                <w:rFonts w:eastAsia="Calibri"/>
                <w:sz w:val="20"/>
                <w:szCs w:val="20"/>
              </w:rPr>
            </w:pPr>
            <w:r>
              <w:rPr>
                <w:rFonts w:eastAsia="Calibri"/>
                <w:sz w:val="20"/>
                <w:szCs w:val="20"/>
                <w:lang w:eastAsia="en-US"/>
              </w:rPr>
              <w:t>ЦЕНА</w:t>
            </w:r>
            <w:r>
              <w:rPr>
                <w:rFonts w:eastAsia="Calibri"/>
                <w:sz w:val="20"/>
                <w:szCs w:val="20"/>
                <w:vertAlign w:val="subscript"/>
                <w:lang w:val="en-US" w:eastAsia="en-US"/>
              </w:rPr>
              <w:t>min</w:t>
            </w:r>
            <w:r>
              <w:rPr>
                <w:rFonts w:eastAsia="Calibri"/>
                <w:sz w:val="20"/>
                <w:szCs w:val="20"/>
                <w:vertAlign w:val="subscript"/>
                <w:lang w:eastAsia="en-US"/>
              </w:rPr>
              <w:t xml:space="preserve"> </w:t>
            </w:r>
            <w:r>
              <w:rPr>
                <w:rFonts w:eastAsia="Calibri"/>
                <w:sz w:val="20"/>
                <w:szCs w:val="20"/>
                <w:lang w:eastAsia="en-US"/>
              </w:rPr>
              <w:t>– минимальная цена коммерческого предложения (без НДС) среди всех допущенных заявок участников;</w:t>
            </w:r>
          </w:p>
          <w:p>
            <w:pPr>
              <w:pStyle w:val="Normal"/>
              <w:numPr>
                <w:ilvl w:val="0"/>
                <w:numId w:val="0"/>
              </w:numPr>
              <w:spacing w:lineRule="auto" w:line="240" w:beforeAutospacing="0" w:before="0" w:afterAutospacing="0" w:after="0"/>
              <w:ind w:hanging="0" w:left="0"/>
              <w:jc w:val="both"/>
              <w:rPr>
                <w:rFonts w:eastAsia="Calibri"/>
                <w:sz w:val="20"/>
                <w:szCs w:val="20"/>
              </w:rPr>
            </w:pPr>
            <w:r>
              <w:rPr>
                <w:rFonts w:eastAsia="Calibri"/>
                <w:sz w:val="20"/>
                <w:szCs w:val="20"/>
                <w:lang w:eastAsia="en-US"/>
              </w:rPr>
              <w:t>Ш – максимально возможный балл (максимальная возможная оценка предпочтительности) по установленной в документации о закупке шкале оценок (Ш = 5).</w:t>
            </w:r>
          </w:p>
          <w:p>
            <w:pPr>
              <w:pStyle w:val="Normal"/>
              <w:numPr>
                <w:ilvl w:val="0"/>
                <w:numId w:val="0"/>
              </w:numPr>
              <w:spacing w:lineRule="auto" w:line="240" w:beforeAutospacing="0" w:before="0" w:afterAutospacing="0" w:after="0"/>
              <w:ind w:hanging="0" w:left="0"/>
              <w:jc w:val="both"/>
              <w:rPr>
                <w:rFonts w:eastAsia="Calibri"/>
                <w:sz w:val="20"/>
                <w:szCs w:val="20"/>
              </w:rPr>
            </w:pPr>
            <w:r>
              <w:rPr>
                <w:rFonts w:eastAsia="Calibri"/>
                <w:sz w:val="20"/>
                <w:szCs w:val="20"/>
                <w:lang w:eastAsia="en-US"/>
              </w:rPr>
              <w:t>Оценка предпочтительности заявок осуществляется в едином базисе сопоставления ценовых (стоимостных) предложений, установленном в документации о закупке: без учета НДС.</w:t>
            </w:r>
          </w:p>
          <w:p>
            <w:pPr>
              <w:pStyle w:val="Normal"/>
              <w:spacing w:beforeAutospacing="0" w:before="0" w:afterAutospacing="0" w:after="0"/>
              <w:ind w:hanging="0"/>
              <w:jc w:val="both"/>
              <w:rPr>
                <w:rFonts w:eastAsia="Calibri"/>
                <w:sz w:val="20"/>
                <w:szCs w:val="20"/>
              </w:rPr>
            </w:pPr>
            <w:r>
              <w:rPr>
                <w:rFonts w:eastAsia="Calibri"/>
                <w:b/>
                <w:bCs/>
                <w:sz w:val="20"/>
                <w:szCs w:val="20"/>
                <w:lang w:eastAsia="en-US"/>
              </w:rPr>
              <w:t>Шкала оценок от 0 до 5 баллов.</w:t>
            </w:r>
          </w:p>
        </w:tc>
      </w:tr>
      <w:tr>
        <w:trPr>
          <w:trHeight w:val="709" w:hRule="atLeast"/>
        </w:trPr>
        <w:tc>
          <w:tcPr>
            <w:tcW w:w="850" w:type="dxa"/>
            <w:tcBorders>
              <w:top w:val="single" w:sz="4" w:space="0" w:color="000000"/>
              <w:left w:val="single" w:sz="4" w:space="0" w:color="000000"/>
              <w:bottom w:val="single" w:sz="4" w:space="0" w:color="000000"/>
              <w:right w:val="single" w:sz="4" w:space="0" w:color="000000"/>
            </w:tcBorders>
            <w:shd w:color="FFFFFF" w:fill="FFFFFF" w:val="clear"/>
          </w:tcPr>
          <w:p>
            <w:pPr>
              <w:pStyle w:val="Normal"/>
              <w:numPr>
                <w:ilvl w:val="0"/>
                <w:numId w:val="0"/>
              </w:numPr>
              <w:spacing w:lineRule="auto" w:line="240" w:before="120" w:after="0"/>
              <w:ind w:hanging="0" w:left="0"/>
              <w:jc w:val="center"/>
              <w:rPr>
                <w:rFonts w:eastAsia="Calibri"/>
                <w:sz w:val="20"/>
                <w:szCs w:val="20"/>
              </w:rPr>
            </w:pPr>
            <w:r>
              <w:rPr>
                <w:rFonts w:eastAsia="Calibri"/>
                <w:sz w:val="20"/>
                <w:szCs w:val="20"/>
              </w:rPr>
              <w:t>2.</w:t>
            </w:r>
          </w:p>
        </w:tc>
        <w:tc>
          <w:tcPr>
            <w:tcW w:w="1276" w:type="dxa"/>
            <w:tcBorders>
              <w:top w:val="single" w:sz="4" w:space="0" w:color="000000"/>
              <w:left w:val="single" w:sz="4" w:space="0" w:color="000000"/>
              <w:bottom w:val="single" w:sz="4" w:space="0" w:color="000000"/>
              <w:right w:val="single" w:sz="4" w:space="0" w:color="000000"/>
            </w:tcBorders>
            <w:shd w:color="FFFFFF" w:fill="FFFFFF" w:val="clear"/>
          </w:tcPr>
          <w:p>
            <w:pPr>
              <w:pStyle w:val="Normal"/>
              <w:widowControl w:val="false"/>
              <w:spacing w:before="0" w:after="0"/>
              <w:jc w:val="center"/>
              <w:rPr>
                <w:rFonts w:eastAsia="Calibri" w:cs="Times New Roman"/>
                <w:sz w:val="20"/>
                <w:szCs w:val="20"/>
              </w:rPr>
            </w:pPr>
            <w:r>
              <w:rPr>
                <w:sz w:val="20"/>
                <w:szCs w:val="20"/>
              </w:rPr>
              <w:t>Неценовой критерий оценки первого уровня / ТЕХ</w:t>
            </w:r>
          </w:p>
          <w:p>
            <w:pPr>
              <w:pStyle w:val="Normal"/>
              <w:numPr>
                <w:ilvl w:val="0"/>
                <w:numId w:val="0"/>
              </w:numPr>
              <w:spacing w:lineRule="auto" w:line="240"/>
              <w:ind w:hanging="0" w:left="0"/>
              <w:jc w:val="center"/>
              <w:rPr>
                <w:rFonts w:eastAsia="Calibri"/>
                <w:sz w:val="20"/>
                <w:szCs w:val="20"/>
              </w:rPr>
            </w:pPr>
            <w:r>
              <w:rPr>
                <w:rFonts w:eastAsia="Calibri"/>
                <w:sz w:val="20"/>
                <w:szCs w:val="20"/>
              </w:rPr>
            </w:r>
          </w:p>
        </w:tc>
        <w:tc>
          <w:tcPr>
            <w:tcW w:w="1417" w:type="dxa"/>
            <w:tcBorders>
              <w:top w:val="single" w:sz="4" w:space="0" w:color="000000"/>
              <w:left w:val="single" w:sz="4" w:space="0" w:color="000000"/>
              <w:bottom w:val="single" w:sz="4" w:space="0" w:color="000000"/>
              <w:right w:val="single" w:sz="4" w:space="0" w:color="000000"/>
            </w:tcBorders>
            <w:shd w:color="FFFFFF" w:fill="FFFFFF" w:val="clear"/>
          </w:tcPr>
          <w:p>
            <w:pPr>
              <w:pStyle w:val="Normal"/>
              <w:numPr>
                <w:ilvl w:val="0"/>
                <w:numId w:val="0"/>
              </w:numPr>
              <w:spacing w:lineRule="auto" w:line="240" w:before="120" w:after="0"/>
              <w:ind w:hanging="0" w:left="0"/>
              <w:jc w:val="center"/>
              <w:rPr>
                <w:rFonts w:eastAsia="Calibri"/>
                <w:sz w:val="20"/>
                <w:szCs w:val="20"/>
              </w:rPr>
            </w:pPr>
            <w:r>
              <w:rPr>
                <w:sz w:val="20"/>
                <w:szCs w:val="20"/>
              </w:rPr>
              <w:t>Квалификация (предпочтительность) участника</w:t>
            </w:r>
          </w:p>
        </w:tc>
        <w:tc>
          <w:tcPr>
            <w:tcW w:w="1559" w:type="dxa"/>
            <w:tcBorders>
              <w:top w:val="single" w:sz="4" w:space="0" w:color="000000"/>
              <w:left w:val="single" w:sz="4" w:space="0" w:color="000000"/>
              <w:bottom w:val="single" w:sz="4" w:space="0" w:color="000000"/>
              <w:right w:val="single" w:sz="4" w:space="0" w:color="000000"/>
            </w:tcBorders>
            <w:shd w:color="FFFFFF" w:fill="FFFFFF" w:val="clear"/>
          </w:tcPr>
          <w:p>
            <w:pPr>
              <w:pStyle w:val="Normal"/>
              <w:numPr>
                <w:ilvl w:val="0"/>
                <w:numId w:val="0"/>
              </w:numPr>
              <w:spacing w:lineRule="auto" w:line="240" w:beforeAutospacing="0" w:before="0" w:after="0"/>
              <w:ind w:hanging="0" w:left="0"/>
              <w:jc w:val="center"/>
              <w:rPr>
                <w:rFonts w:eastAsia="Calibri"/>
                <w:sz w:val="20"/>
                <w:szCs w:val="20"/>
              </w:rPr>
            </w:pPr>
            <w:r>
              <w:rPr>
                <w:rFonts w:eastAsia="Calibri"/>
                <w:i/>
                <w:sz w:val="20"/>
                <w:szCs w:val="20"/>
              </w:rPr>
              <w:t>отсутствует</w:t>
            </w:r>
          </w:p>
        </w:tc>
        <w:tc>
          <w:tcPr>
            <w:tcW w:w="1263" w:type="dxa"/>
            <w:tcBorders>
              <w:top w:val="single" w:sz="4" w:space="0" w:color="000000"/>
              <w:left w:val="single" w:sz="4" w:space="0" w:color="000000"/>
              <w:bottom w:val="single" w:sz="4" w:space="0" w:color="000000"/>
              <w:right w:val="single" w:sz="4" w:space="0" w:color="000000"/>
            </w:tcBorders>
            <w:shd w:color="FFFFFF" w:fill="FFFFFF" w:val="clear"/>
          </w:tcPr>
          <w:p>
            <w:pPr>
              <w:pStyle w:val="Normal"/>
              <w:numPr>
                <w:ilvl w:val="0"/>
                <w:numId w:val="0"/>
              </w:numPr>
              <w:spacing w:lineRule="auto" w:line="240" w:before="120" w:after="0"/>
              <w:ind w:hanging="0" w:left="0"/>
              <w:contextualSpacing/>
              <w:jc w:val="center"/>
              <w:rPr>
                <w:sz w:val="20"/>
                <w:szCs w:val="20"/>
              </w:rPr>
            </w:pPr>
            <w:r>
              <w:rPr>
                <w:rFonts w:eastAsia="Times New Roman" w:cs="Times New Roman"/>
                <w:sz w:val="20"/>
                <w:szCs w:val="20"/>
              </w:rPr>
              <w:t>5%</w:t>
              <w:br/>
              <w:t>(В</w:t>
            </w:r>
            <w:r>
              <w:rPr>
                <w:rFonts w:eastAsia="Times New Roman" w:cs="Times New Roman"/>
                <w:sz w:val="20"/>
                <w:szCs w:val="20"/>
                <w:vertAlign w:val="subscript"/>
              </w:rPr>
              <w:t>2</w:t>
            </w:r>
            <w:r>
              <w:rPr>
                <w:rFonts w:eastAsia="Times New Roman" w:cs="Times New Roman"/>
                <w:sz w:val="20"/>
                <w:szCs w:val="20"/>
              </w:rPr>
              <w:t xml:space="preserve"> = 0,05)</w:t>
            </w:r>
          </w:p>
        </w:tc>
        <w:tc>
          <w:tcPr>
            <w:tcW w:w="2051" w:type="dxa"/>
            <w:tcBorders>
              <w:top w:val="single" w:sz="4" w:space="0" w:color="000000"/>
              <w:left w:val="single" w:sz="4" w:space="0" w:color="000000"/>
              <w:bottom w:val="single" w:sz="4" w:space="0" w:color="000000"/>
              <w:right w:val="single" w:sz="4" w:space="0" w:color="000000"/>
            </w:tcBorders>
            <w:shd w:color="FFFFFF" w:fill="FFFFFF" w:val="clear"/>
          </w:tcPr>
          <w:p>
            <w:pPr>
              <w:pStyle w:val="Normal"/>
              <w:keepNext w:val="true"/>
              <w:keepLines/>
              <w:numPr>
                <w:ilvl w:val="0"/>
                <w:numId w:val="0"/>
              </w:numPr>
              <w:spacing w:beforeAutospacing="0" w:before="0" w:afterAutospacing="0" w:after="0"/>
              <w:ind w:hanging="0" w:left="0"/>
              <w:jc w:val="center"/>
              <w:rPr>
                <w:rFonts w:ascii="Times New Roman" w:hAnsi="Times New Roman" w:cs="Times New Roman"/>
                <w:b w:val="false"/>
                <w:bCs w:val="false"/>
                <w:sz w:val="20"/>
                <w:szCs w:val="20"/>
              </w:rPr>
            </w:pPr>
            <w:r>
              <w:rPr>
                <w:rFonts w:eastAsia="Times New Roman" w:cs="Times New Roman"/>
                <w:b w:val="false"/>
                <w:bCs w:val="false"/>
                <w:i w:val="false"/>
                <w:iCs w:val="false"/>
                <w:sz w:val="20"/>
                <w:szCs w:val="20"/>
              </w:rPr>
              <w:t xml:space="preserve">Чем больше опыт оказания </w:t>
            </w:r>
            <w:r>
              <w:rPr>
                <w:rFonts w:eastAsia="Times New Roman" w:cs="Times New Roman"/>
                <w:b w:val="false"/>
                <w:bCs w:val="false"/>
                <w:i w:val="false"/>
                <w:iCs w:val="false"/>
                <w:sz w:val="20"/>
                <w:szCs w:val="20"/>
                <w:shd w:fill="FFFF00" w:val="clear"/>
              </w:rPr>
              <w:t xml:space="preserve">услуг по </w:t>
            </w:r>
            <w:r>
              <w:rPr>
                <w:rFonts w:eastAsia="Calibri" w:cs="Times New Roman"/>
                <w:b w:val="false"/>
                <w:bCs w:val="false"/>
                <w:i w:val="false"/>
                <w:iCs w:val="false"/>
                <w:strike w:val="false"/>
                <w:dstrike w:val="false"/>
                <w:color w:val="000000"/>
                <w:sz w:val="20"/>
                <w:szCs w:val="20"/>
                <w:u w:val="none"/>
                <w:shd w:fill="FFFF00" w:val="clear"/>
                <w:lang w:val="ru-RU" w:eastAsia="ru-RU" w:bidi="ar-SA"/>
              </w:rPr>
              <w:t>охране</w:t>
            </w:r>
            <w:r>
              <w:rPr>
                <w:rFonts w:eastAsia="Times New Roman" w:cs="Times New Roman"/>
                <w:b w:val="false"/>
                <w:bCs w:val="false"/>
                <w:i w:val="false"/>
                <w:iCs w:val="false"/>
                <w:sz w:val="20"/>
                <w:szCs w:val="20"/>
                <w:shd w:fill="FFFF00" w:val="clear"/>
              </w:rPr>
              <w:t>,</w:t>
            </w:r>
            <w:r>
              <w:rPr>
                <w:rFonts w:eastAsia="Times New Roman" w:cs="Times New Roman"/>
                <w:b w:val="false"/>
                <w:bCs w:val="false"/>
                <w:i w:val="false"/>
                <w:iCs w:val="false"/>
                <w:sz w:val="20"/>
                <w:szCs w:val="20"/>
              </w:rPr>
              <w:t xml:space="preserve"> тем выше предпочтительность.</w:t>
            </w:r>
          </w:p>
          <w:p>
            <w:pPr>
              <w:pStyle w:val="Normal"/>
              <w:keepNext w:val="true"/>
              <w:keepLines/>
              <w:numPr>
                <w:ilvl w:val="0"/>
                <w:numId w:val="0"/>
              </w:numPr>
              <w:spacing w:before="0" w:after="0"/>
              <w:ind w:hanging="0" w:left="0"/>
              <w:jc w:val="center"/>
              <w:rPr>
                <w:rFonts w:ascii="Times New Roman" w:hAnsi="Times New Roman" w:cs="Times New Roman"/>
                <w:b w:val="false"/>
                <w:bCs w:val="false"/>
                <w:sz w:val="20"/>
                <w:szCs w:val="20"/>
              </w:rPr>
            </w:pPr>
            <w:r>
              <w:rPr>
                <w:rFonts w:cs="Times New Roman"/>
                <w:b w:val="false"/>
                <w:bCs w:val="false"/>
                <w:sz w:val="20"/>
                <w:szCs w:val="20"/>
              </w:rPr>
            </w:r>
          </w:p>
          <w:p>
            <w:pPr>
              <w:pStyle w:val="Normal"/>
              <w:numPr>
                <w:ilvl w:val="0"/>
                <w:numId w:val="0"/>
              </w:numPr>
              <w:spacing w:lineRule="auto" w:line="240" w:before="120" w:after="0"/>
              <w:ind w:hanging="0" w:left="0"/>
              <w:contextualSpacing/>
              <w:jc w:val="center"/>
              <w:rPr>
                <w:sz w:val="20"/>
                <w:szCs w:val="20"/>
              </w:rPr>
            </w:pPr>
            <w:r>
              <w:rPr>
                <w:sz w:val="20"/>
                <w:szCs w:val="20"/>
              </w:rPr>
            </w:r>
          </w:p>
        </w:tc>
        <w:tc>
          <w:tcPr>
            <w:tcW w:w="6720" w:type="dxa"/>
            <w:tcBorders>
              <w:top w:val="single" w:sz="4" w:space="0" w:color="000000"/>
              <w:left w:val="single" w:sz="4" w:space="0" w:color="000000"/>
              <w:bottom w:val="single" w:sz="4" w:space="0" w:color="000000"/>
              <w:right w:val="single" w:sz="4" w:space="0" w:color="000000"/>
            </w:tcBorders>
            <w:shd w:color="FFFFFF" w:fill="FFFFFF" w:val="clear"/>
          </w:tcPr>
          <w:p>
            <w:pPr>
              <w:pStyle w:val="Normal"/>
              <w:spacing w:lineRule="auto" w:line="240" w:beforeAutospacing="0" w:before="0" w:after="0"/>
              <w:ind w:hanging="0"/>
              <w:jc w:val="both"/>
              <w:rPr>
                <w:color w:val="000000" w:themeColor="text1"/>
                <w:sz w:val="20"/>
                <w:szCs w:val="20"/>
              </w:rPr>
            </w:pPr>
            <w:r>
              <w:rPr>
                <w:color w:val="000000" w:themeColor="text1"/>
                <w:sz w:val="20"/>
                <w:szCs w:val="20"/>
              </w:rPr>
              <w:t>Расчет оценки предпочтительности по частному критерию по методу «Оценка предпочтительности посредством однозначной числовой шкалы измерений»:</w:t>
            </w:r>
          </w:p>
          <w:p>
            <w:pPr>
              <w:pStyle w:val="3"/>
              <w:keepNext w:val="true"/>
              <w:numPr>
                <w:ilvl w:val="7"/>
                <w:numId w:val="22"/>
              </w:numPr>
              <w:spacing w:lineRule="auto" w:line="240" w:beforeAutospacing="0" w:before="0" w:afterAutospacing="0" w:after="0"/>
              <w:ind w:hanging="0" w:left="0" w:right="0"/>
              <w:jc w:val="both"/>
              <w:rPr>
                <w:rFonts w:eastAsia="Times New Roman"/>
                <w:i w:val="false"/>
                <w:i w:val="false"/>
                <w:iCs w:val="false"/>
                <w:color w:val="000000" w:themeColor="text1"/>
                <w:sz w:val="20"/>
                <w:szCs w:val="20"/>
              </w:rPr>
            </w:pPr>
            <w:r>
              <w:rPr>
                <w:sz w:val="20"/>
                <w:szCs w:val="20"/>
                <w:lang w:eastAsia="ru-RU"/>
              </w:rPr>
              <w:t xml:space="preserve">Для целей проведения оценки по данному критерию Участник должен предоставить в составе заявки (в Справке об опыте Участника по установленной в Документации о закупке форме) сведения о ранее исполненных договорах, подтверждающих наличие совокупного опыта (в рамках одного или нескольких договоров) </w:t>
            </w:r>
            <w:r>
              <w:rPr>
                <w:rFonts w:eastAsia="Calibri" w:cs="Times New Roman"/>
                <w:b w:val="false"/>
                <w:i w:val="false"/>
                <w:iCs w:val="false"/>
                <w:strike w:val="false"/>
                <w:dstrike w:val="false"/>
                <w:color w:val="000000"/>
                <w:sz w:val="20"/>
                <w:szCs w:val="20"/>
                <w:highlight w:val="yellow"/>
                <w:u w:val="none"/>
                <w:lang w:val="ru-RU" w:eastAsia="ru-RU" w:bidi="ar-SA"/>
              </w:rPr>
              <w:t>оказания услуг по охране</w:t>
            </w:r>
            <w:r>
              <w:rPr>
                <w:rFonts w:eastAsia="Calibri" w:cs="Times New Roman"/>
                <w:b w:val="false"/>
                <w:i w:val="false"/>
                <w:iCs w:val="false"/>
                <w:strike w:val="false"/>
                <w:dstrike w:val="false"/>
                <w:color w:val="000000"/>
                <w:sz w:val="18"/>
                <w:szCs w:val="18"/>
                <w:u w:val="none"/>
                <w:lang w:val="ru-RU" w:eastAsia="ru-RU" w:bidi="ar-SA"/>
              </w:rPr>
              <w:t xml:space="preserve"> </w:t>
            </w:r>
            <w:r>
              <w:rPr>
                <w:rFonts w:eastAsia="Times New Roman"/>
                <w:color w:val="000000" w:themeColor="text1"/>
                <w:sz w:val="20"/>
                <w:szCs w:val="20"/>
                <w:lang w:eastAsia="ru-RU"/>
              </w:rPr>
              <w:t>за последние 5 лет, предшествующих дате подачи заявки Участником, с учетом правоприемственности</w:t>
            </w:r>
            <w:r>
              <w:rPr>
                <w:rFonts w:eastAsia="Times New Roman"/>
                <w:color w:val="000000" w:themeColor="text1"/>
                <w:sz w:val="20"/>
                <w:szCs w:val="20"/>
              </w:rPr>
              <w:t>,</w:t>
            </w:r>
            <w:r>
              <w:rPr>
                <w:rFonts w:eastAsia="Times New Roman"/>
                <w:color w:val="000000" w:themeColor="text1"/>
                <w:sz w:val="20"/>
                <w:szCs w:val="20"/>
                <w:lang w:eastAsia="ru-RU"/>
              </w:rPr>
              <w:t xml:space="preserve"> с</w:t>
            </w:r>
            <w:r>
              <w:rPr>
                <w:rFonts w:eastAsia="Times New Roman"/>
                <w:color w:val="000000" w:themeColor="text1"/>
                <w:sz w:val="20"/>
                <w:szCs w:val="20"/>
                <w:u w:val="single"/>
                <w:lang w:eastAsia="ru-RU"/>
              </w:rPr>
              <w:t xml:space="preserve"> приложением следующих подтверждающих док</w:t>
            </w:r>
            <w:r>
              <w:rPr>
                <w:rFonts w:eastAsia="Times New Roman"/>
                <w:i w:val="false"/>
                <w:iCs w:val="false"/>
                <w:color w:val="000000" w:themeColor="text1"/>
                <w:sz w:val="20"/>
                <w:szCs w:val="20"/>
                <w:u w:val="single"/>
                <w:lang w:eastAsia="ru-RU"/>
              </w:rPr>
              <w:t>ументов</w:t>
            </w:r>
            <w:r>
              <w:rPr>
                <w:rFonts w:eastAsia="Times New Roman"/>
                <w:i w:val="false"/>
                <w:iCs w:val="false"/>
                <w:color w:val="000000" w:themeColor="text1"/>
                <w:sz w:val="20"/>
                <w:szCs w:val="20"/>
                <w:lang w:eastAsia="ru-RU"/>
              </w:rPr>
              <w:t>:</w:t>
            </w:r>
          </w:p>
          <w:p>
            <w:pPr>
              <w:pStyle w:val="3"/>
              <w:keepNext w:val="true"/>
              <w:numPr>
                <w:ilvl w:val="0"/>
                <w:numId w:val="0"/>
              </w:numPr>
              <w:spacing w:lineRule="auto" w:line="240" w:beforeAutospacing="0" w:before="0" w:afterAutospacing="0" w:after="0"/>
              <w:ind w:hanging="0" w:left="0" w:right="0"/>
              <w:jc w:val="both"/>
              <w:rPr/>
            </w:pPr>
            <w:r>
              <w:rPr>
                <w:rFonts w:eastAsia="Times New Roman" w:cs="Times New Roman"/>
                <w:i w:val="false"/>
                <w:iCs w:val="false"/>
                <w:color w:val="000000" w:themeColor="text1"/>
                <w:sz w:val="20"/>
                <w:szCs w:val="20"/>
                <w:lang w:eastAsia="en-US"/>
              </w:rPr>
              <w:t>- копии договоров, подписанных с обеих сторон и скрепленных печатями каждой из сторон договора;</w:t>
            </w:r>
          </w:p>
          <w:p>
            <w:pPr>
              <w:pStyle w:val="3"/>
              <w:numPr>
                <w:ilvl w:val="0"/>
                <w:numId w:val="0"/>
              </w:numPr>
              <w:spacing w:lineRule="auto" w:line="240" w:beforeAutospacing="0" w:before="0" w:afterAutospacing="0" w:after="0"/>
              <w:ind w:hanging="0" w:left="0" w:right="0"/>
              <w:jc w:val="both"/>
              <w:rPr/>
            </w:pPr>
            <w:r>
              <w:rPr>
                <w:rFonts w:eastAsia="Times New Roman" w:cs="Times New Roman"/>
                <w:i w:val="false"/>
                <w:iCs w:val="false"/>
                <w:color w:val="000000" w:themeColor="text1"/>
                <w:sz w:val="20"/>
                <w:szCs w:val="20"/>
                <w:lang w:eastAsia="en-US"/>
              </w:rPr>
              <w:t>-  копии актов сдачи-приемки услуг (иных документов, оформляющих, в соответствии с условиями договора, факт оказания услуг), подписанных с обеих сторон и скрепленных печатями каждой из сторон договора, свидетельствующих об оказании услуг в рамках каждого предоставленного договора</w:t>
            </w:r>
          </w:p>
          <w:p>
            <w:pPr>
              <w:pStyle w:val="3"/>
              <w:keepNext w:val="true"/>
              <w:numPr>
                <w:ilvl w:val="0"/>
                <w:numId w:val="0"/>
              </w:numPr>
              <w:spacing w:lineRule="auto" w:line="240" w:beforeAutospacing="0" w:before="0" w:afterAutospacing="0" w:after="0"/>
              <w:ind w:hanging="0" w:left="0" w:right="0"/>
              <w:jc w:val="both"/>
              <w:rPr/>
            </w:pPr>
            <w:r>
              <w:rPr>
                <w:rFonts w:eastAsia="Times New Roman" w:cs="Times New Roman"/>
                <w:i w:val="false"/>
                <w:iCs w:val="false"/>
                <w:color w:val="000000" w:themeColor="text1"/>
                <w:sz w:val="20"/>
                <w:szCs w:val="20"/>
                <w:lang w:eastAsia="en-US"/>
              </w:rPr>
              <w:t>- и/или копии иных документов, предусмотренных требованиями договора, подтверждающих факт его исполнения, с указанием стоимости и наименования выполненных работ, подписанных с обеих сторон и скрепленных печатями каждой из сторон договора.</w:t>
            </w:r>
          </w:p>
          <w:p>
            <w:pPr>
              <w:pStyle w:val="3"/>
              <w:keepNext w:val="true"/>
              <w:numPr>
                <w:ilvl w:val="7"/>
                <w:numId w:val="25"/>
              </w:numPr>
              <w:spacing w:lineRule="auto" w:line="240" w:beforeAutospacing="0" w:before="0" w:after="0"/>
              <w:ind w:firstLine="380" w:left="0" w:right="0"/>
              <w:jc w:val="both"/>
              <w:rPr>
                <w:rFonts w:eastAsia="Times New Roman"/>
                <w:color w:val="000000" w:themeColor="text1"/>
                <w:sz w:val="18"/>
                <w:szCs w:val="18"/>
                <w:highlight w:val="white"/>
              </w:rPr>
            </w:pPr>
            <w:r>
              <w:rPr>
                <w:sz w:val="20"/>
                <w:szCs w:val="20"/>
              </w:rPr>
              <w:t>К рассмотрению не принимаются подтверждающие документы, не указанные в «Справке об опыте Участника», а также сведения, не позволяющие явным (однозначным) образом определить опыт Участника.</w:t>
            </w:r>
          </w:p>
          <w:p>
            <w:pPr>
              <w:pStyle w:val="3"/>
              <w:numPr>
                <w:ilvl w:val="7"/>
                <w:numId w:val="26"/>
              </w:numPr>
              <w:spacing w:lineRule="auto" w:line="240" w:beforeAutospacing="0" w:before="0" w:after="0"/>
              <w:ind w:firstLine="380" w:left="0" w:right="0"/>
              <w:jc w:val="both"/>
              <w:rPr>
                <w:color w:val="FF0000" w:themeColor="text1"/>
                <w:sz w:val="18"/>
                <w:szCs w:val="18"/>
              </w:rPr>
            </w:pPr>
            <w:r>
              <w:rPr>
                <w:rFonts w:eastAsia="Times New Roman"/>
                <w:color w:val="000000" w:themeColor="text1"/>
                <w:sz w:val="20"/>
                <w:szCs w:val="20"/>
                <w:lang w:eastAsia="ru-RU"/>
              </w:rPr>
              <w:t xml:space="preserve">Порядок осуществления оценки (значение оцениваемого параметра), в зависимости от предоставленных в </w:t>
            </w:r>
            <w:r>
              <w:rPr>
                <w:rFonts w:eastAsia="Times New Roman"/>
                <w:i/>
                <w:color w:val="000000" w:themeColor="text1"/>
                <w:sz w:val="20"/>
                <w:szCs w:val="20"/>
                <w:lang w:val="en-US" w:eastAsia="ru-RU"/>
              </w:rPr>
              <w:t>i</w:t>
            </w:r>
            <w:r>
              <w:rPr>
                <w:rFonts w:eastAsia="Times New Roman"/>
                <w:color w:val="000000" w:themeColor="text1"/>
                <w:sz w:val="20"/>
                <w:szCs w:val="20"/>
                <w:lang w:eastAsia="ru-RU"/>
              </w:rPr>
              <w:t>-ой заявке сведений о наличии у Участника совокупного опыта за последние 5 лет, на общую сумму:</w:t>
            </w:r>
          </w:p>
          <w:p>
            <w:pPr>
              <w:pStyle w:val="Normal"/>
              <w:numPr>
                <w:ilvl w:val="0"/>
                <w:numId w:val="0"/>
              </w:numPr>
              <w:spacing w:lineRule="auto" w:line="240" w:beforeAutospacing="0" w:before="0" w:after="0"/>
              <w:ind w:hanging="0" w:left="0"/>
              <w:jc w:val="both"/>
              <w:rPr>
                <w:rFonts w:eastAsia="Calibri" w:eastAsiaTheme="minorHAnsi"/>
                <w:sz w:val="20"/>
                <w:szCs w:val="20"/>
                <w:highlight w:val="white"/>
              </w:rPr>
            </w:pPr>
            <w:r>
              <w:rPr>
                <w:rFonts w:eastAsia="Calibri" w:eastAsiaTheme="minorHAnsi"/>
                <w:sz w:val="20"/>
                <w:szCs w:val="20"/>
                <w:highlight w:val="white"/>
              </w:rPr>
            </w:r>
          </w:p>
          <w:tbl>
            <w:tblPr>
              <w:tblW w:w="6493" w:type="dxa"/>
              <w:jc w:val="left"/>
              <w:tblInd w:w="0" w:type="dxa"/>
              <w:tblLayout w:type="fixed"/>
              <w:tblCellMar>
                <w:top w:w="0" w:type="dxa"/>
                <w:left w:w="108" w:type="dxa"/>
                <w:bottom w:w="0" w:type="dxa"/>
                <w:right w:w="108" w:type="dxa"/>
              </w:tblCellMar>
              <w:tblLook w:val="04a0" w:noHBand="0" w:noVBand="1" w:firstColumn="1" w:lastRow="0" w:lastColumn="0" w:firstRow="1"/>
            </w:tblPr>
            <w:tblGrid>
              <w:gridCol w:w="822"/>
              <w:gridCol w:w="5670"/>
            </w:tblGrid>
            <w:tr>
              <w:trPr>
                <w:trHeight w:val="346" w:hRule="atLeast"/>
                <w:cantSplit w:val="true"/>
              </w:trPr>
              <w:tc>
                <w:tcPr>
                  <w:tcW w:w="822" w:type="dxa"/>
                  <w:tcBorders>
                    <w:bottom w:val="single" w:sz="8" w:space="0" w:color="000000"/>
                    <w:right w:val="single" w:sz="8" w:space="0" w:color="000000"/>
                  </w:tcBorders>
                </w:tcPr>
                <w:p>
                  <w:pPr>
                    <w:pStyle w:val="Normal"/>
                    <w:numPr>
                      <w:ilvl w:val="0"/>
                      <w:numId w:val="0"/>
                    </w:numPr>
                    <w:spacing w:lineRule="auto" w:line="240" w:beforeAutospacing="0" w:before="0" w:after="0"/>
                    <w:ind w:hanging="0" w:left="0"/>
                    <w:jc w:val="left"/>
                    <w:rPr>
                      <w:rFonts w:eastAsia="Calibri" w:eastAsiaTheme="minorHAnsi"/>
                      <w:sz w:val="20"/>
                      <w:szCs w:val="20"/>
                    </w:rPr>
                  </w:pPr>
                  <w:r>
                    <w:rPr>
                      <w:rFonts w:eastAsia="Calibri" w:eastAsiaTheme="minorHAnsi"/>
                      <w:sz w:val="20"/>
                      <w:szCs w:val="20"/>
                      <w:lang w:eastAsia="en-US"/>
                    </w:rPr>
                    <w:t>Б</w:t>
                  </w:r>
                  <w:r>
                    <w:rPr>
                      <w:rFonts w:eastAsia="Calibri"/>
                      <w:sz w:val="20"/>
                      <w:szCs w:val="20"/>
                      <w:vertAlign w:val="subscript"/>
                    </w:rPr>
                    <w:t>2</w:t>
                  </w:r>
                  <w:r>
                    <w:rPr>
                      <w:rFonts w:eastAsia="Calibri" w:eastAsiaTheme="minorHAnsi"/>
                      <w:sz w:val="20"/>
                      <w:szCs w:val="20"/>
                      <w:lang w:eastAsia="en-US"/>
                    </w:rPr>
                    <w:t>= 0</w:t>
                  </w:r>
                </w:p>
              </w:tc>
              <w:tc>
                <w:tcPr>
                  <w:tcW w:w="5670" w:type="dxa"/>
                  <w:tcBorders>
                    <w:bottom w:val="single" w:sz="8" w:space="0" w:color="000000"/>
                  </w:tcBorders>
                </w:tcPr>
                <w:p>
                  <w:pPr>
                    <w:pStyle w:val="Normal"/>
                    <w:numPr>
                      <w:ilvl w:val="0"/>
                      <w:numId w:val="0"/>
                    </w:numPr>
                    <w:spacing w:lineRule="auto" w:line="240" w:beforeAutospacing="0" w:before="0" w:after="0"/>
                    <w:ind w:hanging="0" w:left="0"/>
                    <w:jc w:val="left"/>
                    <w:rPr>
                      <w:rFonts w:eastAsia="Calibri" w:eastAsiaTheme="minorHAnsi"/>
                      <w:sz w:val="20"/>
                      <w:szCs w:val="20"/>
                    </w:rPr>
                  </w:pPr>
                  <w:r>
                    <w:rPr>
                      <w:rFonts w:eastAsia="Calibri" w:eastAsiaTheme="minorHAnsi"/>
                      <w:sz w:val="20"/>
                      <w:szCs w:val="20"/>
                      <w:lang w:eastAsia="en-US"/>
                    </w:rPr>
                    <w:t>0 (Опыт отсутствует/Опыт не подтверждён);</w:t>
                  </w:r>
                </w:p>
              </w:tc>
            </w:tr>
            <w:tr>
              <w:trPr>
                <w:trHeight w:val="573" w:hRule="atLeast"/>
                <w:cantSplit w:val="true"/>
              </w:trPr>
              <w:tc>
                <w:tcPr>
                  <w:tcW w:w="822" w:type="dxa"/>
                  <w:tcBorders>
                    <w:bottom w:val="single" w:sz="8" w:space="0" w:color="000000"/>
                    <w:right w:val="single" w:sz="8" w:space="0" w:color="000000"/>
                  </w:tcBorders>
                </w:tcPr>
                <w:p>
                  <w:pPr>
                    <w:pStyle w:val="Normal"/>
                    <w:numPr>
                      <w:ilvl w:val="0"/>
                      <w:numId w:val="0"/>
                    </w:numPr>
                    <w:spacing w:lineRule="auto" w:line="240" w:beforeAutospacing="0" w:before="0" w:after="0"/>
                    <w:ind w:hanging="0" w:left="0"/>
                    <w:jc w:val="left"/>
                    <w:rPr>
                      <w:rFonts w:eastAsia="Calibri" w:eastAsiaTheme="minorHAnsi"/>
                      <w:sz w:val="20"/>
                      <w:szCs w:val="20"/>
                    </w:rPr>
                  </w:pPr>
                  <w:r>
                    <w:rPr>
                      <w:rFonts w:eastAsia="Calibri" w:eastAsiaTheme="minorHAnsi"/>
                      <w:sz w:val="20"/>
                      <w:szCs w:val="20"/>
                      <w:lang w:eastAsia="en-US"/>
                    </w:rPr>
                    <w:t>Б</w:t>
                  </w:r>
                  <w:r>
                    <w:rPr>
                      <w:rFonts w:eastAsia="Calibri"/>
                      <w:sz w:val="20"/>
                      <w:szCs w:val="20"/>
                      <w:vertAlign w:val="subscript"/>
                    </w:rPr>
                    <w:t>2</w:t>
                  </w:r>
                  <w:r>
                    <w:rPr>
                      <w:rFonts w:eastAsia="Calibri" w:eastAsiaTheme="minorHAnsi"/>
                      <w:sz w:val="20"/>
                      <w:szCs w:val="20"/>
                      <w:lang w:eastAsia="en-US"/>
                    </w:rPr>
                    <w:t xml:space="preserve"> = 1</w:t>
                  </w:r>
                </w:p>
              </w:tc>
              <w:tc>
                <w:tcPr>
                  <w:tcW w:w="5670" w:type="dxa"/>
                  <w:tcBorders>
                    <w:bottom w:val="single" w:sz="8" w:space="0" w:color="000000"/>
                  </w:tcBorders>
                </w:tcPr>
                <w:p>
                  <w:pPr>
                    <w:pStyle w:val="Normal"/>
                    <w:numPr>
                      <w:ilvl w:val="0"/>
                      <w:numId w:val="0"/>
                    </w:numPr>
                    <w:spacing w:lineRule="auto" w:line="240" w:beforeAutospacing="0" w:before="0" w:after="0"/>
                    <w:ind w:hanging="0" w:left="0"/>
                    <w:jc w:val="left"/>
                    <w:rPr>
                      <w:rFonts w:eastAsia="Calibri" w:eastAsiaTheme="minorHAnsi"/>
                      <w:sz w:val="20"/>
                      <w:szCs w:val="20"/>
                    </w:rPr>
                  </w:pPr>
                  <w:r>
                    <w:rPr>
                      <w:rFonts w:eastAsia="Calibri" w:eastAsiaTheme="minorHAnsi"/>
                      <w:sz w:val="20"/>
                      <w:szCs w:val="20"/>
                      <w:lang w:eastAsia="en-US"/>
                    </w:rPr>
                    <w:t>более 0% от НМЦ «без учета НДС» , но менее 20% от НМЦ «без учета НДС» (включительно);</w:t>
                  </w:r>
                </w:p>
              </w:tc>
            </w:tr>
            <w:tr>
              <w:trPr>
                <w:trHeight w:val="573" w:hRule="atLeast"/>
                <w:cantSplit w:val="true"/>
              </w:trPr>
              <w:tc>
                <w:tcPr>
                  <w:tcW w:w="822" w:type="dxa"/>
                  <w:tcBorders>
                    <w:bottom w:val="single" w:sz="8" w:space="0" w:color="000000"/>
                    <w:right w:val="single" w:sz="8" w:space="0" w:color="000000"/>
                  </w:tcBorders>
                </w:tcPr>
                <w:p>
                  <w:pPr>
                    <w:pStyle w:val="Normal"/>
                    <w:numPr>
                      <w:ilvl w:val="0"/>
                      <w:numId w:val="0"/>
                    </w:numPr>
                    <w:spacing w:lineRule="auto" w:line="240" w:beforeAutospacing="0" w:before="0" w:after="0"/>
                    <w:ind w:hanging="0" w:left="0"/>
                    <w:jc w:val="left"/>
                    <w:rPr>
                      <w:rFonts w:eastAsia="Calibri" w:eastAsiaTheme="minorHAnsi"/>
                      <w:sz w:val="20"/>
                      <w:szCs w:val="20"/>
                    </w:rPr>
                  </w:pPr>
                  <w:r>
                    <w:rPr>
                      <w:rFonts w:eastAsia="Calibri" w:eastAsiaTheme="minorHAnsi"/>
                      <w:sz w:val="20"/>
                      <w:szCs w:val="20"/>
                      <w:lang w:eastAsia="en-US"/>
                    </w:rPr>
                    <w:t>Б</w:t>
                  </w:r>
                  <w:r>
                    <w:rPr>
                      <w:rFonts w:eastAsia="Calibri"/>
                      <w:sz w:val="20"/>
                      <w:szCs w:val="20"/>
                      <w:vertAlign w:val="subscript"/>
                    </w:rPr>
                    <w:t>2</w:t>
                  </w:r>
                  <w:r>
                    <w:rPr>
                      <w:rFonts w:eastAsia="Calibri" w:eastAsiaTheme="minorHAnsi"/>
                      <w:sz w:val="20"/>
                      <w:szCs w:val="20"/>
                      <w:lang w:eastAsia="en-US"/>
                    </w:rPr>
                    <w:t xml:space="preserve"> = 2</w:t>
                  </w:r>
                </w:p>
              </w:tc>
              <w:tc>
                <w:tcPr>
                  <w:tcW w:w="5670" w:type="dxa"/>
                  <w:tcBorders>
                    <w:bottom w:val="single" w:sz="8" w:space="0" w:color="000000"/>
                  </w:tcBorders>
                </w:tcPr>
                <w:p>
                  <w:pPr>
                    <w:pStyle w:val="Normal"/>
                    <w:numPr>
                      <w:ilvl w:val="0"/>
                      <w:numId w:val="0"/>
                    </w:numPr>
                    <w:spacing w:lineRule="auto" w:line="240" w:beforeAutospacing="0" w:before="0" w:after="0"/>
                    <w:ind w:hanging="0" w:left="0"/>
                    <w:jc w:val="left"/>
                    <w:rPr>
                      <w:rFonts w:eastAsia="Calibri" w:eastAsiaTheme="minorHAnsi"/>
                      <w:sz w:val="20"/>
                      <w:szCs w:val="20"/>
                    </w:rPr>
                  </w:pPr>
                  <w:r>
                    <w:rPr>
                      <w:rFonts w:eastAsia="Calibri" w:eastAsiaTheme="minorHAnsi"/>
                      <w:sz w:val="20"/>
                      <w:szCs w:val="20"/>
                      <w:lang w:eastAsia="en-US"/>
                    </w:rPr>
                    <w:t>более 20% от НМЦ «без учета НДС», но менее 40% от НМЦ «без учета НДС» (включительно);</w:t>
                  </w:r>
                </w:p>
              </w:tc>
            </w:tr>
            <w:tr>
              <w:trPr>
                <w:trHeight w:val="573" w:hRule="atLeast"/>
                <w:cantSplit w:val="true"/>
              </w:trPr>
              <w:tc>
                <w:tcPr>
                  <w:tcW w:w="822" w:type="dxa"/>
                  <w:tcBorders>
                    <w:right w:val="single" w:sz="8" w:space="0" w:color="000000"/>
                  </w:tcBorders>
                </w:tcPr>
                <w:p>
                  <w:pPr>
                    <w:pStyle w:val="Normal"/>
                    <w:numPr>
                      <w:ilvl w:val="0"/>
                      <w:numId w:val="0"/>
                    </w:numPr>
                    <w:spacing w:lineRule="auto" w:line="240" w:beforeAutospacing="0" w:before="0" w:after="0"/>
                    <w:ind w:hanging="0" w:left="0"/>
                    <w:jc w:val="left"/>
                    <w:rPr>
                      <w:rFonts w:eastAsia="Calibri" w:eastAsiaTheme="minorHAnsi"/>
                      <w:sz w:val="20"/>
                      <w:szCs w:val="20"/>
                    </w:rPr>
                  </w:pPr>
                  <w:r>
                    <w:rPr>
                      <w:rFonts w:eastAsia="Calibri" w:eastAsiaTheme="minorHAnsi"/>
                      <w:sz w:val="20"/>
                      <w:szCs w:val="20"/>
                      <w:lang w:eastAsia="en-US"/>
                    </w:rPr>
                    <w:t>Б</w:t>
                  </w:r>
                  <w:r>
                    <w:rPr>
                      <w:rFonts w:eastAsia="Calibri"/>
                      <w:sz w:val="20"/>
                      <w:szCs w:val="20"/>
                      <w:vertAlign w:val="subscript"/>
                    </w:rPr>
                    <w:t>2</w:t>
                  </w:r>
                  <w:r>
                    <w:rPr>
                      <w:rFonts w:eastAsia="Calibri" w:eastAsiaTheme="minorHAnsi"/>
                      <w:sz w:val="20"/>
                      <w:szCs w:val="20"/>
                      <w:lang w:eastAsia="en-US"/>
                    </w:rPr>
                    <w:t xml:space="preserve"> =3</w:t>
                  </w:r>
                </w:p>
              </w:tc>
              <w:tc>
                <w:tcPr>
                  <w:tcW w:w="5670" w:type="dxa"/>
                  <w:tcBorders/>
                </w:tcPr>
                <w:p>
                  <w:pPr>
                    <w:pStyle w:val="Normal"/>
                    <w:numPr>
                      <w:ilvl w:val="0"/>
                      <w:numId w:val="0"/>
                    </w:numPr>
                    <w:spacing w:lineRule="auto" w:line="240" w:beforeAutospacing="0" w:before="0" w:after="0"/>
                    <w:ind w:hanging="0" w:left="0"/>
                    <w:jc w:val="left"/>
                    <w:rPr>
                      <w:rFonts w:eastAsia="Calibri" w:eastAsiaTheme="minorHAnsi"/>
                      <w:sz w:val="20"/>
                      <w:szCs w:val="20"/>
                    </w:rPr>
                  </w:pPr>
                  <w:r>
                    <w:rPr>
                      <w:rFonts w:eastAsia="Calibri" w:eastAsiaTheme="minorHAnsi"/>
                      <w:sz w:val="20"/>
                      <w:szCs w:val="20"/>
                      <w:lang w:eastAsia="en-US"/>
                    </w:rPr>
                    <w:t>более 40% от НМЦ «без учета НДС», но менее 60% от НМЦ «без учета НДС» (включительно);</w:t>
                  </w:r>
                </w:p>
              </w:tc>
            </w:tr>
            <w:tr>
              <w:trPr>
                <w:trHeight w:val="573" w:hRule="atLeast"/>
                <w:cantSplit w:val="true"/>
              </w:trPr>
              <w:tc>
                <w:tcPr>
                  <w:tcW w:w="822" w:type="dxa"/>
                  <w:tcBorders>
                    <w:top w:val="single" w:sz="8" w:space="0" w:color="000000"/>
                    <w:bottom w:val="single" w:sz="8" w:space="0" w:color="000000"/>
                    <w:right w:val="single" w:sz="8" w:space="0" w:color="000000"/>
                  </w:tcBorders>
                </w:tcPr>
                <w:p>
                  <w:pPr>
                    <w:pStyle w:val="Normal"/>
                    <w:numPr>
                      <w:ilvl w:val="0"/>
                      <w:numId w:val="0"/>
                    </w:numPr>
                    <w:spacing w:lineRule="auto" w:line="240" w:beforeAutospacing="0" w:before="0" w:after="0"/>
                    <w:ind w:hanging="0" w:left="0"/>
                    <w:jc w:val="left"/>
                    <w:rPr>
                      <w:rFonts w:eastAsia="Calibri" w:eastAsiaTheme="minorHAnsi"/>
                      <w:sz w:val="20"/>
                      <w:szCs w:val="20"/>
                    </w:rPr>
                  </w:pPr>
                  <w:r>
                    <w:rPr>
                      <w:rFonts w:eastAsia="Calibri" w:eastAsiaTheme="minorHAnsi"/>
                      <w:sz w:val="20"/>
                      <w:szCs w:val="20"/>
                      <w:lang w:eastAsia="en-US"/>
                    </w:rPr>
                    <w:t>Б</w:t>
                  </w:r>
                  <w:r>
                    <w:rPr>
                      <w:rFonts w:eastAsia="Calibri"/>
                      <w:sz w:val="20"/>
                      <w:szCs w:val="20"/>
                      <w:vertAlign w:val="subscript"/>
                    </w:rPr>
                    <w:t>2</w:t>
                  </w:r>
                  <w:r>
                    <w:rPr>
                      <w:rFonts w:eastAsia="Calibri" w:eastAsiaTheme="minorHAnsi"/>
                      <w:sz w:val="20"/>
                      <w:szCs w:val="20"/>
                      <w:lang w:eastAsia="en-US"/>
                    </w:rPr>
                    <w:t>= 4</w:t>
                  </w:r>
                </w:p>
              </w:tc>
              <w:tc>
                <w:tcPr>
                  <w:tcW w:w="5670" w:type="dxa"/>
                  <w:tcBorders>
                    <w:top w:val="single" w:sz="8" w:space="0" w:color="000000"/>
                    <w:bottom w:val="single" w:sz="8" w:space="0" w:color="000000"/>
                  </w:tcBorders>
                </w:tcPr>
                <w:p>
                  <w:pPr>
                    <w:pStyle w:val="Normal"/>
                    <w:numPr>
                      <w:ilvl w:val="0"/>
                      <w:numId w:val="0"/>
                    </w:numPr>
                    <w:spacing w:lineRule="auto" w:line="240" w:beforeAutospacing="0" w:before="0" w:after="0"/>
                    <w:ind w:hanging="0" w:left="0"/>
                    <w:jc w:val="left"/>
                    <w:rPr>
                      <w:rFonts w:eastAsia="Calibri" w:eastAsiaTheme="minorHAnsi"/>
                      <w:sz w:val="20"/>
                      <w:szCs w:val="20"/>
                    </w:rPr>
                  </w:pPr>
                  <w:r>
                    <w:rPr>
                      <w:rFonts w:eastAsia="Calibri" w:eastAsiaTheme="minorHAnsi"/>
                      <w:sz w:val="20"/>
                      <w:szCs w:val="20"/>
                      <w:lang w:eastAsia="en-US"/>
                    </w:rPr>
                    <w:t>более 60% от НМЦ «без учета НДС», но менее 80% от НМЦ «без учета НДС» (включительно);</w:t>
                  </w:r>
                </w:p>
              </w:tc>
            </w:tr>
            <w:tr>
              <w:trPr>
                <w:trHeight w:val="346" w:hRule="atLeast"/>
                <w:cantSplit w:val="true"/>
              </w:trPr>
              <w:tc>
                <w:tcPr>
                  <w:tcW w:w="822" w:type="dxa"/>
                  <w:tcBorders>
                    <w:top w:val="single" w:sz="8" w:space="0" w:color="000000"/>
                    <w:bottom w:val="single" w:sz="8" w:space="0" w:color="000000"/>
                    <w:right w:val="single" w:sz="8" w:space="0" w:color="000000"/>
                  </w:tcBorders>
                </w:tcPr>
                <w:p>
                  <w:pPr>
                    <w:pStyle w:val="Normal"/>
                    <w:numPr>
                      <w:ilvl w:val="0"/>
                      <w:numId w:val="0"/>
                    </w:numPr>
                    <w:spacing w:lineRule="auto" w:line="240" w:beforeAutospacing="0" w:before="0" w:after="0"/>
                    <w:ind w:hanging="0" w:left="0"/>
                    <w:jc w:val="left"/>
                    <w:rPr>
                      <w:rFonts w:eastAsia="Calibri" w:eastAsiaTheme="minorHAnsi"/>
                      <w:sz w:val="20"/>
                      <w:szCs w:val="20"/>
                    </w:rPr>
                  </w:pPr>
                  <w:r>
                    <w:rPr>
                      <w:rFonts w:eastAsia="Calibri" w:eastAsiaTheme="minorHAnsi"/>
                      <w:sz w:val="20"/>
                      <w:szCs w:val="20"/>
                      <w:lang w:eastAsia="en-US"/>
                    </w:rPr>
                    <w:t>Б</w:t>
                  </w:r>
                  <w:r>
                    <w:rPr>
                      <w:rFonts w:eastAsia="Calibri"/>
                      <w:sz w:val="20"/>
                      <w:szCs w:val="20"/>
                      <w:vertAlign w:val="subscript"/>
                    </w:rPr>
                    <w:t>2</w:t>
                  </w:r>
                  <w:r>
                    <w:rPr>
                      <w:rFonts w:eastAsia="Calibri" w:eastAsiaTheme="minorHAnsi"/>
                      <w:sz w:val="20"/>
                      <w:szCs w:val="20"/>
                      <w:lang w:eastAsia="en-US"/>
                    </w:rPr>
                    <w:t>= 5</w:t>
                  </w:r>
                </w:p>
              </w:tc>
              <w:tc>
                <w:tcPr>
                  <w:tcW w:w="5670" w:type="dxa"/>
                  <w:tcBorders>
                    <w:top w:val="single" w:sz="8" w:space="0" w:color="000000"/>
                    <w:bottom w:val="single" w:sz="8" w:space="0" w:color="000000"/>
                  </w:tcBorders>
                </w:tcPr>
                <w:p>
                  <w:pPr>
                    <w:pStyle w:val="Normal"/>
                    <w:numPr>
                      <w:ilvl w:val="0"/>
                      <w:numId w:val="0"/>
                    </w:numPr>
                    <w:spacing w:lineRule="auto" w:line="240" w:beforeAutospacing="0" w:before="0" w:after="0"/>
                    <w:ind w:hanging="0" w:left="0"/>
                    <w:jc w:val="left"/>
                    <w:rPr>
                      <w:rFonts w:eastAsia="Calibri" w:eastAsiaTheme="minorHAnsi"/>
                      <w:sz w:val="20"/>
                      <w:szCs w:val="20"/>
                    </w:rPr>
                  </w:pPr>
                  <w:r>
                    <w:rPr>
                      <w:rFonts w:eastAsia="Calibri" w:eastAsiaTheme="minorHAnsi"/>
                      <w:sz w:val="20"/>
                      <w:szCs w:val="20"/>
                      <w:lang w:eastAsia="en-US"/>
                    </w:rPr>
                    <w:t>более 80% от НМЦ «без учета НДС».</w:t>
                  </w:r>
                </w:p>
              </w:tc>
            </w:tr>
          </w:tbl>
          <w:p>
            <w:pPr>
              <w:pStyle w:val="Normal"/>
              <w:numPr>
                <w:ilvl w:val="0"/>
                <w:numId w:val="0"/>
              </w:numPr>
              <w:spacing w:lineRule="auto" w:line="240" w:beforeAutospacing="0" w:before="0" w:after="0"/>
              <w:ind w:hanging="0" w:left="0"/>
              <w:jc w:val="both"/>
              <w:rPr>
                <w:rFonts w:eastAsia="Calibri" w:eastAsiaTheme="minorHAnsi"/>
                <w:sz w:val="20"/>
                <w:szCs w:val="20"/>
              </w:rPr>
            </w:pPr>
            <w:r>
              <w:rPr>
                <w:rFonts w:eastAsia="Calibri" w:eastAsiaTheme="minorHAnsi"/>
                <w:sz w:val="20"/>
                <w:szCs w:val="20"/>
                <w:lang w:eastAsia="en-US"/>
              </w:rPr>
              <w:t>где:</w:t>
            </w:r>
          </w:p>
          <w:p>
            <w:pPr>
              <w:pStyle w:val="Normal"/>
              <w:numPr>
                <w:ilvl w:val="0"/>
                <w:numId w:val="0"/>
              </w:numPr>
              <w:spacing w:lineRule="auto" w:line="240" w:beforeAutospacing="0" w:before="0" w:after="0"/>
              <w:ind w:hanging="0" w:left="0"/>
              <w:jc w:val="both"/>
              <w:rPr>
                <w:rFonts w:eastAsia="Calibri" w:eastAsiaTheme="minorHAnsi"/>
                <w:sz w:val="20"/>
                <w:szCs w:val="20"/>
              </w:rPr>
            </w:pPr>
            <w:r>
              <w:rPr>
                <w:rFonts w:eastAsia="Calibri" w:eastAsiaTheme="minorHAnsi"/>
                <w:sz w:val="20"/>
                <w:szCs w:val="20"/>
                <w:lang w:eastAsia="en-US"/>
              </w:rPr>
              <w:t>НМЦ – начальная (максимальная) цена договора, установленная в документации о закупке;</w:t>
            </w:r>
          </w:p>
          <w:p>
            <w:pPr>
              <w:pStyle w:val="Normal"/>
              <w:numPr>
                <w:ilvl w:val="0"/>
                <w:numId w:val="0"/>
              </w:numPr>
              <w:spacing w:lineRule="auto" w:line="240" w:beforeAutospacing="0" w:before="0" w:after="0"/>
              <w:ind w:hanging="0" w:left="0"/>
              <w:jc w:val="both"/>
              <w:rPr>
                <w:rFonts w:eastAsia="Calibri" w:eastAsiaTheme="minorHAnsi"/>
                <w:sz w:val="20"/>
                <w:szCs w:val="20"/>
              </w:rPr>
            </w:pPr>
            <w:r>
              <w:rPr>
                <w:rFonts w:eastAsia="Calibri" w:eastAsiaTheme="minorHAnsi"/>
                <w:sz w:val="20"/>
                <w:szCs w:val="20"/>
                <w:lang w:eastAsia="en-US"/>
              </w:rPr>
              <w:t>Б</w:t>
            </w:r>
            <w:r>
              <w:rPr>
                <w:rFonts w:eastAsia="Calibri"/>
                <w:sz w:val="20"/>
                <w:szCs w:val="20"/>
                <w:vertAlign w:val="subscript"/>
                <w:lang w:eastAsia="en-US"/>
              </w:rPr>
              <w:t>2</w:t>
            </w:r>
            <w:r>
              <w:rPr>
                <w:rFonts w:eastAsia="Calibri" w:eastAsiaTheme="minorHAnsi"/>
                <w:sz w:val="20"/>
                <w:szCs w:val="20"/>
                <w:lang w:eastAsia="en-US"/>
              </w:rPr>
              <w:t xml:space="preserve"> – рассчитанная оценка предпочтительности по данному частному критерию оценки в баллах..</w:t>
            </w:r>
          </w:p>
          <w:p>
            <w:pPr>
              <w:pStyle w:val="Normal"/>
              <w:numPr>
                <w:ilvl w:val="0"/>
                <w:numId w:val="0"/>
              </w:numPr>
              <w:spacing w:lineRule="auto" w:line="240" w:beforeAutospacing="0" w:before="0" w:after="0"/>
              <w:ind w:hanging="0" w:left="0"/>
              <w:jc w:val="both"/>
              <w:rPr>
                <w:rFonts w:eastAsia="Calibri" w:eastAsiaTheme="minorHAnsi"/>
                <w:sz w:val="20"/>
                <w:szCs w:val="20"/>
              </w:rPr>
            </w:pPr>
            <w:r>
              <w:rPr>
                <w:sz w:val="20"/>
                <w:szCs w:val="20"/>
                <w:lang w:eastAsia="ru-RU"/>
              </w:rPr>
              <w:t>Опыт, не соответствующий установленным выше требованиям, не оценивается</w:t>
            </w:r>
          </w:p>
          <w:p>
            <w:pPr>
              <w:pStyle w:val="Normal"/>
              <w:numPr>
                <w:ilvl w:val="0"/>
                <w:numId w:val="0"/>
              </w:numPr>
              <w:spacing w:lineRule="auto" w:line="240" w:beforeAutospacing="0" w:before="0" w:after="0"/>
              <w:ind w:hanging="0" w:left="0"/>
              <w:jc w:val="both"/>
              <w:rPr>
                <w:rFonts w:eastAsia="Calibri" w:eastAsiaTheme="minorHAnsi"/>
                <w:b/>
                <w:bCs/>
                <w:sz w:val="20"/>
                <w:szCs w:val="20"/>
              </w:rPr>
            </w:pPr>
            <w:r>
              <w:rPr>
                <w:rFonts w:eastAsia="Calibri" w:eastAsiaTheme="minorHAnsi"/>
                <w:b/>
                <w:bCs/>
                <w:sz w:val="20"/>
                <w:szCs w:val="20"/>
                <w:lang w:eastAsia="en-US"/>
              </w:rPr>
              <w:t>Шкала оценок от 0 до 5 баллов</w:t>
            </w:r>
          </w:p>
        </w:tc>
      </w:tr>
      <w:tr>
        <w:trPr>
          <w:trHeight w:val="201" w:hRule="atLeast"/>
          <w:cantSplit w:val="true"/>
        </w:trPr>
        <w:tc>
          <w:tcPr>
            <w:tcW w:w="850" w:type="dxa"/>
            <w:tcBorders>
              <w:top w:val="single" w:sz="4" w:space="0" w:color="000000"/>
              <w:left w:val="single" w:sz="4" w:space="0" w:color="000000"/>
              <w:bottom w:val="single" w:sz="4" w:space="0" w:color="000000"/>
              <w:right w:val="single" w:sz="4" w:space="0" w:color="000000"/>
            </w:tcBorders>
            <w:shd w:color="FFFFFF" w:fill="FFFFFF" w:val="clear"/>
          </w:tcPr>
          <w:p>
            <w:pPr>
              <w:pStyle w:val="Normal"/>
              <w:numPr>
                <w:ilvl w:val="0"/>
                <w:numId w:val="0"/>
              </w:numPr>
              <w:spacing w:lineRule="auto" w:line="240" w:before="120" w:after="0"/>
              <w:ind w:hanging="0" w:left="0"/>
              <w:contextualSpacing/>
              <w:jc w:val="center"/>
              <w:rPr>
                <w:sz w:val="20"/>
                <w:szCs w:val="20"/>
              </w:rPr>
            </w:pPr>
            <w:r>
              <w:rPr>
                <w:sz w:val="20"/>
                <w:szCs w:val="20"/>
                <w:lang w:val="en-US"/>
              </w:rPr>
              <w:t>3.</w:t>
            </w:r>
          </w:p>
        </w:tc>
        <w:tc>
          <w:tcPr>
            <w:tcW w:w="1276" w:type="dxa"/>
            <w:tcBorders>
              <w:top w:val="single" w:sz="4" w:space="0" w:color="000000"/>
              <w:left w:val="single" w:sz="4" w:space="0" w:color="000000"/>
              <w:bottom w:val="single" w:sz="4" w:space="0" w:color="000000"/>
              <w:right w:val="single" w:sz="4" w:space="0" w:color="000000"/>
            </w:tcBorders>
            <w:shd w:color="FFFFFF" w:fill="FFFFFF" w:val="clear"/>
          </w:tcPr>
          <w:p>
            <w:pPr>
              <w:pStyle w:val="Normal"/>
              <w:widowControl w:val="false"/>
              <w:spacing w:before="0" w:after="0"/>
              <w:jc w:val="center"/>
              <w:rPr>
                <w:rFonts w:cs="Times New Roman"/>
                <w:sz w:val="20"/>
                <w:szCs w:val="20"/>
              </w:rPr>
            </w:pPr>
            <w:r>
              <w:rPr>
                <w:rFonts w:cs="Times New Roman"/>
                <w:sz w:val="20"/>
                <w:szCs w:val="20"/>
              </w:rPr>
              <w:t>Неценовой</w:t>
            </w:r>
          </w:p>
          <w:p>
            <w:pPr>
              <w:pStyle w:val="Normal"/>
              <w:widowControl w:val="false"/>
              <w:spacing w:before="0" w:after="0"/>
              <w:jc w:val="center"/>
              <w:rPr>
                <w:rFonts w:cs="Times New Roman"/>
                <w:sz w:val="20"/>
                <w:szCs w:val="20"/>
              </w:rPr>
            </w:pPr>
            <w:r>
              <w:rPr>
                <w:rFonts w:cs="Times New Roman"/>
                <w:sz w:val="20"/>
                <w:szCs w:val="20"/>
              </w:rPr>
              <w:t>критерий</w:t>
            </w:r>
          </w:p>
          <w:p>
            <w:pPr>
              <w:pStyle w:val="Normal"/>
              <w:widowControl w:val="false"/>
              <w:spacing w:before="0" w:after="0"/>
              <w:jc w:val="center"/>
              <w:rPr>
                <w:rFonts w:cs="Times New Roman"/>
                <w:sz w:val="20"/>
                <w:szCs w:val="20"/>
              </w:rPr>
            </w:pPr>
            <w:r>
              <w:rPr>
                <w:rFonts w:cs="Times New Roman"/>
                <w:sz w:val="20"/>
                <w:szCs w:val="20"/>
              </w:rPr>
              <w:t>оценки первого</w:t>
            </w:r>
          </w:p>
          <w:p>
            <w:pPr>
              <w:pStyle w:val="3"/>
              <w:widowControl w:val="false"/>
              <w:numPr>
                <w:ilvl w:val="7"/>
                <w:numId w:val="29"/>
              </w:numPr>
              <w:spacing w:lineRule="auto" w:line="240" w:before="0" w:after="40"/>
              <w:ind w:hanging="0" w:left="0" w:right="0"/>
              <w:jc w:val="center"/>
              <w:rPr>
                <w:rFonts w:ascii="Times New Roman" w:hAnsi="Times New Roman"/>
                <w:color w:val="0E0101"/>
                <w:sz w:val="20"/>
                <w:szCs w:val="20"/>
              </w:rPr>
            </w:pPr>
            <w:r>
              <w:rPr>
                <w:sz w:val="20"/>
                <w:szCs w:val="20"/>
              </w:rPr>
              <w:t>уровня / ОРГ</w:t>
            </w:r>
          </w:p>
          <w:p>
            <w:pPr>
              <w:pStyle w:val="Normal"/>
              <w:numPr>
                <w:ilvl w:val="0"/>
                <w:numId w:val="0"/>
              </w:numPr>
              <w:spacing w:lineRule="auto" w:line="240" w:before="120" w:after="0"/>
              <w:ind w:hanging="0" w:left="0"/>
              <w:contextualSpacing/>
              <w:jc w:val="center"/>
              <w:rPr>
                <w:sz w:val="20"/>
                <w:szCs w:val="20"/>
              </w:rPr>
            </w:pPr>
            <w:r>
              <w:rPr>
                <w:sz w:val="20"/>
                <w:szCs w:val="20"/>
              </w:rPr>
            </w:r>
          </w:p>
        </w:tc>
        <w:tc>
          <w:tcPr>
            <w:tcW w:w="1417" w:type="dxa"/>
            <w:tcBorders>
              <w:top w:val="single" w:sz="4" w:space="0" w:color="000000"/>
              <w:left w:val="single" w:sz="4" w:space="0" w:color="000000"/>
              <w:bottom w:val="single" w:sz="4" w:space="0" w:color="000000"/>
              <w:right w:val="single" w:sz="4" w:space="0" w:color="000000"/>
            </w:tcBorders>
            <w:shd w:color="FFFFFF" w:fill="FFFFFF" w:val="clear"/>
          </w:tcPr>
          <w:p>
            <w:pPr>
              <w:pStyle w:val="Normal"/>
              <w:numPr>
                <w:ilvl w:val="0"/>
                <w:numId w:val="0"/>
              </w:numPr>
              <w:spacing w:lineRule="auto" w:line="240" w:before="120" w:after="0"/>
              <w:ind w:hanging="0" w:left="0"/>
              <w:contextualSpacing/>
              <w:jc w:val="center"/>
              <w:rPr>
                <w:sz w:val="20"/>
                <w:szCs w:val="20"/>
              </w:rPr>
            </w:pPr>
            <w:r>
              <w:rPr>
                <w:sz w:val="20"/>
                <w:szCs w:val="20"/>
              </w:rPr>
              <w:t>Финансовое состояние (устойчивость) Участника</w:t>
            </w:r>
          </w:p>
        </w:tc>
        <w:tc>
          <w:tcPr>
            <w:tcW w:w="1559" w:type="dxa"/>
            <w:tcBorders>
              <w:top w:val="single" w:sz="4" w:space="0" w:color="000000"/>
              <w:left w:val="single" w:sz="4" w:space="0" w:color="000000"/>
              <w:bottom w:val="single" w:sz="4" w:space="0" w:color="000000"/>
              <w:right w:val="single" w:sz="4" w:space="0" w:color="000000"/>
            </w:tcBorders>
            <w:shd w:color="FFFFFF" w:fill="FFFFFF" w:val="clear"/>
          </w:tcPr>
          <w:p>
            <w:pPr>
              <w:pStyle w:val="Normal"/>
              <w:numPr>
                <w:ilvl w:val="0"/>
                <w:numId w:val="0"/>
              </w:numPr>
              <w:spacing w:lineRule="auto" w:line="240" w:before="120" w:after="0"/>
              <w:ind w:hanging="0" w:left="0"/>
              <w:contextualSpacing/>
              <w:jc w:val="center"/>
              <w:rPr>
                <w:i/>
                <w:i/>
                <w:sz w:val="20"/>
                <w:szCs w:val="20"/>
              </w:rPr>
            </w:pPr>
            <w:r>
              <w:rPr>
                <w:i/>
                <w:sz w:val="20"/>
                <w:szCs w:val="20"/>
              </w:rPr>
              <w:t>отсутствует</w:t>
            </w:r>
          </w:p>
        </w:tc>
        <w:tc>
          <w:tcPr>
            <w:tcW w:w="1263" w:type="dxa"/>
            <w:tcBorders>
              <w:top w:val="single" w:sz="4" w:space="0" w:color="000000"/>
              <w:left w:val="single" w:sz="4" w:space="0" w:color="000000"/>
              <w:bottom w:val="single" w:sz="4" w:space="0" w:color="000000"/>
              <w:right w:val="single" w:sz="4" w:space="0" w:color="000000"/>
            </w:tcBorders>
            <w:shd w:color="FFFFFF" w:fill="FFFFFF" w:val="clear"/>
          </w:tcPr>
          <w:p>
            <w:pPr>
              <w:pStyle w:val="Normal"/>
              <w:numPr>
                <w:ilvl w:val="0"/>
                <w:numId w:val="0"/>
              </w:numPr>
              <w:spacing w:lineRule="auto" w:line="240" w:before="120" w:after="0"/>
              <w:ind w:hanging="0" w:left="0"/>
              <w:contextualSpacing/>
              <w:jc w:val="center"/>
              <w:rPr>
                <w:sz w:val="20"/>
                <w:szCs w:val="20"/>
              </w:rPr>
            </w:pPr>
            <w:r>
              <w:rPr>
                <w:sz w:val="20"/>
                <w:szCs w:val="20"/>
                <w:lang w:val="en-US"/>
              </w:rPr>
              <w:t>5%</w:t>
            </w:r>
          </w:p>
          <w:p>
            <w:pPr>
              <w:pStyle w:val="Normal"/>
              <w:numPr>
                <w:ilvl w:val="0"/>
                <w:numId w:val="0"/>
              </w:numPr>
              <w:spacing w:lineRule="auto" w:line="240" w:before="120" w:after="0"/>
              <w:ind w:hanging="0" w:left="0"/>
              <w:contextualSpacing/>
              <w:jc w:val="center"/>
              <w:rPr>
                <w:sz w:val="20"/>
                <w:szCs w:val="20"/>
              </w:rPr>
            </w:pPr>
            <w:r>
              <w:rPr>
                <w:sz w:val="20"/>
                <w:szCs w:val="20"/>
                <w:lang w:val="en-US"/>
              </w:rPr>
              <w:t>(В</w:t>
            </w:r>
            <w:r>
              <w:rPr>
                <w:sz w:val="20"/>
                <w:szCs w:val="20"/>
                <w:vertAlign w:val="subscript"/>
                <w:lang w:val="en-US"/>
              </w:rPr>
              <w:t>3</w:t>
            </w:r>
            <w:r>
              <w:rPr>
                <w:sz w:val="20"/>
                <w:szCs w:val="20"/>
                <w:lang w:val="en-US"/>
              </w:rPr>
              <w:t xml:space="preserve"> = 0,05)</w:t>
            </w:r>
          </w:p>
        </w:tc>
        <w:tc>
          <w:tcPr>
            <w:tcW w:w="2051" w:type="dxa"/>
            <w:tcBorders>
              <w:top w:val="single" w:sz="4" w:space="0" w:color="000000"/>
              <w:left w:val="single" w:sz="4" w:space="0" w:color="000000"/>
              <w:bottom w:val="single" w:sz="4" w:space="0" w:color="000000"/>
              <w:right w:val="single" w:sz="4" w:space="0" w:color="000000"/>
            </w:tcBorders>
            <w:shd w:color="FFFFFF" w:fill="FFFFFF" w:val="clear"/>
          </w:tcPr>
          <w:p>
            <w:pPr>
              <w:pStyle w:val="Style23"/>
              <w:spacing w:before="40" w:after="40"/>
              <w:jc w:val="center"/>
              <w:rPr>
                <w:sz w:val="18"/>
                <w:szCs w:val="18"/>
                <w:highlight w:val="white"/>
              </w:rPr>
            </w:pPr>
            <w:r>
              <w:rPr>
                <w:sz w:val="20"/>
                <w:szCs w:val="20"/>
                <w:highlight w:val="white"/>
              </w:rPr>
              <w:t>Чем выше оценка финансового состояния (устойчивости) Участника, тем выше предпочтительность</w:t>
            </w:r>
          </w:p>
          <w:p>
            <w:pPr>
              <w:pStyle w:val="Normal"/>
              <w:spacing w:lineRule="auto" w:line="240" w:before="120" w:after="0"/>
              <w:ind w:hanging="0"/>
              <w:contextualSpacing/>
              <w:jc w:val="center"/>
              <w:rPr>
                <w:sz w:val="20"/>
                <w:szCs w:val="20"/>
              </w:rPr>
            </w:pPr>
            <w:r>
              <w:rPr>
                <w:sz w:val="20"/>
                <w:szCs w:val="20"/>
              </w:rPr>
            </w:r>
          </w:p>
        </w:tc>
        <w:tc>
          <w:tcPr>
            <w:tcW w:w="6720" w:type="dxa"/>
            <w:tcBorders>
              <w:top w:val="single" w:sz="4" w:space="0" w:color="000000"/>
              <w:left w:val="single" w:sz="4" w:space="0" w:color="000000"/>
              <w:bottom w:val="single" w:sz="4" w:space="0" w:color="000000"/>
              <w:right w:val="single" w:sz="4" w:space="0" w:color="000000"/>
            </w:tcBorders>
            <w:shd w:color="FFFFFF" w:fill="FFFFFF" w:val="clear"/>
          </w:tcPr>
          <w:p>
            <w:pPr>
              <w:pStyle w:val="Normal"/>
              <w:numPr>
                <w:ilvl w:val="0"/>
                <w:numId w:val="0"/>
              </w:numPr>
              <w:spacing w:before="120" w:after="0"/>
              <w:ind w:hanging="0" w:left="0"/>
              <w:jc w:val="both"/>
              <w:rPr>
                <w:rFonts w:ascii="Times New Roman" w:hAnsi="Times New Roman" w:cs="Times New Roman"/>
                <w:sz w:val="20"/>
                <w:szCs w:val="20"/>
              </w:rPr>
            </w:pPr>
            <w:r>
              <w:rPr>
                <w:rFonts w:eastAsia="Times New Roman" w:cs="Times New Roman"/>
                <w:sz w:val="20"/>
                <w:szCs w:val="20"/>
              </w:rPr>
              <w:t>Расчет оценки предпочтительности по частному критерию по методу «Оценка предпочтительности посредством однозначной числовой шкалы измерений»:</w:t>
            </w:r>
          </w:p>
          <w:p>
            <w:pPr>
              <w:pStyle w:val="Normal"/>
              <w:numPr>
                <w:ilvl w:val="0"/>
                <w:numId w:val="0"/>
              </w:numPr>
              <w:spacing w:before="120" w:after="0"/>
              <w:ind w:hanging="0" w:left="0"/>
              <w:jc w:val="both"/>
              <w:rPr>
                <w:rFonts w:ascii="Times New Roman" w:hAnsi="Times New Roman" w:cs="Times New Roman"/>
                <w:sz w:val="20"/>
                <w:szCs w:val="20"/>
              </w:rPr>
            </w:pPr>
            <w:r>
              <w:rPr>
                <w:rFonts w:eastAsia="Times New Roman" w:cs="Times New Roman"/>
                <w:sz w:val="20"/>
                <w:szCs w:val="20"/>
                <w:lang w:eastAsia="ru-RU"/>
              </w:rPr>
              <w:t xml:space="preserve">Порядок осуществления оценки (значение оцениваемого параметра), в зависимости от </w:t>
            </w:r>
            <w:r>
              <w:rPr>
                <w:rFonts w:eastAsia="Times New Roman" w:cs="Times New Roman"/>
                <w:sz w:val="20"/>
                <w:szCs w:val="20"/>
              </w:rPr>
              <w:t>полученного</w:t>
            </w:r>
            <w:r>
              <w:rPr>
                <w:rFonts w:eastAsia="Times New Roman" w:cs="Times New Roman"/>
                <w:sz w:val="20"/>
                <w:szCs w:val="20"/>
                <w:lang w:eastAsia="ru-RU"/>
              </w:rPr>
              <w:t xml:space="preserve"> </w:t>
            </w:r>
            <w:r>
              <w:rPr>
                <w:rFonts w:eastAsia="Times New Roman" w:cs="Times New Roman"/>
                <w:sz w:val="20"/>
                <w:szCs w:val="20"/>
              </w:rPr>
              <w:t xml:space="preserve">Участником (с </w:t>
            </w:r>
            <w:r>
              <w:rPr>
                <w:rFonts w:eastAsia="Times New Roman" w:cs="Times New Roman"/>
                <w:i/>
                <w:sz w:val="20"/>
                <w:szCs w:val="20"/>
                <w:lang w:val="en-US" w:eastAsia="ru-RU"/>
              </w:rPr>
              <w:t>i</w:t>
            </w:r>
            <w:r>
              <w:rPr>
                <w:rFonts w:eastAsia="Times New Roman" w:cs="Times New Roman"/>
                <w:sz w:val="20"/>
                <w:szCs w:val="20"/>
                <w:lang w:eastAsia="ru-RU"/>
              </w:rPr>
              <w:t>-</w:t>
            </w:r>
            <w:r>
              <w:rPr>
                <w:rFonts w:eastAsia="Times New Roman" w:cs="Times New Roman"/>
                <w:sz w:val="20"/>
                <w:szCs w:val="20"/>
              </w:rPr>
              <w:t>ой</w:t>
            </w:r>
            <w:r>
              <w:rPr>
                <w:rFonts w:eastAsia="Times New Roman" w:cs="Times New Roman"/>
                <w:sz w:val="20"/>
                <w:szCs w:val="20"/>
                <w:lang w:eastAsia="ru-RU"/>
              </w:rPr>
              <w:t xml:space="preserve"> заяв</w:t>
            </w:r>
            <w:r>
              <w:rPr>
                <w:rFonts w:eastAsia="Times New Roman" w:cs="Times New Roman"/>
                <w:sz w:val="20"/>
                <w:szCs w:val="20"/>
              </w:rPr>
              <w:t>кой) значения расчетного балла (интегрального показателя финансового состояния) и установленной соответствующей характеристики его финансового состояния (кризисное / неустойчивое / удовлетворительное) по результатам проведенной в рамках аккредитации оценки его финансового состояния (устойчивости), при этом:</w:t>
            </w:r>
          </w:p>
          <w:p>
            <w:pPr>
              <w:pStyle w:val="Normal"/>
              <w:numPr>
                <w:ilvl w:val="0"/>
                <w:numId w:val="27"/>
              </w:numPr>
              <w:spacing w:before="120" w:after="0"/>
              <w:ind w:hanging="284" w:left="346"/>
              <w:jc w:val="both"/>
              <w:rPr>
                <w:rFonts w:ascii="Times New Roman" w:hAnsi="Times New Roman" w:cs="Times New Roman"/>
                <w:sz w:val="20"/>
                <w:szCs w:val="20"/>
              </w:rPr>
            </w:pPr>
            <w:r>
              <w:rPr>
                <w:rFonts w:eastAsia="Times New Roman" w:cs="Times New Roman"/>
                <w:sz w:val="20"/>
                <w:szCs w:val="20"/>
              </w:rPr>
              <w:t>порядок проведения оценки финансового состояния (устойчивости) Участника</w:t>
            </w:r>
            <w:r>
              <w:rPr>
                <w:rStyle w:val="FootnoteReference"/>
                <w:rFonts w:eastAsia="Times New Roman" w:cs="Times New Roman"/>
                <w:sz w:val="20"/>
                <w:szCs w:val="20"/>
              </w:rPr>
              <w:footnoteReference w:id="17"/>
            </w:r>
            <w:r>
              <w:rPr>
                <w:rFonts w:eastAsia="Times New Roman" w:cs="Times New Roman"/>
                <w:sz w:val="20"/>
                <w:szCs w:val="20"/>
              </w:rPr>
              <w:t xml:space="preserve"> установлен Приложением 4 к Положению об аккредитации;</w:t>
            </w:r>
          </w:p>
          <w:p>
            <w:pPr>
              <w:pStyle w:val="Normal"/>
              <w:numPr>
                <w:ilvl w:val="0"/>
                <w:numId w:val="27"/>
              </w:numPr>
              <w:spacing w:before="0" w:after="0"/>
              <w:ind w:hanging="284" w:left="346"/>
              <w:jc w:val="both"/>
              <w:rPr>
                <w:rFonts w:ascii="Times New Roman" w:hAnsi="Times New Roman" w:cs="Times New Roman"/>
                <w:sz w:val="20"/>
                <w:szCs w:val="20"/>
              </w:rPr>
            </w:pPr>
            <w:r>
              <w:rPr>
                <w:rFonts w:eastAsia="Times New Roman" w:cs="Times New Roman"/>
                <w:sz w:val="20"/>
                <w:szCs w:val="20"/>
              </w:rPr>
              <w:t>исходными данными для расчета интегрального показателя финансового состояния Участника являются сведения, представленные в опубликованной в государственном информационном ресурсе бухгалтерской (финансовой) отчетности организаций (</w:t>
            </w:r>
            <w:hyperlink r:id="rId34" w:tgtFrame="https://bo.nalog.ru/">
              <w:r>
                <w:rPr>
                  <w:rStyle w:val="Hyperlink"/>
                  <w:rFonts w:eastAsia="Times New Roman" w:cs="Times New Roman"/>
                  <w:sz w:val="20"/>
                  <w:szCs w:val="20"/>
                </w:rPr>
                <w:t>https://bo.nalog.ru</w:t>
              </w:r>
            </w:hyperlink>
            <w:r>
              <w:rPr>
                <w:rFonts w:eastAsia="Times New Roman" w:cs="Times New Roman"/>
                <w:sz w:val="20"/>
                <w:szCs w:val="20"/>
              </w:rPr>
              <w:t>) за предыдущий отчетный период (год).</w:t>
            </w:r>
          </w:p>
          <w:p>
            <w:pPr>
              <w:pStyle w:val="Normal"/>
              <w:spacing w:beforeAutospacing="0" w:before="119" w:afterAutospacing="0" w:after="0"/>
              <w:ind w:firstLine="720" w:left="0"/>
              <w:jc w:val="both"/>
              <w:rPr>
                <w:rFonts w:eastAsia="Calibri"/>
                <w:sz w:val="18"/>
                <w:szCs w:val="18"/>
              </w:rPr>
            </w:pPr>
            <w:r>
              <w:rPr>
                <w:rFonts w:eastAsia="Calibri"/>
                <w:sz w:val="20"/>
                <w:szCs w:val="20"/>
              </w:rPr>
              <w:t xml:space="preserve">Если Участник в соответствии с законодательством РФ не размещает сведения о своей бухгалтерской (финансовой) отчетности </w:t>
            </w:r>
            <w:r>
              <w:rPr>
                <w:sz w:val="20"/>
                <w:szCs w:val="20"/>
              </w:rPr>
              <w:t xml:space="preserve">(по формам ОКУД 0710001, 0710002) </w:t>
            </w:r>
            <w:r>
              <w:rPr>
                <w:rFonts w:eastAsia="Calibri"/>
                <w:sz w:val="20"/>
                <w:szCs w:val="20"/>
              </w:rPr>
              <w:t xml:space="preserve">в упомянутом государственном информационном ресурсе – оценка его финансового состояния производится на основании </w:t>
            </w:r>
            <w:r>
              <w:rPr>
                <w:sz w:val="20"/>
                <w:szCs w:val="20"/>
              </w:rPr>
              <w:t>электронной копии бухгалтерского баланса (ОКУД 0710001) и отчета о финансовых результатах (ОКУД 0710002) за последний завершенный финансовый год, с отметкой налогового органа о приеме или с приложением квитанции о приеме и (или) извещения о вводе сведений налоговым органом</w:t>
            </w:r>
            <w:r>
              <w:rPr>
                <w:rFonts w:eastAsia="Calibri"/>
                <w:sz w:val="20"/>
                <w:szCs w:val="20"/>
              </w:rPr>
              <w:t>, представленной в составе Заявки на аккредитацию (или отдельно в составе заявки на участие в закупке, если ранее при прохождении аккредитации не были представлены);</w:t>
            </w:r>
          </w:p>
          <w:p>
            <w:pPr>
              <w:pStyle w:val="Normal"/>
              <w:spacing w:beforeAutospacing="0" w:before="119" w:afterAutospacing="0" w:after="0"/>
              <w:ind w:firstLine="720" w:left="0"/>
              <w:jc w:val="both"/>
              <w:rPr>
                <w:sz w:val="18"/>
                <w:szCs w:val="18"/>
              </w:rPr>
            </w:pPr>
            <w:r>
              <w:rPr>
                <w:sz w:val="20"/>
                <w:szCs w:val="20"/>
              </w:rPr>
              <w:t>Если Участник в соответствии с законодательством формирует отчетность по </w:t>
            </w:r>
            <w:r>
              <w:rPr>
                <w:rFonts w:eastAsia="Calibri"/>
                <w:sz w:val="20"/>
                <w:szCs w:val="20"/>
              </w:rPr>
              <w:t>формам</w:t>
            </w:r>
            <w:r>
              <w:rPr>
                <w:sz w:val="20"/>
                <w:szCs w:val="20"/>
              </w:rPr>
              <w:t xml:space="preserve"> ОКУД 0503730, 0503721 (и (или) освобожден от предоставления дополнительного экземпляра отчетности для размещения на официальном сайте ФНС России) – оценка его финансового состояния производится на основании представленных в составе заявки:</w:t>
            </w:r>
          </w:p>
          <w:p>
            <w:pPr>
              <w:pStyle w:val="Style23"/>
              <w:keepNext w:val="true"/>
              <w:numPr>
                <w:ilvl w:val="0"/>
                <w:numId w:val="28"/>
              </w:numPr>
              <w:spacing w:beforeAutospacing="0" w:before="119" w:afterAutospacing="0" w:after="0"/>
              <w:ind w:hanging="283" w:left="627"/>
              <w:jc w:val="both"/>
              <w:rPr>
                <w:sz w:val="18"/>
                <w:szCs w:val="18"/>
              </w:rPr>
            </w:pPr>
            <w:r>
              <w:rPr>
                <w:sz w:val="20"/>
                <w:szCs w:val="20"/>
              </w:rPr>
              <w:t>электронной копии бухгалтерской (финансовой) отчетности по формам ОКУД 0503730, 0503721 за последний завершенный и предшествующий ему финансовый год, с отметкой налогового органа о приеме или с приложением квитанции о приеме и (или) извещения о вводе сведений налоговым органом;</w:t>
            </w:r>
          </w:p>
          <w:p>
            <w:pPr>
              <w:pStyle w:val="Style23"/>
              <w:keepNext w:val="true"/>
              <w:numPr>
                <w:ilvl w:val="0"/>
                <w:numId w:val="28"/>
              </w:numPr>
              <w:spacing w:beforeAutospacing="0" w:before="0" w:afterAutospacing="0" w:after="0"/>
              <w:ind w:hanging="283" w:left="627"/>
              <w:jc w:val="both"/>
              <w:rPr>
                <w:sz w:val="18"/>
                <w:szCs w:val="18"/>
              </w:rPr>
            </w:pPr>
            <w:r>
              <w:rPr>
                <w:sz w:val="20"/>
                <w:szCs w:val="20"/>
              </w:rPr>
              <w:t>дополнительных сведений о размере всех требуемых показателей согласно данным бухгалтерской (финансовой) отчетности по установленной форме (</w:t>
            </w:r>
            <w:r>
              <w:rPr>
                <w:rFonts w:eastAsia="Calibri" w:cs="Times New Roman"/>
                <w:sz w:val="20"/>
                <w:szCs w:val="20"/>
              </w:rPr>
              <w:t>Приложение № 11</w:t>
            </w:r>
            <w:r>
              <w:rPr>
                <w:rFonts w:eastAsia="Times New Roman" w:cs="Times New Roman"/>
                <w:sz w:val="20"/>
                <w:szCs w:val="20"/>
              </w:rPr>
              <w:t xml:space="preserve"> к Документации о закупке</w:t>
            </w:r>
            <w:r>
              <w:rPr>
                <w:sz w:val="20"/>
                <w:szCs w:val="20"/>
              </w:rPr>
              <w:t>).</w:t>
            </w:r>
          </w:p>
          <w:p>
            <w:pPr>
              <w:pStyle w:val="Normal"/>
              <w:spacing w:before="120" w:after="120"/>
              <w:jc w:val="both"/>
              <w:rPr>
                <w:sz w:val="20"/>
                <w:szCs w:val="20"/>
              </w:rPr>
            </w:pPr>
            <w:r>
              <w:rPr>
                <w:rFonts w:eastAsia="Calibri"/>
                <w:sz w:val="20"/>
                <w:szCs w:val="20"/>
              </w:rPr>
              <w:t>Оценка предпочтительности по частному критерию</w:t>
            </w:r>
            <w:r>
              <w:rPr>
                <w:sz w:val="20"/>
                <w:szCs w:val="20"/>
                <w:lang w:eastAsia="ru-RU"/>
              </w:rPr>
              <w:t xml:space="preserve"> осуществляется в соответствии со следующей </w:t>
            </w:r>
            <w:r>
              <w:rPr>
                <w:rFonts w:eastAsia="Calibri"/>
                <w:sz w:val="20"/>
                <w:szCs w:val="20"/>
              </w:rPr>
              <w:t>шкалой</w:t>
            </w:r>
            <w:r>
              <w:rPr>
                <w:sz w:val="20"/>
                <w:szCs w:val="20"/>
                <w:lang w:eastAsia="ru-RU"/>
              </w:rPr>
              <w:t>:</w:t>
            </w:r>
          </w:p>
          <w:tbl>
            <w:tblPr>
              <w:tblStyle w:val="1499"/>
              <w:tblW w:w="6549" w:type="dxa"/>
              <w:jc w:val="left"/>
              <w:tblInd w:w="0" w:type="dxa"/>
              <w:tblLayout w:type="fixed"/>
              <w:tblCellMar>
                <w:top w:w="0" w:type="dxa"/>
                <w:left w:w="0" w:type="dxa"/>
                <w:bottom w:w="0" w:type="dxa"/>
                <w:right w:w="5" w:type="dxa"/>
              </w:tblCellMar>
              <w:tblLook w:val="04a0" w:noHBand="0" w:noVBand="1" w:firstColumn="1" w:lastRow="0" w:lastColumn="0" w:firstRow="1"/>
            </w:tblPr>
            <w:tblGrid>
              <w:gridCol w:w="649"/>
              <w:gridCol w:w="5899"/>
            </w:tblGrid>
            <w:tr>
              <w:trPr>
                <w:trHeight w:val="3030" w:hRule="atLeast"/>
              </w:trPr>
              <w:tc>
                <w:tcPr>
                  <w:tcW w:w="649" w:type="dxa"/>
                  <w:tcBorders>
                    <w:top w:val="nil"/>
                    <w:left w:val="nil"/>
                  </w:tcBorders>
                </w:tcPr>
                <w:p>
                  <w:pPr>
                    <w:pStyle w:val="Normal"/>
                    <w:keepNext w:val="false"/>
                    <w:keepLines w:val="false"/>
                    <w:widowControl/>
                    <w:numPr>
                      <w:ilvl w:val="0"/>
                      <w:numId w:val="0"/>
                    </w:numPr>
                    <w:spacing w:lineRule="auto" w:line="240" w:beforeAutospacing="0" w:before="0" w:afterAutospacing="0" w:after="0"/>
                    <w:ind w:hanging="0" w:left="0" w:right="0"/>
                    <w:contextualSpacing/>
                    <w:jc w:val="left"/>
                    <w:rPr>
                      <w:sz w:val="20"/>
                      <w:szCs w:val="20"/>
                    </w:rPr>
                  </w:pPr>
                  <w:r>
                    <w:rPr>
                      <w:rFonts w:eastAsia="Calibri" w:cs="Times New Roman" w:eastAsiaTheme="minorHAnsi"/>
                      <w:b w:val="false"/>
                      <w:bCs w:val="false"/>
                      <w:i w:val="false"/>
                      <w:iCs w:val="false"/>
                      <w:caps w:val="false"/>
                      <w:smallCaps w:val="false"/>
                      <w:strike w:val="false"/>
                      <w:dstrike w:val="false"/>
                      <w:vanish w:val="false"/>
                      <w:color w:val="auto"/>
                      <w:spacing w:val="0"/>
                      <w:kern w:val="0"/>
                      <w:position w:val="0"/>
                      <w:sz w:val="20"/>
                      <w:sz w:val="20"/>
                      <w:szCs w:val="20"/>
                      <w:u w:val="none"/>
                      <w:vertAlign w:val="baseline"/>
                      <w:lang w:val="ru-RU" w:eastAsia="en-US" w:bidi="ar-SA"/>
                    </w:rPr>
                    <w:t>Б</w:t>
                  </w:r>
                  <w:r>
                    <w:rPr>
                      <w:rFonts w:eastAsia="Times New Roman" w:cs="Times New Roman"/>
                      <w:b w:val="false"/>
                      <w:bCs w:val="false"/>
                      <w:i w:val="false"/>
                      <w:iCs w:val="false"/>
                      <w:caps w:val="false"/>
                      <w:smallCaps w:val="false"/>
                      <w:strike w:val="false"/>
                      <w:dstrike w:val="false"/>
                      <w:vanish w:val="false"/>
                      <w:color w:val="auto"/>
                      <w:spacing w:val="0"/>
                      <w:kern w:val="0"/>
                      <w:sz w:val="20"/>
                      <w:szCs w:val="20"/>
                      <w:u w:val="none"/>
                      <w:vertAlign w:val="subscript"/>
                      <w:lang w:val="ru-RU" w:eastAsia="ru-RU" w:bidi="ar-SA"/>
                    </w:rPr>
                    <w:t>3</w:t>
                  </w:r>
                  <w:r>
                    <w:rPr>
                      <w:rFonts w:eastAsia="Calibri" w:cs="Times New Roman" w:eastAsiaTheme="minorHAnsi"/>
                      <w:b w:val="false"/>
                      <w:bCs w:val="false"/>
                      <w:i w:val="false"/>
                      <w:iCs w:val="false"/>
                      <w:caps w:val="false"/>
                      <w:smallCaps w:val="false"/>
                      <w:strike w:val="false"/>
                      <w:dstrike w:val="false"/>
                      <w:vanish w:val="false"/>
                      <w:color w:val="auto"/>
                      <w:spacing w:val="0"/>
                      <w:kern w:val="0"/>
                      <w:position w:val="0"/>
                      <w:sz w:val="20"/>
                      <w:sz w:val="20"/>
                      <w:szCs w:val="20"/>
                      <w:u w:val="none"/>
                      <w:vertAlign w:val="baseline"/>
                      <w:lang w:val="ru-RU" w:eastAsia="en-US" w:bidi="ar-SA"/>
                    </w:rPr>
                    <w:t>= 0</w:t>
                  </w:r>
                </w:p>
              </w:tc>
              <w:tc>
                <w:tcPr>
                  <w:tcW w:w="5899" w:type="dxa"/>
                  <w:tcBorders>
                    <w:top w:val="nil"/>
                    <w:right w:val="nil"/>
                  </w:tcBorders>
                </w:tcPr>
                <w:p>
                  <w:pPr>
                    <w:pStyle w:val="Normal"/>
                    <w:keepNext w:val="false"/>
                    <w:keepLines w:val="false"/>
                    <w:widowControl/>
                    <w:numPr>
                      <w:ilvl w:val="0"/>
                      <w:numId w:val="0"/>
                    </w:numPr>
                    <w:spacing w:lineRule="auto" w:line="240" w:beforeAutospacing="0" w:before="0" w:afterAutospacing="0" w:after="0"/>
                    <w:ind w:hanging="0" w:left="0" w:right="0"/>
                    <w:contextualSpacing/>
                    <w:jc w:val="both"/>
                    <w:rPr>
                      <w:rFonts w:eastAsia="Calibri" w:eastAsiaTheme="minorHAnsi"/>
                      <w:sz w:val="20"/>
                      <w:szCs w:val="20"/>
                    </w:rPr>
                  </w:pPr>
                  <w:r>
                    <w:rPr>
                      <w:rFonts w:eastAsia="Times New Roman" w:cs="Times New Roman"/>
                      <w:b w:val="false"/>
                      <w:bCs w:val="false"/>
                      <w:i w:val="false"/>
                      <w:iCs w:val="false"/>
                      <w:caps w:val="false"/>
                      <w:smallCaps w:val="false"/>
                      <w:strike w:val="false"/>
                      <w:dstrike w:val="false"/>
                      <w:vanish w:val="false"/>
                      <w:color w:val="auto"/>
                      <w:spacing w:val="0"/>
                      <w:kern w:val="0"/>
                      <w:position w:val="0"/>
                      <w:sz w:val="20"/>
                      <w:sz w:val="20"/>
                      <w:szCs w:val="20"/>
                      <w:u w:val="none"/>
                      <w:vertAlign w:val="baseline"/>
                      <w:lang w:val="ru-RU" w:eastAsia="en-US" w:bidi="ar-SA"/>
                    </w:rPr>
                    <w:t>Результат оценки финансового состояния (устойчивости): менее</w:t>
                  </w:r>
                </w:p>
                <w:p>
                  <w:pPr>
                    <w:pStyle w:val="Normal"/>
                    <w:keepNext w:val="false"/>
                    <w:keepLines w:val="false"/>
                    <w:widowControl/>
                    <w:numPr>
                      <w:ilvl w:val="0"/>
                      <w:numId w:val="0"/>
                    </w:numPr>
                    <w:spacing w:lineRule="auto" w:line="240" w:beforeAutospacing="0" w:before="0" w:afterAutospacing="0" w:after="0"/>
                    <w:ind w:hanging="0" w:left="0" w:right="0"/>
                    <w:contextualSpacing/>
                    <w:jc w:val="both"/>
                    <w:rPr>
                      <w:rFonts w:eastAsia="Calibri" w:eastAsiaTheme="minorHAnsi"/>
                      <w:sz w:val="20"/>
                      <w:szCs w:val="20"/>
                    </w:rPr>
                  </w:pPr>
                  <w:r>
                    <w:rPr>
                      <w:rFonts w:eastAsia="Times New Roman" w:cs="Times New Roman"/>
                      <w:b w:val="false"/>
                      <w:bCs w:val="false"/>
                      <w:i w:val="false"/>
                      <w:iCs w:val="false"/>
                      <w:caps w:val="false"/>
                      <w:smallCaps w:val="false"/>
                      <w:strike w:val="false"/>
                      <w:dstrike w:val="false"/>
                      <w:vanish w:val="false"/>
                      <w:color w:val="auto"/>
                      <w:spacing w:val="0"/>
                      <w:kern w:val="0"/>
                      <w:position w:val="0"/>
                      <w:sz w:val="20"/>
                      <w:sz w:val="20"/>
                      <w:szCs w:val="20"/>
                      <w:u w:val="none"/>
                      <w:vertAlign w:val="baseline"/>
                      <w:lang w:val="ru-RU" w:eastAsia="en-US" w:bidi="ar-SA"/>
                    </w:rPr>
                    <w:t>0,45 балла – Кризисное финансовое состояние;</w:t>
                  </w:r>
                </w:p>
                <w:p>
                  <w:pPr>
                    <w:pStyle w:val="Normal"/>
                    <w:keepNext w:val="false"/>
                    <w:keepLines w:val="false"/>
                    <w:widowControl/>
                    <w:numPr>
                      <w:ilvl w:val="0"/>
                      <w:numId w:val="0"/>
                    </w:numPr>
                    <w:spacing w:lineRule="auto" w:line="240" w:beforeAutospacing="0" w:before="0" w:afterAutospacing="0" w:after="0"/>
                    <w:ind w:hanging="0" w:left="0" w:right="0"/>
                    <w:contextualSpacing/>
                    <w:jc w:val="both"/>
                    <w:rPr>
                      <w:rFonts w:eastAsia="Calibri" w:eastAsiaTheme="minorHAnsi"/>
                      <w:sz w:val="20"/>
                      <w:szCs w:val="20"/>
                    </w:rPr>
                  </w:pPr>
                  <w:r>
                    <w:rPr>
                      <w:rFonts w:eastAsia="Times New Roman" w:cs="Times New Roman"/>
                      <w:b w:val="false"/>
                      <w:bCs w:val="false"/>
                      <w:i w:val="false"/>
                      <w:iCs w:val="false"/>
                      <w:caps w:val="false"/>
                      <w:smallCaps w:val="false"/>
                      <w:strike w:val="false"/>
                      <w:dstrike w:val="false"/>
                      <w:vanish w:val="false"/>
                      <w:color w:val="auto"/>
                      <w:spacing w:val="0"/>
                      <w:kern w:val="0"/>
                      <w:position w:val="0"/>
                      <w:sz w:val="20"/>
                      <w:sz w:val="20"/>
                      <w:szCs w:val="20"/>
                      <w:u w:val="none"/>
                      <w:vertAlign w:val="baseline"/>
                      <w:lang w:val="ru-RU" w:eastAsia="en-US" w:bidi="ar-SA"/>
                    </w:rPr>
                    <w:t>или</w:t>
                  </w:r>
                </w:p>
                <w:p>
                  <w:pPr>
                    <w:pStyle w:val="Normal"/>
                    <w:keepNext w:val="false"/>
                    <w:keepLines w:val="false"/>
                    <w:widowControl/>
                    <w:numPr>
                      <w:ilvl w:val="0"/>
                      <w:numId w:val="0"/>
                    </w:numPr>
                    <w:spacing w:lineRule="auto" w:line="240" w:beforeAutospacing="0" w:before="0" w:afterAutospacing="0" w:after="0"/>
                    <w:ind w:hanging="0" w:left="0" w:right="0"/>
                    <w:contextualSpacing/>
                    <w:jc w:val="both"/>
                    <w:rPr>
                      <w:rFonts w:eastAsia="Calibri" w:eastAsiaTheme="minorHAnsi"/>
                      <w:sz w:val="20"/>
                      <w:szCs w:val="20"/>
                    </w:rPr>
                  </w:pPr>
                  <w:r>
                    <w:rPr>
                      <w:rFonts w:eastAsia="Times New Roman" w:cs="Times New Roman"/>
                      <w:b w:val="false"/>
                      <w:bCs w:val="false"/>
                      <w:i w:val="false"/>
                      <w:iCs w:val="false"/>
                      <w:caps w:val="false"/>
                      <w:smallCaps w:val="false"/>
                      <w:strike w:val="false"/>
                      <w:dstrike w:val="false"/>
                      <w:vanish w:val="false"/>
                      <w:color w:val="auto"/>
                      <w:spacing w:val="0"/>
                      <w:kern w:val="0"/>
                      <w:position w:val="0"/>
                      <w:sz w:val="20"/>
                      <w:sz w:val="20"/>
                      <w:szCs w:val="20"/>
                      <w:u w:val="none"/>
                      <w:vertAlign w:val="baseline"/>
                      <w:lang w:val="ru-RU" w:eastAsia="en-US" w:bidi="ar-SA"/>
                    </w:rPr>
                    <w:t>в случае отсутствия исходных данных для оценки финансового состояния Участника, в том числе если он является:</w:t>
                  </w:r>
                </w:p>
                <w:p>
                  <w:pPr>
                    <w:pStyle w:val="Normal"/>
                    <w:keepNext w:val="false"/>
                    <w:keepLines w:val="false"/>
                    <w:widowControl/>
                    <w:numPr>
                      <w:ilvl w:val="0"/>
                      <w:numId w:val="0"/>
                    </w:numPr>
                    <w:spacing w:lineRule="auto" w:line="240" w:beforeAutospacing="0" w:before="0" w:afterAutospacing="0" w:after="0"/>
                    <w:ind w:hanging="0" w:left="0" w:right="0"/>
                    <w:contextualSpacing/>
                    <w:jc w:val="both"/>
                    <w:rPr>
                      <w:rFonts w:eastAsia="Calibri" w:eastAsiaTheme="minorHAnsi"/>
                      <w:sz w:val="20"/>
                      <w:szCs w:val="20"/>
                    </w:rPr>
                  </w:pPr>
                  <w:r>
                    <w:rPr>
                      <w:rFonts w:eastAsia="Times New Roman" w:cs="Times New Roman"/>
                      <w:b w:val="false"/>
                      <w:bCs w:val="false"/>
                      <w:i w:val="false"/>
                      <w:iCs w:val="false"/>
                      <w:caps w:val="false"/>
                      <w:smallCaps w:val="false"/>
                      <w:strike w:val="false"/>
                      <w:dstrike w:val="false"/>
                      <w:vanish w:val="false"/>
                      <w:color w:val="auto"/>
                      <w:spacing w:val="0"/>
                      <w:kern w:val="0"/>
                      <w:position w:val="0"/>
                      <w:sz w:val="20"/>
                      <w:sz w:val="20"/>
                      <w:szCs w:val="20"/>
                      <w:u w:val="none"/>
                      <w:vertAlign w:val="baseline"/>
                      <w:lang w:val="ru-RU" w:eastAsia="en-US" w:bidi="ar-SA"/>
                    </w:rPr>
                    <w:t xml:space="preserve">– </w:t>
                  </w:r>
                  <w:r>
                    <w:rPr>
                      <w:rFonts w:eastAsia="Times New Roman" w:cs="Times New Roman"/>
                      <w:b w:val="false"/>
                      <w:bCs w:val="false"/>
                      <w:i w:val="false"/>
                      <w:iCs w:val="false"/>
                      <w:caps w:val="false"/>
                      <w:smallCaps w:val="false"/>
                      <w:strike w:val="false"/>
                      <w:dstrike w:val="false"/>
                      <w:vanish w:val="false"/>
                      <w:color w:val="auto"/>
                      <w:spacing w:val="0"/>
                      <w:kern w:val="0"/>
                      <w:position w:val="0"/>
                      <w:sz w:val="20"/>
                      <w:sz w:val="20"/>
                      <w:szCs w:val="20"/>
                      <w:u w:val="none"/>
                      <w:vertAlign w:val="baseline"/>
                      <w:lang w:val="ru-RU" w:eastAsia="en-US" w:bidi="ar-SA"/>
                    </w:rPr>
                    <w:t>вновь созданным юридическим лицом, которое на дату подачи</w:t>
                  </w:r>
                  <w:r>
                    <w:rPr>
                      <w:rFonts w:eastAsia="Calibri" w:cs="Times New Roman" w:eastAsiaTheme="minorHAnsi"/>
                      <w:b w:val="false"/>
                      <w:bCs w:val="false"/>
                      <w:i w:val="false"/>
                      <w:iCs w:val="false"/>
                      <w:caps w:val="false"/>
                      <w:smallCaps w:val="false"/>
                      <w:strike w:val="false"/>
                      <w:dstrike w:val="false"/>
                      <w:vanish w:val="false"/>
                      <w:color w:val="auto"/>
                      <w:spacing w:val="0"/>
                      <w:kern w:val="0"/>
                      <w:position w:val="0"/>
                      <w:sz w:val="20"/>
                      <w:sz w:val="20"/>
                      <w:szCs w:val="20"/>
                      <w:u w:val="none"/>
                      <w:vertAlign w:val="baseline"/>
                      <w:lang w:val="ru-RU" w:eastAsia="en-US" w:bidi="ar-SA"/>
                    </w:rPr>
                    <w:t xml:space="preserve"> </w:t>
                  </w:r>
                  <w:r>
                    <w:rPr>
                      <w:rFonts w:eastAsia="Times New Roman" w:cs="Times New Roman"/>
                      <w:b w:val="false"/>
                      <w:bCs w:val="false"/>
                      <w:i w:val="false"/>
                      <w:iCs w:val="false"/>
                      <w:caps w:val="false"/>
                      <w:smallCaps w:val="false"/>
                      <w:strike w:val="false"/>
                      <w:dstrike w:val="false"/>
                      <w:vanish w:val="false"/>
                      <w:color w:val="auto"/>
                      <w:spacing w:val="0"/>
                      <w:kern w:val="0"/>
                      <w:position w:val="0"/>
                      <w:sz w:val="20"/>
                      <w:sz w:val="20"/>
                      <w:szCs w:val="20"/>
                      <w:u w:val="none"/>
                      <w:vertAlign w:val="baseline"/>
                      <w:lang w:val="ru-RU" w:eastAsia="en-US" w:bidi="ar-SA"/>
                    </w:rPr>
                    <w:t>заявки на участие в закупке в соответствии с законодательством РФ не предоставил в налоговые органы бухгалтерскую (финансовую) отчетность за завершенный финансовый год;</w:t>
                  </w:r>
                </w:p>
                <w:p>
                  <w:pPr>
                    <w:pStyle w:val="Normal"/>
                    <w:keepNext w:val="false"/>
                    <w:keepLines w:val="false"/>
                    <w:widowControl/>
                    <w:numPr>
                      <w:ilvl w:val="0"/>
                      <w:numId w:val="0"/>
                    </w:numPr>
                    <w:spacing w:lineRule="auto" w:line="240" w:beforeAutospacing="0" w:before="0" w:afterAutospacing="0" w:after="0"/>
                    <w:ind w:hanging="0" w:left="0" w:right="0"/>
                    <w:contextualSpacing/>
                    <w:jc w:val="both"/>
                    <w:rPr>
                      <w:rFonts w:eastAsia="Calibri" w:eastAsiaTheme="minorHAnsi"/>
                      <w:sz w:val="20"/>
                      <w:szCs w:val="20"/>
                    </w:rPr>
                  </w:pPr>
                  <w:r>
                    <w:rPr>
                      <w:rFonts w:eastAsia="Times New Roman" w:cs="Times New Roman"/>
                      <w:b w:val="false"/>
                      <w:bCs w:val="false"/>
                      <w:i w:val="false"/>
                      <w:iCs w:val="false"/>
                      <w:caps w:val="false"/>
                      <w:smallCaps w:val="false"/>
                      <w:strike w:val="false"/>
                      <w:dstrike w:val="false"/>
                      <w:vanish w:val="false"/>
                      <w:color w:val="auto"/>
                      <w:spacing w:val="0"/>
                      <w:kern w:val="0"/>
                      <w:position w:val="0"/>
                      <w:sz w:val="20"/>
                      <w:sz w:val="20"/>
                      <w:szCs w:val="20"/>
                      <w:u w:val="none"/>
                      <w:vertAlign w:val="baseline"/>
                      <w:lang w:val="ru-RU" w:eastAsia="en-US" w:bidi="ar-SA"/>
                    </w:rPr>
                    <w:t xml:space="preserve">– </w:t>
                  </w:r>
                  <w:r>
                    <w:rPr>
                      <w:rFonts w:eastAsia="Times New Roman" w:cs="Times New Roman"/>
                      <w:b w:val="false"/>
                      <w:bCs w:val="false"/>
                      <w:i w:val="false"/>
                      <w:iCs w:val="false"/>
                      <w:caps w:val="false"/>
                      <w:smallCaps w:val="false"/>
                      <w:strike w:val="false"/>
                      <w:dstrike w:val="false"/>
                      <w:vanish w:val="false"/>
                      <w:color w:val="auto"/>
                      <w:spacing w:val="0"/>
                      <w:kern w:val="0"/>
                      <w:position w:val="0"/>
                      <w:sz w:val="20"/>
                      <w:sz w:val="20"/>
                      <w:szCs w:val="20"/>
                      <w:u w:val="none"/>
                      <w:vertAlign w:val="baseline"/>
                      <w:lang w:val="ru-RU" w:eastAsia="en-US" w:bidi="ar-SA"/>
                    </w:rPr>
                    <w:t>физическим лицом (индивидуальным предпринимателем и/или применяющим специальный налоговый режим «Налог на профессиональный доход»), не ведущим бухгалтерскую (финансовую) отчетность;</w:t>
                  </w:r>
                </w:p>
              </w:tc>
            </w:tr>
            <w:tr>
              <w:trPr>
                <w:trHeight w:val="690" w:hRule="atLeast"/>
              </w:trPr>
              <w:tc>
                <w:tcPr>
                  <w:tcW w:w="649" w:type="dxa"/>
                  <w:tcBorders>
                    <w:left w:val="nil"/>
                  </w:tcBorders>
                </w:tcPr>
                <w:p>
                  <w:pPr>
                    <w:pStyle w:val="Normal"/>
                    <w:keepNext w:val="false"/>
                    <w:keepLines w:val="false"/>
                    <w:widowControl/>
                    <w:numPr>
                      <w:ilvl w:val="0"/>
                      <w:numId w:val="0"/>
                    </w:numPr>
                    <w:spacing w:lineRule="auto" w:line="240" w:beforeAutospacing="0" w:before="0" w:afterAutospacing="0" w:after="0"/>
                    <w:ind w:hanging="0" w:left="0" w:right="0"/>
                    <w:contextualSpacing/>
                    <w:jc w:val="left"/>
                    <w:rPr>
                      <w:sz w:val="20"/>
                      <w:szCs w:val="20"/>
                    </w:rPr>
                  </w:pPr>
                  <w:r>
                    <w:rPr>
                      <w:rFonts w:eastAsia="Calibri" w:cs="Times New Roman" w:eastAsiaTheme="minorHAnsi"/>
                      <w:b w:val="false"/>
                      <w:bCs w:val="false"/>
                      <w:i w:val="false"/>
                      <w:iCs w:val="false"/>
                      <w:caps w:val="false"/>
                      <w:smallCaps w:val="false"/>
                      <w:strike w:val="false"/>
                      <w:dstrike w:val="false"/>
                      <w:vanish w:val="false"/>
                      <w:color w:val="auto"/>
                      <w:spacing w:val="0"/>
                      <w:kern w:val="0"/>
                      <w:position w:val="0"/>
                      <w:sz w:val="20"/>
                      <w:sz w:val="20"/>
                      <w:szCs w:val="20"/>
                      <w:u w:val="none"/>
                      <w:vertAlign w:val="baseline"/>
                      <w:lang w:val="ru-RU" w:eastAsia="en-US" w:bidi="ar-SA"/>
                    </w:rPr>
                    <w:t>Б</w:t>
                  </w:r>
                  <w:r>
                    <w:rPr>
                      <w:rFonts w:eastAsia="Times New Roman" w:cs="Times New Roman"/>
                      <w:b w:val="false"/>
                      <w:bCs w:val="false"/>
                      <w:i w:val="false"/>
                      <w:iCs w:val="false"/>
                      <w:caps w:val="false"/>
                      <w:smallCaps w:val="false"/>
                      <w:strike w:val="false"/>
                      <w:dstrike w:val="false"/>
                      <w:vanish w:val="false"/>
                      <w:color w:val="auto"/>
                      <w:spacing w:val="0"/>
                      <w:kern w:val="0"/>
                      <w:sz w:val="20"/>
                      <w:szCs w:val="20"/>
                      <w:u w:val="none"/>
                      <w:vertAlign w:val="subscript"/>
                      <w:lang w:val="ru-RU" w:eastAsia="ru-RU" w:bidi="ar-SA"/>
                    </w:rPr>
                    <w:t>3</w:t>
                  </w:r>
                  <w:r>
                    <w:rPr>
                      <w:rFonts w:eastAsia="Calibri" w:cs="Times New Roman" w:eastAsiaTheme="minorHAnsi"/>
                      <w:b w:val="false"/>
                      <w:bCs w:val="false"/>
                      <w:i w:val="false"/>
                      <w:iCs w:val="false"/>
                      <w:caps w:val="false"/>
                      <w:smallCaps w:val="false"/>
                      <w:strike w:val="false"/>
                      <w:dstrike w:val="false"/>
                      <w:vanish w:val="false"/>
                      <w:color w:val="auto"/>
                      <w:spacing w:val="0"/>
                      <w:kern w:val="0"/>
                      <w:position w:val="0"/>
                      <w:sz w:val="20"/>
                      <w:sz w:val="20"/>
                      <w:szCs w:val="20"/>
                      <w:u w:val="none"/>
                      <w:vertAlign w:val="baseline"/>
                      <w:lang w:val="ru-RU" w:eastAsia="en-US" w:bidi="ar-SA"/>
                    </w:rPr>
                    <w:t>= 3</w:t>
                  </w:r>
                </w:p>
              </w:tc>
              <w:tc>
                <w:tcPr>
                  <w:tcW w:w="5899" w:type="dxa"/>
                  <w:tcBorders>
                    <w:right w:val="nil"/>
                  </w:tcBorders>
                </w:tcPr>
                <w:p>
                  <w:pPr>
                    <w:pStyle w:val="Normal"/>
                    <w:keepNext w:val="false"/>
                    <w:keepLines w:val="false"/>
                    <w:widowControl/>
                    <w:numPr>
                      <w:ilvl w:val="0"/>
                      <w:numId w:val="0"/>
                    </w:numPr>
                    <w:spacing w:lineRule="auto" w:line="240" w:beforeAutospacing="0" w:before="0" w:afterAutospacing="0" w:after="0"/>
                    <w:ind w:hanging="0" w:left="0" w:right="0"/>
                    <w:contextualSpacing/>
                    <w:jc w:val="both"/>
                    <w:rPr>
                      <w:rFonts w:eastAsia="Calibri" w:eastAsiaTheme="minorHAnsi"/>
                      <w:sz w:val="20"/>
                      <w:szCs w:val="20"/>
                    </w:rPr>
                  </w:pPr>
                  <w:r>
                    <w:rPr>
                      <w:rFonts w:eastAsia="Times New Roman" w:cs="Times New Roman"/>
                      <w:b w:val="false"/>
                      <w:bCs w:val="false"/>
                      <w:i w:val="false"/>
                      <w:iCs w:val="false"/>
                      <w:caps w:val="false"/>
                      <w:smallCaps w:val="false"/>
                      <w:strike w:val="false"/>
                      <w:dstrike w:val="false"/>
                      <w:vanish w:val="false"/>
                      <w:color w:val="auto"/>
                      <w:spacing w:val="0"/>
                      <w:kern w:val="0"/>
                      <w:position w:val="0"/>
                      <w:sz w:val="20"/>
                      <w:sz w:val="20"/>
                      <w:szCs w:val="20"/>
                      <w:u w:val="none"/>
                      <w:vertAlign w:val="baseline"/>
                      <w:lang w:val="ru-RU" w:eastAsia="en-US" w:bidi="ar-SA"/>
                    </w:rPr>
                    <w:t>Результат оценки финансового состояния (устойчивости): от 0,45 балла включительно до 0,90 балла включительно – Неустойчивое финансовое состояние;</w:t>
                  </w:r>
                </w:p>
              </w:tc>
            </w:tr>
            <w:tr>
              <w:trPr>
                <w:trHeight w:val="460" w:hRule="atLeast"/>
              </w:trPr>
              <w:tc>
                <w:tcPr>
                  <w:tcW w:w="649" w:type="dxa"/>
                  <w:tcBorders>
                    <w:left w:val="nil"/>
                    <w:bottom w:val="nil"/>
                  </w:tcBorders>
                </w:tcPr>
                <w:p>
                  <w:pPr>
                    <w:pStyle w:val="Normal"/>
                    <w:keepNext w:val="false"/>
                    <w:keepLines w:val="false"/>
                    <w:widowControl/>
                    <w:numPr>
                      <w:ilvl w:val="0"/>
                      <w:numId w:val="0"/>
                    </w:numPr>
                    <w:spacing w:lineRule="auto" w:line="240" w:beforeAutospacing="0" w:before="0" w:afterAutospacing="0" w:after="0"/>
                    <w:ind w:hanging="0" w:left="0" w:right="0"/>
                    <w:contextualSpacing/>
                    <w:jc w:val="left"/>
                    <w:rPr>
                      <w:sz w:val="20"/>
                      <w:szCs w:val="20"/>
                    </w:rPr>
                  </w:pPr>
                  <w:r>
                    <w:rPr>
                      <w:rFonts w:eastAsia="Calibri" w:cs="Times New Roman" w:eastAsiaTheme="minorHAnsi"/>
                      <w:b w:val="false"/>
                      <w:bCs w:val="false"/>
                      <w:i w:val="false"/>
                      <w:iCs w:val="false"/>
                      <w:caps w:val="false"/>
                      <w:smallCaps w:val="false"/>
                      <w:strike w:val="false"/>
                      <w:dstrike w:val="false"/>
                      <w:vanish w:val="false"/>
                      <w:color w:val="auto"/>
                      <w:spacing w:val="0"/>
                      <w:kern w:val="0"/>
                      <w:position w:val="0"/>
                      <w:sz w:val="20"/>
                      <w:sz w:val="20"/>
                      <w:szCs w:val="20"/>
                      <w:u w:val="none"/>
                      <w:vertAlign w:val="baseline"/>
                      <w:lang w:val="ru-RU" w:eastAsia="en-US" w:bidi="ar-SA"/>
                    </w:rPr>
                    <w:t>Б</w:t>
                  </w:r>
                  <w:r>
                    <w:rPr>
                      <w:rFonts w:eastAsia="Times New Roman" w:cs="Times New Roman"/>
                      <w:b w:val="false"/>
                      <w:bCs w:val="false"/>
                      <w:i w:val="false"/>
                      <w:iCs w:val="false"/>
                      <w:caps w:val="false"/>
                      <w:smallCaps w:val="false"/>
                      <w:strike w:val="false"/>
                      <w:dstrike w:val="false"/>
                      <w:vanish w:val="false"/>
                      <w:color w:val="auto"/>
                      <w:spacing w:val="0"/>
                      <w:kern w:val="0"/>
                      <w:sz w:val="20"/>
                      <w:szCs w:val="20"/>
                      <w:u w:val="none"/>
                      <w:vertAlign w:val="subscript"/>
                      <w:lang w:val="ru-RU" w:eastAsia="ru-RU" w:bidi="ar-SA"/>
                    </w:rPr>
                    <w:t>3</w:t>
                  </w:r>
                  <w:r>
                    <w:rPr>
                      <w:rFonts w:eastAsia="Calibri" w:cs="Times New Roman" w:eastAsiaTheme="minorHAnsi"/>
                      <w:b w:val="false"/>
                      <w:bCs w:val="false"/>
                      <w:i w:val="false"/>
                      <w:iCs w:val="false"/>
                      <w:caps w:val="false"/>
                      <w:smallCaps w:val="false"/>
                      <w:strike w:val="false"/>
                      <w:dstrike w:val="false"/>
                      <w:vanish w:val="false"/>
                      <w:color w:val="auto"/>
                      <w:spacing w:val="0"/>
                      <w:kern w:val="0"/>
                      <w:position w:val="0"/>
                      <w:sz w:val="20"/>
                      <w:sz w:val="20"/>
                      <w:szCs w:val="20"/>
                      <w:u w:val="none"/>
                      <w:vertAlign w:val="baseline"/>
                      <w:lang w:val="ru-RU" w:eastAsia="en-US" w:bidi="ar-SA"/>
                    </w:rPr>
                    <w:t>= 5</w:t>
                  </w:r>
                </w:p>
              </w:tc>
              <w:tc>
                <w:tcPr>
                  <w:tcW w:w="5899" w:type="dxa"/>
                  <w:tcBorders>
                    <w:bottom w:val="nil"/>
                    <w:right w:val="nil"/>
                  </w:tcBorders>
                </w:tcPr>
                <w:p>
                  <w:pPr>
                    <w:pStyle w:val="Normal"/>
                    <w:keepNext w:val="false"/>
                    <w:keepLines w:val="false"/>
                    <w:widowControl/>
                    <w:numPr>
                      <w:ilvl w:val="0"/>
                      <w:numId w:val="0"/>
                    </w:numPr>
                    <w:spacing w:lineRule="auto" w:line="240" w:beforeAutospacing="0" w:before="0" w:afterAutospacing="0" w:after="0"/>
                    <w:ind w:hanging="0" w:left="0" w:right="0"/>
                    <w:contextualSpacing/>
                    <w:jc w:val="both"/>
                    <w:rPr>
                      <w:rFonts w:eastAsia="Calibri" w:eastAsiaTheme="minorHAnsi"/>
                      <w:sz w:val="20"/>
                      <w:szCs w:val="20"/>
                    </w:rPr>
                  </w:pPr>
                  <w:r>
                    <w:rPr>
                      <w:rFonts w:eastAsia="Times New Roman" w:cs="Times New Roman"/>
                      <w:b w:val="false"/>
                      <w:bCs w:val="false"/>
                      <w:i w:val="false"/>
                      <w:iCs w:val="false"/>
                      <w:caps w:val="false"/>
                      <w:smallCaps w:val="false"/>
                      <w:strike w:val="false"/>
                      <w:dstrike w:val="false"/>
                      <w:vanish w:val="false"/>
                      <w:color w:val="auto"/>
                      <w:spacing w:val="0"/>
                      <w:kern w:val="0"/>
                      <w:position w:val="0"/>
                      <w:sz w:val="20"/>
                      <w:sz w:val="20"/>
                      <w:szCs w:val="20"/>
                      <w:u w:val="none"/>
                      <w:vertAlign w:val="baseline"/>
                      <w:lang w:val="ru-RU" w:eastAsia="en-US" w:bidi="ar-SA"/>
                    </w:rPr>
                    <w:t>Результат оценки финансового состояния (устойчивости): более 0,90 балла – Удовлетворительное финансовое состояние.</w:t>
                  </w:r>
                </w:p>
              </w:tc>
            </w:tr>
          </w:tbl>
          <w:p>
            <w:pPr>
              <w:pStyle w:val="Normal"/>
              <w:numPr>
                <w:ilvl w:val="0"/>
                <w:numId w:val="0"/>
              </w:numPr>
              <w:spacing w:lineRule="exact" w:line="360" w:before="120" w:after="0"/>
              <w:ind w:hanging="0" w:left="0"/>
              <w:outlineLvl w:val="3"/>
              <w:rPr>
                <w:rFonts w:eastAsia="Calibri" w:eastAsiaTheme="minorHAnsi"/>
                <w:sz w:val="20"/>
                <w:szCs w:val="20"/>
              </w:rPr>
            </w:pPr>
            <w:r>
              <w:rPr>
                <w:sz w:val="20"/>
                <w:szCs w:val="20"/>
                <w:lang w:eastAsia="en-US"/>
              </w:rPr>
              <w:t>где:</w:t>
            </w:r>
          </w:p>
          <w:p>
            <w:pPr>
              <w:pStyle w:val="Normal"/>
              <w:numPr>
                <w:ilvl w:val="0"/>
                <w:numId w:val="0"/>
              </w:numPr>
              <w:spacing w:lineRule="auto" w:line="240" w:beforeAutospacing="0" w:before="0" w:afterAutospacing="0" w:after="0"/>
              <w:ind w:hanging="0" w:left="0"/>
              <w:contextualSpacing/>
              <w:jc w:val="both"/>
              <w:rPr>
                <w:rFonts w:eastAsia="Calibri" w:eastAsiaTheme="minorHAnsi"/>
                <w:sz w:val="20"/>
                <w:szCs w:val="20"/>
              </w:rPr>
            </w:pPr>
            <w:r>
              <w:rPr>
                <w:i w:val="false"/>
                <w:iCs w:val="false"/>
                <w:sz w:val="20"/>
                <w:szCs w:val="20"/>
                <w:lang w:eastAsia="en-US"/>
              </w:rPr>
              <w:t>Б</w:t>
            </w:r>
            <w:r>
              <w:rPr>
                <w:i w:val="false"/>
                <w:iCs w:val="false"/>
                <w:sz w:val="20"/>
                <w:szCs w:val="20"/>
                <w:vertAlign w:val="subscript"/>
                <w:lang w:eastAsia="en-US"/>
              </w:rPr>
              <w:t>3</w:t>
            </w:r>
            <w:r>
              <w:rPr>
                <w:i w:val="false"/>
                <w:iCs w:val="false"/>
                <w:sz w:val="20"/>
                <w:szCs w:val="20"/>
                <w:lang w:eastAsia="en-US"/>
              </w:rPr>
              <w:t xml:space="preserve"> – рассчитанная оценка предпочтительности по данному частному критерию оценки в баллах.</w:t>
            </w:r>
          </w:p>
          <w:p>
            <w:pPr>
              <w:pStyle w:val="Style23"/>
              <w:spacing w:beforeAutospacing="0" w:before="0" w:afterAutospacing="0" w:after="0"/>
              <w:ind w:hanging="0"/>
              <w:jc w:val="both"/>
              <w:rPr>
                <w:i/>
                <w:i/>
                <w:iCs/>
                <w:sz w:val="18"/>
                <w:szCs w:val="18"/>
              </w:rPr>
            </w:pPr>
            <w:r>
              <w:rPr>
                <w:i w:val="false"/>
                <w:iCs w:val="false"/>
                <w:sz w:val="20"/>
                <w:szCs w:val="20"/>
              </w:rPr>
              <w:t>В случае участия в закупке Генерального подрядчика – балл по данному критерию присваивается исходя из оценки финансового состояния Генерального подрядчика без учета субподрядчиков.</w:t>
            </w:r>
          </w:p>
          <w:p>
            <w:pPr>
              <w:pStyle w:val="Style23"/>
              <w:spacing w:beforeAutospacing="0" w:before="0" w:afterAutospacing="0" w:after="0"/>
              <w:ind w:hanging="0"/>
              <w:jc w:val="both"/>
              <w:rPr>
                <w:i/>
                <w:i/>
                <w:iCs/>
                <w:sz w:val="18"/>
                <w:szCs w:val="18"/>
              </w:rPr>
            </w:pPr>
            <w:r>
              <w:rPr>
                <w:i w:val="false"/>
                <w:iCs w:val="false"/>
                <w:sz w:val="20"/>
                <w:szCs w:val="20"/>
              </w:rPr>
              <w:t>В случае участия в закупке Коллективного участника – балл по данному критерию присваивается исходя из средневзвешенной оценки финансового состояния всех членов такого Коллективного участника*, где весовая значимость показателя финансового состояния (устойчивости) каждого члена коллективного участника определяется на основе объема поставляемой им продукции согласно Плану распределения объемов поставки продукции (форма 10) (</w:t>
            </w:r>
            <w:hyperlink w:anchor="Прил04_ФормыЗаявки" w:tgtFrame="#Прил04_ФормыЗаявки">
              <w:r>
                <w:rPr>
                  <w:i w:val="false"/>
                  <w:iCs w:val="false"/>
                  <w:color w:val="000000"/>
                  <w:spacing w:val="0"/>
                  <w:sz w:val="20"/>
                  <w:szCs w:val="20"/>
                  <w:u w:val="single"/>
                  <w:shd w:fill="auto" w:val="clear"/>
                  <w:lang w:val="ru-RU"/>
                </w:rPr>
                <w:t>Приложение № 4</w:t>
              </w:r>
            </w:hyperlink>
            <w:r>
              <w:rPr>
                <w:i w:val="false"/>
                <w:iCs w:val="false"/>
                <w:sz w:val="20"/>
                <w:szCs w:val="20"/>
              </w:rPr>
              <w:t>), представленному в заявке такого Коллективного участника на участие в закупке.)</w:t>
            </w:r>
          </w:p>
          <w:p>
            <w:pPr>
              <w:pStyle w:val="Style23"/>
              <w:spacing w:beforeAutospacing="0" w:before="0" w:afterAutospacing="0" w:after="0"/>
              <w:ind w:hanging="0"/>
              <w:jc w:val="both"/>
              <w:rPr>
                <w:sz w:val="18"/>
                <w:szCs w:val="18"/>
              </w:rPr>
            </w:pPr>
            <w:r>
              <w:rPr>
                <w:i w:val="false"/>
                <w:iCs w:val="false"/>
                <w:sz w:val="20"/>
                <w:szCs w:val="20"/>
              </w:rPr>
              <w:t>* Примечание: В случае отсутствия в отношении какого-либо члена Коллективного участника исходных данных для оценки (в соответствии с Приложением 4 к Положению об аккредитации) его финансового состояния (устойчивости), при расчете средневзвешенной оценки Коллективного участника в отношении такого члена (в формуле) применяется значение оценки финансового состояния, равное 0,00 баллов.</w:t>
            </w:r>
          </w:p>
          <w:p>
            <w:pPr>
              <w:pStyle w:val="3"/>
              <w:numPr>
                <w:ilvl w:val="7"/>
                <w:numId w:val="21"/>
              </w:numPr>
              <w:spacing w:lineRule="auto" w:line="240" w:beforeAutospacing="0" w:before="0" w:afterAutospacing="0" w:after="0"/>
              <w:ind w:hanging="0" w:left="0" w:right="0"/>
              <w:jc w:val="left"/>
              <w:rPr>
                <w:rFonts w:ascii="Times New Roman" w:hAnsi="Times New Roman" w:cs="Times New Roman"/>
                <w:sz w:val="20"/>
                <w:szCs w:val="20"/>
              </w:rPr>
            </w:pPr>
            <w:r>
              <w:rPr>
                <w:rFonts w:eastAsia="Times New Roman" w:cs="Times New Roman"/>
                <w:b/>
                <w:bCs/>
                <w:sz w:val="20"/>
                <w:szCs w:val="20"/>
                <w:lang w:eastAsia="ru-RU"/>
              </w:rPr>
              <w:t>Шкала оценок от 0 до 5 баллов.</w:t>
            </w:r>
          </w:p>
        </w:tc>
      </w:tr>
      <w:tr>
        <w:trPr>
          <w:trHeight w:val="2969" w:hRule="atLeast"/>
        </w:trPr>
        <w:tc>
          <w:tcPr>
            <w:tcW w:w="5102" w:type="dxa"/>
            <w:gridSpan w:val="4"/>
            <w:tcBorders>
              <w:top w:val="single" w:sz="4" w:space="0" w:color="000000"/>
              <w:left w:val="single" w:sz="4" w:space="0" w:color="000000"/>
              <w:bottom w:val="single" w:sz="4" w:space="0" w:color="000000"/>
              <w:right w:val="single" w:sz="4" w:space="0" w:color="000000"/>
            </w:tcBorders>
            <w:shd w:color="FFFFFF" w:fill="FFFFFF" w:val="clear"/>
          </w:tcPr>
          <w:p>
            <w:pPr>
              <w:pStyle w:val="Normal"/>
              <w:numPr>
                <w:ilvl w:val="0"/>
                <w:numId w:val="0"/>
              </w:numPr>
              <w:spacing w:lineRule="auto" w:line="240" w:before="120" w:after="0"/>
              <w:ind w:hanging="0" w:left="0"/>
              <w:jc w:val="left"/>
              <w:rPr>
                <w:rFonts w:eastAsia="Calibri"/>
                <w:sz w:val="20"/>
                <w:szCs w:val="20"/>
              </w:rPr>
            </w:pPr>
            <w:r>
              <w:rPr>
                <w:rFonts w:eastAsia="Calibri"/>
                <w:sz w:val="20"/>
                <w:szCs w:val="20"/>
              </w:rPr>
              <w:t>Итоговая оценка предпочтительности заявки:</w:t>
            </w:r>
          </w:p>
          <w:p>
            <w:pPr>
              <w:pStyle w:val="Normal"/>
              <w:numPr>
                <w:ilvl w:val="0"/>
                <w:numId w:val="0"/>
              </w:numPr>
              <w:spacing w:lineRule="auto" w:line="240"/>
              <w:ind w:hanging="0" w:left="0"/>
              <w:jc w:val="right"/>
              <w:rPr>
                <w:rFonts w:eastAsia="Calibri"/>
                <w:sz w:val="20"/>
                <w:szCs w:val="20"/>
              </w:rPr>
            </w:pPr>
            <w:r>
              <w:rPr>
                <w:rFonts w:eastAsia="Calibri"/>
                <w:sz w:val="20"/>
                <w:szCs w:val="20"/>
              </w:rPr>
            </w:r>
          </w:p>
        </w:tc>
        <w:tc>
          <w:tcPr>
            <w:tcW w:w="10034" w:type="dxa"/>
            <w:gridSpan w:val="3"/>
            <w:tcBorders>
              <w:top w:val="single" w:sz="4" w:space="0" w:color="000000"/>
              <w:left w:val="single" w:sz="4" w:space="0" w:color="000000"/>
              <w:bottom w:val="single" w:sz="4" w:space="0" w:color="000000"/>
              <w:right w:val="single" w:sz="4" w:space="0" w:color="000000"/>
            </w:tcBorders>
            <w:shd w:color="FFFFFF" w:fill="FFFFFF" w:val="clear"/>
          </w:tcPr>
          <w:p>
            <w:pPr>
              <w:pStyle w:val="Normal"/>
              <w:numPr>
                <w:ilvl w:val="0"/>
                <w:numId w:val="0"/>
              </w:numPr>
              <w:spacing w:lineRule="exact" w:line="360" w:beforeAutospacing="0" w:before="0" w:after="0"/>
              <w:ind w:hanging="0" w:left="0"/>
              <w:jc w:val="left"/>
              <w:rPr>
                <w:rFonts w:eastAsia="Calibri"/>
                <w:sz w:val="20"/>
                <w:szCs w:val="20"/>
              </w:rPr>
            </w:pPr>
            <w:r>
              <w:rPr>
                <w:rFonts w:eastAsia="Calibri"/>
                <w:sz w:val="20"/>
                <w:szCs w:val="20"/>
                <w:lang w:eastAsia="en-US"/>
              </w:rPr>
              <w:t xml:space="preserve">Расчет итоговой оценки предпочтительности </w:t>
            </w:r>
            <w:r>
              <w:rPr>
                <w:rFonts w:eastAsia="Calibri"/>
                <w:i/>
                <w:sz w:val="20"/>
                <w:szCs w:val="20"/>
                <w:lang w:val="en-US" w:eastAsia="en-US"/>
              </w:rPr>
              <w:t>i</w:t>
            </w:r>
            <w:r>
              <w:rPr>
                <w:rFonts w:eastAsia="Calibri"/>
                <w:sz w:val="20"/>
                <w:szCs w:val="20"/>
                <w:lang w:eastAsia="en-US"/>
              </w:rPr>
              <w:t>-ой заявки:</w:t>
            </w:r>
          </w:p>
          <w:p>
            <w:pPr>
              <w:pStyle w:val="Normal"/>
              <w:keepNext w:val="true"/>
              <w:numPr>
                <w:ilvl w:val="0"/>
                <w:numId w:val="0"/>
              </w:numPr>
              <w:spacing w:lineRule="exact" w:line="360" w:beforeAutospacing="0" w:before="0" w:after="0"/>
              <w:ind w:hanging="0" w:left="0"/>
              <w:jc w:val="left"/>
              <w:rPr>
                <w:rFonts w:eastAsia="Calibri"/>
                <w:sz w:val="20"/>
                <w:szCs w:val="20"/>
              </w:rPr>
            </w:pPr>
            <w:r>
              <w:rPr/>
            </w:r>
            <m:oMathPara xmlns:m="http://schemas.openxmlformats.org/officeDocument/2006/math">
              <m:oMathParaPr>
                <m:jc m:val="left"/>
              </m:oMathParaPr>
              <m:oMath>
                <m:sSub>
                  <m:e>
                    <m:r>
                      <w:rPr>
                        <w:rFonts w:ascii="Cambria Math" w:hAnsi="Cambria Math"/>
                      </w:rPr>
                      <m:t xml:space="preserve">Б</m:t>
                    </m:r>
                  </m:e>
                  <m:sub>
                    <m:r>
                      <w:rPr>
                        <w:rFonts w:ascii="Cambria Math" w:hAnsi="Cambria Math"/>
                      </w:rPr>
                      <m:t xml:space="preserve">ИТОГ</m:t>
                    </m:r>
                  </m:sub>
                </m:sSub>
                <m:r>
                  <w:rPr>
                    <w:rFonts w:ascii="Cambria Math" w:hAnsi="Cambria Math"/>
                  </w:rPr>
                  <m:t xml:space="preserve">=</m:t>
                </m:r>
                <m:nary>
                  <m:naryPr>
                    <m:chr m:val="∑"/>
                    <m:subHide m:val="1"/>
                    <m:supHide m:val="1"/>
                  </m:naryPr>
                  <m:sub/>
                  <m:sup/>
                  <m:e>
                    <m:d>
                      <m:dPr>
                        <m:begChr m:val="("/>
                        <m:endChr m:val=")"/>
                      </m:dPr>
                      <m:e>
                        <m:sSub>
                          <m:e>
                            <m:r>
                              <w:rPr>
                                <w:rFonts w:ascii="Cambria Math" w:hAnsi="Cambria Math"/>
                              </w:rPr>
                              <m:t xml:space="preserve">Б</m:t>
                            </m:r>
                          </m:e>
                          <m:sub>
                            <m:sSub>
                              <m:e>
                                <m:r>
                                  <w:rPr>
                                    <w:rFonts w:ascii="Cambria Math" w:hAnsi="Cambria Math"/>
                                  </w:rPr>
                                  <m:t xml:space="preserve">1</m:t>
                                </m:r>
                                <m:r>
                                  <w:rPr>
                                    <w:rFonts w:ascii="Cambria Math" w:hAnsi="Cambria Math"/>
                                  </w:rPr>
                                  <m:t xml:space="preserve">уровень</m:t>
                                </m:r>
                              </m:e>
                              <m:sub>
                                <m:r>
                                  <w:rPr>
                                    <w:rFonts w:ascii="Cambria Math" w:hAnsi="Cambria Math"/>
                                  </w:rPr>
                                  <m:t xml:space="preserve">k</m:t>
                                </m:r>
                              </m:sub>
                            </m:sSub>
                          </m:sub>
                        </m:sSub>
                        <m:r>
                          <w:rPr>
                            <w:rFonts w:ascii="Cambria Math" w:hAnsi="Cambria Math"/>
                          </w:rPr>
                          <m:t xml:space="preserve">×</m:t>
                        </m:r>
                        <m:sSub>
                          <m:e>
                            <m:r>
                              <w:rPr>
                                <w:rFonts w:ascii="Cambria Math" w:hAnsi="Cambria Math"/>
                              </w:rPr>
                              <m:t xml:space="preserve">В</m:t>
                            </m:r>
                          </m:e>
                          <m:sub>
                            <m:sSub>
                              <m:e>
                                <m:r>
                                  <w:rPr>
                                    <w:rFonts w:ascii="Cambria Math" w:hAnsi="Cambria Math"/>
                                  </w:rPr>
                                  <m:t xml:space="preserve">1</m:t>
                                </m:r>
                                <m:r>
                                  <w:rPr>
                                    <w:rFonts w:ascii="Cambria Math" w:hAnsi="Cambria Math"/>
                                  </w:rPr>
                                  <m:t xml:space="preserve">уровнь</m:t>
                                </m:r>
                              </m:e>
                              <m:sub>
                                <m:r>
                                  <w:rPr>
                                    <w:rFonts w:ascii="Cambria Math" w:hAnsi="Cambria Math"/>
                                  </w:rPr>
                                  <m:t xml:space="preserve">k</m:t>
                                </m:r>
                              </m:sub>
                            </m:sSub>
                          </m:sub>
                        </m:sSub>
                      </m:e>
                    </m:d>
                  </m:e>
                </m:nary>
              </m:oMath>
            </m:oMathPara>
          </w:p>
          <w:p>
            <w:pPr>
              <w:pStyle w:val="Normal"/>
              <w:keepNext w:val="true"/>
              <w:numPr>
                <w:ilvl w:val="0"/>
                <w:numId w:val="0"/>
              </w:numPr>
              <w:spacing w:lineRule="exact" w:line="360" w:beforeAutospacing="0" w:before="0" w:after="0"/>
              <w:ind w:hanging="0" w:left="0"/>
              <w:jc w:val="left"/>
              <w:rPr>
                <w:rFonts w:eastAsia="Calibri"/>
                <w:sz w:val="20"/>
                <w:szCs w:val="20"/>
              </w:rPr>
            </w:pPr>
            <w:r>
              <w:rPr>
                <w:rFonts w:eastAsia="Calibri"/>
                <w:sz w:val="20"/>
                <w:szCs w:val="20"/>
                <w:lang w:eastAsia="en-US"/>
              </w:rPr>
              <w:t>где:</w:t>
            </w:r>
          </w:p>
          <w:p>
            <w:pPr>
              <w:pStyle w:val="Normal"/>
              <w:numPr>
                <w:ilvl w:val="0"/>
                <w:numId w:val="0"/>
              </w:numPr>
              <w:tabs>
                <w:tab w:val="clear" w:pos="708"/>
                <w:tab w:val="left" w:pos="742" w:leader="none"/>
                <w:tab w:val="left" w:pos="977" w:leader="none"/>
              </w:tabs>
              <w:spacing w:lineRule="exact" w:line="360" w:beforeAutospacing="0" w:before="0" w:after="0"/>
              <w:ind w:hanging="0" w:left="0"/>
              <w:jc w:val="left"/>
              <w:rPr>
                <w:rFonts w:eastAsia="Calibri"/>
                <w:sz w:val="20"/>
                <w:szCs w:val="20"/>
              </w:rPr>
            </w:pPr>
            <w:r>
              <w:rPr>
                <w:rFonts w:eastAsia="Calibri"/>
                <w:sz w:val="20"/>
                <w:szCs w:val="20"/>
                <w:lang w:eastAsia="en-US"/>
              </w:rPr>
              <w:t>Б</w:t>
            </w:r>
            <w:r>
              <w:rPr>
                <w:rFonts w:eastAsia="Calibri"/>
                <w:sz w:val="20"/>
                <w:szCs w:val="20"/>
                <w:vertAlign w:val="subscript"/>
                <w:lang w:eastAsia="en-US"/>
              </w:rPr>
              <w:t>ИТОГ</w:t>
            </w:r>
            <w:r>
              <w:rPr>
                <w:rFonts w:eastAsia="Calibri"/>
                <w:sz w:val="20"/>
                <w:szCs w:val="20"/>
                <w:lang w:eastAsia="en-US"/>
              </w:rPr>
              <w:tab/>
              <w:t>–</w:t>
              <w:tab/>
              <w:t>рассчитанная итоговая оценка предпочтительности в баллах;</w:t>
            </w:r>
          </w:p>
          <w:p>
            <w:pPr>
              <w:pStyle w:val="Normal"/>
              <w:numPr>
                <w:ilvl w:val="0"/>
                <w:numId w:val="0"/>
              </w:numPr>
              <w:tabs>
                <w:tab w:val="clear" w:pos="708"/>
                <w:tab w:val="left" w:pos="742" w:leader="none"/>
                <w:tab w:val="left" w:pos="977" w:leader="none"/>
              </w:tabs>
              <w:spacing w:lineRule="exact" w:line="360" w:beforeAutospacing="0" w:before="0" w:after="0"/>
              <w:ind w:hanging="0" w:left="0"/>
              <w:jc w:val="left"/>
              <w:rPr>
                <w:rFonts w:eastAsia="Calibri"/>
                <w:sz w:val="20"/>
                <w:szCs w:val="20"/>
              </w:rPr>
            </w:pPr>
            <w:r>
              <w:rPr>
                <w:rFonts w:eastAsia="Calibri"/>
                <w:sz w:val="20"/>
                <w:szCs w:val="20"/>
                <w:lang w:eastAsia="en-US"/>
              </w:rPr>
              <w:t>Б</w:t>
            </w:r>
            <w:r>
              <w:rPr>
                <w:rFonts w:eastAsia="Calibri"/>
                <w:sz w:val="20"/>
                <w:szCs w:val="20"/>
                <w:vertAlign w:val="subscript"/>
                <w:lang w:eastAsia="en-US"/>
              </w:rPr>
              <w:t>1 уровень k</w:t>
            </w:r>
            <w:r>
              <w:rPr>
                <w:rFonts w:eastAsia="Calibri"/>
                <w:sz w:val="20"/>
                <w:szCs w:val="20"/>
                <w:lang w:eastAsia="en-US"/>
              </w:rPr>
              <w:tab/>
              <w:t>–</w:t>
              <w:tab/>
              <w:t>оценка предпочтительности по k-тому критерию оценки первого уровня в баллах;</w:t>
            </w:r>
          </w:p>
          <w:p>
            <w:pPr>
              <w:pStyle w:val="Normal"/>
              <w:numPr>
                <w:ilvl w:val="0"/>
                <w:numId w:val="0"/>
              </w:numPr>
              <w:tabs>
                <w:tab w:val="clear" w:pos="708"/>
                <w:tab w:val="left" w:pos="742" w:leader="none"/>
                <w:tab w:val="left" w:pos="1167" w:leader="none"/>
              </w:tabs>
              <w:spacing w:lineRule="auto" w:line="240" w:beforeAutospacing="0" w:before="0" w:after="0"/>
              <w:ind w:hanging="0" w:left="0"/>
              <w:jc w:val="left"/>
              <w:rPr>
                <w:rFonts w:eastAsia="Calibri"/>
                <w:spacing w:val="-4"/>
                <w:sz w:val="20"/>
                <w:szCs w:val="20"/>
              </w:rPr>
            </w:pPr>
            <w:r>
              <w:rPr>
                <w:rFonts w:eastAsia="Calibri"/>
                <w:spacing w:val="-4"/>
                <w:sz w:val="20"/>
                <w:szCs w:val="20"/>
                <w:lang w:eastAsia="en-US"/>
              </w:rPr>
              <w:t>В</w:t>
            </w:r>
            <w:r>
              <w:rPr>
                <w:rFonts w:eastAsia="Calibri"/>
                <w:spacing w:val="-4"/>
                <w:sz w:val="20"/>
                <w:szCs w:val="20"/>
                <w:vertAlign w:val="subscript"/>
                <w:lang w:eastAsia="en-US"/>
              </w:rPr>
              <w:t>1 уровень k</w:t>
            </w:r>
            <w:r>
              <w:rPr>
                <w:rFonts w:eastAsia="Calibri"/>
                <w:spacing w:val="-4"/>
                <w:sz w:val="20"/>
                <w:szCs w:val="20"/>
                <w:lang w:eastAsia="en-US"/>
              </w:rPr>
              <w:tab/>
              <w:t>–</w:t>
              <w:tab/>
              <w:t>значимость k-ого критерия оценки первого уровня, выраженная в диапазоне от 1% до 100% (или от 0,01 до 1,00) – вес k-ого критерия оценки первого уровня.</w:t>
            </w:r>
          </w:p>
          <w:p>
            <w:pPr>
              <w:pStyle w:val="Normal"/>
              <w:numPr>
                <w:ilvl w:val="0"/>
                <w:numId w:val="0"/>
              </w:numPr>
              <w:tabs>
                <w:tab w:val="clear" w:pos="708"/>
                <w:tab w:val="left" w:pos="742" w:leader="none"/>
                <w:tab w:val="left" w:pos="1167" w:leader="none"/>
              </w:tabs>
              <w:spacing w:lineRule="auto" w:line="240" w:beforeAutospacing="0" w:before="0" w:after="0"/>
              <w:ind w:hanging="0" w:left="0"/>
              <w:jc w:val="both"/>
              <w:rPr>
                <w:rFonts w:eastAsia="Calibri"/>
                <w:sz w:val="20"/>
                <w:szCs w:val="20"/>
              </w:rPr>
            </w:pPr>
            <w:r>
              <w:rPr>
                <w:rFonts w:eastAsia="Calibri" w:eastAsiaTheme="minorHAnsi"/>
                <w:i/>
                <w:iCs/>
                <w:sz w:val="20"/>
                <w:szCs w:val="20"/>
                <w:lang w:eastAsia="en-US"/>
              </w:rPr>
              <w:t>Расчет значений баллов по частным / обобщенным критериям оценки, а также итогового балла (итоговой оценки предпочтительности) производится до четвертого знака после запятой (в соответствии с математическими правилами округления).</w:t>
            </w:r>
          </w:p>
        </w:tc>
      </w:tr>
    </w:tbl>
    <w:p>
      <w:pPr>
        <w:pStyle w:val="Style23"/>
        <w:spacing w:before="120" w:after="120"/>
        <w:ind w:left="1134"/>
        <w:rPr>
          <w:rStyle w:val="Style3"/>
        </w:rPr>
      </w:pPr>
      <w:r>
        <w:rPr/>
      </w:r>
    </w:p>
    <w:p>
      <w:pPr>
        <w:pStyle w:val="Style19"/>
        <w:spacing w:before="120" w:after="0"/>
        <w:rPr/>
      </w:pPr>
      <w:r>
        <w:rPr/>
        <w:t>Итоговая оценка предпочтительности заявки формируется путем взвешенного суммирования (суммирования в баллах, умноженных на соответствующий коэффициент значимости критерия), производимого в рамках критериев одного уровня. Общая значимость всех критериев одного уровня на одной ветке иерархии составляет 100%. Вычисление оценки предпочтительности по каждому критерию и итоговой оценки предпочтительности заявки производится с точностью до десятитысячных балла.</w:t>
      </w:r>
    </w:p>
    <w:p>
      <w:pPr>
        <w:pStyle w:val="Style19"/>
        <w:spacing w:before="0" w:after="0"/>
        <w:rPr/>
      </w:pPr>
      <w:r>
        <w:rPr/>
        <w:t>В установленных случаях оценка и сопоставление заявок производится с учетом предоставления национального режима в соответствии с порядком, предусмотренном подразделом </w:t>
      </w:r>
      <w:r>
        <w:rPr/>
        <w:fldChar w:fldCharType="begin"/>
      </w:r>
      <w:r>
        <w:rPr/>
        <w:instrText xml:space="preserve"> REF _Ref130985951 \r \h </w:instrText>
      </w:r>
      <w:r>
        <w:rPr/>
        <w:fldChar w:fldCharType="separate"/>
      </w:r>
      <w:r>
        <w:rPr/>
        <w:t>4.13</w:t>
      </w:r>
      <w:r>
        <w:rPr/>
        <w:fldChar w:fldCharType="end"/>
      </w:r>
      <w:r>
        <w:rPr/>
        <w:t>.</w:t>
      </w:r>
    </w:p>
    <w:p>
      <w:pPr>
        <w:sectPr>
          <w:headerReference w:type="default" r:id="rId35"/>
          <w:headerReference w:type="first" r:id="rId36"/>
          <w:footerReference w:type="default" r:id="rId37"/>
          <w:footerReference w:type="first" r:id="rId38"/>
          <w:footnotePr>
            <w:numFmt w:val="decimal"/>
          </w:footnotePr>
          <w:type w:val="nextPage"/>
          <w:pgSz w:orient="landscape" w:w="16838" w:h="11906"/>
          <w:pgMar w:left="851" w:right="851" w:gutter="0" w:header="567" w:top="1134" w:footer="567" w:bottom="850"/>
          <w:pgNumType w:fmt="decimal"/>
          <w:formProt w:val="false"/>
          <w:textDirection w:val="lrTb"/>
          <w:docGrid w:type="default" w:linePitch="360" w:charSpace="0"/>
        </w:sectPr>
        <w:pStyle w:val="Style19"/>
        <w:spacing w:before="0" w:after="0"/>
        <w:rPr/>
      </w:pPr>
      <w:r>
        <w:rPr/>
        <w:t>Заявки участников (из числа успешно прошедших отборочную стадию) ранжируются по количеству набранных баллов (от наибольшего к наименьшему), присвоенных заявкам по результатам оценки.</w:t>
      </w:r>
    </w:p>
    <w:p>
      <w:pPr>
        <w:pStyle w:val="Style17"/>
        <w:spacing w:before="0" w:after="0"/>
        <w:rPr/>
      </w:pPr>
      <w:bookmarkStart w:id="424" w:name="Прил09_ОбоснованиеНМЦ"/>
      <w:bookmarkStart w:id="425" w:name="_Toc230928891"/>
      <w:bookmarkStart w:id="426" w:name="_Ref125360420"/>
      <w:bookmarkStart w:id="427" w:name="_Toc136261769"/>
      <w:bookmarkStart w:id="428" w:name="_Toc136261692"/>
      <w:bookmarkStart w:id="429" w:name="_Toc136249263"/>
      <w:bookmarkStart w:id="430" w:name="_Toc136261768"/>
      <w:bookmarkStart w:id="431" w:name="_Toc136261691"/>
      <w:bookmarkStart w:id="432" w:name="_Toc136249262"/>
      <w:bookmarkStart w:id="433" w:name="_Toc136261767"/>
      <w:bookmarkStart w:id="434" w:name="_Toc136261690"/>
      <w:bookmarkStart w:id="435" w:name="_Toc136249261"/>
      <w:bookmarkStart w:id="436" w:name="_Toc136261766"/>
      <w:bookmarkStart w:id="437" w:name="_Toc136261689"/>
      <w:bookmarkStart w:id="438" w:name="_Toc136249260"/>
      <w:bookmarkEnd w:id="427"/>
      <w:bookmarkEnd w:id="428"/>
      <w:bookmarkEnd w:id="429"/>
      <w:bookmarkEnd w:id="430"/>
      <w:bookmarkEnd w:id="431"/>
      <w:bookmarkEnd w:id="432"/>
      <w:bookmarkEnd w:id="433"/>
      <w:bookmarkEnd w:id="434"/>
      <w:bookmarkEnd w:id="435"/>
      <w:bookmarkEnd w:id="436"/>
      <w:bookmarkEnd w:id="437"/>
      <w:bookmarkEnd w:id="438"/>
      <w:r>
        <w:rPr/>
        <w:t>Приложение № 9 – Обоснование НМЦ</w:t>
      </w:r>
      <w:bookmarkEnd w:id="424"/>
      <w:bookmarkEnd w:id="425"/>
      <w:bookmarkEnd w:id="426"/>
    </w:p>
    <w:p>
      <w:pPr>
        <w:pStyle w:val="Style18"/>
        <w:spacing w:before="360" w:after="0"/>
        <w:rPr/>
      </w:pPr>
      <w:bookmarkStart w:id="439" w:name="_Toc230928892"/>
      <w:r>
        <w:rPr/>
        <w:t>Пояснения к Обоснованию НМЦ</w:t>
      </w:r>
      <w:bookmarkEnd w:id="439"/>
    </w:p>
    <w:p>
      <w:pPr>
        <w:pStyle w:val="Style19"/>
        <w:spacing w:before="120" w:after="0"/>
        <w:rPr/>
      </w:pPr>
      <w:r>
        <w:rPr/>
        <w:t>Обоснование НМЦ приведено в отдельном файле (предоставляется отдельным документом в составе Документации о закупке), являющимся Приложением № 9 к Документации о закупке.</w:t>
      </w:r>
    </w:p>
    <w:p>
      <w:pPr>
        <w:pStyle w:val="Style17"/>
        <w:spacing w:before="0" w:after="0"/>
        <w:rPr/>
      </w:pPr>
      <w:bookmarkStart w:id="440" w:name="_Toc230928893"/>
      <w:bookmarkStart w:id="441" w:name="Прил10_ЗаявкаНаАккредитацию"/>
      <w:bookmarkEnd w:id="441"/>
      <w:r>
        <w:rPr/>
        <w:t>Приложение № 10 – Форма Заявки на аккредитацию</w:t>
      </w:r>
      <w:bookmarkEnd w:id="440"/>
    </w:p>
    <w:p>
      <w:pPr>
        <w:pStyle w:val="Style18"/>
        <w:spacing w:before="360" w:after="0"/>
        <w:rPr/>
      </w:pPr>
      <w:bookmarkStart w:id="442" w:name="_Toc230928894"/>
      <w:r>
        <w:rPr/>
        <w:t>Пояснения к форме Заявки на аккредитацию</w:t>
      </w:r>
      <w:bookmarkEnd w:id="442"/>
    </w:p>
    <w:p>
      <w:pPr>
        <w:pStyle w:val="Style19"/>
        <w:spacing w:before="120" w:after="0"/>
        <w:rPr/>
      </w:pPr>
      <w:r>
        <w:rPr/>
        <w:t xml:space="preserve">Форма Заявки на аккредитацию приведена в отдельном файле (предоставляется отдельным документом в составе Документации о закупке), являющимся Приложением № 10 к Документации о закупке. </w:t>
      </w:r>
    </w:p>
    <w:p>
      <w:pPr>
        <w:pStyle w:val="Style19"/>
        <w:spacing w:before="0" w:after="0"/>
        <w:rPr/>
      </w:pPr>
      <w:r>
        <w:rPr/>
        <w:t xml:space="preserve">Заявка на аккредитацию предоставляется (в установленных Документацией о закупке случаях) Участником в составе своей заявки </w:t>
      </w:r>
      <w:bookmarkStart w:id="443" w:name="_Hlk207300788"/>
      <w:r>
        <w:rPr/>
        <w:t xml:space="preserve">только в электронном виде в формате </w:t>
      </w:r>
      <w:r>
        <w:rPr>
          <w:lang w:val="en-US"/>
        </w:rPr>
        <w:t>Microsoft</w:t>
      </w:r>
      <w:r>
        <w:rPr/>
        <w:t xml:space="preserve"> </w:t>
      </w:r>
      <w:r>
        <w:rPr>
          <w:lang w:val="en-US"/>
        </w:rPr>
        <w:t>Excel</w:t>
      </w:r>
      <w:r>
        <w:rPr/>
        <w:t xml:space="preserve"> (*.</w:t>
      </w:r>
      <w:r>
        <w:rPr>
          <w:lang w:val="en-US"/>
        </w:rPr>
        <w:t>xlsx</w:t>
      </w:r>
      <w:r>
        <w:rPr/>
        <w:t>))</w:t>
      </w:r>
      <w:bookmarkEnd w:id="443"/>
      <w:r>
        <w:rPr/>
        <w:t>.</w:t>
      </w:r>
    </w:p>
    <w:p>
      <w:pPr>
        <w:pStyle w:val="Style19"/>
        <w:spacing w:before="0" w:after="0"/>
        <w:rPr/>
      </w:pPr>
      <w:r>
        <w:rPr/>
      </w:r>
    </w:p>
    <w:p>
      <w:pPr>
        <w:pStyle w:val="Style23"/>
        <w:jc w:val="center"/>
        <w:rPr/>
      </w:pPr>
      <w:r>
        <w:rPr/>
        <w:object>
          <v:shapetype id="_x0000_tole_rId39" coordsize="21600,21600" o:spt="ole_rId39"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le_rId39" type="_x0000_tole_rId39" style="width:79.25pt;height:50.2pt;mso-wrap-distance-right:0pt" filled="f" o:ole="">
            <v:imagedata r:id="rId40" o:title=""/>
          </v:shape>
          <o:OLEObject Type="Embed" ProgID="Excel.Sheet.12" ShapeID="ole_rId39" DrawAspect="Icon" ObjectID="_2049344466" r:id="rId39"/>
        </w:object>
      </w:r>
    </w:p>
    <w:p>
      <w:pPr>
        <w:pStyle w:val="Style17"/>
        <w:spacing w:before="0" w:after="0"/>
        <w:rPr/>
      </w:pPr>
      <w:bookmarkStart w:id="444" w:name="_Toc230928895"/>
      <w:bookmarkStart w:id="445" w:name="Прил11_Форма_данных_бухотчетность"/>
      <w:r>
        <w:rPr/>
        <w:t xml:space="preserve">Приложение № 11 </w:t>
      </w:r>
      <w:bookmarkEnd w:id="445"/>
      <w:r>
        <w:rPr/>
        <w:t>– форма Данных бухгалтерской (финансовой) отчетности</w:t>
      </w:r>
      <w:bookmarkEnd w:id="444"/>
    </w:p>
    <w:p>
      <w:pPr>
        <w:pStyle w:val="Style18"/>
        <w:spacing w:before="360" w:after="0"/>
        <w:rPr/>
      </w:pPr>
      <w:bookmarkStart w:id="446" w:name="_Toc230928896"/>
      <w:r>
        <w:rPr/>
        <w:t>Пояснения к форме Данных бухгалтерской (финансовой) отчетности</w:t>
      </w:r>
      <w:bookmarkEnd w:id="446"/>
      <w:r>
        <w:rPr/>
        <w:t xml:space="preserve"> </w:t>
      </w:r>
    </w:p>
    <w:p>
      <w:pPr>
        <w:pStyle w:val="Style19"/>
        <w:rPr/>
      </w:pPr>
      <w:r>
        <w:rPr/>
        <w:t>Форма Данных бухгалтерской (финансовой) отчетности приведена в отдельном файле (предоставляется отдельным документом в составе Документации о закупке), являющимся Приложением № 11 к Документации о закупке.</w:t>
      </w:r>
    </w:p>
    <w:p>
      <w:pPr>
        <w:pStyle w:val="Normal"/>
        <w:rPr/>
      </w:pPr>
      <w:r>
        <w:rPr/>
      </w:r>
    </w:p>
    <w:p>
      <w:pPr>
        <w:pStyle w:val="Normal"/>
        <w:jc w:val="center"/>
        <w:rPr/>
      </w:pPr>
      <w:r>
        <w:rPr/>
      </w:r>
      <w:bookmarkStart w:id="447" w:name="_MON_1821256687"/>
      <w:bookmarkStart w:id="448" w:name="_MON_1821256687"/>
      <w:bookmarkEnd w:id="448"/>
    </w:p>
    <w:p>
      <w:pPr>
        <w:pStyle w:val="Normal"/>
        <w:jc w:val="center"/>
        <w:rPr/>
      </w:pPr>
      <w:r>
        <w:rPr/>
        <w:object>
          <v:shapetype id="_x0000_tole_rId41" coordsize="21600,21600" o:spt="ole_rId41"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le_rId41" type="_x0000_tole_rId41" style="width:79.25pt;height:50.2pt;mso-wrap-distance-right:0pt" filled="f" o:ole="">
            <v:imagedata r:id="rId42" o:title=""/>
          </v:shape>
          <o:OLEObject Type="Embed" ProgID="Word.Document.12" ShapeID="ole_rId41" DrawAspect="Icon" ObjectID="_1266679020" r:id="rId41"/>
        </w:object>
      </w:r>
    </w:p>
    <w:sectPr>
      <w:headerReference w:type="default" r:id="rId43"/>
      <w:headerReference w:type="first" r:id="rId44"/>
      <w:footerReference w:type="default" r:id="rId45"/>
      <w:footerReference w:type="first" r:id="rId46"/>
      <w:footnotePr>
        <w:numFmt w:val="decimal"/>
      </w:footnotePr>
      <w:type w:val="nextPage"/>
      <w:pgSz w:w="11906" w:h="16838"/>
      <w:pgMar w:left="1134" w:right="850" w:gutter="0" w:header="567" w:top="851" w:footer="567" w:bottom="851"/>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PT Sans">
    <w:charset w:val="01"/>
    <w:family w:val="roman"/>
    <w:pitch w:val="variable"/>
  </w:font>
  <w:font w:name="Times New Roman">
    <w:charset w:val="01"/>
    <w:family w:val="roman"/>
    <w:pitch w:val="variable"/>
  </w:font>
  <w:font w:name="Arial">
    <w:charset w:val="01"/>
    <w:family w:val="roman"/>
    <w:pitch w:val="variable"/>
  </w:font>
  <w:font w:name="Segoe UI">
    <w:charset w:val="01"/>
    <w:family w:val="roman"/>
    <w:pitch w:val="variable"/>
  </w:font>
  <w:font w:name="OpenSymbol">
    <w:altName w:val="Arial Unicode MS"/>
    <w:charset w:val="01"/>
    <w:family w:val="roman"/>
    <w:pitch w:val="variable"/>
  </w:font>
  <w:font w:name="Open Sans">
    <w:charset w:val="01"/>
    <w:family w:val="roman"/>
    <w:pitch w:val="variable"/>
  </w:font>
  <w:font w:name="Calibri">
    <w:charset w:val="01"/>
    <w:family w:val="roman"/>
    <w:pitch w:val="variable"/>
  </w:font>
  <w:font w:name="Symbol">
    <w:charset w:val="02"/>
    <w:family w:val="auto"/>
    <w:pitch w:val="default"/>
  </w:font>
  <w:font w:name="Courier New">
    <w:charset w:val="01"/>
    <w:family w:val="modern"/>
    <w:pitch w:val="fixed"/>
  </w:font>
  <w:font w:name="Wingdings">
    <w:charset w:val="02"/>
    <w:family w:val="auto"/>
    <w:pitch w:val="default"/>
  </w:font>
  <w:font w:name="Calibri">
    <w:charset w:val="01"/>
    <w:family w:val="swiss"/>
    <w:pitch w:val="variable"/>
  </w:font>
  <w:font w:name="OpenSymbol">
    <w:altName w:val="Arial Unicode MS"/>
    <w:charset w:val="01"/>
    <w:family w:val="auto"/>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spacing w:before="120" w:after="0"/>
      <w:jc w:val="right"/>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spacing w:before="120" w:after="0"/>
      <w:jc w:val="right"/>
      <w:rPr/>
    </w:pPr>
    <w:r>
      <w:rPr/>
      <w:fldChar w:fldCharType="begin"/>
    </w:r>
    <w:r>
      <w:rPr/>
      <w:instrText xml:space="preserve"> PAGE </w:instrText>
    </w:r>
    <w:r>
      <w:rPr/>
      <w:fldChar w:fldCharType="separate"/>
    </w:r>
    <w:r>
      <w:rPr/>
      <w:t>23</w:t>
    </w:r>
    <w:r>
      <w:rPr/>
      <w:fldChar w:fldCharType="end"/>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spacing w:before="120" w:after="0"/>
      <w:jc w:val="right"/>
      <w:rPr/>
    </w:pPr>
    <w:r>
      <w:rPr/>
      <w:fldChar w:fldCharType="begin"/>
    </w:r>
    <w:r>
      <w:rPr/>
      <w:instrText xml:space="preserve"> PAGE </w:instrText>
    </w:r>
    <w:r>
      <w:rPr/>
      <w:fldChar w:fldCharType="separate"/>
    </w:r>
    <w:r>
      <w:rPr/>
      <w:t>24</w:t>
    </w:r>
    <w:r>
      <w:rPr/>
      <w:fldChar w:fldCharType="end"/>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spacing w:before="120" w:after="0"/>
      <w:jc w:val="right"/>
      <w:rPr/>
    </w:pPr>
    <w:r>
      <w:rPr/>
      <w:fldChar w:fldCharType="begin"/>
    </w:r>
    <w:r>
      <w:rPr/>
      <w:instrText xml:space="preserve"> PAGE </w:instrText>
    </w:r>
    <w:r>
      <w:rPr/>
      <w:fldChar w:fldCharType="separate"/>
    </w:r>
    <w:r>
      <w:rPr/>
      <w:t>53</w:t>
    </w:r>
    <w:r>
      <w:rPr/>
      <w:fldChar w:fldCharType="end"/>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spacing w:before="120" w:after="0"/>
      <w:jc w:val="right"/>
      <w:rPr/>
    </w:pPr>
    <w:r>
      <w:rPr/>
      <w:fldChar w:fldCharType="begin"/>
    </w:r>
    <w:r>
      <w:rPr/>
      <w:instrText xml:space="preserve"> PAGE </w:instrText>
    </w:r>
    <w:r>
      <w:rPr/>
      <w:fldChar w:fldCharType="separate"/>
    </w:r>
    <w:r>
      <w:rPr/>
      <w:t>61</w:t>
    </w:r>
    <w:r>
      <w:rPr/>
      <w:fldChar w:fldCharType="end"/>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spacing w:before="120" w:after="0"/>
      <w:jc w:val="right"/>
      <w:rPr/>
    </w:pPr>
    <w:r>
      <w:rPr/>
      <w:fldChar w:fldCharType="begin"/>
    </w:r>
    <w:r>
      <w:rPr/>
      <w:instrText xml:space="preserve"> PAGE </w:instrText>
    </w:r>
    <w:r>
      <w:rPr/>
      <w:fldChar w:fldCharType="separate"/>
    </w:r>
    <w:r>
      <w:rPr/>
      <w:t>67</w:t>
    </w:r>
    <w:r>
      <w:rPr/>
      <w:fldChar w:fldCharType="end"/>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spacing w:before="120" w:after="0"/>
      <w:jc w:val="right"/>
      <w:rPr/>
    </w:pPr>
    <w:r>
      <w:rPr/>
      <w:fldChar w:fldCharType="begin"/>
    </w:r>
    <w:r>
      <w:rPr/>
      <w:instrText xml:space="preserve"> PAGE </w:instrText>
    </w:r>
    <w:r>
      <w:rPr/>
      <w:fldChar w:fldCharType="separate"/>
    </w:r>
    <w:r>
      <w:rPr/>
      <w:t>74</w:t>
    </w:r>
    <w:r>
      <w:rPr/>
      <w:fldChar w:fldCharType="end"/>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spacing w:before="120" w:after="0"/>
      <w:jc w:val="right"/>
      <w:rPr/>
    </w:pPr>
    <w:r>
      <w:rPr/>
      <w:fldChar w:fldCharType="begin"/>
    </w:r>
    <w:r>
      <w:rPr/>
      <w:instrText xml:space="preserve"> PAGE </w:instrText>
    </w:r>
    <w:r>
      <w:rPr/>
      <w:fldChar w:fldCharType="separate"/>
    </w:r>
    <w:r>
      <w:rPr/>
      <w:t>79</w:t>
    </w:r>
    <w:r>
      <w:rPr/>
      <w:fldChar w:fldCharType="end"/>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spacing w:before="120" w:after="0"/>
      <w:jc w:val="right"/>
      <w:rPr/>
    </w:pPr>
    <w:r>
      <w:rPr/>
      <w:fldChar w:fldCharType="begin"/>
    </w:r>
    <w:r>
      <w:rPr/>
      <w:instrText xml:space="preserve"> PAGE </w:instrText>
    </w:r>
    <w:r>
      <w:rPr/>
      <w:fldChar w:fldCharType="separate"/>
    </w:r>
    <w:r>
      <w:rPr/>
      <w:t>82</w:t>
    </w:r>
    <w:r>
      <w:rPr/>
      <w:fldChar w:fldCharType="end"/>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Style25"/>
        <w:spacing w:before="80" w:after="0"/>
        <w:ind w:hanging="567" w:left="567"/>
        <w:jc w:val="both"/>
        <w:rPr/>
      </w:pPr>
      <w:r>
        <w:rPr>
          <w:rStyle w:val="Style5"/>
        </w:rPr>
        <w:footnoteRef/>
      </w:r>
      <w:r>
        <w:rPr/>
        <w:tab/>
        <w:t>Информационной Системой ЭДО ПАО «РусГидро» является «Диадок», с оператором которой ЗАО «ПФ «СКБ» Контур» заключено Соглашение о переходе на юридически значимый документооборот.</w:t>
      </w:r>
    </w:p>
  </w:footnote>
  <w:footnote w:id="3">
    <w:p>
      <w:pPr>
        <w:pStyle w:val="Style25"/>
        <w:spacing w:before="80" w:after="0"/>
        <w:ind w:hanging="567" w:left="567"/>
        <w:jc w:val="both"/>
        <w:rPr/>
      </w:pPr>
      <w:r>
        <w:rPr>
          <w:rStyle w:val="Style5"/>
        </w:rPr>
        <w:footnoteRef/>
      </w:r>
      <w:r>
        <w:rPr/>
        <w:tab/>
        <w:t>Определенные в соответствии с Законом 422-ФЗ.</w:t>
      </w:r>
    </w:p>
  </w:footnote>
  <w:footnote w:id="4">
    <w:p>
      <w:pPr>
        <w:pStyle w:val="Style25"/>
        <w:spacing w:before="80" w:after="0"/>
        <w:ind w:hanging="567" w:left="567"/>
        <w:jc w:val="both"/>
        <w:rPr/>
      </w:pPr>
      <w:r>
        <w:rPr>
          <w:rStyle w:val="Style5"/>
        </w:rPr>
        <w:footnoteRef/>
      </w:r>
      <w:r>
        <w:rPr/>
        <w:tab/>
        <w:t>По решению Организатора (в соответствии с Положением о закупке) в протоколе могут не отражаться сведения, позволяющие идентифицировать Участников.</w:t>
      </w:r>
    </w:p>
  </w:footnote>
  <w:footnote w:id="5">
    <w:p>
      <w:pPr>
        <w:pStyle w:val="Style25"/>
        <w:spacing w:before="80" w:after="0"/>
        <w:ind w:hanging="567" w:left="567"/>
        <w:jc w:val="both"/>
        <w:rPr/>
      </w:pPr>
      <w:r>
        <w:rPr>
          <w:rStyle w:val="Style5"/>
        </w:rPr>
        <w:footnoteRef/>
      </w:r>
      <w:r>
        <w:rPr/>
        <w:tab/>
        <w:t>При этом отклонение заявки за отсутствие в ней документов, требующихся исключительно для целей оценки и сопоставления заявок (подраздел </w:t>
      </w:r>
      <w:r>
        <w:rPr/>
        <w:fldChar w:fldCharType="begin"/>
      </w:r>
      <w:r>
        <w:rPr/>
        <w:instrText xml:space="preserve"> REF _Ref125362626 \w \h </w:instrText>
      </w:r>
      <w:r>
        <w:rPr/>
        <w:fldChar w:fldCharType="separate"/>
      </w:r>
      <w:r>
        <w:rPr/>
        <w:t>4.12</w:t>
      </w:r>
      <w:r>
        <w:rPr/>
        <w:fldChar w:fldCharType="end"/>
      </w:r>
      <w:r>
        <w:rPr/>
        <w:t>), не допускается.</w:t>
      </w:r>
    </w:p>
  </w:footnote>
  <w:footnote w:id="6">
    <w:p>
      <w:pPr>
        <w:pStyle w:val="Style25"/>
        <w:spacing w:before="80" w:after="0"/>
        <w:ind w:hanging="567" w:left="567"/>
        <w:jc w:val="both"/>
        <w:rPr/>
      </w:pPr>
      <w:r>
        <w:rPr>
          <w:rStyle w:val="Style5"/>
        </w:rPr>
        <w:footnoteRef/>
      </w:r>
      <w:r>
        <w:rPr/>
        <w:tab/>
        <w:t>С учетом пункта </w:t>
      </w:r>
      <w:r>
        <w:rPr/>
        <w:fldChar w:fldCharType="begin"/>
      </w:r>
      <w:r>
        <w:rPr/>
        <w:instrText xml:space="preserve"> REF _Ref125365558 \w \h </w:instrText>
      </w:r>
      <w:r>
        <w:rPr/>
        <w:fldChar w:fldCharType="separate"/>
      </w:r>
      <w:r>
        <w:rPr/>
        <w:t>Ошибка: источник перекрёстной ссылки не найден</w:t>
      </w:r>
      <w:r>
        <w:rPr/>
        <w:fldChar w:fldCharType="end"/>
      </w:r>
      <w:r>
        <w:rPr/>
        <w:t>.</w:t>
      </w:r>
    </w:p>
  </w:footnote>
  <w:footnote w:id="7">
    <w:p>
      <w:pPr>
        <w:pStyle w:val="Style25"/>
        <w:spacing w:before="80" w:after="0"/>
        <w:ind w:hanging="567" w:left="567"/>
        <w:jc w:val="both"/>
        <w:rPr/>
      </w:pPr>
      <w:r>
        <w:rPr>
          <w:rStyle w:val="Style5"/>
        </w:rPr>
        <w:footnoteRef/>
      </w:r>
      <w:r>
        <w:rPr/>
        <w:tab/>
        <w:t>По решению Организатора (в соответствии с Положением о закупке) в протоколе могут не отражаться сведения, позволяющие идентифицировать Участников.</w:t>
      </w:r>
    </w:p>
  </w:footnote>
  <w:footnote w:id="8">
    <w:p>
      <w:pPr>
        <w:pStyle w:val="Style25"/>
        <w:spacing w:before="80" w:after="0"/>
        <w:ind w:hanging="567" w:left="567"/>
        <w:jc w:val="both"/>
        <w:rPr/>
      </w:pPr>
      <w:r>
        <w:rPr>
          <w:rStyle w:val="Style5"/>
        </w:rPr>
        <w:footnoteRef/>
      </w:r>
      <w:r>
        <w:rPr/>
        <w:tab/>
        <w:t>В отношении предоставляемой Участником (в целях обеспечения проведения оценки его финансового состояния (устойчивости) в соответствии с Положением об аккредитации) бухгалтерской (финансовой) отчетности самостоятельные исправления арифметических ошибок не допускается (все изменения в отчетность должны вноситься в установленном законодательством порядке).</w:t>
      </w:r>
    </w:p>
  </w:footnote>
  <w:footnote w:id="9">
    <w:p>
      <w:pPr>
        <w:pStyle w:val="Style25"/>
        <w:spacing w:before="80" w:after="0"/>
        <w:ind w:hanging="567" w:left="567"/>
        <w:jc w:val="both"/>
        <w:rPr/>
      </w:pPr>
      <w:r>
        <w:rPr>
          <w:rStyle w:val="Style5"/>
        </w:rPr>
        <w:footnoteRef/>
      </w:r>
      <w:r>
        <w:rPr/>
        <w:tab/>
        <w:t>Увеличение на 15% (пятнадцать процентов) итоговой стоимости заявки (цены Договора) в случае подачи им предложения о размере платы, подлежащей внесению за заключение Договора.</w:t>
      </w:r>
    </w:p>
  </w:footnote>
  <w:footnote w:id="10">
    <w:p>
      <w:pPr>
        <w:pStyle w:val="Style25"/>
        <w:spacing w:before="80" w:after="0"/>
        <w:ind w:hanging="567" w:left="567"/>
        <w:jc w:val="both"/>
        <w:rPr/>
      </w:pPr>
      <w:r>
        <w:rPr>
          <w:rStyle w:val="Style5"/>
        </w:rPr>
        <w:footnoteRef/>
      </w:r>
      <w:r>
        <w:rPr/>
        <w:tab/>
        <w:t>По решению Организатора (в соответствии с Положением о закупке) в протоколе могут не отражаться сведения, позволяющие идентифицировать Участников и Победителя.</w:t>
      </w:r>
    </w:p>
  </w:footnote>
  <w:footnote w:id="11">
    <w:p>
      <w:pPr>
        <w:pStyle w:val="Style25"/>
        <w:spacing w:before="80" w:after="0"/>
        <w:ind w:hanging="567" w:left="567"/>
        <w:jc w:val="both"/>
        <w:rPr/>
      </w:pPr>
      <w:r>
        <w:rPr>
          <w:rStyle w:val="Style5"/>
        </w:rPr>
        <w:footnoteRef/>
      </w:r>
      <w:r>
        <w:rPr/>
        <w:tab/>
        <w:t>https://minfin.gov.ru/ru/perfomance/tax_relations/policy/bankwarranty/</w:t>
      </w:r>
    </w:p>
  </w:footnote>
  <w:footnote w:id="12">
    <w:p>
      <w:pPr>
        <w:pStyle w:val="Normal"/>
        <w:spacing w:before="120" w:after="0"/>
        <w:jc w:val="both"/>
        <w:rPr>
          <w:sz w:val="20"/>
          <w:szCs w:val="20"/>
        </w:rPr>
      </w:pPr>
      <w:r>
        <w:rPr>
          <w:rStyle w:val="Style5"/>
        </w:rPr>
        <w:footnoteRef/>
      </w:r>
      <w:r>
        <w:rPr/>
        <w:t xml:space="preserve"> </w:t>
      </w:r>
      <w:r>
        <w:rPr>
          <w:sz w:val="22"/>
        </w:rPr>
        <w:t>Для Исполнительного аппарата и филиалов ПАО «РусГидро» — Арбитражный суд г. Москвы – в случаях, установленных Распоряжением ПАО «РусГидро» от 08.10.2025 № 548р «Об условиях договорной подсудности» или иными ЛНД(А), заменяющими его.</w:t>
      </w:r>
    </w:p>
  </w:footnote>
  <w:footnote w:id="13">
    <w:p>
      <w:pPr>
        <w:pStyle w:val="Style25"/>
        <w:spacing w:before="80" w:after="0"/>
        <w:ind w:hanging="567" w:left="567"/>
        <w:jc w:val="both"/>
        <w:rPr/>
      </w:pPr>
      <w:r>
        <w:rPr>
          <w:rStyle w:val="Style5"/>
        </w:rPr>
        <w:footnoteRef/>
      </w:r>
      <w:r>
        <w:rPr/>
        <w:tab/>
        <w:t>Коллективный участник предоставляет указанные документы на каждого члена.</w:t>
      </w:r>
    </w:p>
  </w:footnote>
  <w:footnote w:id="14">
    <w:p>
      <w:pPr>
        <w:pStyle w:val="Style25"/>
        <w:spacing w:before="80" w:after="0"/>
        <w:ind w:hanging="567" w:left="567"/>
        <w:jc w:val="both"/>
        <w:rPr/>
      </w:pPr>
      <w:r>
        <w:rPr>
          <w:rStyle w:val="Style5"/>
        </w:rPr>
        <w:footnoteRef/>
      </w:r>
      <w:r>
        <w:rPr/>
        <w:tab/>
        <w:t>По решению Организатора (в соответствии с Положением о закупке) в протоколе могут не отражаться сведения, позволяющие идентифицировать Победителя.</w:t>
      </w:r>
    </w:p>
  </w:footnote>
  <w:footnote w:id="15">
    <w:p>
      <w:pPr>
        <w:pStyle w:val="Style25"/>
        <w:spacing w:before="80" w:after="0"/>
        <w:ind w:hanging="567" w:left="567"/>
        <w:jc w:val="both"/>
        <w:rPr/>
      </w:pPr>
      <w:r>
        <w:rPr>
          <w:rStyle w:val="Style5"/>
        </w:rPr>
        <w:footnoteRef/>
      </w:r>
      <w:bookmarkStart w:id="449" w:name="_Hlk139028796_Копия_1_Копия_1_Копия_1_Ко"/>
      <w:r>
        <w:rPr/>
        <w:tab/>
        <w:t>Во исполнение Указа Президента Российской Федерации от 03.05.2022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w:t>
      </w:r>
      <w:bookmarkEnd w:id="449"/>
    </w:p>
  </w:footnote>
  <w:footnote w:id="16">
    <w:p>
      <w:pPr>
        <w:pStyle w:val="Style25"/>
        <w:spacing w:before="80" w:after="0"/>
        <w:ind w:hanging="567" w:left="567"/>
        <w:jc w:val="both"/>
        <w:rPr/>
      </w:pPr>
      <w:r>
        <w:rPr>
          <w:rStyle w:val="Style5"/>
        </w:rPr>
        <w:footnoteRef/>
      </w:r>
      <w:bookmarkStart w:id="450" w:name="_Hlk139028803_Копия_1_Копия_1_Копия_1_Ко"/>
      <w:bookmarkStart w:id="451" w:name="_Hlk139028804_Копия_1_Копия_1_Копия_1_Ко"/>
      <w:r>
        <w:rPr/>
        <w:tab/>
        <w:t>Перед заключением договора Заказчик дополнительно проводит проверку Победителя (данная норма применима также в отношении Единственного участника несостоявшейся закупки, с которым принято решение о заключении договора) на основании документов, предоставляемых в соответствии с подразделом </w:t>
      </w:r>
      <w:r>
        <w:rPr/>
        <w:fldChar w:fldCharType="begin"/>
      </w:r>
      <w:r>
        <w:rPr/>
        <w:instrText xml:space="preserve"> REF _Ref138232981 \r \h </w:instrText>
      </w:r>
      <w:r>
        <w:rPr/>
        <w:fldChar w:fldCharType="separate"/>
      </w:r>
      <w:r>
        <w:rPr/>
        <w:t>5.2</w:t>
      </w:r>
      <w:r>
        <w:rPr/>
        <w:fldChar w:fldCharType="end"/>
      </w:r>
      <w:r>
        <w:rPr/>
        <w:t>. Если по результатам такой проверки Участник не отвечает установленным требованиям, то он утрачивает статус Победителя, а Закупочная комиссия имеет право выбрать в качестве Победителя иного Участника, занявшего следующее место в ранжировке заявок после Победителя, из числа остальных действующих заявок.</w:t>
      </w:r>
      <w:bookmarkEnd w:id="450"/>
      <w:bookmarkEnd w:id="451"/>
    </w:p>
  </w:footnote>
  <w:footnote w:id="17">
    <w:p>
      <w:pPr>
        <w:pStyle w:val="FootnoteText"/>
        <w:rPr/>
      </w:pPr>
      <w:r>
        <w:rPr>
          <w:rStyle w:val="Style5"/>
        </w:rPr>
        <w:footnoteRef/>
      </w:r>
      <w:r>
        <w:rPr/>
        <w:t xml:space="preserve"> </w:t>
      </w:r>
      <w:r>
        <w:rPr/>
        <w:t>В Положении об аккредитации используется термин «Заявитель».</w:t>
      </w:r>
    </w:p>
  </w:footnote>
</w:footnote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spacing w:before="0" w:after="120"/>
      <w:jc w:val="cent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spacing w:before="0" w:after="120"/>
      <w:jc w:val="center"/>
      <w:rPr/>
    </w:pPr>
    <w:r>
      <w:rPr/>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header4.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spacing w:before="0" w:after="120"/>
      <w:jc w:val="center"/>
      <w:rPr/>
    </w:pPr>
    <w:r>
      <w:rPr/>
    </w:r>
  </w:p>
</w:hdr>
</file>

<file path=word/header5.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header6.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spacing w:before="0" w:after="120"/>
      <w:jc w:val="center"/>
      <w:rPr/>
    </w:pPr>
    <w:r>
      <w:rPr/>
    </w:r>
  </w:p>
</w:hdr>
</file>

<file path=word/header7.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header8.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spacing w:before="0" w:after="120"/>
      <w:jc w:val="center"/>
      <w:rPr/>
    </w:pPr>
    <w:r>
      <w:rPr/>
    </w:r>
  </w:p>
</w:hdr>
</file>

<file path=word/header9.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header10.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spacing w:before="0" w:after="120"/>
      <w:jc w:val="center"/>
      <w:rPr/>
    </w:pPr>
    <w:r>
      <w:rPr/>
    </w:r>
  </w:p>
</w:hdr>
</file>

<file path=word/header1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header1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spacing w:before="0" w:after="120"/>
      <w:jc w:val="center"/>
      <w:rPr/>
    </w:pPr>
    <w:r>
      <w:rPr/>
    </w:r>
  </w:p>
</w:hdr>
</file>

<file path=word/header1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header14.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spacing w:before="0" w:after="120"/>
      <w:jc w:val="center"/>
      <w:rPr/>
    </w:pPr>
    <w:r>
      <w:rPr/>
    </w:r>
  </w:p>
</w:hdr>
</file>

<file path=word/header15.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pStyle w:val="Style17"/>
      <w:numFmt w:val="decimal"/>
      <w:lvlText w:val="%1."/>
      <w:lvlJc w:val="left"/>
      <w:pPr>
        <w:tabs>
          <w:tab w:val="num" w:pos="1134"/>
        </w:tabs>
        <w:ind w:left="1134" w:hanging="1134"/>
      </w:pPr>
      <w:rPr/>
    </w:lvl>
    <w:lvl w:ilvl="1">
      <w:start w:val="1"/>
      <w:pStyle w:val="Style18"/>
      <w:numFmt w:val="decimal"/>
      <w:lvlText w:val="%1.%2"/>
      <w:lvlJc w:val="left"/>
      <w:pPr>
        <w:tabs>
          <w:tab w:val="num" w:pos="1134"/>
        </w:tabs>
        <w:ind w:left="1134" w:hanging="1134"/>
      </w:pPr>
      <w:rPr/>
    </w:lvl>
    <w:lvl w:ilvl="2">
      <w:start w:val="1"/>
      <w:pStyle w:val="Style19"/>
      <w:numFmt w:val="decimal"/>
      <w:lvlText w:val="%1.%2.%3"/>
      <w:lvlJc w:val="left"/>
      <w:pPr>
        <w:tabs>
          <w:tab w:val="num" w:pos="1134"/>
        </w:tabs>
        <w:ind w:left="1134" w:hanging="1134"/>
      </w:pPr>
      <w:rPr/>
    </w:lvl>
    <w:lvl w:ilvl="3">
      <w:start w:val="1"/>
      <w:pStyle w:val="Style20"/>
      <w:numFmt w:val="russianLower"/>
      <w:lvlText w:val="%4)"/>
      <w:lvlJc w:val="left"/>
      <w:pPr>
        <w:tabs>
          <w:tab w:val="num" w:pos="1701"/>
        </w:tabs>
        <w:ind w:left="1701" w:hanging="567"/>
      </w:pPr>
      <w:rPr/>
    </w:lvl>
    <w:lvl w:ilvl="4">
      <w:start w:val="1"/>
      <w:pStyle w:val="Style21"/>
      <w:numFmt w:val="bullet"/>
      <w:lvlText w:val=""/>
      <w:lvlJc w:val="left"/>
      <w:pPr>
        <w:tabs>
          <w:tab w:val="num" w:pos="2268"/>
        </w:tabs>
        <w:ind w:left="2268" w:hanging="567"/>
      </w:pPr>
      <w:rPr>
        <w:rFonts w:ascii="Symbol" w:hAnsi="Symbol" w:cs="Symbol" w:hint="default"/>
      </w:rPr>
    </w:lvl>
    <w:lvl w:ilvl="5">
      <w:start w:val="1"/>
      <w:numFmt w:val="none"/>
      <w:suff w:val="nothing"/>
      <w:lvlText w:val=""/>
      <w:lvlJc w:val="left"/>
      <w:pPr>
        <w:tabs>
          <w:tab w:val="num" w:pos="0"/>
        </w:tabs>
        <w:ind w:left="0" w:hanging="0"/>
      </w:pPr>
      <w:rPr/>
    </w:lvl>
    <w:lvl w:ilvl="6">
      <w:start w:val="1"/>
      <w:numFmt w:val="none"/>
      <w:suff w:val="nothing"/>
      <w:lvlText w:val=""/>
      <w:lvlJc w:val="left"/>
      <w:pPr>
        <w:tabs>
          <w:tab w:val="num" w:pos="0"/>
        </w:tabs>
        <w:ind w:left="0" w:hanging="0"/>
      </w:pPr>
      <w:rPr/>
    </w:lvl>
    <w:lvl w:ilvl="7">
      <w:start w:val="1"/>
      <w:numFmt w:val="none"/>
      <w:suff w:val="nothing"/>
      <w:lvlText w:val=""/>
      <w:lvlJc w:val="left"/>
      <w:pPr>
        <w:tabs>
          <w:tab w:val="num" w:pos="0"/>
        </w:tabs>
        <w:ind w:left="0" w:hanging="0"/>
      </w:pPr>
      <w:rPr/>
    </w:lvl>
    <w:lvl w:ilvl="8">
      <w:start w:val="1"/>
      <w:numFmt w:val="none"/>
      <w:suff w:val="nothing"/>
      <w:lvlText w:val=""/>
      <w:lvlJc w:val="left"/>
      <w:pPr>
        <w:tabs>
          <w:tab w:val="num" w:pos="0"/>
        </w:tabs>
        <w:ind w:left="0" w:hanging="0"/>
      </w:pPr>
      <w:rPr/>
    </w:lvl>
  </w:abstractNum>
  <w:abstractNum w:abstractNumId="2">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4">
    <w:lvl w:ilvl="0">
      <w:start w:val="1"/>
      <w:numFmt w:val="decimal"/>
      <w:lvlText w:val="%1."/>
      <w:lvlJc w:val="left"/>
      <w:pPr>
        <w:tabs>
          <w:tab w:val="num" w:pos="0"/>
        </w:tabs>
        <w:ind w:left="720" w:hanging="360"/>
      </w:pPr>
      <w:rPr>
        <w:i w:val="false"/>
        <w:iCs w:val="false"/>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5">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6">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7">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8">
    <w:lvl w:ilvl="0">
      <w:start w:val="1"/>
      <w:numFmt w:val="decimal"/>
      <w:lvlText w:val="%1."/>
      <w:lvlJc w:val="left"/>
      <w:pPr>
        <w:tabs>
          <w:tab w:val="num" w:pos="0"/>
        </w:tabs>
        <w:ind w:left="1637" w:hanging="360"/>
      </w:pPr>
      <w:rPr/>
    </w:lvl>
    <w:lvl w:ilvl="1">
      <w:start w:val="1"/>
      <w:numFmt w:val="decimal"/>
      <w:lvlText w:val="%1.%2."/>
      <w:lvlJc w:val="left"/>
      <w:pPr>
        <w:tabs>
          <w:tab w:val="num" w:pos="0"/>
        </w:tabs>
        <w:ind w:left="792" w:hanging="432"/>
      </w:pPr>
      <w:rPr/>
    </w:lvl>
    <w:lvl w:ilvl="2">
      <w:start w:val="1"/>
      <w:numFmt w:val="decimal"/>
      <w:lvlText w:val="%1.%2.%3."/>
      <w:lvlJc w:val="left"/>
      <w:pPr>
        <w:tabs>
          <w:tab w:val="num" w:pos="0"/>
        </w:tabs>
        <w:ind w:left="1224" w:hanging="504"/>
      </w:pPr>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9">
    <w:lvl w:ilvl="0">
      <w:start w:val="1"/>
      <w:numFmt w:val="russianLower"/>
      <w:lvlText w:val="%1)"/>
      <w:lvlJc w:val="left"/>
      <w:pPr>
        <w:tabs>
          <w:tab w:val="num" w:pos="0"/>
        </w:tabs>
        <w:ind w:left="720" w:hanging="360"/>
      </w:pPr>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0">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1">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12">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13">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4">
    <w:lvl w:ilvl="0">
      <w:start w:val="1"/>
      <w:numFmt w:val="decimal"/>
      <w:lvlText w:val="%1."/>
      <w:lvlJc w:val="left"/>
      <w:pPr>
        <w:tabs>
          <w:tab w:val="num" w:pos="0"/>
        </w:tabs>
        <w:ind w:left="360" w:hanging="360"/>
      </w:pPr>
      <w:rPr/>
    </w:lvl>
    <w:lvl w:ilvl="1">
      <w:start w:val="1"/>
      <w:numFmt w:val="decimal"/>
      <w:lvlText w:val="%1.%2."/>
      <w:lvlJc w:val="left"/>
      <w:pPr>
        <w:tabs>
          <w:tab w:val="num" w:pos="0"/>
        </w:tabs>
        <w:ind w:left="792" w:hanging="432"/>
      </w:pPr>
      <w:rPr/>
    </w:lvl>
    <w:lvl w:ilvl="2">
      <w:start w:val="1"/>
      <w:numFmt w:val="decimal"/>
      <w:lvlText w:val="%1.%2.%3."/>
      <w:lvlJc w:val="left"/>
      <w:pPr>
        <w:tabs>
          <w:tab w:val="num" w:pos="0"/>
        </w:tabs>
        <w:ind w:left="1224" w:hanging="504"/>
      </w:pPr>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15">
    <w:lvl w:ilvl="0">
      <w:start w:val="1"/>
      <w:numFmt w:val="bullet"/>
      <w:lvlText w:val="−"/>
      <w:lvlJc w:val="left"/>
      <w:pPr>
        <w:tabs>
          <w:tab w:val="num" w:pos="0"/>
        </w:tabs>
        <w:ind w:left="720" w:hanging="360"/>
      </w:pPr>
      <w:rPr>
        <w:rFonts w:ascii="Times New Roman" w:hAnsi="Times New Roman" w:cs="Times New Roman"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6">
    <w:lvl w:ilvl="0">
      <w:start w:val="1"/>
      <w:numFmt w:val="bullet"/>
      <w:lvlText w:val="−"/>
      <w:lvlJc w:val="left"/>
      <w:pPr>
        <w:tabs>
          <w:tab w:val="num" w:pos="0"/>
        </w:tabs>
        <w:ind w:left="720" w:hanging="360"/>
      </w:pPr>
      <w:rPr>
        <w:rFonts w:ascii="Times New Roman" w:hAnsi="Times New Roman" w:cs="Times New Roman"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7">
    <w:lvl w:ilvl="0">
      <w:start w:val="1"/>
      <w:numFmt w:val="bullet"/>
      <w:lvlText w:val="−"/>
      <w:lvlJc w:val="left"/>
      <w:pPr>
        <w:tabs>
          <w:tab w:val="num" w:pos="0"/>
        </w:tabs>
        <w:ind w:left="720" w:hanging="360"/>
      </w:pPr>
      <w:rPr>
        <w:rFonts w:ascii="Times New Roman" w:hAnsi="Times New Roman" w:cs="Times New Roman"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8">
    <w:lvl w:ilvl="0">
      <w:start w:val="1"/>
      <w:numFmt w:val="decimal"/>
      <w:lvlText w:val="%1."/>
      <w:lvlJc w:val="left"/>
      <w:pPr>
        <w:tabs>
          <w:tab w:val="num" w:pos="851"/>
        </w:tabs>
        <w:ind w:left="0" w:hanging="0"/>
      </w:pPr>
      <w:rPr/>
    </w:lvl>
    <w:lvl w:ilvl="1">
      <w:start w:val="1"/>
      <w:numFmt w:val="decimal"/>
      <w:lvlText w:val="%1.%2."/>
      <w:lvlJc w:val="left"/>
      <w:pPr>
        <w:tabs>
          <w:tab w:val="num" w:pos="0"/>
        </w:tabs>
        <w:ind w:left="1418" w:hanging="1418"/>
      </w:pPr>
      <w:rPr>
        <w:smallCaps w:val="false"/>
        <w:caps w:val="false"/>
        <w:dstrike w:val="false"/>
        <w:strike w:val="false"/>
        <w:vertAlign w:val="baseline"/>
        <w:position w:val="0"/>
        <w:sz w:val="28"/>
        <w:sz w:val="28"/>
        <w:spacing w:val="0"/>
        <w:i w:val="false"/>
        <w:u w:val="none"/>
        <w:b/>
        <w:szCs w:val="28"/>
        <w:iCs w:val="false"/>
        <w:bCs/>
        <w:vanish w:val="false"/>
        <w:rFonts w:ascii="Times New Roman" w:hAnsi="Times New Roman" w:cs="Times New Roman"/>
        <w:color w:val="000000"/>
        <w14:textOutline w14:w="0" w14:cap="rnd" w14:cmpd="sng" w14:algn="ctr">
          <w14:noFill/>
          <w14:prstDash w14:val="solid"/>
          <w14:bevel/>
        </w14:textOutline>
      </w:rPr>
    </w:lvl>
    <w:lvl w:ilvl="2">
      <w:start w:val="1"/>
      <w:numFmt w:val="decimal"/>
      <w:lvlText w:val="%1.%2.%3."/>
      <w:lvlJc w:val="left"/>
      <w:pPr>
        <w:tabs>
          <w:tab w:val="num" w:pos="1701"/>
        </w:tabs>
        <w:ind w:left="1418" w:hanging="1418"/>
      </w:pPr>
      <w:rPr>
        <w:sz w:val="28"/>
        <w:b w:val="false"/>
        <w:szCs w:val="28"/>
        <w:bCs/>
      </w:rPr>
    </w:lvl>
    <w:lvl w:ilvl="3">
      <w:start w:val="1"/>
      <w:numFmt w:val="decimal"/>
      <w:lvlText w:val="%1.%2.%3.%4."/>
      <w:lvlJc w:val="left"/>
      <w:pPr>
        <w:tabs>
          <w:tab w:val="num" w:pos="1701"/>
        </w:tabs>
        <w:ind w:left="1418" w:hanging="1418"/>
      </w:pPr>
      <w:rPr>
        <w:smallCaps w:val="false"/>
        <w:caps w:val="false"/>
        <w:dstrike w:val="false"/>
        <w:strike w:val="false"/>
        <w:vertAlign w:val="baseline"/>
        <w:position w:val="0"/>
        <w:sz w:val="28"/>
        <w:sz w:val="28"/>
        <w:spacing w:val="0"/>
        <w:i w:val="false"/>
        <w:u w:val="none"/>
        <w:b w:val="false"/>
        <w:szCs w:val="28"/>
        <w:iCs w:val="false"/>
        <w:bCs/>
        <w:vanish w:val="false"/>
        <w:rFonts w:ascii="Times New Roman" w:hAnsi="Times New Roman" w:cs="Times New Roman"/>
        <w:color w:val="000000"/>
        <w14:textOutline w14:w="0" w14:cap="rnd" w14:cmpd="sng" w14:algn="ctr">
          <w14:noFill/>
          <w14:prstDash w14:val="solid"/>
          <w14:bevel/>
        </w14:textOutline>
      </w:rPr>
    </w:lvl>
    <w:lvl w:ilvl="4">
      <w:start w:val="1"/>
      <w:numFmt w:val="russianLower"/>
      <w:lvlText w:val="%5)"/>
      <w:lvlJc w:val="left"/>
      <w:pPr>
        <w:tabs>
          <w:tab w:val="num" w:pos="1985"/>
        </w:tabs>
        <w:ind w:left="1985" w:hanging="567"/>
      </w:pPr>
      <w:rPr>
        <w:smallCaps w:val="false"/>
        <w:caps w:val="false"/>
        <w:dstrike w:val="false"/>
        <w:strike w:val="false"/>
        <w:vertAlign w:val="baseline"/>
        <w:position w:val="0"/>
        <w:sz w:val="26"/>
        <w:sz w:val="26"/>
        <w:spacing w:val="0"/>
        <w:i w:val="false"/>
        <w:u w:val="none"/>
        <w:b w:val="false"/>
        <w:iCs w:val="false"/>
        <w:bCs w:val="false"/>
        <w:vanish w:val="false"/>
        <w:rFonts w:ascii="Times New Roman" w:hAnsi="Times New Roman" w:cs="Times New Roman"/>
        <w14:ligatures w14:val="none"/>
        <w14:textOutline w14:w="0" w14:cap="rnd" w14:cmpd="sng" w14:algn="ctr">
          <w14:noFill/>
          <w14:prstDash w14:val="solid"/>
          <w14:bevel/>
        </w14:textOutline>
      </w:rPr>
    </w:lvl>
    <w:lvl w:ilvl="5">
      <w:start w:val="1"/>
      <w:numFmt w:val="bullet"/>
      <w:lvlText w:val=""/>
      <w:lvlJc w:val="left"/>
      <w:pPr>
        <w:tabs>
          <w:tab w:val="num" w:pos="1985"/>
        </w:tabs>
        <w:ind w:left="1985" w:hanging="567"/>
      </w:pPr>
      <w:rPr>
        <w:rFonts w:ascii="Symbol" w:hAnsi="Symbol" w:cs="Symbol" w:hint="default"/>
      </w:rPr>
    </w:lvl>
    <w:lvl w:ilvl="6">
      <w:start w:val="1"/>
      <w:numFmt w:val="bullet"/>
      <w:lvlText w:val=""/>
      <w:lvlJc w:val="left"/>
      <w:pPr>
        <w:tabs>
          <w:tab w:val="num" w:pos="0"/>
        </w:tabs>
        <w:ind w:left="5040" w:hanging="360"/>
      </w:pPr>
      <w:rPr>
        <w:rFonts w:ascii="Wingdings" w:hAnsi="Wingdings" w:cs="Wingdings" w:hint="default"/>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19">
    <w:lvl w:ilvl="0">
      <w:start w:val="1"/>
      <w:numFmt w:val="decimal"/>
      <w:lvlText w:val="%1)"/>
      <w:lvlJc w:val="left"/>
      <w:pPr>
        <w:tabs>
          <w:tab w:val="num" w:pos="0"/>
        </w:tabs>
        <w:ind w:left="2705" w:hanging="360"/>
      </w:pPr>
      <w:rPr/>
    </w:lvl>
    <w:lvl w:ilvl="1">
      <w:start w:val="1"/>
      <w:numFmt w:val="lowerLetter"/>
      <w:lvlText w:val="%2."/>
      <w:lvlJc w:val="left"/>
      <w:pPr>
        <w:tabs>
          <w:tab w:val="num" w:pos="0"/>
        </w:tabs>
        <w:ind w:left="3425" w:hanging="360"/>
      </w:pPr>
      <w:rPr/>
    </w:lvl>
    <w:lvl w:ilvl="2">
      <w:start w:val="1"/>
      <w:numFmt w:val="lowerRoman"/>
      <w:lvlText w:val="%3."/>
      <w:lvlJc w:val="right"/>
      <w:pPr>
        <w:tabs>
          <w:tab w:val="num" w:pos="0"/>
        </w:tabs>
        <w:ind w:left="4145" w:hanging="180"/>
      </w:pPr>
      <w:rPr/>
    </w:lvl>
    <w:lvl w:ilvl="3">
      <w:start w:val="1"/>
      <w:numFmt w:val="decimal"/>
      <w:lvlText w:val="%4."/>
      <w:lvlJc w:val="left"/>
      <w:pPr>
        <w:tabs>
          <w:tab w:val="num" w:pos="0"/>
        </w:tabs>
        <w:ind w:left="4865" w:hanging="360"/>
      </w:pPr>
      <w:rPr/>
    </w:lvl>
    <w:lvl w:ilvl="4">
      <w:start w:val="1"/>
      <w:numFmt w:val="lowerLetter"/>
      <w:lvlText w:val="%5."/>
      <w:lvlJc w:val="left"/>
      <w:pPr>
        <w:tabs>
          <w:tab w:val="num" w:pos="0"/>
        </w:tabs>
        <w:ind w:left="5585" w:hanging="360"/>
      </w:pPr>
      <w:rPr/>
    </w:lvl>
    <w:lvl w:ilvl="5">
      <w:start w:val="1"/>
      <w:numFmt w:val="lowerRoman"/>
      <w:lvlText w:val="%6."/>
      <w:lvlJc w:val="right"/>
      <w:pPr>
        <w:tabs>
          <w:tab w:val="num" w:pos="0"/>
        </w:tabs>
        <w:ind w:left="6305" w:hanging="180"/>
      </w:pPr>
      <w:rPr/>
    </w:lvl>
    <w:lvl w:ilvl="6">
      <w:start w:val="1"/>
      <w:numFmt w:val="decimal"/>
      <w:lvlText w:val="%7."/>
      <w:lvlJc w:val="left"/>
      <w:pPr>
        <w:tabs>
          <w:tab w:val="num" w:pos="0"/>
        </w:tabs>
        <w:ind w:left="7025" w:hanging="360"/>
      </w:pPr>
      <w:rPr/>
    </w:lvl>
    <w:lvl w:ilvl="7">
      <w:start w:val="1"/>
      <w:numFmt w:val="lowerLetter"/>
      <w:lvlText w:val="%8."/>
      <w:lvlJc w:val="left"/>
      <w:pPr>
        <w:tabs>
          <w:tab w:val="num" w:pos="0"/>
        </w:tabs>
        <w:ind w:left="7745" w:hanging="360"/>
      </w:pPr>
      <w:rPr/>
    </w:lvl>
    <w:lvl w:ilvl="8">
      <w:start w:val="1"/>
      <w:numFmt w:val="lowerRoman"/>
      <w:lvlText w:val="%9."/>
      <w:lvlJc w:val="right"/>
      <w:pPr>
        <w:tabs>
          <w:tab w:val="num" w:pos="0"/>
        </w:tabs>
        <w:ind w:left="8465" w:hanging="180"/>
      </w:pPr>
      <w:rPr/>
    </w:lvl>
  </w:abstractNum>
  <w:abstractNum w:abstractNumId="20">
    <w:lvl w:ilvl="0">
      <w:start w:val="1"/>
      <w:numFmt w:val="bullet"/>
      <w:lvlText w:val=""/>
      <w:lvlJc w:val="left"/>
      <w:pPr>
        <w:tabs>
          <w:tab w:val="num" w:pos="0"/>
        </w:tabs>
        <w:ind w:left="2705" w:hanging="360"/>
      </w:pPr>
      <w:rPr>
        <w:rFonts w:ascii="Symbol" w:hAnsi="Symbol" w:cs="Symbol" w:hint="default"/>
      </w:rPr>
    </w:lvl>
    <w:lvl w:ilvl="1">
      <w:start w:val="1"/>
      <w:numFmt w:val="lowerLetter"/>
      <w:lvlText w:val="%2."/>
      <w:lvlJc w:val="left"/>
      <w:pPr>
        <w:tabs>
          <w:tab w:val="num" w:pos="0"/>
        </w:tabs>
        <w:ind w:left="3425" w:hanging="360"/>
      </w:pPr>
      <w:rPr/>
    </w:lvl>
    <w:lvl w:ilvl="2">
      <w:start w:val="1"/>
      <w:numFmt w:val="lowerRoman"/>
      <w:lvlText w:val="%3."/>
      <w:lvlJc w:val="right"/>
      <w:pPr>
        <w:tabs>
          <w:tab w:val="num" w:pos="0"/>
        </w:tabs>
        <w:ind w:left="4145" w:hanging="180"/>
      </w:pPr>
      <w:rPr/>
    </w:lvl>
    <w:lvl w:ilvl="3">
      <w:start w:val="1"/>
      <w:numFmt w:val="decimal"/>
      <w:lvlText w:val="%4."/>
      <w:lvlJc w:val="left"/>
      <w:pPr>
        <w:tabs>
          <w:tab w:val="num" w:pos="0"/>
        </w:tabs>
        <w:ind w:left="4865" w:hanging="360"/>
      </w:pPr>
      <w:rPr/>
    </w:lvl>
    <w:lvl w:ilvl="4">
      <w:start w:val="1"/>
      <w:numFmt w:val="lowerLetter"/>
      <w:lvlText w:val="%5."/>
      <w:lvlJc w:val="left"/>
      <w:pPr>
        <w:tabs>
          <w:tab w:val="num" w:pos="0"/>
        </w:tabs>
        <w:ind w:left="5585" w:hanging="360"/>
      </w:pPr>
      <w:rPr/>
    </w:lvl>
    <w:lvl w:ilvl="5">
      <w:start w:val="1"/>
      <w:numFmt w:val="lowerRoman"/>
      <w:lvlText w:val="%6."/>
      <w:lvlJc w:val="right"/>
      <w:pPr>
        <w:tabs>
          <w:tab w:val="num" w:pos="0"/>
        </w:tabs>
        <w:ind w:left="6305" w:hanging="180"/>
      </w:pPr>
      <w:rPr/>
    </w:lvl>
    <w:lvl w:ilvl="6">
      <w:start w:val="1"/>
      <w:numFmt w:val="decimal"/>
      <w:lvlText w:val="%7."/>
      <w:lvlJc w:val="left"/>
      <w:pPr>
        <w:tabs>
          <w:tab w:val="num" w:pos="0"/>
        </w:tabs>
        <w:ind w:left="7025" w:hanging="360"/>
      </w:pPr>
      <w:rPr/>
    </w:lvl>
    <w:lvl w:ilvl="7">
      <w:start w:val="1"/>
      <w:numFmt w:val="lowerLetter"/>
      <w:lvlText w:val="%8."/>
      <w:lvlJc w:val="left"/>
      <w:pPr>
        <w:tabs>
          <w:tab w:val="num" w:pos="0"/>
        </w:tabs>
        <w:ind w:left="7745" w:hanging="360"/>
      </w:pPr>
      <w:rPr/>
    </w:lvl>
    <w:lvl w:ilvl="8">
      <w:start w:val="1"/>
      <w:numFmt w:val="lowerRoman"/>
      <w:lvlText w:val="%9."/>
      <w:lvlJc w:val="right"/>
      <w:pPr>
        <w:tabs>
          <w:tab w:val="num" w:pos="0"/>
        </w:tabs>
        <w:ind w:left="8465" w:hanging="180"/>
      </w:pPr>
      <w:rPr/>
    </w:lvl>
  </w:abstractNum>
  <w:abstractNum w:abstractNumId="21">
    <w:lvl w:ilvl="0">
      <w:start w:val="1"/>
      <w:numFmt w:val="decimal"/>
      <w:lvlText w:val="%1."/>
      <w:lvlJc w:val="left"/>
      <w:pPr>
        <w:tabs>
          <w:tab w:val="num" w:pos="0"/>
        </w:tabs>
        <w:ind w:left="1134" w:hanging="1134"/>
      </w:pPr>
      <w:rPr>
        <w:rFonts w:cs="Times New Roman"/>
      </w:rPr>
    </w:lvl>
    <w:lvl w:ilvl="1">
      <w:start w:val="1"/>
      <w:numFmt w:val="decimal"/>
      <w:lvlText w:val="%1.%2."/>
      <w:lvlJc w:val="left"/>
      <w:pPr>
        <w:tabs>
          <w:tab w:val="num" w:pos="0"/>
        </w:tabs>
        <w:ind w:left="1134" w:hanging="1134"/>
      </w:pPr>
      <w:rPr>
        <w:rFonts w:cs="Times New Roman"/>
      </w:rPr>
    </w:lvl>
    <w:lvl w:ilvl="2">
      <w:start w:val="1"/>
      <w:numFmt w:val="decimal"/>
      <w:lvlText w:val="%1.%2.%3."/>
      <w:lvlJc w:val="left"/>
      <w:pPr>
        <w:tabs>
          <w:tab w:val="num" w:pos="0"/>
        </w:tabs>
        <w:ind w:left="1134" w:hanging="1134"/>
      </w:pPr>
      <w:rPr>
        <w:rFonts w:cs="Times New Roman"/>
      </w:rPr>
    </w:lvl>
    <w:lvl w:ilvl="3">
      <w:start w:val="1"/>
      <w:numFmt w:val="russianLower"/>
      <w:lvlText w:val="(%4)"/>
      <w:lvlJc w:val="left"/>
      <w:pPr>
        <w:tabs>
          <w:tab w:val="num" w:pos="0"/>
        </w:tabs>
        <w:ind w:left="1701" w:hanging="567"/>
      </w:pPr>
      <w:rPr>
        <w:rFonts w:cs="Times New Roman"/>
      </w:rPr>
    </w:lvl>
    <w:lvl w:ilvl="4">
      <w:start w:val="1"/>
      <w:numFmt w:val="bullet"/>
      <w:lvlText w:val="–"/>
      <w:lvlJc w:val="left"/>
      <w:pPr>
        <w:tabs>
          <w:tab w:val="num" w:pos="0"/>
        </w:tabs>
        <w:ind w:left="2268" w:hanging="567"/>
      </w:pPr>
      <w:rPr>
        <w:rFonts w:ascii="Times New Roman" w:hAnsi="Times New Roman" w:cs="Times New Roman" w:hint="default"/>
      </w:rPr>
    </w:lvl>
    <w:lvl w:ilvl="5">
      <w:start w:val="1"/>
      <w:numFmt w:val="none"/>
      <w:suff w:val="nothing"/>
      <w:lvlText w:val=""/>
      <w:lvlJc w:val="left"/>
      <w:pPr>
        <w:tabs>
          <w:tab w:val="num" w:pos="0"/>
        </w:tabs>
        <w:ind w:left="1134" w:hanging="0"/>
      </w:pPr>
      <w:rPr>
        <w:rFonts w:cs="Times New Roman"/>
      </w:rPr>
    </w:lvl>
    <w:lvl w:ilvl="6">
      <w:start w:val="1"/>
      <w:numFmt w:val="none"/>
      <w:suff w:val="nothing"/>
      <w:lvlText w:val=""/>
      <w:lvlJc w:val="left"/>
      <w:pPr>
        <w:tabs>
          <w:tab w:val="num" w:pos="0"/>
        </w:tabs>
        <w:ind w:left="1701" w:hanging="0"/>
      </w:pPr>
      <w:rPr>
        <w:rFonts w:cs="Times New Roman"/>
      </w:rPr>
    </w:lvl>
    <w:lvl w:ilvl="7">
      <w:start w:val="1"/>
      <w:numFmt w:val="none"/>
      <w:suff w:val="nothing"/>
      <w:lvlText w:val=""/>
      <w:lvlJc w:val="left"/>
      <w:pPr>
        <w:tabs>
          <w:tab w:val="num" w:pos="0"/>
        </w:tabs>
        <w:ind w:left="0" w:hanging="0"/>
      </w:pPr>
      <w:rPr>
        <w:rFonts w:cs="Times New Roman"/>
      </w:rPr>
    </w:lvl>
    <w:lvl w:ilvl="8">
      <w:start w:val="1"/>
      <w:numFmt w:val="none"/>
      <w:suff w:val="nothing"/>
      <w:lvlText w:val=""/>
      <w:lvlJc w:val="left"/>
      <w:pPr>
        <w:tabs>
          <w:tab w:val="num" w:pos="0"/>
        </w:tabs>
        <w:ind w:left="1134" w:hanging="0"/>
      </w:pPr>
      <w:rPr>
        <w:rFonts w:cs="Times New Roman"/>
      </w:rPr>
    </w:lvl>
  </w:abstractNum>
  <w:abstractNum w:abstractNumId="22">
    <w:lvl w:ilvl="0">
      <w:start w:val="1"/>
      <w:numFmt w:val="decimal"/>
      <w:lvlText w:val="%1."/>
      <w:lvlJc w:val="left"/>
      <w:pPr>
        <w:tabs>
          <w:tab w:val="num" w:pos="0"/>
        </w:tabs>
        <w:ind w:left="1134" w:hanging="1134"/>
      </w:pPr>
      <w:rPr/>
    </w:lvl>
    <w:lvl w:ilvl="1">
      <w:start w:val="1"/>
      <w:numFmt w:val="decimal"/>
      <w:lvlText w:val="%1.%2."/>
      <w:lvlJc w:val="left"/>
      <w:pPr>
        <w:tabs>
          <w:tab w:val="num" w:pos="0"/>
        </w:tabs>
        <w:ind w:left="1134" w:hanging="1134"/>
      </w:pPr>
      <w:rPr/>
    </w:lvl>
    <w:lvl w:ilvl="2">
      <w:start w:val="1"/>
      <w:numFmt w:val="decimal"/>
      <w:lvlText w:val="%1.%2.%3."/>
      <w:lvlJc w:val="left"/>
      <w:pPr>
        <w:tabs>
          <w:tab w:val="num" w:pos="0"/>
        </w:tabs>
        <w:ind w:left="1134" w:hanging="1134"/>
      </w:pPr>
      <w:rPr/>
    </w:lvl>
    <w:lvl w:ilvl="3">
      <w:start w:val="1"/>
      <w:numFmt w:val="russianLower"/>
      <w:lvlText w:val="(%4)"/>
      <w:lvlJc w:val="left"/>
      <w:pPr>
        <w:tabs>
          <w:tab w:val="num" w:pos="0"/>
        </w:tabs>
        <w:ind w:left="1701" w:hanging="567"/>
      </w:pPr>
      <w:rPr/>
    </w:lvl>
    <w:lvl w:ilvl="4">
      <w:start w:val="1"/>
      <w:numFmt w:val="bullet"/>
      <w:lvlText w:val="–"/>
      <w:lvlJc w:val="left"/>
      <w:pPr>
        <w:tabs>
          <w:tab w:val="num" w:pos="0"/>
        </w:tabs>
        <w:ind w:left="2268" w:hanging="567"/>
      </w:pPr>
      <w:rPr>
        <w:rFonts w:ascii="Times New Roman" w:hAnsi="Times New Roman" w:cs="Times New Roman" w:hint="default"/>
      </w:rPr>
    </w:lvl>
    <w:lvl w:ilvl="5">
      <w:start w:val="1"/>
      <w:numFmt w:val="none"/>
      <w:suff w:val="nothing"/>
      <w:lvlText w:val=""/>
      <w:lvlJc w:val="left"/>
      <w:pPr>
        <w:tabs>
          <w:tab w:val="num" w:pos="0"/>
        </w:tabs>
        <w:ind w:left="1134" w:hanging="0"/>
      </w:pPr>
      <w:rPr/>
    </w:lvl>
    <w:lvl w:ilvl="6">
      <w:start w:val="1"/>
      <w:numFmt w:val="none"/>
      <w:suff w:val="nothing"/>
      <w:lvlText w:val=""/>
      <w:lvlJc w:val="left"/>
      <w:pPr>
        <w:tabs>
          <w:tab w:val="num" w:pos="0"/>
        </w:tabs>
        <w:ind w:left="1701" w:hanging="0"/>
      </w:pPr>
      <w:rPr/>
    </w:lvl>
    <w:lvl w:ilvl="7">
      <w:start w:val="1"/>
      <w:numFmt w:val="none"/>
      <w:suff w:val="nothing"/>
      <w:lvlText w:val=""/>
      <w:lvlJc w:val="left"/>
      <w:pPr>
        <w:tabs>
          <w:tab w:val="num" w:pos="0"/>
        </w:tabs>
        <w:ind w:left="0" w:hanging="0"/>
      </w:pPr>
      <w:rPr/>
    </w:lvl>
    <w:lvl w:ilvl="8">
      <w:start w:val="1"/>
      <w:numFmt w:val="none"/>
      <w:suff w:val="nothing"/>
      <w:lvlText w:val=""/>
      <w:lvlJc w:val="left"/>
      <w:pPr>
        <w:tabs>
          <w:tab w:val="num" w:pos="0"/>
        </w:tabs>
        <w:ind w:left="1134" w:hanging="0"/>
      </w:pPr>
      <w:rPr/>
    </w:lvl>
  </w:abstractNum>
  <w:abstractNum w:abstractNumId="23">
    <w:lvl w:ilvl="0">
      <w:start w:val="1"/>
      <w:numFmt w:val="decimal"/>
      <w:lvlText w:val="%1."/>
      <w:lvlJc w:val="left"/>
      <w:pPr>
        <w:tabs>
          <w:tab w:val="num" w:pos="0"/>
        </w:tabs>
        <w:ind w:left="1134" w:hanging="1134"/>
      </w:pPr>
      <w:rPr>
        <w:rFonts w:cs="Times New Roman"/>
      </w:rPr>
    </w:lvl>
    <w:lvl w:ilvl="1">
      <w:start w:val="1"/>
      <w:numFmt w:val="decimal"/>
      <w:lvlText w:val="%1.%2."/>
      <w:lvlJc w:val="left"/>
      <w:pPr>
        <w:tabs>
          <w:tab w:val="num" w:pos="0"/>
        </w:tabs>
        <w:ind w:left="1134" w:hanging="1134"/>
      </w:pPr>
      <w:rPr>
        <w:rFonts w:cs="Times New Roman"/>
      </w:rPr>
    </w:lvl>
    <w:lvl w:ilvl="2">
      <w:start w:val="1"/>
      <w:numFmt w:val="decimal"/>
      <w:lvlText w:val="%1.%2.%3."/>
      <w:lvlJc w:val="left"/>
      <w:pPr>
        <w:tabs>
          <w:tab w:val="num" w:pos="0"/>
        </w:tabs>
        <w:ind w:left="1134" w:hanging="1134"/>
      </w:pPr>
      <w:rPr>
        <w:rFonts w:cs="Times New Roman"/>
      </w:rPr>
    </w:lvl>
    <w:lvl w:ilvl="3">
      <w:start w:val="1"/>
      <w:numFmt w:val="russianLower"/>
      <w:lvlText w:val="(%4)"/>
      <w:lvlJc w:val="left"/>
      <w:pPr>
        <w:tabs>
          <w:tab w:val="num" w:pos="0"/>
        </w:tabs>
        <w:ind w:left="1701" w:hanging="567"/>
      </w:pPr>
      <w:rPr>
        <w:rFonts w:cs="Times New Roman"/>
      </w:rPr>
    </w:lvl>
    <w:lvl w:ilvl="4">
      <w:start w:val="1"/>
      <w:numFmt w:val="bullet"/>
      <w:lvlText w:val="–"/>
      <w:lvlJc w:val="left"/>
      <w:pPr>
        <w:tabs>
          <w:tab w:val="num" w:pos="0"/>
        </w:tabs>
        <w:ind w:left="2268" w:hanging="567"/>
      </w:pPr>
      <w:rPr>
        <w:rFonts w:ascii="Times New Roman" w:hAnsi="Times New Roman" w:cs="Times New Roman" w:hint="default"/>
      </w:rPr>
    </w:lvl>
    <w:lvl w:ilvl="5">
      <w:start w:val="1"/>
      <w:numFmt w:val="none"/>
      <w:suff w:val="nothing"/>
      <w:lvlText w:val=""/>
      <w:lvlJc w:val="left"/>
      <w:pPr>
        <w:tabs>
          <w:tab w:val="num" w:pos="0"/>
        </w:tabs>
        <w:ind w:left="1134" w:hanging="0"/>
      </w:pPr>
      <w:rPr>
        <w:rFonts w:cs="Times New Roman"/>
      </w:rPr>
    </w:lvl>
    <w:lvl w:ilvl="6">
      <w:start w:val="1"/>
      <w:numFmt w:val="none"/>
      <w:suff w:val="nothing"/>
      <w:lvlText w:val=""/>
      <w:lvlJc w:val="left"/>
      <w:pPr>
        <w:tabs>
          <w:tab w:val="num" w:pos="0"/>
        </w:tabs>
        <w:ind w:left="1701" w:hanging="0"/>
      </w:pPr>
      <w:rPr>
        <w:rFonts w:cs="Times New Roman"/>
      </w:rPr>
    </w:lvl>
    <w:lvl w:ilvl="7">
      <w:start w:val="1"/>
      <w:numFmt w:val="none"/>
      <w:suff w:val="nothing"/>
      <w:lvlText w:val=""/>
      <w:lvlJc w:val="left"/>
      <w:pPr>
        <w:tabs>
          <w:tab w:val="num" w:pos="0"/>
        </w:tabs>
        <w:ind w:left="0" w:hanging="0"/>
      </w:pPr>
      <w:rPr>
        <w:rFonts w:cs="Times New Roman"/>
      </w:rPr>
    </w:lvl>
    <w:lvl w:ilvl="8">
      <w:start w:val="1"/>
      <w:numFmt w:val="none"/>
      <w:suff w:val="nothing"/>
      <w:lvlText w:val=""/>
      <w:lvlJc w:val="left"/>
      <w:pPr>
        <w:tabs>
          <w:tab w:val="num" w:pos="0"/>
        </w:tabs>
        <w:ind w:left="1134" w:hanging="0"/>
      </w:pPr>
      <w:rPr>
        <w:rFonts w:cs="Times New Roman"/>
      </w:rPr>
    </w:lvl>
  </w:abstractNum>
  <w:abstractNum w:abstractNumId="24">
    <w:lvl w:ilvl="0">
      <w:start w:val="1"/>
      <w:numFmt w:val="decimal"/>
      <w:lvlText w:val="%1."/>
      <w:lvlJc w:val="left"/>
      <w:pPr>
        <w:tabs>
          <w:tab w:val="num" w:pos="0"/>
        </w:tabs>
        <w:ind w:left="1134" w:hanging="1134"/>
      </w:pPr>
      <w:rPr>
        <w:rFonts w:cs="Times New Roman"/>
      </w:rPr>
    </w:lvl>
    <w:lvl w:ilvl="1">
      <w:start w:val="1"/>
      <w:numFmt w:val="decimal"/>
      <w:lvlText w:val="%1.%2."/>
      <w:lvlJc w:val="left"/>
      <w:pPr>
        <w:tabs>
          <w:tab w:val="num" w:pos="0"/>
        </w:tabs>
        <w:ind w:left="1134" w:hanging="1134"/>
      </w:pPr>
      <w:rPr>
        <w:rFonts w:cs="Times New Roman"/>
      </w:rPr>
    </w:lvl>
    <w:lvl w:ilvl="2">
      <w:start w:val="1"/>
      <w:numFmt w:val="decimal"/>
      <w:lvlText w:val="%1.%2.%3."/>
      <w:lvlJc w:val="left"/>
      <w:pPr>
        <w:tabs>
          <w:tab w:val="num" w:pos="0"/>
        </w:tabs>
        <w:ind w:left="1134" w:hanging="1134"/>
      </w:pPr>
      <w:rPr>
        <w:rFonts w:cs="Times New Roman"/>
      </w:rPr>
    </w:lvl>
    <w:lvl w:ilvl="3">
      <w:start w:val="1"/>
      <w:numFmt w:val="russianLower"/>
      <w:lvlText w:val="(%4)"/>
      <w:lvlJc w:val="left"/>
      <w:pPr>
        <w:tabs>
          <w:tab w:val="num" w:pos="0"/>
        </w:tabs>
        <w:ind w:left="1701" w:hanging="567"/>
      </w:pPr>
      <w:rPr>
        <w:rFonts w:cs="Times New Roman"/>
      </w:rPr>
    </w:lvl>
    <w:lvl w:ilvl="4">
      <w:start w:val="1"/>
      <w:numFmt w:val="bullet"/>
      <w:lvlText w:val="–"/>
      <w:lvlJc w:val="left"/>
      <w:pPr>
        <w:tabs>
          <w:tab w:val="num" w:pos="0"/>
        </w:tabs>
        <w:ind w:left="2268" w:hanging="567"/>
      </w:pPr>
      <w:rPr>
        <w:rFonts w:ascii="Times New Roman" w:hAnsi="Times New Roman" w:cs="Times New Roman" w:hint="default"/>
      </w:rPr>
    </w:lvl>
    <w:lvl w:ilvl="5">
      <w:start w:val="1"/>
      <w:numFmt w:val="none"/>
      <w:suff w:val="nothing"/>
      <w:lvlText w:val=""/>
      <w:lvlJc w:val="left"/>
      <w:pPr>
        <w:tabs>
          <w:tab w:val="num" w:pos="0"/>
        </w:tabs>
        <w:ind w:left="1134" w:hanging="0"/>
      </w:pPr>
      <w:rPr>
        <w:rFonts w:cs="Times New Roman"/>
      </w:rPr>
    </w:lvl>
    <w:lvl w:ilvl="6">
      <w:start w:val="1"/>
      <w:numFmt w:val="none"/>
      <w:suff w:val="nothing"/>
      <w:lvlText w:val=""/>
      <w:lvlJc w:val="left"/>
      <w:pPr>
        <w:tabs>
          <w:tab w:val="num" w:pos="0"/>
        </w:tabs>
        <w:ind w:left="1701" w:hanging="0"/>
      </w:pPr>
      <w:rPr>
        <w:rFonts w:cs="Times New Roman"/>
      </w:rPr>
    </w:lvl>
    <w:lvl w:ilvl="7">
      <w:start w:val="1"/>
      <w:numFmt w:val="none"/>
      <w:suff w:val="nothing"/>
      <w:lvlText w:val=""/>
      <w:lvlJc w:val="left"/>
      <w:pPr>
        <w:tabs>
          <w:tab w:val="num" w:pos="0"/>
        </w:tabs>
        <w:ind w:left="0" w:hanging="0"/>
      </w:pPr>
      <w:rPr>
        <w:rFonts w:cs="Times New Roman"/>
      </w:rPr>
    </w:lvl>
    <w:lvl w:ilvl="8">
      <w:start w:val="1"/>
      <w:numFmt w:val="none"/>
      <w:suff w:val="nothing"/>
      <w:lvlText w:val=""/>
      <w:lvlJc w:val="left"/>
      <w:pPr>
        <w:tabs>
          <w:tab w:val="num" w:pos="0"/>
        </w:tabs>
        <w:ind w:left="1134" w:hanging="0"/>
      </w:pPr>
      <w:rPr>
        <w:rFonts w:cs="Times New Roman"/>
      </w:rPr>
    </w:lvl>
  </w:abstractNum>
  <w:abstractNum w:abstractNumId="25">
    <w:lvl w:ilvl="0">
      <w:start w:val="1"/>
      <w:numFmt w:val="decimal"/>
      <w:lvlText w:val="%1."/>
      <w:lvlJc w:val="left"/>
      <w:pPr>
        <w:tabs>
          <w:tab w:val="num" w:pos="0"/>
        </w:tabs>
        <w:ind w:left="1134" w:hanging="1134"/>
      </w:pPr>
      <w:rPr/>
    </w:lvl>
    <w:lvl w:ilvl="1">
      <w:start w:val="1"/>
      <w:numFmt w:val="decimal"/>
      <w:lvlText w:val="%1.%2."/>
      <w:lvlJc w:val="left"/>
      <w:pPr>
        <w:tabs>
          <w:tab w:val="num" w:pos="0"/>
        </w:tabs>
        <w:ind w:left="1134" w:hanging="1134"/>
      </w:pPr>
      <w:rPr/>
    </w:lvl>
    <w:lvl w:ilvl="2">
      <w:start w:val="1"/>
      <w:numFmt w:val="decimal"/>
      <w:lvlText w:val="%1.%2.%3."/>
      <w:lvlJc w:val="left"/>
      <w:pPr>
        <w:tabs>
          <w:tab w:val="num" w:pos="0"/>
        </w:tabs>
        <w:ind w:left="1134" w:hanging="1134"/>
      </w:pPr>
      <w:rPr/>
    </w:lvl>
    <w:lvl w:ilvl="3">
      <w:start w:val="1"/>
      <w:numFmt w:val="russianLower"/>
      <w:lvlText w:val="(%4)"/>
      <w:lvlJc w:val="left"/>
      <w:pPr>
        <w:tabs>
          <w:tab w:val="num" w:pos="0"/>
        </w:tabs>
        <w:ind w:left="1701" w:hanging="567"/>
      </w:pPr>
      <w:rPr/>
    </w:lvl>
    <w:lvl w:ilvl="4">
      <w:start w:val="1"/>
      <w:numFmt w:val="bullet"/>
      <w:lvlText w:val="–"/>
      <w:lvlJc w:val="left"/>
      <w:pPr>
        <w:tabs>
          <w:tab w:val="num" w:pos="0"/>
        </w:tabs>
        <w:ind w:left="2268" w:hanging="567"/>
      </w:pPr>
      <w:rPr>
        <w:rFonts w:ascii="Times New Roman" w:hAnsi="Times New Roman" w:cs="Times New Roman" w:hint="default"/>
      </w:rPr>
    </w:lvl>
    <w:lvl w:ilvl="5">
      <w:start w:val="1"/>
      <w:numFmt w:val="none"/>
      <w:suff w:val="nothing"/>
      <w:lvlText w:val=""/>
      <w:lvlJc w:val="left"/>
      <w:pPr>
        <w:tabs>
          <w:tab w:val="num" w:pos="0"/>
        </w:tabs>
        <w:ind w:left="1134" w:hanging="0"/>
      </w:pPr>
      <w:rPr/>
    </w:lvl>
    <w:lvl w:ilvl="6">
      <w:start w:val="1"/>
      <w:numFmt w:val="none"/>
      <w:suff w:val="nothing"/>
      <w:lvlText w:val=""/>
      <w:lvlJc w:val="left"/>
      <w:pPr>
        <w:tabs>
          <w:tab w:val="num" w:pos="0"/>
        </w:tabs>
        <w:ind w:left="1701" w:hanging="0"/>
      </w:pPr>
      <w:rPr/>
    </w:lvl>
    <w:lvl w:ilvl="7">
      <w:start w:val="1"/>
      <w:numFmt w:val="none"/>
      <w:suff w:val="nothing"/>
      <w:lvlText w:val=""/>
      <w:lvlJc w:val="left"/>
      <w:pPr>
        <w:tabs>
          <w:tab w:val="num" w:pos="0"/>
        </w:tabs>
        <w:ind w:left="0" w:hanging="0"/>
      </w:pPr>
      <w:rPr/>
    </w:lvl>
    <w:lvl w:ilvl="8">
      <w:start w:val="1"/>
      <w:numFmt w:val="none"/>
      <w:suff w:val="nothing"/>
      <w:lvlText w:val=""/>
      <w:lvlJc w:val="left"/>
      <w:pPr>
        <w:tabs>
          <w:tab w:val="num" w:pos="0"/>
        </w:tabs>
        <w:ind w:left="1134" w:hanging="0"/>
      </w:pPr>
      <w:rPr/>
    </w:lvl>
  </w:abstractNum>
  <w:abstractNum w:abstractNumId="26">
    <w:lvl w:ilvl="0">
      <w:start w:val="1"/>
      <w:numFmt w:val="decimal"/>
      <w:lvlText w:val="%1."/>
      <w:lvlJc w:val="left"/>
      <w:pPr>
        <w:tabs>
          <w:tab w:val="num" w:pos="0"/>
        </w:tabs>
        <w:ind w:left="1134" w:hanging="1134"/>
      </w:pPr>
      <w:rPr>
        <w:rFonts w:cs="Times New Roman"/>
      </w:rPr>
    </w:lvl>
    <w:lvl w:ilvl="1">
      <w:start w:val="1"/>
      <w:numFmt w:val="decimal"/>
      <w:lvlText w:val="%1.%2."/>
      <w:lvlJc w:val="left"/>
      <w:pPr>
        <w:tabs>
          <w:tab w:val="num" w:pos="0"/>
        </w:tabs>
        <w:ind w:left="1134" w:hanging="1134"/>
      </w:pPr>
      <w:rPr>
        <w:rFonts w:cs="Times New Roman"/>
      </w:rPr>
    </w:lvl>
    <w:lvl w:ilvl="2">
      <w:start w:val="1"/>
      <w:numFmt w:val="decimal"/>
      <w:lvlText w:val="%1.%2.%3."/>
      <w:lvlJc w:val="left"/>
      <w:pPr>
        <w:tabs>
          <w:tab w:val="num" w:pos="0"/>
        </w:tabs>
        <w:ind w:left="1134" w:hanging="1134"/>
      </w:pPr>
      <w:rPr>
        <w:rFonts w:cs="Times New Roman"/>
      </w:rPr>
    </w:lvl>
    <w:lvl w:ilvl="3">
      <w:start w:val="1"/>
      <w:numFmt w:val="russianLower"/>
      <w:lvlText w:val="(%4)"/>
      <w:lvlJc w:val="left"/>
      <w:pPr>
        <w:tabs>
          <w:tab w:val="num" w:pos="0"/>
        </w:tabs>
        <w:ind w:left="1701" w:hanging="567"/>
      </w:pPr>
      <w:rPr>
        <w:rFonts w:cs="Times New Roman"/>
      </w:rPr>
    </w:lvl>
    <w:lvl w:ilvl="4">
      <w:start w:val="1"/>
      <w:numFmt w:val="bullet"/>
      <w:lvlText w:val="–"/>
      <w:lvlJc w:val="left"/>
      <w:pPr>
        <w:tabs>
          <w:tab w:val="num" w:pos="0"/>
        </w:tabs>
        <w:ind w:left="2268" w:hanging="567"/>
      </w:pPr>
      <w:rPr>
        <w:rFonts w:ascii="Times New Roman" w:hAnsi="Times New Roman" w:cs="Times New Roman" w:hint="default"/>
      </w:rPr>
    </w:lvl>
    <w:lvl w:ilvl="5">
      <w:start w:val="1"/>
      <w:numFmt w:val="none"/>
      <w:suff w:val="nothing"/>
      <w:lvlText w:val=""/>
      <w:lvlJc w:val="left"/>
      <w:pPr>
        <w:tabs>
          <w:tab w:val="num" w:pos="0"/>
        </w:tabs>
        <w:ind w:left="1134" w:hanging="0"/>
      </w:pPr>
      <w:rPr>
        <w:rFonts w:cs="Times New Roman"/>
      </w:rPr>
    </w:lvl>
    <w:lvl w:ilvl="6">
      <w:start w:val="1"/>
      <w:numFmt w:val="none"/>
      <w:suff w:val="nothing"/>
      <w:lvlText w:val=""/>
      <w:lvlJc w:val="left"/>
      <w:pPr>
        <w:tabs>
          <w:tab w:val="num" w:pos="0"/>
        </w:tabs>
        <w:ind w:left="1701" w:hanging="0"/>
      </w:pPr>
      <w:rPr>
        <w:rFonts w:cs="Times New Roman"/>
      </w:rPr>
    </w:lvl>
    <w:lvl w:ilvl="7">
      <w:start w:val="1"/>
      <w:numFmt w:val="none"/>
      <w:suff w:val="nothing"/>
      <w:lvlText w:val=""/>
      <w:lvlJc w:val="left"/>
      <w:pPr>
        <w:tabs>
          <w:tab w:val="num" w:pos="0"/>
        </w:tabs>
        <w:ind w:left="0" w:hanging="0"/>
      </w:pPr>
      <w:rPr>
        <w:rFonts w:cs="Times New Roman"/>
      </w:rPr>
    </w:lvl>
    <w:lvl w:ilvl="8">
      <w:start w:val="1"/>
      <w:numFmt w:val="none"/>
      <w:suff w:val="nothing"/>
      <w:lvlText w:val=""/>
      <w:lvlJc w:val="left"/>
      <w:pPr>
        <w:tabs>
          <w:tab w:val="num" w:pos="0"/>
        </w:tabs>
        <w:ind w:left="1134" w:hanging="0"/>
      </w:pPr>
      <w:rPr>
        <w:rFonts w:cs="Times New Roman"/>
      </w:rPr>
    </w:lvl>
  </w:abstractNum>
  <w:abstractNum w:abstractNumId="27">
    <w:lvl w:ilvl="0">
      <w:start w:val="1"/>
      <w:numFmt w:val="bullet"/>
      <w:lvlText w:val="‒"/>
      <w:lvlJc w:val="left"/>
      <w:pPr>
        <w:tabs>
          <w:tab w:val="num" w:pos="0"/>
        </w:tabs>
        <w:ind w:left="1036" w:hanging="360"/>
      </w:pPr>
      <w:rPr>
        <w:rFonts w:ascii="Calibri" w:hAnsi="Calibri" w:cs="Calibri" w:hint="default"/>
      </w:rPr>
    </w:lvl>
    <w:lvl w:ilvl="1">
      <w:start w:val="1"/>
      <w:numFmt w:val="bullet"/>
      <w:lvlText w:val="o"/>
      <w:lvlJc w:val="left"/>
      <w:pPr>
        <w:tabs>
          <w:tab w:val="num" w:pos="0"/>
        </w:tabs>
        <w:ind w:left="1756" w:hanging="360"/>
      </w:pPr>
      <w:rPr>
        <w:rFonts w:ascii="Courier New" w:hAnsi="Courier New" w:cs="Courier New" w:hint="default"/>
      </w:rPr>
    </w:lvl>
    <w:lvl w:ilvl="2">
      <w:start w:val="1"/>
      <w:numFmt w:val="bullet"/>
      <w:lvlText w:val=""/>
      <w:lvlJc w:val="left"/>
      <w:pPr>
        <w:tabs>
          <w:tab w:val="num" w:pos="0"/>
        </w:tabs>
        <w:ind w:left="2476" w:hanging="360"/>
      </w:pPr>
      <w:rPr>
        <w:rFonts w:ascii="Wingdings" w:hAnsi="Wingdings" w:cs="Wingdings" w:hint="default"/>
      </w:rPr>
    </w:lvl>
    <w:lvl w:ilvl="3">
      <w:start w:val="1"/>
      <w:numFmt w:val="bullet"/>
      <w:lvlText w:val=""/>
      <w:lvlJc w:val="left"/>
      <w:pPr>
        <w:tabs>
          <w:tab w:val="num" w:pos="0"/>
        </w:tabs>
        <w:ind w:left="3196" w:hanging="360"/>
      </w:pPr>
      <w:rPr>
        <w:rFonts w:ascii="Symbol" w:hAnsi="Symbol" w:cs="Symbol" w:hint="default"/>
      </w:rPr>
    </w:lvl>
    <w:lvl w:ilvl="4">
      <w:start w:val="1"/>
      <w:numFmt w:val="bullet"/>
      <w:lvlText w:val="o"/>
      <w:lvlJc w:val="left"/>
      <w:pPr>
        <w:tabs>
          <w:tab w:val="num" w:pos="0"/>
        </w:tabs>
        <w:ind w:left="3916" w:hanging="360"/>
      </w:pPr>
      <w:rPr>
        <w:rFonts w:ascii="Courier New" w:hAnsi="Courier New" w:cs="Courier New" w:hint="default"/>
      </w:rPr>
    </w:lvl>
    <w:lvl w:ilvl="5">
      <w:start w:val="1"/>
      <w:numFmt w:val="bullet"/>
      <w:lvlText w:val=""/>
      <w:lvlJc w:val="left"/>
      <w:pPr>
        <w:tabs>
          <w:tab w:val="num" w:pos="0"/>
        </w:tabs>
        <w:ind w:left="4636" w:hanging="360"/>
      </w:pPr>
      <w:rPr>
        <w:rFonts w:ascii="Wingdings" w:hAnsi="Wingdings" w:cs="Wingdings" w:hint="default"/>
      </w:rPr>
    </w:lvl>
    <w:lvl w:ilvl="6">
      <w:start w:val="1"/>
      <w:numFmt w:val="bullet"/>
      <w:lvlText w:val=""/>
      <w:lvlJc w:val="left"/>
      <w:pPr>
        <w:tabs>
          <w:tab w:val="num" w:pos="0"/>
        </w:tabs>
        <w:ind w:left="5356" w:hanging="360"/>
      </w:pPr>
      <w:rPr>
        <w:rFonts w:ascii="Symbol" w:hAnsi="Symbol" w:cs="Symbol" w:hint="default"/>
      </w:rPr>
    </w:lvl>
    <w:lvl w:ilvl="7">
      <w:start w:val="1"/>
      <w:numFmt w:val="bullet"/>
      <w:lvlText w:val="o"/>
      <w:lvlJc w:val="left"/>
      <w:pPr>
        <w:tabs>
          <w:tab w:val="num" w:pos="0"/>
        </w:tabs>
        <w:ind w:left="6076" w:hanging="360"/>
      </w:pPr>
      <w:rPr>
        <w:rFonts w:ascii="Courier New" w:hAnsi="Courier New" w:cs="Courier New" w:hint="default"/>
      </w:rPr>
    </w:lvl>
    <w:lvl w:ilvl="8">
      <w:start w:val="1"/>
      <w:numFmt w:val="bullet"/>
      <w:lvlText w:val=""/>
      <w:lvlJc w:val="left"/>
      <w:pPr>
        <w:tabs>
          <w:tab w:val="num" w:pos="0"/>
        </w:tabs>
        <w:ind w:left="6796" w:hanging="360"/>
      </w:pPr>
      <w:rPr>
        <w:rFonts w:ascii="Wingdings" w:hAnsi="Wingdings" w:cs="Wingdings" w:hint="default"/>
      </w:rPr>
    </w:lvl>
  </w:abstractNum>
  <w:abstractNum w:abstractNumId="28">
    <w:lvl w:ilvl="0">
      <w:start w:val="1"/>
      <w:numFmt w:val="bullet"/>
      <w:lvlText w:val="−"/>
      <w:lvlJc w:val="left"/>
      <w:pPr>
        <w:tabs>
          <w:tab w:val="num" w:pos="0"/>
        </w:tabs>
        <w:ind w:left="720" w:hanging="360"/>
      </w:pPr>
      <w:rPr>
        <w:rFonts w:ascii="Times New Roman" w:hAnsi="Times New Roman" w:cs="Times New Roman"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9">
    <w:lvl w:ilvl="0">
      <w:start w:val="1"/>
      <w:numFmt w:val="decimal"/>
      <w:lvlText w:val="%1."/>
      <w:lvlJc w:val="left"/>
      <w:pPr>
        <w:tabs>
          <w:tab w:val="num" w:pos="0"/>
        </w:tabs>
        <w:ind w:left="1134" w:hanging="1134"/>
      </w:pPr>
      <w:rPr>
        <w:rFonts w:cs="Times New Roman"/>
      </w:rPr>
    </w:lvl>
    <w:lvl w:ilvl="1">
      <w:start w:val="1"/>
      <w:numFmt w:val="decimal"/>
      <w:lvlText w:val="%1.%2."/>
      <w:lvlJc w:val="left"/>
      <w:pPr>
        <w:tabs>
          <w:tab w:val="num" w:pos="0"/>
        </w:tabs>
        <w:ind w:left="1134" w:hanging="1134"/>
      </w:pPr>
      <w:rPr>
        <w:rFonts w:cs="Times New Roman"/>
      </w:rPr>
    </w:lvl>
    <w:lvl w:ilvl="2">
      <w:start w:val="1"/>
      <w:numFmt w:val="decimal"/>
      <w:lvlText w:val="%1.%2.%3."/>
      <w:lvlJc w:val="left"/>
      <w:pPr>
        <w:tabs>
          <w:tab w:val="num" w:pos="0"/>
        </w:tabs>
        <w:ind w:left="1134" w:hanging="1134"/>
      </w:pPr>
      <w:rPr>
        <w:rFonts w:cs="Times New Roman"/>
      </w:rPr>
    </w:lvl>
    <w:lvl w:ilvl="3">
      <w:start w:val="1"/>
      <w:numFmt w:val="russianLower"/>
      <w:lvlText w:val="(%4)"/>
      <w:lvlJc w:val="left"/>
      <w:pPr>
        <w:tabs>
          <w:tab w:val="num" w:pos="0"/>
        </w:tabs>
        <w:ind w:left="1701" w:hanging="567"/>
      </w:pPr>
      <w:rPr>
        <w:rFonts w:cs="Times New Roman"/>
      </w:rPr>
    </w:lvl>
    <w:lvl w:ilvl="4">
      <w:start w:val="1"/>
      <w:numFmt w:val="bullet"/>
      <w:lvlText w:val="–"/>
      <w:lvlJc w:val="left"/>
      <w:pPr>
        <w:tabs>
          <w:tab w:val="num" w:pos="0"/>
        </w:tabs>
        <w:ind w:left="2268" w:hanging="567"/>
      </w:pPr>
      <w:rPr>
        <w:rFonts w:ascii="Times New Roman" w:hAnsi="Times New Roman" w:cs="Times New Roman" w:hint="default"/>
      </w:rPr>
    </w:lvl>
    <w:lvl w:ilvl="5">
      <w:start w:val="1"/>
      <w:numFmt w:val="none"/>
      <w:suff w:val="nothing"/>
      <w:lvlText w:val=""/>
      <w:lvlJc w:val="left"/>
      <w:pPr>
        <w:tabs>
          <w:tab w:val="num" w:pos="0"/>
        </w:tabs>
        <w:ind w:left="1134" w:hanging="0"/>
      </w:pPr>
      <w:rPr>
        <w:rFonts w:cs="Times New Roman"/>
      </w:rPr>
    </w:lvl>
    <w:lvl w:ilvl="6">
      <w:start w:val="1"/>
      <w:numFmt w:val="none"/>
      <w:suff w:val="nothing"/>
      <w:lvlText w:val=""/>
      <w:lvlJc w:val="left"/>
      <w:pPr>
        <w:tabs>
          <w:tab w:val="num" w:pos="0"/>
        </w:tabs>
        <w:ind w:left="1701" w:hanging="0"/>
      </w:pPr>
      <w:rPr>
        <w:rFonts w:cs="Times New Roman"/>
      </w:rPr>
    </w:lvl>
    <w:lvl w:ilvl="7">
      <w:start w:val="1"/>
      <w:numFmt w:val="none"/>
      <w:suff w:val="nothing"/>
      <w:lvlText w:val=""/>
      <w:lvlJc w:val="left"/>
      <w:pPr>
        <w:tabs>
          <w:tab w:val="num" w:pos="0"/>
        </w:tabs>
        <w:ind w:left="0" w:hanging="0"/>
      </w:pPr>
      <w:rPr>
        <w:rFonts w:cs="Times New Roman"/>
      </w:rPr>
    </w:lvl>
    <w:lvl w:ilvl="8">
      <w:start w:val="1"/>
      <w:numFmt w:val="none"/>
      <w:suff w:val="nothing"/>
      <w:lvlText w:val=""/>
      <w:lvlJc w:val="left"/>
      <w:pPr>
        <w:tabs>
          <w:tab w:val="num" w:pos="0"/>
        </w:tabs>
        <w:ind w:left="1134" w:hanging="0"/>
      </w:pPr>
      <w:rPr>
        <w:rFonts w:cs="Times New Roman"/>
      </w:rPr>
    </w:lvl>
  </w:abstractNum>
  <w:abstractNum w:abstractNumId="30">
    <w:lvl w:ilvl="0">
      <w:start w:val="1"/>
      <w:numFmt w:val="decimal"/>
      <w:lvlText w:val="%1."/>
      <w:lvlJc w:val="left"/>
      <w:pPr>
        <w:tabs>
          <w:tab w:val="num" w:pos="0"/>
        </w:tabs>
        <w:ind w:left="1134" w:hanging="1134"/>
      </w:pPr>
      <w:rPr>
        <w:rFonts w:cs="Times New Roman"/>
      </w:rPr>
    </w:lvl>
    <w:lvl w:ilvl="1">
      <w:start w:val="1"/>
      <w:numFmt w:val="decimal"/>
      <w:lvlText w:val="%1.%2."/>
      <w:lvlJc w:val="left"/>
      <w:pPr>
        <w:tabs>
          <w:tab w:val="num" w:pos="0"/>
        </w:tabs>
        <w:ind w:left="1134" w:hanging="1134"/>
      </w:pPr>
      <w:rPr>
        <w:rFonts w:cs="Times New Roman"/>
      </w:rPr>
    </w:lvl>
    <w:lvl w:ilvl="2">
      <w:start w:val="1"/>
      <w:numFmt w:val="decimal"/>
      <w:lvlText w:val="%1.%2.%3."/>
      <w:lvlJc w:val="left"/>
      <w:pPr>
        <w:tabs>
          <w:tab w:val="num" w:pos="0"/>
        </w:tabs>
        <w:ind w:left="1134" w:hanging="1134"/>
      </w:pPr>
      <w:rPr>
        <w:rFonts w:cs="Times New Roman"/>
      </w:rPr>
    </w:lvl>
    <w:lvl w:ilvl="3">
      <w:start w:val="1"/>
      <w:numFmt w:val="decimal"/>
      <w:lvlText w:val="(%4)"/>
      <w:lvlJc w:val="left"/>
      <w:pPr>
        <w:tabs>
          <w:tab w:val="num" w:pos="0"/>
        </w:tabs>
        <w:ind w:left="1701" w:hanging="567"/>
      </w:pPr>
      <w:rPr>
        <w:rFonts w:cs="Times New Roman"/>
      </w:rPr>
    </w:lvl>
    <w:lvl w:ilvl="4">
      <w:start w:val="1"/>
      <w:numFmt w:val="bullet"/>
      <w:lvlText w:val="–"/>
      <w:lvlJc w:val="left"/>
      <w:pPr>
        <w:tabs>
          <w:tab w:val="num" w:pos="0"/>
        </w:tabs>
        <w:ind w:left="2268" w:hanging="567"/>
      </w:pPr>
      <w:rPr>
        <w:rFonts w:ascii="Times New Roman" w:hAnsi="Times New Roman" w:cs="Times New Roman" w:hint="default"/>
      </w:rPr>
    </w:lvl>
    <w:lvl w:ilvl="5">
      <w:start w:val="1"/>
      <w:numFmt w:val="none"/>
      <w:suff w:val="nothing"/>
      <w:lvlText w:val=""/>
      <w:lvlJc w:val="left"/>
      <w:pPr>
        <w:tabs>
          <w:tab w:val="num" w:pos="0"/>
        </w:tabs>
        <w:ind w:left="1134" w:hanging="360"/>
      </w:pPr>
      <w:rPr>
        <w:rFonts w:cs="Times New Roman"/>
      </w:rPr>
    </w:lvl>
    <w:lvl w:ilvl="6">
      <w:start w:val="1"/>
      <w:numFmt w:val="none"/>
      <w:suff w:val="nothing"/>
      <w:lvlText w:val=""/>
      <w:lvlJc w:val="left"/>
      <w:pPr>
        <w:tabs>
          <w:tab w:val="num" w:pos="0"/>
        </w:tabs>
        <w:ind w:left="1701" w:hanging="360"/>
      </w:pPr>
      <w:rPr>
        <w:rFonts w:cs="Times New Roman"/>
      </w:rPr>
    </w:lvl>
    <w:lvl w:ilvl="7">
      <w:start w:val="1"/>
      <w:numFmt w:val="none"/>
      <w:suff w:val="nothing"/>
      <w:lvlText w:val=""/>
      <w:lvlJc w:val="left"/>
      <w:pPr>
        <w:tabs>
          <w:tab w:val="num" w:pos="0"/>
        </w:tabs>
        <w:ind w:left="3240" w:hanging="360"/>
      </w:pPr>
      <w:rPr>
        <w:sz w:val="20"/>
        <w:rFonts w:cs="Times New Roman"/>
      </w:rPr>
    </w:lvl>
    <w:lvl w:ilvl="8">
      <w:start w:val="1"/>
      <w:numFmt w:val="none"/>
      <w:suff w:val="nothing"/>
      <w:lvlText w:val=""/>
      <w:lvlJc w:val="left"/>
      <w:pPr>
        <w:tabs>
          <w:tab w:val="num" w:pos="0"/>
        </w:tabs>
        <w:ind w:left="1134" w:hanging="360"/>
      </w:pPr>
      <w:rPr>
        <w:rFonts w:cs="Times New Roman"/>
      </w:rPr>
    </w:lvl>
  </w:abstractNum>
  <w:abstractNum w:abstractNumId="31">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Symbol" w:hAnsi="Symbol" w:cs="Symbol" w:hint="default"/>
      </w:rPr>
    </w:lvl>
    <w:lvl w:ilvl="2">
      <w:start w:val="1"/>
      <w:numFmt w:val="bullet"/>
      <w:lvlText w:val=""/>
      <w:lvlJc w:val="left"/>
      <w:pPr>
        <w:tabs>
          <w:tab w:val="num" w:pos="1440"/>
        </w:tabs>
        <w:ind w:left="1440" w:hanging="360"/>
      </w:pPr>
      <w:rPr>
        <w:rFonts w:ascii="Symbol" w:hAnsi="Symbol" w:cs="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Symbol" w:hAnsi="Symbol" w:cs="Symbol" w:hint="default"/>
      </w:rPr>
    </w:lvl>
    <w:lvl w:ilvl="5">
      <w:start w:val="1"/>
      <w:numFmt w:val="bullet"/>
      <w:lvlText w:val=""/>
      <w:lvlJc w:val="left"/>
      <w:pPr>
        <w:tabs>
          <w:tab w:val="num" w:pos="2520"/>
        </w:tabs>
        <w:ind w:left="2520" w:hanging="360"/>
      </w:pPr>
      <w:rPr>
        <w:rFonts w:ascii="Symbol" w:hAnsi="Symbol" w:cs="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Symbol" w:hAnsi="Symbol" w:cs="Symbol" w:hint="default"/>
      </w:rPr>
    </w:lvl>
    <w:lvl w:ilvl="8">
      <w:start w:val="1"/>
      <w:numFmt w:val="bullet"/>
      <w:lvlText w:val=""/>
      <w:lvlJc w:val="left"/>
      <w:pPr>
        <w:tabs>
          <w:tab w:val="num" w:pos="3600"/>
        </w:tabs>
        <w:ind w:left="3600" w:hanging="360"/>
      </w:pPr>
      <w:rPr>
        <w:rFonts w:ascii="Symbol" w:hAnsi="Symbol" w:cs="Symbol" w:hint="default"/>
      </w:rPr>
    </w:lvl>
  </w:abstractNum>
  <w:abstractNum w:abstractNumId="32">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33">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bering>
</file>

<file path=word/settings.xml><?xml version="1.0" encoding="utf-8"?>
<w:settings xmlns:w="http://schemas.openxmlformats.org/wordprocessingml/2006/main">
  <w:zoom w:percent="120"/>
  <w:defaultTabStop w:val="708"/>
  <w:autoHyphenation w:val="true"/>
  <w:footnotePr>
    <w:numFmt w:val="decimal"/>
    <w:footnote w:id="0"/>
    <w:footnote w:id="1"/>
  </w:footnotePr>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themeFontLang w:val="en-US" w:eastAsia="zh-CN"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Calibri" w:cs="Arial" w:cstheme="minorBidi" w:eastAsiaTheme="minorHAnsi"/>
        <w:sz w:val="26"/>
        <w:szCs w:val="22"/>
        <w:lang w:val="ru-RU" w:eastAsia="en-US" w:bidi="ar-SA"/>
      </w:rPr>
    </w:rPrDefault>
    <w:pPrDefault>
      <w:pPr>
        <w:suppressAutoHyphens w:val="true"/>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pPr>
      <w:widowControl/>
      <w:suppressAutoHyphens w:val="false"/>
      <w:bidi w:val="0"/>
      <w:spacing w:lineRule="auto" w:line="240" w:beforeAutospacing="0" w:before="120" w:afterAutospacing="0" w:after="0"/>
      <w:jc w:val="left"/>
    </w:pPr>
    <w:rPr>
      <w:rFonts w:ascii="Times New Roman" w:hAnsi="Times New Roman" w:eastAsia="Calibri" w:cs="Arial" w:cstheme="minorBidi" w:eastAsiaTheme="minorHAnsi"/>
      <w:color w:val="auto"/>
      <w:kern w:val="0"/>
      <w:sz w:val="26"/>
      <w:szCs w:val="22"/>
      <w:lang w:val="ru-RU" w:eastAsia="en-US" w:bidi="ar-SA"/>
    </w:rPr>
  </w:style>
  <w:style w:type="paragraph" w:styleId="Heading1">
    <w:name w:val="Heading 1"/>
    <w:basedOn w:val="Normal"/>
    <w:next w:val="Normal"/>
    <w:link w:val="Heading1Char"/>
    <w:uiPriority w:val="9"/>
    <w:qFormat/>
    <w:pPr>
      <w:keepNext w:val="true"/>
      <w:keepLines/>
      <w:spacing w:before="480" w:after="200"/>
      <w:outlineLvl w:val="0"/>
    </w:pPr>
    <w:rPr>
      <w:rFonts w:ascii="Arial" w:hAnsi="Arial" w:eastAsia="Arial" w:cs="Arial"/>
      <w:sz w:val="40"/>
      <w:szCs w:val="40"/>
    </w:rPr>
  </w:style>
  <w:style w:type="paragraph" w:styleId="Heading2">
    <w:name w:val="Heading 2"/>
    <w:basedOn w:val="Normal"/>
    <w:next w:val="Normal"/>
    <w:link w:val="Heading2Char"/>
    <w:uiPriority w:val="9"/>
    <w:unhideWhenUsed/>
    <w:qFormat/>
    <w:pPr>
      <w:keepNext w:val="true"/>
      <w:keepLines/>
      <w:spacing w:before="360" w:after="200"/>
      <w:outlineLvl w:val="1"/>
    </w:pPr>
    <w:rPr>
      <w:rFonts w:ascii="Arial" w:hAnsi="Arial" w:eastAsia="Arial" w:cs="Arial"/>
      <w:sz w:val="34"/>
    </w:rPr>
  </w:style>
  <w:style w:type="paragraph" w:styleId="Heading3">
    <w:name w:val="Heading 3"/>
    <w:basedOn w:val="Normal"/>
    <w:next w:val="Normal"/>
    <w:link w:val="Heading3Char"/>
    <w:uiPriority w:val="9"/>
    <w:unhideWhenUsed/>
    <w:qFormat/>
    <w:pPr>
      <w:keepNext w:val="true"/>
      <w:keepLines/>
      <w:spacing w:before="320" w:after="200"/>
      <w:outlineLvl w:val="2"/>
    </w:pPr>
    <w:rPr>
      <w:rFonts w:ascii="Arial" w:hAnsi="Arial" w:eastAsia="Arial" w:cs="Arial"/>
      <w:sz w:val="30"/>
      <w:szCs w:val="30"/>
    </w:rPr>
  </w:style>
  <w:style w:type="paragraph" w:styleId="Heading4">
    <w:name w:val="Heading 4"/>
    <w:basedOn w:val="Normal"/>
    <w:next w:val="Normal"/>
    <w:link w:val="Heading4Char"/>
    <w:uiPriority w:val="9"/>
    <w:unhideWhenUsed/>
    <w:qFormat/>
    <w:pPr>
      <w:keepNext w:val="true"/>
      <w:keepLines/>
      <w:spacing w:before="320" w:after="200"/>
      <w:outlineLvl w:val="3"/>
    </w:pPr>
    <w:rPr>
      <w:rFonts w:ascii="Arial" w:hAnsi="Arial" w:eastAsia="Arial" w:cs="Arial"/>
      <w:b/>
      <w:bCs/>
      <w:sz w:val="26"/>
      <w:szCs w:val="26"/>
    </w:rPr>
  </w:style>
  <w:style w:type="paragraph" w:styleId="Heading5">
    <w:name w:val="Heading 5"/>
    <w:basedOn w:val="Normal"/>
    <w:next w:val="Normal"/>
    <w:link w:val="Heading5Char"/>
    <w:uiPriority w:val="9"/>
    <w:unhideWhenUsed/>
    <w:qFormat/>
    <w:pPr>
      <w:keepNext w:val="true"/>
      <w:keepLines/>
      <w:spacing w:before="320" w:after="200"/>
      <w:outlineLvl w:val="4"/>
    </w:pPr>
    <w:rPr>
      <w:rFonts w:ascii="Arial" w:hAnsi="Arial" w:eastAsia="Arial" w:cs="Arial"/>
      <w:b/>
      <w:bCs/>
      <w:sz w:val="24"/>
      <w:szCs w:val="24"/>
    </w:rPr>
  </w:style>
  <w:style w:type="paragraph" w:styleId="Heading6">
    <w:name w:val="Heading 6"/>
    <w:basedOn w:val="Normal"/>
    <w:next w:val="Normal"/>
    <w:link w:val="Heading6Char"/>
    <w:uiPriority w:val="9"/>
    <w:unhideWhenUsed/>
    <w:qFormat/>
    <w:pPr>
      <w:keepNext w:val="true"/>
      <w:keepLines/>
      <w:spacing w:before="320" w:after="200"/>
      <w:outlineLvl w:val="5"/>
    </w:pPr>
    <w:rPr>
      <w:rFonts w:ascii="Arial" w:hAnsi="Arial" w:eastAsia="Arial" w:cs="Arial"/>
      <w:b/>
      <w:bCs/>
      <w:sz w:val="22"/>
      <w:szCs w:val="22"/>
    </w:rPr>
  </w:style>
  <w:style w:type="paragraph" w:styleId="Heading7">
    <w:name w:val="Heading 7"/>
    <w:basedOn w:val="Normal"/>
    <w:next w:val="Normal"/>
    <w:link w:val="Heading7Char"/>
    <w:uiPriority w:val="9"/>
    <w:unhideWhenUsed/>
    <w:qFormat/>
    <w:pPr>
      <w:keepNext w:val="true"/>
      <w:keepLines/>
      <w:spacing w:before="320" w:after="200"/>
      <w:outlineLvl w:val="6"/>
    </w:pPr>
    <w:rPr>
      <w:rFonts w:ascii="Arial" w:hAnsi="Arial" w:eastAsia="Arial" w:cs="Arial"/>
      <w:b/>
      <w:bCs/>
      <w:i/>
      <w:iCs/>
      <w:sz w:val="22"/>
      <w:szCs w:val="22"/>
    </w:rPr>
  </w:style>
  <w:style w:type="paragraph" w:styleId="Heading8">
    <w:name w:val="Heading 8"/>
    <w:basedOn w:val="Normal"/>
    <w:next w:val="Normal"/>
    <w:link w:val="Heading8Char"/>
    <w:uiPriority w:val="9"/>
    <w:unhideWhenUsed/>
    <w:qFormat/>
    <w:pPr>
      <w:keepNext w:val="true"/>
      <w:keepLines/>
      <w:spacing w:before="320" w:after="200"/>
      <w:outlineLvl w:val="7"/>
    </w:pPr>
    <w:rPr>
      <w:rFonts w:ascii="Arial" w:hAnsi="Arial" w:eastAsia="Arial" w:cs="Arial"/>
      <w:i/>
      <w:iCs/>
      <w:sz w:val="22"/>
      <w:szCs w:val="22"/>
    </w:rPr>
  </w:style>
  <w:style w:type="paragraph" w:styleId="Heading9">
    <w:name w:val="Heading 9"/>
    <w:basedOn w:val="Normal"/>
    <w:next w:val="Normal"/>
    <w:link w:val="Heading9Char"/>
    <w:uiPriority w:val="9"/>
    <w:unhideWhenUsed/>
    <w:qFormat/>
    <w:pPr>
      <w:keepNext w:val="true"/>
      <w:keepLines/>
      <w:spacing w:before="320" w:after="200"/>
      <w:outlineLvl w:val="8"/>
    </w:pPr>
    <w:rPr>
      <w:rFonts w:ascii="Arial" w:hAnsi="Arial" w:eastAsia="Arial" w:cs="Arial"/>
      <w:i/>
      <w:iCs/>
      <w:sz w:val="21"/>
      <w:szCs w:val="21"/>
    </w:rPr>
  </w:style>
  <w:style w:type="character" w:styleId="Heading1Char">
    <w:name w:val="Heading 1 Char"/>
    <w:basedOn w:val="DefaultParagraphFont"/>
    <w:uiPriority w:val="9"/>
    <w:qFormat/>
    <w:rPr>
      <w:rFonts w:ascii="Arial" w:hAnsi="Arial" w:eastAsia="Arial" w:cs="Arial"/>
      <w:sz w:val="40"/>
      <w:szCs w:val="40"/>
    </w:rPr>
  </w:style>
  <w:style w:type="character" w:styleId="Heading2Char">
    <w:name w:val="Heading 2 Char"/>
    <w:basedOn w:val="DefaultParagraphFont"/>
    <w:uiPriority w:val="9"/>
    <w:qFormat/>
    <w:rPr>
      <w:rFonts w:ascii="Arial" w:hAnsi="Arial" w:eastAsia="Arial" w:cs="Arial"/>
      <w:sz w:val="34"/>
    </w:rPr>
  </w:style>
  <w:style w:type="character" w:styleId="Heading3Char">
    <w:name w:val="Heading 3 Char"/>
    <w:basedOn w:val="DefaultParagraphFont"/>
    <w:uiPriority w:val="9"/>
    <w:qFormat/>
    <w:rPr>
      <w:rFonts w:ascii="Arial" w:hAnsi="Arial" w:eastAsia="Arial" w:cs="Arial"/>
      <w:sz w:val="30"/>
      <w:szCs w:val="30"/>
    </w:rPr>
  </w:style>
  <w:style w:type="character" w:styleId="Heading4Char">
    <w:name w:val="Heading 4 Char"/>
    <w:basedOn w:val="DefaultParagraphFont"/>
    <w:uiPriority w:val="9"/>
    <w:qFormat/>
    <w:rPr>
      <w:rFonts w:ascii="Arial" w:hAnsi="Arial" w:eastAsia="Arial" w:cs="Arial"/>
      <w:b/>
      <w:bCs/>
      <w:sz w:val="26"/>
      <w:szCs w:val="26"/>
    </w:rPr>
  </w:style>
  <w:style w:type="character" w:styleId="Heading5Char">
    <w:name w:val="Heading 5 Char"/>
    <w:basedOn w:val="DefaultParagraphFont"/>
    <w:uiPriority w:val="9"/>
    <w:qFormat/>
    <w:rPr>
      <w:rFonts w:ascii="Arial" w:hAnsi="Arial" w:eastAsia="Arial" w:cs="Arial"/>
      <w:b/>
      <w:bCs/>
      <w:sz w:val="24"/>
      <w:szCs w:val="24"/>
    </w:rPr>
  </w:style>
  <w:style w:type="character" w:styleId="Heading6Char">
    <w:name w:val="Heading 6 Char"/>
    <w:basedOn w:val="DefaultParagraphFont"/>
    <w:uiPriority w:val="9"/>
    <w:qFormat/>
    <w:rPr>
      <w:rFonts w:ascii="Arial" w:hAnsi="Arial" w:eastAsia="Arial" w:cs="Arial"/>
      <w:b/>
      <w:bCs/>
      <w:sz w:val="22"/>
      <w:szCs w:val="22"/>
    </w:rPr>
  </w:style>
  <w:style w:type="character" w:styleId="Heading7Char">
    <w:name w:val="Heading 7 Char"/>
    <w:basedOn w:val="DefaultParagraphFont"/>
    <w:uiPriority w:val="9"/>
    <w:qFormat/>
    <w:rPr>
      <w:rFonts w:ascii="Arial" w:hAnsi="Arial" w:eastAsia="Arial" w:cs="Arial"/>
      <w:b/>
      <w:bCs/>
      <w:i/>
      <w:iCs/>
      <w:sz w:val="22"/>
      <w:szCs w:val="22"/>
    </w:rPr>
  </w:style>
  <w:style w:type="character" w:styleId="Heading8Char">
    <w:name w:val="Heading 8 Char"/>
    <w:basedOn w:val="DefaultParagraphFont"/>
    <w:uiPriority w:val="9"/>
    <w:qFormat/>
    <w:rPr>
      <w:rFonts w:ascii="Arial" w:hAnsi="Arial" w:eastAsia="Arial" w:cs="Arial"/>
      <w:i/>
      <w:iCs/>
      <w:sz w:val="22"/>
      <w:szCs w:val="22"/>
    </w:rPr>
  </w:style>
  <w:style w:type="character" w:styleId="Heading9Char">
    <w:name w:val="Heading 9 Char"/>
    <w:basedOn w:val="DefaultParagraphFont"/>
    <w:uiPriority w:val="9"/>
    <w:qFormat/>
    <w:rPr>
      <w:rFonts w:ascii="Arial" w:hAnsi="Arial" w:eastAsia="Arial" w:cs="Arial"/>
      <w:i/>
      <w:iCs/>
      <w:sz w:val="21"/>
      <w:szCs w:val="21"/>
    </w:rPr>
  </w:style>
  <w:style w:type="character" w:styleId="TitleChar">
    <w:name w:val="Title Char"/>
    <w:basedOn w:val="DefaultParagraphFont"/>
    <w:uiPriority w:val="10"/>
    <w:qFormat/>
    <w:rPr>
      <w:sz w:val="48"/>
      <w:szCs w:val="48"/>
    </w:rPr>
  </w:style>
  <w:style w:type="character" w:styleId="SubtitleChar">
    <w:name w:val="Subtitle Char"/>
    <w:basedOn w:val="DefaultParagraphFont"/>
    <w:uiPriority w:val="11"/>
    <w:qFormat/>
    <w:rPr>
      <w:sz w:val="24"/>
      <w:szCs w:val="24"/>
    </w:rPr>
  </w:style>
  <w:style w:type="character" w:styleId="QuoteChar">
    <w:name w:val="Quote Char"/>
    <w:link w:val="Quote"/>
    <w:uiPriority w:val="29"/>
    <w:qFormat/>
    <w:rPr>
      <w:i/>
    </w:rPr>
  </w:style>
  <w:style w:type="character" w:styleId="IntenseQuoteChar">
    <w:name w:val="Intense Quote Char"/>
    <w:link w:val="IntenseQuote"/>
    <w:uiPriority w:val="30"/>
    <w:qFormat/>
    <w:rPr>
      <w:i/>
    </w:rPr>
  </w:style>
  <w:style w:type="character" w:styleId="HeaderChar">
    <w:name w:val="Header Char"/>
    <w:basedOn w:val="DefaultParagraphFont"/>
    <w:uiPriority w:val="99"/>
    <w:qFormat/>
    <w:rPr/>
  </w:style>
  <w:style w:type="character" w:styleId="FooterChar">
    <w:name w:val="Footer Char"/>
    <w:basedOn w:val="DefaultParagraphFont"/>
    <w:uiPriority w:val="99"/>
    <w:qFormat/>
    <w:rPr/>
  </w:style>
  <w:style w:type="character" w:styleId="CaptionChar">
    <w:name w:val="Caption Char"/>
    <w:basedOn w:val="DefaultParagraphFont"/>
    <w:uiPriority w:val="35"/>
    <w:qFormat/>
    <w:rPr>
      <w:b/>
      <w:bCs/>
      <w:color w:val="4F81BD" w:themeColor="accent1"/>
      <w:sz w:val="18"/>
      <w:szCs w:val="18"/>
    </w:rPr>
  </w:style>
  <w:style w:type="character" w:styleId="FootnoteTextChar">
    <w:name w:val="Footnote Text Char"/>
    <w:uiPriority w:val="99"/>
    <w:qFormat/>
    <w:rPr>
      <w:sz w:val="18"/>
    </w:rPr>
  </w:style>
  <w:style w:type="character" w:styleId="EndnoteTextChar">
    <w:name w:val="Endnote Text Char"/>
    <w:uiPriority w:val="99"/>
    <w:qFormat/>
    <w:rPr>
      <w:sz w:val="20"/>
    </w:rPr>
  </w:style>
  <w:style w:type="character" w:styleId="Style">
    <w:name w:val="Символ концевой сноски"/>
    <w:basedOn w:val="DefaultParagraphFont"/>
    <w:uiPriority w:val="99"/>
    <w:semiHidden/>
    <w:unhideWhenUsed/>
    <w:qFormat/>
    <w:rPr>
      <w:vertAlign w:val="superscript"/>
    </w:rPr>
  </w:style>
  <w:style w:type="character" w:styleId="EndnoteReference">
    <w:name w:val="Endnote Reference"/>
    <w:rPr>
      <w:vertAlign w:val="superscript"/>
    </w:rPr>
  </w:style>
  <w:style w:type="character" w:styleId="DefaultParagraphFont" w:default="1">
    <w:name w:val="Default Paragraph Font"/>
    <w:uiPriority w:val="1"/>
    <w:semiHidden/>
    <w:unhideWhenUsed/>
    <w:qFormat/>
    <w:rPr/>
  </w:style>
  <w:style w:type="character" w:styleId="Style1" w:customStyle="1">
    <w:name w:val="Верхний колонтитул Знак"/>
    <w:basedOn w:val="DefaultParagraphFont"/>
    <w:uiPriority w:val="99"/>
    <w:qFormat/>
    <w:rPr/>
  </w:style>
  <w:style w:type="character" w:styleId="Style2" w:customStyle="1">
    <w:name w:val="Нижний колонтитул Знак"/>
    <w:basedOn w:val="DefaultParagraphFont"/>
    <w:uiPriority w:val="99"/>
    <w:qFormat/>
    <w:rPr/>
  </w:style>
  <w:style w:type="character" w:styleId="Style3" w:customStyle="1">
    <w:name w:val="[РГ] Инструкция для организатора"/>
    <w:basedOn w:val="DefaultParagraphFont"/>
    <w:uiPriority w:val="1"/>
    <w:qFormat/>
    <w:rPr>
      <w:i/>
      <w:iCs/>
      <w:shd w:fill="FFFF99" w:val="clear"/>
      <w:lang w:val="ru-RU"/>
    </w:rPr>
  </w:style>
  <w:style w:type="character" w:styleId="Style4" w:customStyle="1">
    <w:name w:val="Текст сноски Знак"/>
    <w:basedOn w:val="DefaultParagraphFont"/>
    <w:uiPriority w:val="99"/>
    <w:semiHidden/>
    <w:qFormat/>
    <w:rPr>
      <w:sz w:val="20"/>
      <w:szCs w:val="20"/>
    </w:rPr>
  </w:style>
  <w:style w:type="character" w:styleId="Style5">
    <w:name w:val="Символ сноски"/>
    <w:unhideWhenUsed/>
    <w:qFormat/>
    <w:rPr>
      <w:vertAlign w:val="superscript"/>
    </w:rPr>
  </w:style>
  <w:style w:type="character" w:styleId="FootnoteReference">
    <w:name w:val="Footnote Reference"/>
    <w:rPr>
      <w:vertAlign w:val="superscript"/>
    </w:rPr>
  </w:style>
  <w:style w:type="character" w:styleId="Hyperlink" w:customStyle="1">
    <w:name w:val="Hyperlink"/>
    <w:basedOn w:val="DefaultParagraphFont"/>
    <w:uiPriority w:val="99"/>
    <w:unhideWhenUsed/>
    <w:rPr>
      <w:color w:val="0563C1" w:themeColor="hyperlink"/>
      <w:u w:val="single"/>
    </w:rPr>
  </w:style>
  <w:style w:type="character" w:styleId="UnresolvedMention">
    <w:name w:val="Unresolved Mention"/>
    <w:basedOn w:val="DefaultParagraphFont"/>
    <w:uiPriority w:val="99"/>
    <w:semiHidden/>
    <w:unhideWhenUsed/>
    <w:qFormat/>
    <w:rPr>
      <w:color w:val="605E5C"/>
      <w:shd w:fill="E1DFDD" w:val="clear"/>
    </w:rPr>
  </w:style>
  <w:style w:type="character" w:styleId="PlaceholderText">
    <w:name w:val="Placeholder Text"/>
    <w:basedOn w:val="DefaultParagraphFont"/>
    <w:uiPriority w:val="99"/>
    <w:semiHidden/>
    <w:qFormat/>
    <w:rPr>
      <w:color w:val="808080"/>
    </w:rPr>
  </w:style>
  <w:style w:type="character" w:styleId="Style6" w:customStyle="1">
    <w:name w:val="[РГ] Отсылка"/>
    <w:basedOn w:val="DefaultParagraphFont"/>
    <w:uiPriority w:val="1"/>
    <w:qFormat/>
    <w:rPr>
      <w:color w:val="000000"/>
      <w:spacing w:val="0"/>
      <w:u w:val="single"/>
      <w:shd w:fill="auto" w:val="clear"/>
      <w:lang w:val="ru-RU"/>
    </w:rPr>
  </w:style>
  <w:style w:type="character" w:styleId="Annotationreference">
    <w:name w:val="annotation reference"/>
    <w:basedOn w:val="DefaultParagraphFont"/>
    <w:unhideWhenUsed/>
    <w:qFormat/>
    <w:rPr>
      <w:sz w:val="16"/>
      <w:szCs w:val="16"/>
    </w:rPr>
  </w:style>
  <w:style w:type="character" w:styleId="Style7" w:customStyle="1">
    <w:name w:val="Текст примечания Знак"/>
    <w:basedOn w:val="DefaultParagraphFont"/>
    <w:link w:val="Annotationtext"/>
    <w:uiPriority w:val="99"/>
    <w:qFormat/>
    <w:rPr>
      <w:sz w:val="20"/>
      <w:szCs w:val="20"/>
    </w:rPr>
  </w:style>
  <w:style w:type="character" w:styleId="Style8" w:customStyle="1">
    <w:name w:val="Тема примечания Знак"/>
    <w:basedOn w:val="Style7"/>
    <w:link w:val="Annotationsubject"/>
    <w:uiPriority w:val="99"/>
    <w:semiHidden/>
    <w:qFormat/>
    <w:rPr>
      <w:b/>
      <w:bCs/>
      <w:sz w:val="20"/>
      <w:szCs w:val="20"/>
    </w:rPr>
  </w:style>
  <w:style w:type="character" w:styleId="Style9" w:customStyle="1">
    <w:name w:val="[РГ] Инструкция для участника"/>
    <w:basedOn w:val="DefaultParagraphFont"/>
    <w:uiPriority w:val="1"/>
    <w:qFormat/>
    <w:rPr>
      <w:i/>
      <w:shd w:fill="D0CECE" w:val="clear"/>
      <w:lang w:val="ru-RU"/>
    </w:rPr>
  </w:style>
  <w:style w:type="character" w:styleId="FollowedHyperlink">
    <w:name w:val="FollowedHyperlink"/>
    <w:basedOn w:val="DefaultParagraphFont"/>
    <w:uiPriority w:val="99"/>
    <w:semiHidden/>
    <w:unhideWhenUsed/>
    <w:rPr>
      <w:color w:val="954F72" w:themeColor="followedHyperlink"/>
      <w:u w:val="single"/>
    </w:rPr>
  </w:style>
  <w:style w:type="character" w:styleId="Style10" w:customStyle="1">
    <w:name w:val="Текст выноски Знак"/>
    <w:basedOn w:val="DefaultParagraphFont"/>
    <w:link w:val="BalloonText"/>
    <w:uiPriority w:val="99"/>
    <w:semiHidden/>
    <w:qFormat/>
    <w:rPr>
      <w:rFonts w:ascii="Segoe UI" w:hAnsi="Segoe UI" w:cs="Segoe UI"/>
      <w:sz w:val="18"/>
      <w:szCs w:val="18"/>
    </w:rPr>
  </w:style>
  <w:style w:type="character" w:styleId="Style11" w:customStyle="1">
    <w:name w:val="РГ_ЕПоЗ_а) Знак"/>
    <w:basedOn w:val="DefaultParagraphFont"/>
    <w:link w:val="Style27"/>
    <w:qFormat/>
    <w:rPr>
      <w:rFonts w:eastAsia="Calibri" w:cs="Times New Roman"/>
      <w:sz w:val="28"/>
      <w:szCs w:val="28"/>
    </w:rPr>
  </w:style>
  <w:style w:type="character" w:styleId="-" w:customStyle="1">
    <w:name w:val="РГ_ЕПоЗ_- Знак"/>
    <w:basedOn w:val="DefaultParagraphFont"/>
    <w:link w:val="-1"/>
    <w:qFormat/>
    <w:rPr>
      <w:rFonts w:eastAsia="Times New Roman" w:cs="Times New Roman"/>
      <w:sz w:val="28"/>
      <w:szCs w:val="20"/>
      <w:lang w:eastAsia="ru-RU"/>
    </w:rPr>
  </w:style>
  <w:style w:type="character" w:styleId="Style12" w:customStyle="1">
    <w:name w:val="комментарий"/>
    <w:qFormat/>
    <w:rPr>
      <w:b/>
      <w:i/>
      <w:shd w:fill="FFFF99" w:val="clear"/>
    </w:rPr>
  </w:style>
  <w:style w:type="character" w:styleId="Style13">
    <w:name w:val="Ссылка указателя"/>
    <w:qFormat/>
    <w:rPr/>
  </w:style>
  <w:style w:type="character" w:styleId="Style14">
    <w:name w:val="Маркеры"/>
    <w:qFormat/>
    <w:rPr>
      <w:rFonts w:ascii="OpenSymbol" w:hAnsi="OpenSymbol" w:eastAsia="OpenSymbol" w:cs="OpenSymbol"/>
    </w:rPr>
  </w:style>
  <w:style w:type="paragraph" w:styleId="Style15">
    <w:name w:val="Заголовок"/>
    <w:basedOn w:val="Normal"/>
    <w:next w:val="BodyText"/>
    <w:qFormat/>
    <w:pPr>
      <w:keepNext w:val="true"/>
      <w:spacing w:before="240" w:after="120"/>
    </w:pPr>
    <w:rPr>
      <w:rFonts w:ascii="Open Sans" w:hAnsi="Open Sans" w:eastAsia="Tahoma" w:cs="Droid Sans Devanagari"/>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Droid Sans Devanagari"/>
    </w:rPr>
  </w:style>
  <w:style w:type="paragraph" w:styleId="Caption">
    <w:name w:val="Caption"/>
    <w:basedOn w:val="Normal"/>
    <w:next w:val="Normal"/>
    <w:link w:val="CaptionChar"/>
    <w:uiPriority w:val="35"/>
    <w:semiHidden/>
    <w:unhideWhenUsed/>
    <w:qFormat/>
    <w:pPr>
      <w:spacing w:lineRule="auto" w:line="276"/>
    </w:pPr>
    <w:rPr>
      <w:b/>
      <w:bCs/>
      <w:color w:val="4F81BD" w:themeColor="accent1"/>
      <w:sz w:val="18"/>
      <w:szCs w:val="18"/>
    </w:rPr>
  </w:style>
  <w:style w:type="paragraph" w:styleId="Style16">
    <w:name w:val="Указатель"/>
    <w:basedOn w:val="Normal"/>
    <w:qFormat/>
    <w:pPr>
      <w:suppressLineNumbers/>
    </w:pPr>
    <w:rPr>
      <w:rFonts w:cs="Droid Sans Devanagari"/>
    </w:rPr>
  </w:style>
  <w:style w:type="paragraph" w:styleId="NoSpacing">
    <w:name w:val="No Spacing"/>
    <w:uiPriority w:val="1"/>
    <w:qFormat/>
    <w:pPr>
      <w:widowControl/>
      <w:suppressAutoHyphens w:val="true"/>
      <w:bidi w:val="0"/>
      <w:spacing w:lineRule="auto" w:line="240" w:beforeAutospacing="0" w:before="0" w:afterAutospacing="0" w:after="0"/>
      <w:jc w:val="left"/>
    </w:pPr>
    <w:rPr>
      <w:rFonts w:ascii="Times New Roman" w:hAnsi="Times New Roman" w:eastAsia="Calibri" w:cs="Arial" w:cstheme="minorBidi" w:eastAsiaTheme="minorHAnsi"/>
      <w:color w:val="auto"/>
      <w:kern w:val="0"/>
      <w:sz w:val="26"/>
      <w:szCs w:val="22"/>
      <w:lang w:val="ru-RU" w:eastAsia="en-US" w:bidi="ar-SA"/>
    </w:rPr>
  </w:style>
  <w:style w:type="paragraph" w:styleId="Title">
    <w:name w:val="Title"/>
    <w:basedOn w:val="Normal"/>
    <w:next w:val="Normal"/>
    <w:link w:val="TitleChar"/>
    <w:uiPriority w:val="10"/>
    <w:qFormat/>
    <w:pPr>
      <w:spacing w:before="300" w:after="200"/>
      <w:contextualSpacing/>
    </w:pPr>
    <w:rPr>
      <w:sz w:val="48"/>
      <w:szCs w:val="48"/>
    </w:rPr>
  </w:style>
  <w:style w:type="paragraph" w:styleId="Subtitle">
    <w:name w:val="Subtitle"/>
    <w:basedOn w:val="Normal"/>
    <w:next w:val="Normal"/>
    <w:link w:val="SubtitleChar"/>
    <w:uiPriority w:val="11"/>
    <w:qFormat/>
    <w:pPr>
      <w:spacing w:before="200" w:after="200"/>
    </w:pPr>
    <w:rPr>
      <w:sz w:val="24"/>
      <w:szCs w:val="24"/>
    </w:rPr>
  </w:style>
  <w:style w:type="paragraph" w:styleId="Quote">
    <w:name w:val="Quote"/>
    <w:basedOn w:val="Normal"/>
    <w:next w:val="Normal"/>
    <w:link w:val="QuoteChar"/>
    <w:uiPriority w:val="29"/>
    <w:qFormat/>
    <w:pPr>
      <w:ind w:left="720" w:right="720"/>
    </w:pPr>
    <w:rPr>
      <w:i/>
    </w:rPr>
  </w:style>
  <w:style w:type="paragraph" w:styleId="IntenseQuote">
    <w:name w:val="Intense Quote"/>
    <w:basedOn w:val="Normal"/>
    <w:next w:val="Normal"/>
    <w:link w:val="IntenseQuoteChar"/>
    <w:uiPriority w:val="30"/>
    <w:qFormat/>
    <w:pPr>
      <w:pBdr>
        <w:top w:val="single" w:sz="4" w:space="5" w:color="FFFFFF"/>
        <w:left w:val="single" w:sz="4" w:space="10" w:color="FFFFFF"/>
        <w:bottom w:val="single" w:sz="4" w:space="5" w:color="FFFFFF"/>
        <w:right w:val="single" w:sz="4" w:space="10" w:color="FFFFFF"/>
      </w:pBdr>
      <w:shd w:val="clear" w:color="auto" w:fill="F2F2F2"/>
      <w:spacing w:before="120" w:after="0"/>
      <w:ind w:left="720" w:right="720"/>
    </w:pPr>
    <w:rPr>
      <w:i/>
    </w:rPr>
  </w:style>
  <w:style w:type="paragraph" w:styleId="EndnoteText">
    <w:name w:val="Endnote Text"/>
    <w:basedOn w:val="Normal"/>
    <w:link w:val="EndnoteTextChar"/>
    <w:uiPriority w:val="99"/>
    <w:semiHidden/>
    <w:unhideWhenUsed/>
    <w:pPr>
      <w:spacing w:lineRule="auto" w:line="240" w:before="120" w:after="0"/>
    </w:pPr>
    <w:rPr>
      <w:sz w:val="20"/>
    </w:rPr>
  </w:style>
  <w:style w:type="paragraph" w:styleId="IndexHeading">
    <w:name w:val="Index Heading"/>
    <w:basedOn w:val="Style15"/>
    <w:pPr/>
    <w:rPr/>
  </w:style>
  <w:style w:type="paragraph" w:styleId="TOCHeading">
    <w:name w:val="TOC Heading"/>
    <w:uiPriority w:val="39"/>
    <w:unhideWhenUsed/>
    <w:qFormat/>
    <w:pPr>
      <w:widowControl/>
      <w:suppressAutoHyphens w:val="true"/>
      <w:bidi w:val="0"/>
      <w:spacing w:lineRule="auto" w:line="240" w:beforeAutospacing="0" w:before="120" w:afterAutospacing="0" w:after="0"/>
      <w:jc w:val="left"/>
    </w:pPr>
    <w:rPr>
      <w:rFonts w:ascii="Times New Roman" w:hAnsi="Times New Roman" w:eastAsia="Calibri" w:cs="Arial" w:cstheme="minorBidi" w:eastAsiaTheme="minorHAnsi"/>
      <w:color w:val="auto"/>
      <w:kern w:val="0"/>
      <w:sz w:val="26"/>
      <w:szCs w:val="22"/>
      <w:lang w:val="ru-RU" w:eastAsia="en-US" w:bidi="ar-SA"/>
    </w:rPr>
  </w:style>
  <w:style w:type="paragraph" w:styleId="Tableoffigures">
    <w:name w:val="table of figures"/>
    <w:basedOn w:val="Normal"/>
    <w:next w:val="Normal"/>
    <w:uiPriority w:val="99"/>
    <w:unhideWhenUsed/>
    <w:qFormat/>
    <w:pPr>
      <w:spacing w:before="120" w:afterAutospacing="0" w:after="0"/>
    </w:pPr>
    <w:rPr/>
  </w:style>
  <w:style w:type="paragraph" w:styleId="Style17" w:customStyle="1">
    <w:name w:val="[РГ] Раздел"/>
    <w:basedOn w:val="Normal"/>
    <w:next w:val="Style18"/>
    <w:qFormat/>
    <w:pPr>
      <w:keepNext w:val="true"/>
      <w:pageBreakBefore/>
      <w:numPr>
        <w:ilvl w:val="0"/>
        <w:numId w:val="1"/>
      </w:numPr>
      <w:spacing w:before="0" w:after="360"/>
      <w:jc w:val="both"/>
      <w:outlineLvl w:val="0"/>
    </w:pPr>
    <w:rPr>
      <w:b/>
      <w:bCs/>
      <w:caps/>
    </w:rPr>
  </w:style>
  <w:style w:type="paragraph" w:styleId="Style18" w:customStyle="1">
    <w:name w:val="[РГ] Подраздел"/>
    <w:basedOn w:val="Normal"/>
    <w:next w:val="Style19"/>
    <w:qFormat/>
    <w:pPr>
      <w:keepNext w:val="true"/>
      <w:numPr>
        <w:ilvl w:val="1"/>
        <w:numId w:val="1"/>
      </w:numPr>
      <w:spacing w:before="360" w:after="0"/>
      <w:jc w:val="both"/>
      <w:outlineLvl w:val="1"/>
    </w:pPr>
    <w:rPr>
      <w:b/>
      <w:bCs/>
    </w:rPr>
  </w:style>
  <w:style w:type="paragraph" w:styleId="Style19" w:customStyle="1">
    <w:name w:val="[РГ] Пункт"/>
    <w:basedOn w:val="Normal"/>
    <w:qFormat/>
    <w:pPr>
      <w:numPr>
        <w:ilvl w:val="2"/>
        <w:numId w:val="1"/>
      </w:numPr>
      <w:jc w:val="both"/>
      <w:outlineLvl w:val="2"/>
    </w:pPr>
    <w:rPr/>
  </w:style>
  <w:style w:type="paragraph" w:styleId="Style20" w:customStyle="1">
    <w:name w:val="[РГ] Подпункт"/>
    <w:basedOn w:val="Normal"/>
    <w:qFormat/>
    <w:pPr>
      <w:numPr>
        <w:ilvl w:val="3"/>
        <w:numId w:val="1"/>
      </w:numPr>
      <w:jc w:val="both"/>
      <w:outlineLvl w:val="3"/>
    </w:pPr>
    <w:rPr/>
  </w:style>
  <w:style w:type="paragraph" w:styleId="Style21" w:customStyle="1">
    <w:name w:val="[РГ] Перечисление"/>
    <w:basedOn w:val="Normal"/>
    <w:qFormat/>
    <w:pPr>
      <w:numPr>
        <w:ilvl w:val="4"/>
        <w:numId w:val="1"/>
      </w:numPr>
      <w:jc w:val="both"/>
      <w:outlineLvl w:val="4"/>
    </w:pPr>
    <w:rPr/>
  </w:style>
  <w:style w:type="paragraph" w:styleId="Style22" w:customStyle="1">
    <w:name w:val="[РГ] Заголовок"/>
    <w:basedOn w:val="Normal"/>
    <w:next w:val="Style23"/>
    <w:qFormat/>
    <w:pPr>
      <w:keepNext w:val="true"/>
      <w:pageBreakBefore/>
      <w:spacing w:before="0" w:after="360"/>
      <w:jc w:val="both"/>
    </w:pPr>
    <w:rPr>
      <w:b/>
      <w:bCs/>
      <w:caps/>
    </w:rPr>
  </w:style>
  <w:style w:type="paragraph" w:styleId="Style23" w:customStyle="1">
    <w:name w:val="[РГ] Текст"/>
    <w:basedOn w:val="Normal"/>
    <w:qFormat/>
    <w:pPr>
      <w:jc w:val="both"/>
    </w:pPr>
    <w:rPr/>
  </w:style>
  <w:style w:type="paragraph" w:styleId="Style24">
    <w:name w:val="Колонтитул"/>
    <w:basedOn w:val="Normal"/>
    <w:qFormat/>
    <w:pPr/>
    <w:rPr/>
  </w:style>
  <w:style w:type="paragraph" w:styleId="Header">
    <w:name w:val="Header"/>
    <w:basedOn w:val="Normal"/>
    <w:link w:val="Style1"/>
    <w:uiPriority w:val="99"/>
    <w:unhideWhenUsed/>
    <w:pPr>
      <w:spacing w:before="0" w:after="120"/>
      <w:jc w:val="center"/>
    </w:pPr>
    <w:rPr/>
  </w:style>
  <w:style w:type="paragraph" w:styleId="Footer">
    <w:name w:val="Footer"/>
    <w:basedOn w:val="Normal"/>
    <w:link w:val="Style2"/>
    <w:uiPriority w:val="99"/>
    <w:unhideWhenUsed/>
    <w:pPr>
      <w:jc w:val="right"/>
    </w:pPr>
    <w:rPr/>
  </w:style>
  <w:style w:type="paragraph" w:styleId="FootnoteText">
    <w:name w:val="Footnote Text"/>
    <w:basedOn w:val="Normal"/>
    <w:link w:val="Style4"/>
    <w:uiPriority w:val="99"/>
    <w:semiHidden/>
    <w:unhideWhenUsed/>
    <w:pPr>
      <w:spacing w:before="0" w:after="0"/>
    </w:pPr>
    <w:rPr>
      <w:sz w:val="20"/>
      <w:szCs w:val="20"/>
    </w:rPr>
  </w:style>
  <w:style w:type="paragraph" w:styleId="Style25" w:customStyle="1">
    <w:name w:val="[РГ] Сноска"/>
    <w:basedOn w:val="FootnoteText"/>
    <w:qFormat/>
    <w:pPr>
      <w:spacing w:before="80" w:after="0"/>
      <w:ind w:hanging="567" w:left="567"/>
      <w:jc w:val="both"/>
    </w:pPr>
    <w:rPr>
      <w:sz w:val="22"/>
    </w:rPr>
  </w:style>
  <w:style w:type="paragraph" w:styleId="TOC2">
    <w:name w:val="TOC 2"/>
    <w:basedOn w:val="Normal"/>
    <w:next w:val="Normal"/>
    <w:uiPriority w:val="39"/>
    <w:unhideWhenUsed/>
    <w:pPr>
      <w:tabs>
        <w:tab w:val="clear" w:pos="708"/>
        <w:tab w:val="left" w:pos="851" w:leader="none"/>
        <w:tab w:val="right" w:pos="9923" w:leader="none"/>
      </w:tabs>
      <w:spacing w:before="120" w:after="120"/>
      <w:ind w:hanging="851" w:left="851"/>
    </w:pPr>
    <w:rPr/>
  </w:style>
  <w:style w:type="paragraph" w:styleId="TOC1">
    <w:name w:val="TOC 1"/>
    <w:basedOn w:val="Normal"/>
    <w:next w:val="Normal"/>
    <w:uiPriority w:val="39"/>
    <w:unhideWhenUsed/>
    <w:pPr>
      <w:keepNext w:val="true"/>
      <w:tabs>
        <w:tab w:val="clear" w:pos="708"/>
        <w:tab w:val="left" w:pos="851" w:leader="none"/>
        <w:tab w:val="right" w:pos="9923" w:leader="none"/>
      </w:tabs>
      <w:spacing w:before="120" w:after="120"/>
      <w:ind w:hanging="851" w:left="851"/>
    </w:pPr>
    <w:rPr>
      <w:b/>
      <w:caps/>
    </w:rPr>
  </w:style>
  <w:style w:type="paragraph" w:styleId="TOC3">
    <w:name w:val="TOC 3"/>
    <w:basedOn w:val="Normal"/>
    <w:next w:val="Normal"/>
    <w:uiPriority w:val="39"/>
    <w:unhideWhenUsed/>
    <w:pPr>
      <w:spacing w:lineRule="auto" w:line="259" w:before="0" w:after="100"/>
      <w:ind w:left="440"/>
    </w:pPr>
    <w:rPr>
      <w:rFonts w:ascii="Calibri" w:hAnsi="Calibri" w:eastAsia="Arial" w:asciiTheme="minorHAnsi" w:eastAsiaTheme="minorEastAsia" w:hAnsiTheme="minorHAnsi"/>
      <w:sz w:val="22"/>
      <w:lang w:eastAsia="ru-RU"/>
    </w:rPr>
  </w:style>
  <w:style w:type="paragraph" w:styleId="TOC4">
    <w:name w:val="TOC 4"/>
    <w:basedOn w:val="Normal"/>
    <w:next w:val="Normal"/>
    <w:uiPriority w:val="39"/>
    <w:unhideWhenUsed/>
    <w:pPr>
      <w:spacing w:lineRule="auto" w:line="259" w:before="0" w:after="100"/>
      <w:ind w:left="660"/>
    </w:pPr>
    <w:rPr>
      <w:rFonts w:ascii="Calibri" w:hAnsi="Calibri" w:eastAsia="Arial" w:asciiTheme="minorHAnsi" w:eastAsiaTheme="minorEastAsia" w:hAnsiTheme="minorHAnsi"/>
      <w:sz w:val="22"/>
      <w:lang w:eastAsia="ru-RU"/>
    </w:rPr>
  </w:style>
  <w:style w:type="paragraph" w:styleId="TOC5">
    <w:name w:val="TOC 5"/>
    <w:basedOn w:val="Normal"/>
    <w:next w:val="Normal"/>
    <w:uiPriority w:val="39"/>
    <w:unhideWhenUsed/>
    <w:pPr>
      <w:spacing w:lineRule="auto" w:line="259" w:before="0" w:after="100"/>
      <w:ind w:left="880"/>
    </w:pPr>
    <w:rPr>
      <w:rFonts w:ascii="Calibri" w:hAnsi="Calibri" w:eastAsia="Arial" w:asciiTheme="minorHAnsi" w:eastAsiaTheme="minorEastAsia" w:hAnsiTheme="minorHAnsi"/>
      <w:sz w:val="22"/>
      <w:lang w:eastAsia="ru-RU"/>
    </w:rPr>
  </w:style>
  <w:style w:type="paragraph" w:styleId="TOC6">
    <w:name w:val="TOC 6"/>
    <w:basedOn w:val="Normal"/>
    <w:next w:val="Normal"/>
    <w:uiPriority w:val="39"/>
    <w:unhideWhenUsed/>
    <w:pPr>
      <w:spacing w:lineRule="auto" w:line="259" w:before="0" w:after="100"/>
      <w:ind w:left="1100"/>
    </w:pPr>
    <w:rPr>
      <w:rFonts w:ascii="Calibri" w:hAnsi="Calibri" w:eastAsia="Arial" w:asciiTheme="minorHAnsi" w:eastAsiaTheme="minorEastAsia" w:hAnsiTheme="minorHAnsi"/>
      <w:sz w:val="22"/>
      <w:lang w:eastAsia="ru-RU"/>
    </w:rPr>
  </w:style>
  <w:style w:type="paragraph" w:styleId="TOC7">
    <w:name w:val="TOC 7"/>
    <w:basedOn w:val="Normal"/>
    <w:next w:val="Normal"/>
    <w:uiPriority w:val="39"/>
    <w:unhideWhenUsed/>
    <w:pPr>
      <w:spacing w:lineRule="auto" w:line="259" w:before="0" w:after="100"/>
      <w:ind w:left="1320"/>
    </w:pPr>
    <w:rPr>
      <w:rFonts w:ascii="Calibri" w:hAnsi="Calibri" w:eastAsia="Arial" w:asciiTheme="minorHAnsi" w:eastAsiaTheme="minorEastAsia" w:hAnsiTheme="minorHAnsi"/>
      <w:sz w:val="22"/>
      <w:lang w:eastAsia="ru-RU"/>
    </w:rPr>
  </w:style>
  <w:style w:type="paragraph" w:styleId="TOC8">
    <w:name w:val="TOC 8"/>
    <w:basedOn w:val="Normal"/>
    <w:next w:val="Normal"/>
    <w:uiPriority w:val="39"/>
    <w:unhideWhenUsed/>
    <w:pPr>
      <w:spacing w:lineRule="auto" w:line="259" w:before="0" w:after="100"/>
      <w:ind w:left="1540"/>
    </w:pPr>
    <w:rPr>
      <w:rFonts w:ascii="Calibri" w:hAnsi="Calibri" w:eastAsia="Arial" w:asciiTheme="minorHAnsi" w:eastAsiaTheme="minorEastAsia" w:hAnsiTheme="minorHAnsi"/>
      <w:sz w:val="22"/>
      <w:lang w:eastAsia="ru-RU"/>
    </w:rPr>
  </w:style>
  <w:style w:type="paragraph" w:styleId="TOC9">
    <w:name w:val="TOC 9"/>
    <w:basedOn w:val="Normal"/>
    <w:next w:val="Normal"/>
    <w:uiPriority w:val="39"/>
    <w:unhideWhenUsed/>
    <w:pPr>
      <w:spacing w:lineRule="auto" w:line="259" w:before="0" w:after="100"/>
      <w:ind w:left="1760"/>
    </w:pPr>
    <w:rPr>
      <w:rFonts w:ascii="Calibri" w:hAnsi="Calibri" w:eastAsia="Arial" w:asciiTheme="minorHAnsi" w:eastAsiaTheme="minorEastAsia" w:hAnsiTheme="minorHAnsi"/>
      <w:sz w:val="22"/>
      <w:lang w:eastAsia="ru-RU"/>
    </w:rPr>
  </w:style>
  <w:style w:type="paragraph" w:styleId="Annotationtext">
    <w:name w:val="annotation text"/>
    <w:basedOn w:val="Normal"/>
    <w:link w:val="Style7"/>
    <w:uiPriority w:val="99"/>
    <w:unhideWhenUsed/>
    <w:qFormat/>
    <w:pPr/>
    <w:rPr>
      <w:sz w:val="20"/>
      <w:szCs w:val="20"/>
    </w:rPr>
  </w:style>
  <w:style w:type="paragraph" w:styleId="Annotationsubject">
    <w:name w:val="annotation subject"/>
    <w:basedOn w:val="Annotationtext"/>
    <w:next w:val="Annotationtext"/>
    <w:link w:val="Style8"/>
    <w:uiPriority w:val="99"/>
    <w:semiHidden/>
    <w:unhideWhenUsed/>
    <w:qFormat/>
    <w:pPr/>
    <w:rPr>
      <w:b/>
      <w:bCs/>
    </w:rPr>
  </w:style>
  <w:style w:type="paragraph" w:styleId="Style26" w:customStyle="1">
    <w:name w:val="[РГ] Альтернатива / Дополнение"/>
    <w:basedOn w:val="Style23"/>
    <w:next w:val="Style23"/>
    <w:qFormat/>
    <w:pPr/>
    <w:rPr>
      <w:i/>
      <w:shd w:fill="CCECFF" w:val="clear"/>
    </w:rPr>
  </w:style>
  <w:style w:type="paragraph" w:styleId="Revision">
    <w:name w:val="Revision"/>
    <w:uiPriority w:val="99"/>
    <w:semiHidden/>
    <w:qFormat/>
    <w:pPr>
      <w:widowControl/>
      <w:suppressAutoHyphens w:val="true"/>
      <w:bidi w:val="0"/>
      <w:spacing w:lineRule="auto" w:line="240" w:beforeAutospacing="0" w:before="0" w:afterAutospacing="0" w:after="0"/>
      <w:jc w:val="left"/>
    </w:pPr>
    <w:rPr>
      <w:rFonts w:ascii="Times New Roman" w:hAnsi="Times New Roman" w:eastAsia="Calibri" w:cs="Arial" w:cstheme="minorBidi" w:eastAsiaTheme="minorHAnsi"/>
      <w:color w:val="auto"/>
      <w:kern w:val="0"/>
      <w:sz w:val="26"/>
      <w:szCs w:val="22"/>
      <w:lang w:val="ru-RU" w:eastAsia="en-US" w:bidi="ar-SA"/>
    </w:rPr>
  </w:style>
  <w:style w:type="paragraph" w:styleId="ListParagraph">
    <w:name w:val="List Paragraph"/>
    <w:basedOn w:val="Normal"/>
    <w:uiPriority w:val="34"/>
    <w:qFormat/>
    <w:pPr>
      <w:spacing w:before="120" w:after="0"/>
      <w:ind w:left="720"/>
      <w:contextualSpacing/>
    </w:pPr>
    <w:rPr/>
  </w:style>
  <w:style w:type="paragraph" w:styleId="BalloonText">
    <w:name w:val="Balloon Text"/>
    <w:basedOn w:val="Normal"/>
    <w:link w:val="Style10"/>
    <w:uiPriority w:val="99"/>
    <w:semiHidden/>
    <w:unhideWhenUsed/>
    <w:qFormat/>
    <w:pPr>
      <w:spacing w:before="0" w:after="0"/>
    </w:pPr>
    <w:rPr>
      <w:rFonts w:ascii="Segoe UI" w:hAnsi="Segoe UI" w:cs="Segoe UI"/>
      <w:sz w:val="18"/>
      <w:szCs w:val="18"/>
    </w:rPr>
  </w:style>
  <w:style w:type="paragraph" w:styleId="1" w:customStyle="1">
    <w:name w:val="РГ_ЕПоЗ_1."/>
    <w:basedOn w:val="Normal"/>
    <w:qFormat/>
    <w:pPr>
      <w:keepNext w:val="true"/>
      <w:numPr>
        <w:ilvl w:val="0"/>
        <w:numId w:val="18"/>
      </w:numPr>
      <w:tabs>
        <w:tab w:val="clear" w:pos="708"/>
        <w:tab w:val="left" w:pos="1418" w:leader="none"/>
      </w:tabs>
      <w:spacing w:before="480" w:after="0"/>
      <w:jc w:val="both"/>
      <w:outlineLvl w:val="0"/>
    </w:pPr>
    <w:rPr>
      <w:rFonts w:eastAsia="Times New Roman" w:cs="Times New Roman"/>
      <w:b/>
      <w:sz w:val="28"/>
      <w:szCs w:val="28"/>
      <w:lang w:eastAsia="ru-RU"/>
    </w:rPr>
  </w:style>
  <w:style w:type="paragraph" w:styleId="11" w:customStyle="1">
    <w:name w:val="РГ_ЕПоЗ_1.1"/>
    <w:basedOn w:val="Normal"/>
    <w:qFormat/>
    <w:pPr>
      <w:keepNext w:val="true"/>
      <w:numPr>
        <w:ilvl w:val="1"/>
        <w:numId w:val="18"/>
      </w:numPr>
      <w:tabs>
        <w:tab w:val="clear" w:pos="708"/>
        <w:tab w:val="left" w:pos="1418" w:leader="none"/>
      </w:tabs>
      <w:spacing w:before="360" w:after="0"/>
      <w:ind w:hanging="567" w:left="1134"/>
      <w:jc w:val="both"/>
      <w:outlineLvl w:val="1"/>
    </w:pPr>
    <w:rPr>
      <w:rFonts w:eastAsia="Times New Roman" w:cs="Times New Roman"/>
      <w:b/>
      <w:sz w:val="28"/>
      <w:szCs w:val="28"/>
      <w:lang w:eastAsia="ru-RU"/>
    </w:rPr>
  </w:style>
  <w:style w:type="paragraph" w:styleId="Style27" w:customStyle="1">
    <w:name w:val="РГ_ЕПоЗ_а)"/>
    <w:basedOn w:val="ListParagraph"/>
    <w:link w:val="Style11"/>
    <w:qFormat/>
    <w:pPr>
      <w:numPr>
        <w:ilvl w:val="4"/>
        <w:numId w:val="18"/>
      </w:numPr>
      <w:spacing w:before="120" w:after="0"/>
      <w:contextualSpacing w:val="false"/>
      <w:jc w:val="both"/>
    </w:pPr>
    <w:rPr>
      <w:rFonts w:eastAsia="Calibri" w:cs="Times New Roman"/>
      <w:sz w:val="28"/>
      <w:szCs w:val="28"/>
    </w:rPr>
  </w:style>
  <w:style w:type="paragraph" w:styleId="-1" w:customStyle="1">
    <w:name w:val="РГ_ЕПоЗ_-"/>
    <w:basedOn w:val="Normal"/>
    <w:link w:val="-"/>
    <w:qFormat/>
    <w:pPr>
      <w:numPr>
        <w:ilvl w:val="5"/>
        <w:numId w:val="18"/>
      </w:numPr>
      <w:tabs>
        <w:tab w:val="clear" w:pos="708"/>
        <w:tab w:val="left" w:pos="2552" w:leader="none"/>
      </w:tabs>
      <w:spacing w:before="0" w:after="0"/>
      <w:jc w:val="both"/>
    </w:pPr>
    <w:rPr>
      <w:rFonts w:eastAsia="Times New Roman" w:cs="Times New Roman"/>
      <w:sz w:val="28"/>
      <w:szCs w:val="20"/>
      <w:lang w:eastAsia="ru-RU"/>
    </w:rPr>
  </w:style>
  <w:style w:type="paragraph" w:styleId="111" w:customStyle="1">
    <w:name w:val="РГ_ЕПоЗ_1.1.1"/>
    <w:basedOn w:val="Normal"/>
    <w:qFormat/>
    <w:pPr>
      <w:numPr>
        <w:ilvl w:val="2"/>
        <w:numId w:val="18"/>
      </w:numPr>
      <w:tabs>
        <w:tab w:val="clear" w:pos="708"/>
        <w:tab w:val="left" w:pos="1134" w:leader="none"/>
      </w:tabs>
      <w:jc w:val="both"/>
    </w:pPr>
    <w:rPr>
      <w:rFonts w:eastAsia="Times New Roman" w:cs="Times New Roman"/>
      <w:sz w:val="28"/>
      <w:szCs w:val="28"/>
      <w:lang w:eastAsia="ru-RU"/>
    </w:rPr>
  </w:style>
  <w:style w:type="paragraph" w:styleId="Tableheader" w:customStyle="1">
    <w:name w:val="Table_header"/>
    <w:qFormat/>
    <w:pPr>
      <w:keepNext w:val="false"/>
      <w:keepLines w:val="false"/>
      <w:pageBreakBefore w:val="false"/>
      <w:widowControl/>
      <w:shd w:val="nil"/>
      <w:suppressAutoHyphens w:val="true"/>
      <w:bidi w:val="0"/>
      <w:spacing w:lineRule="auto" w:line="240" w:beforeAutospacing="0" w:before="120" w:afterAutospacing="0" w:after="0"/>
      <w:ind w:hanging="0" w:left="0" w:right="0"/>
      <w:jc w:val="both"/>
    </w:pPr>
    <w:rPr>
      <w:rFonts w:ascii="Times New Roman" w:hAnsi="Times New Roman" w:eastAsia="Times New Roman" w:cs="Times New Roman"/>
      <w:b/>
      <w:bCs w:val="false"/>
      <w:i w:val="false"/>
      <w:iCs w:val="false"/>
      <w:caps w:val="false"/>
      <w:smallCaps w:val="false"/>
      <w:strike w:val="false"/>
      <w:dstrike w:val="false"/>
      <w:vanish w:val="false"/>
      <w:color w:val="auto"/>
      <w:spacing w:val="0"/>
      <w:kern w:val="0"/>
      <w:position w:val="0"/>
      <w:sz w:val="20"/>
      <w:sz w:val="20"/>
      <w:szCs w:val="24"/>
      <w:u w:val="none"/>
      <w:vertAlign w:val="baseline"/>
      <w:lang w:val="ru-RU" w:eastAsia="ru-RU" w:bidi="ar-SA"/>
      <w14:ligatures w14:val="none"/>
    </w:rPr>
  </w:style>
  <w:style w:type="paragraph" w:styleId="3" w:customStyle="1">
    <w:name w:val="УРОВЕНЬ_Абзац_тип3"/>
    <w:qFormat/>
    <w:pPr>
      <w:keepNext w:val="false"/>
      <w:keepLines w:val="false"/>
      <w:pageBreakBefore w:val="false"/>
      <w:widowControl/>
      <w:numPr>
        <w:ilvl w:val="0"/>
        <w:numId w:val="0"/>
      </w:numPr>
      <w:shd w:val="nil"/>
      <w:suppressAutoHyphens w:val="true"/>
      <w:bidi w:val="0"/>
      <w:spacing w:lineRule="exact" w:line="360" w:beforeAutospacing="0" w:before="0" w:afterAutospacing="0" w:after="0"/>
      <w:ind w:hanging="0" w:left="0" w:right="0"/>
      <w:jc w:val="both"/>
    </w:pPr>
    <w:rPr>
      <w:rFonts w:ascii="Times New Roman" w:hAnsi="Times New Roman" w:eastAsia="Calibri" w:cs="Times New Roman"/>
      <w:b w:val="false"/>
      <w:bCs w:val="false"/>
      <w:i w:val="false"/>
      <w:iCs w:val="false"/>
      <w:caps w:val="false"/>
      <w:smallCaps w:val="false"/>
      <w:strike w:val="false"/>
      <w:dstrike w:val="false"/>
      <w:vanish w:val="false"/>
      <w:color w:val="auto"/>
      <w:spacing w:val="0"/>
      <w:kern w:val="0"/>
      <w:position w:val="0"/>
      <w:sz w:val="26"/>
      <w:sz w:val="26"/>
      <w:szCs w:val="28"/>
      <w:u w:val="none"/>
      <w:vertAlign w:val="baseline"/>
      <w:lang w:val="ru-RU" w:eastAsia="en-US" w:bidi="ar-SA"/>
      <w14:ligatures w14:val="none"/>
    </w:rPr>
  </w:style>
  <w:style w:type="paragraph" w:styleId="Style28" w:customStyle="1">
    <w:name w:val="[РусГидро] Пункт"/>
    <w:qFormat/>
    <w:pPr>
      <w:keepNext w:val="false"/>
      <w:keepLines w:val="false"/>
      <w:pageBreakBefore w:val="false"/>
      <w:widowControl/>
      <w:numPr>
        <w:ilvl w:val="0"/>
        <w:numId w:val="0"/>
      </w:numPr>
      <w:shd w:val="nil"/>
      <w:tabs>
        <w:tab w:val="clear" w:pos="708"/>
        <w:tab w:val="left" w:pos="360" w:leader="none"/>
      </w:tabs>
      <w:suppressAutoHyphens w:val="true"/>
      <w:bidi w:val="0"/>
      <w:spacing w:lineRule="auto" w:line="240" w:beforeAutospacing="0" w:before="120" w:afterAutospacing="0" w:after="0"/>
      <w:ind w:hanging="0" w:left="720" w:right="0"/>
      <w:jc w:val="both"/>
      <w:outlineLvl w:val="2"/>
    </w:pPr>
    <w:rPr>
      <w:rFonts w:ascii="Times New Roman" w:hAnsi="Times New Roman" w:eastAsia="Calibri" w:cs="Times New Roman" w:eastAsiaTheme="minorHAnsi"/>
      <w:b w:val="false"/>
      <w:bCs w:val="false"/>
      <w:i w:val="false"/>
      <w:iCs w:val="false"/>
      <w:caps w:val="false"/>
      <w:smallCaps w:val="false"/>
      <w:strike w:val="false"/>
      <w:dstrike w:val="false"/>
      <w:vanish w:val="false"/>
      <w:color w:val="auto"/>
      <w:spacing w:val="0"/>
      <w:kern w:val="0"/>
      <w:position w:val="0"/>
      <w:sz w:val="26"/>
      <w:sz w:val="26"/>
      <w:szCs w:val="26"/>
      <w:u w:val="none"/>
      <w:vertAlign w:val="baseline"/>
      <w:lang w:val="ru-RU" w:eastAsia="en-US" w:bidi="ar-SA"/>
      <w14:ligatures w14:val="none"/>
    </w:rPr>
  </w:style>
  <w:style w:type="paragraph" w:styleId="Standard" w:customStyle="1">
    <w:name w:val="Standard"/>
    <w:qFormat/>
    <w:pPr>
      <w:keepNext w:val="false"/>
      <w:keepLines w:val="false"/>
      <w:pageBreakBefore w:val="false"/>
      <w:widowControl/>
      <w:numPr>
        <w:ilvl w:val="0"/>
        <w:numId w:val="0"/>
      </w:numPr>
      <w:shd w:val="nil"/>
      <w:suppressAutoHyphens w:val="true"/>
      <w:bidi w:val="0"/>
      <w:spacing w:lineRule="auto" w:line="360" w:beforeAutospacing="0" w:before="0" w:afterAutospacing="0" w:after="0"/>
      <w:ind w:firstLine="567" w:left="0" w:right="0"/>
      <w:jc w:val="both"/>
    </w:pPr>
    <w:rPr>
      <w:rFonts w:ascii="Times New Roman" w:hAnsi="Times New Roman" w:eastAsia="Times New Roman" w:cs="Times New Roman"/>
      <w:b w:val="false"/>
      <w:bCs w:val="false"/>
      <w:i w:val="false"/>
      <w:iCs w:val="false"/>
      <w:caps w:val="false"/>
      <w:smallCaps w:val="false"/>
      <w:strike w:val="false"/>
      <w:dstrike w:val="false"/>
      <w:vanish w:val="false"/>
      <w:color w:val="auto"/>
      <w:spacing w:val="0"/>
      <w:kern w:val="0"/>
      <w:position w:val="0"/>
      <w:sz w:val="28"/>
      <w:sz w:val="28"/>
      <w:szCs w:val="20"/>
      <w:u w:val="none"/>
      <w:vertAlign w:val="baseline"/>
      <w:lang w:val="ru-RU" w:eastAsia="ru-RU" w:bidi="ar-SA"/>
      <w14:ligatures w14:val="none"/>
    </w:rPr>
  </w:style>
  <w:style w:type="paragraph" w:styleId="Style29">
    <w:name w:val="Содержимое таблицы"/>
    <w:basedOn w:val="Normal"/>
    <w:qFormat/>
    <w:pPr>
      <w:widowControl w:val="false"/>
      <w:suppressLineNumbers/>
    </w:pPr>
    <w:rPr/>
  </w:style>
  <w:style w:type="paragraph" w:styleId="Style30">
    <w:name w:val="Заголовок таблицы"/>
    <w:basedOn w:val="Style29"/>
    <w:qFormat/>
    <w:pPr>
      <w:suppressLineNumbers/>
      <w:jc w:val="center"/>
    </w:pPr>
    <w:rPr>
      <w:b/>
      <w:bCs/>
    </w:rPr>
  </w:style>
  <w:style w:type="numbering" w:styleId="NoList" w:default="1">
    <w:name w:val="No List"/>
    <w:uiPriority w:val="99"/>
    <w:semiHidden/>
    <w:unhideWhenUsed/>
    <w:qFormat/>
  </w:style>
  <w:style w:type="numbering" w:styleId="22932041741">
    <w:name w:val="22932041741"/>
    <w:qFormat/>
  </w:style>
  <w:style w:type="numbering" w:styleId="39964207481">
    <w:name w:val="39964207481"/>
    <w:qFormat/>
  </w:style>
  <w:style w:type="numbering" w:styleId="25255374471">
    <w:name w:val="25255374471"/>
    <w:qFormat/>
  </w:style>
  <w:style w:type="table" w:styleId="1371">
    <w:name w:val="Table Grid Light"/>
    <w:basedOn w:val="1496"/>
    <w:uiPriority w:val="59"/>
    <w:pPr>
      <w:spacing w:after="0" w:line="240" w:lineRule="auto"/>
    </w:pPr>
    <w:tblP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CellMar>
        <w:left w:w="108" w:type="dxa"/>
        <w:top w:w="0" w:type="dxa"/>
        <w:right w:w="108" w:type="dxa"/>
        <w:bottom w:w="0" w:type="dxa"/>
      </w:tblCellMar>
    </w:tblPr>
  </w:style>
  <w:style w:type="table" w:styleId="1372">
    <w:name w:val="Plain Table 1"/>
    <w:basedOn w:val="1496"/>
    <w:uiPriority w:val="59"/>
    <w:pPr>
      <w:spacing w:after="0" w:line="240" w:lineRule="auto"/>
    </w:pPr>
    <w:tblP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CellMar>
        <w:left w:w="108" w:type="dxa"/>
        <w:top w:w="0" w:type="dxa"/>
        <w:right w:w="108" w:type="dxa"/>
        <w:bottom w:w="0" w:type="dxa"/>
      </w:tblCellMar>
    </w:tblPr>
    <w:tblStylePr w:type="band1Horz">
      <w:tblPr/>
      <w:tcPr>
        <w:shd w:val="clear" w:color="FFFFFF" w:fill="F2F2F2" w:themeFill="text1" w:themeFillTint="0"/>
      </w:tcPr>
    </w:tblStylePr>
    <w:tblStylePr w:type="band1Vert">
      <w:tblPr/>
      <w:tcPr>
        <w:shd w:val="clear" w:color="FFFFFF" w:fill="F2F2F2" w:themeFill="text1" w:themeFillTint="0"/>
      </w:tcPr>
    </w:tblStylePr>
    <w:tblStylePr w:type="firstCol">
      <w:rPr>
        <w:b/>
        <w:sz w:val="22"/>
      </w:rPr>
      <w:tblPr/>
    </w:tblStylePr>
    <w:tblStylePr w:type="firstRow">
      <w:rPr>
        <w:b/>
        <w:sz w:val="22"/>
      </w:rPr>
      <w:tblPr/>
    </w:tblStylePr>
    <w:tblStylePr w:type="lastCol">
      <w:rPr>
        <w:b/>
        <w:sz w:val="22"/>
      </w:rPr>
      <w:tblPr/>
    </w:tblStylePr>
    <w:tblStylePr w:type="lastRow">
      <w:rPr>
        <w:b/>
        <w:sz w:val="22"/>
      </w:rPr>
      <w:tblPr/>
    </w:tblStylePr>
  </w:style>
  <w:style w:type="table" w:styleId="1373">
    <w:name w:val="Plain Table 2"/>
    <w:basedOn w:val="1496"/>
    <w:uiPriority w:val="59"/>
    <w:pPr>
      <w:spacing w:after="0" w:line="240" w:lineRule="auto"/>
    </w:pPr>
    <w:tblPr>
      <w:tblBorders>
        <w:top w:val="single" w:color="000000" w:themeColor="text1" w:sz="4" w:space="0"/>
        <w:left w:val="none" w:color="000000" w:themeColor="text1" w:sz="4" w:space="0"/>
        <w:bottom w:val="single" w:color="000000" w:themeColor="text1" w:sz="4" w:space="0"/>
        <w:right w:val="none" w:color="000000" w:themeColor="text1" w:sz="4" w:space="0"/>
      </w:tblBorders>
      <w:tblCellMar>
        <w:left w:w="108" w:type="dxa"/>
        <w:top w:w="0" w:type="dxa"/>
        <w:right w:w="108" w:type="dxa"/>
        <w:bottom w:w="0" w:type="dxa"/>
      </w:tblCellMar>
    </w:tblPr>
    <w:tblStylePr w:type="band1Horz">
      <w:tblPr/>
      <w:tcPr>
        <w:tcBorders>
          <w:top w:val="single" w:color="000000" w:themeColor="text1" w:sz="4" w:space="0"/>
          <w:bottom w:val="single" w:color="000000" w:themeColor="text1" w:sz="4" w:space="0"/>
        </w:tcBorders>
      </w:tcPr>
    </w:tblStylePr>
    <w:tblStylePr w:type="band1Vert">
      <w:tblPr/>
      <w:tcPr>
        <w:tcBorders>
          <w:left w:val="single" w:color="000000" w:themeColor="text1" w:sz="4" w:space="0"/>
          <w:right w:val="single" w:color="000000" w:themeColor="text1" w:sz="4" w:space="0"/>
        </w:tcBorders>
      </w:tcPr>
    </w:tblStylePr>
    <w:tblStylePr w:type="band2Vert">
      <w:tblPr/>
      <w:tcPr>
        <w:tcBorders>
          <w:left w:val="single" w:color="000000" w:themeColor="text1" w:sz="4" w:space="0"/>
          <w:right w:val="single" w:color="000000" w:themeColor="text1" w:sz="4" w:space="0"/>
        </w:tcBorders>
      </w:tcPr>
    </w:tblStylePr>
    <w:tblStylePr w:type="firstCol">
      <w:rPr>
        <w:b/>
        <w:sz w:val="22"/>
      </w:rPr>
      <w:tblPr/>
    </w:tblStylePr>
    <w:tblStylePr w:type="firstRow">
      <w:rPr>
        <w:b/>
        <w:sz w:val="22"/>
      </w:rPr>
      <w:tblPr/>
      <w:tcPr>
        <w:tcBorders>
          <w:top w:val="single" w:color="000000" w:themeColor="text1" w:sz="4" w:space="0"/>
          <w:bottom w:val="single" w:color="000000" w:themeColor="text1" w:sz="4" w:space="0"/>
        </w:tcBorders>
      </w:tcPr>
    </w:tblStylePr>
    <w:tblStylePr w:type="lastCol">
      <w:rPr>
        <w:b/>
        <w:sz w:val="22"/>
      </w:rPr>
      <w:tblPr/>
    </w:tblStylePr>
    <w:tblStylePr w:type="lastRow">
      <w:rPr>
        <w:b/>
        <w:sz w:val="22"/>
      </w:rPr>
      <w:tblPr/>
    </w:tblStylePr>
  </w:style>
  <w:style w:type="table" w:styleId="1374">
    <w:name w:val="Plain Table 3"/>
    <w:basedOn w:val="1496"/>
    <w:uiPriority w:val="99"/>
    <w:pPr>
      <w:spacing w:after="0" w:line="240" w:lineRule="auto"/>
    </w:pPr>
    <w:tblPr>
      <w:tblStyleRowBandSize w:val="1"/>
      <w:tblStyleColBandSize w:val="1"/>
    </w:tblPr>
    <w:tblStylePr w:type="band1Horz">
      <w:rPr>
        <w:sz w:val="22"/>
      </w:rPr>
      <w:tblPr/>
      <w:tcPr>
        <w:shd w:val="clear" w:color="FFFFFF" w:fill="F2F2F2" w:themeFill="text1" w:themeFillTint="0"/>
      </w:tcPr>
    </w:tblStylePr>
    <w:tblStylePr w:type="band1Vert">
      <w:rPr>
        <w:sz w:val="22"/>
      </w:rPr>
      <w:tblPr/>
      <w:tcPr>
        <w:shd w:val="clear" w:color="FFFFFF" w:fill="F2F2F2" w:themeFill="text1" w:themeFillTint="0"/>
      </w:tcPr>
    </w:tblStylePr>
    <w:tblStylePr w:type="firstCol">
      <w:rPr>
        <w:b/>
        <w:caps/>
      </w:rPr>
      <w:tblPr/>
      <w:tcPr>
        <w:tcBorders>
          <w:top w:val="none" w:color="000000" w:sz="4" w:space="0"/>
          <w:left w:val="none" w:color="000000" w:sz="4" w:space="0"/>
          <w:bottom w:val="none" w:color="000000" w:sz="4" w:space="0"/>
          <w:right w:val="single" w:color="404040" w:sz="4" w:space="0"/>
        </w:tcBorders>
      </w:tcPr>
    </w:tblStylePr>
    <w:tblStylePr w:type="firstRow">
      <w:rPr>
        <w:b/>
        <w:caps/>
      </w:rPr>
      <w:tblPr/>
      <w:tcPr>
        <w:tcBorders>
          <w:top w:val="none" w:color="000000" w:sz="4" w:space="0"/>
          <w:left w:val="none" w:color="000000" w:sz="4" w:space="0"/>
          <w:bottom w:val="single" w:color="404040" w:sz="4" w:space="0"/>
          <w:right w:val="none" w:color="000000" w:sz="4" w:space="0"/>
        </w:tcBorders>
      </w:tcPr>
    </w:tblStylePr>
    <w:tblStylePr w:type="lastCol">
      <w:rPr>
        <w:b/>
        <w:caps/>
      </w:rPr>
      <w:tblPr/>
    </w:tblStylePr>
    <w:tblStylePr w:type="lastRow">
      <w:rPr>
        <w:b/>
        <w:caps/>
      </w:rPr>
      <w:tblPr/>
    </w:tblStylePr>
  </w:style>
  <w:style w:type="table" w:styleId="1375">
    <w:name w:val="Plain Table 4"/>
    <w:basedOn w:val="1496"/>
    <w:uiPriority w:val="99"/>
    <w:pPr>
      <w:spacing w:after="0" w:line="240" w:lineRule="auto"/>
    </w:pPr>
    <w:tblPr>
      <w:tblStyleRowBandSize w:val="1"/>
      <w:tblStyleColBandSize w:val="1"/>
    </w:tblPr>
    <w:tblStylePr w:type="band1Horz">
      <w:rPr>
        <w:sz w:val="22"/>
      </w:rPr>
      <w:tblPr/>
      <w:tcPr>
        <w:shd w:val="clear" w:color="FFFFFF" w:fill="F2F2F2" w:themeFill="text1" w:themeFillTint="0"/>
      </w:tcPr>
    </w:tblStylePr>
    <w:tblStylePr w:type="band1Vert">
      <w:rPr>
        <w:sz w:val="22"/>
      </w:rPr>
      <w:tblPr/>
      <w:tcPr>
        <w:shd w:val="clear" w:color="FFFFFF" w:fill="F2F2F2" w:themeFill="text1" w:themeFillTint="0"/>
      </w:tcPr>
    </w:tblStylePr>
    <w:tblStylePr w:type="firstCol">
      <w:rPr>
        <w:b/>
      </w:rPr>
      <w:tblPr/>
    </w:tblStylePr>
    <w:tblStylePr w:type="firstRow">
      <w:rPr>
        <w:b/>
      </w:rPr>
      <w:tblPr/>
    </w:tblStylePr>
    <w:tblStylePr w:type="lastCol">
      <w:rPr>
        <w:b/>
      </w:rPr>
      <w:tblPr/>
    </w:tblStylePr>
    <w:tblStylePr w:type="lastRow">
      <w:rPr>
        <w:b/>
      </w:rPr>
      <w:tblPr/>
    </w:tblStylePr>
  </w:style>
  <w:style w:type="table" w:styleId="1376">
    <w:name w:val="Plain Table 5"/>
    <w:basedOn w:val="1496"/>
    <w:uiPriority w:val="99"/>
    <w:pPr>
      <w:spacing w:after="0" w:line="240" w:lineRule="auto"/>
    </w:pPr>
    <w:tblPr>
      <w:tblStyleRowBandSize w:val="1"/>
      <w:tblStyleColBandSize w:val="1"/>
    </w:tblPr>
    <w:tblStylePr w:type="band1Horz">
      <w:rPr>
        <w:sz w:val="22"/>
      </w:rPr>
      <w:tblPr/>
      <w:tcPr>
        <w:shd w:val="clear" w:color="FFFFFF" w:fill="F2F2F2" w:themeFill="text1" w:themeFillTint="0"/>
      </w:tcPr>
    </w:tblStylePr>
    <w:tblStylePr w:type="band1Vert">
      <w:rPr>
        <w:sz w:val="22"/>
      </w:rPr>
      <w:tblPr/>
      <w:tcPr>
        <w:shd w:val="clear" w:color="FFFFFF" w:fill="F2F2F2" w:themeFill="text1" w:themeFillTint="0"/>
      </w:tcPr>
    </w:tblStylePr>
    <w:tblStylePr w:type="firstCol">
      <w:pPr>
        <w:jc w:val="right"/>
      </w:pPr>
      <w:rPr>
        <w:i/>
      </w:rPr>
      <w:tblPr/>
      <w:tcPr>
        <w:tcBorders>
          <w:right w:val="single" w:color="404040" w:sz="4" w:space="0"/>
        </w:tcBorders>
        <w:shd w:val="clear" w:color="FFFFFF"/>
      </w:tcPr>
    </w:tblStylePr>
    <w:tblStylePr w:type="firstRow">
      <w:rPr>
        <w:i/>
      </w:rPr>
      <w:tblPr/>
      <w:tcPr>
        <w:tcBorders>
          <w:left w:val="none" w:color="000000" w:sz="4" w:space="0"/>
          <w:bottom w:val="single" w:color="404040" w:sz="4" w:space="0"/>
          <w:right w:val="none" w:color="000000" w:sz="4" w:space="0"/>
        </w:tcBorders>
        <w:shd w:val="clear" w:color="FFFFFF"/>
      </w:tcPr>
    </w:tblStylePr>
    <w:tblStylePr w:type="lastCol">
      <w:rPr>
        <w:i/>
      </w:rPr>
      <w:tblPr/>
      <w:tcPr>
        <w:tcBorders>
          <w:left w:val="single" w:color="404040" w:sz="4" w:space="0"/>
        </w:tcBorders>
        <w:shd w:val="clear" w:color="FFFFFF"/>
      </w:tcPr>
    </w:tblStylePr>
    <w:tblStylePr w:type="lastRow">
      <w:rPr>
        <w:i/>
      </w:rPr>
      <w:tblPr/>
      <w:tcPr>
        <w:tcBorders>
          <w:top w:val="single" w:color="404040" w:sz="4" w:space="0"/>
          <w:left w:val="none" w:color="000000" w:sz="4" w:space="0"/>
          <w:right w:val="none" w:color="000000" w:sz="4" w:space="0"/>
        </w:tcBorders>
        <w:shd w:val="clear" w:color="FFFFFF"/>
      </w:tcPr>
    </w:tblStylePr>
  </w:style>
  <w:style w:type="table" w:styleId="1377">
    <w:name w:val="Grid Table 1 Light"/>
    <w:basedOn w:val="1496"/>
    <w:uiPriority w:val="99"/>
    <w:pPr>
      <w:spacing w:after="0" w:line="240" w:lineRule="auto"/>
    </w:pPr>
    <w:tblPr>
      <w:tblStyleRowBandSize w:val="1"/>
      <w:tblStyleColBandSize w:val="1"/>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blStylePr w:type="band1Horz">
      <w:rPr>
        <w:sz w:val="22"/>
      </w:rPr>
      <w:tblPr/>
      <w:tcPr>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firstCol">
      <w:rPr>
        <w:b/>
      </w:rPr>
      <w:tblPr/>
    </w:tblStylePr>
    <w:tblStylePr w:type="firstRow">
      <w:rPr>
        <w:b/>
      </w:rPr>
      <w:tblPr/>
      <w:tcPr>
        <w:tcBorders>
          <w:bottom w:val="single" w:color="000000" w:themeColor="text1" w:sz="12" w:space="0"/>
        </w:tcBorders>
      </w:tcPr>
    </w:tblStylePr>
    <w:tblStylePr w:type="lastCol">
      <w:rPr>
        <w:b/>
      </w:rPr>
      <w:tblPr/>
    </w:tblStylePr>
    <w:tblStylePr w:type="lastRow">
      <w:rPr>
        <w:b/>
      </w:rPr>
      <w:tblPr/>
    </w:tblStylePr>
  </w:style>
  <w:style w:type="table" w:styleId="1378">
    <w:name w:val="Grid Table 1 Light - Accent 1"/>
    <w:basedOn w:val="1496"/>
    <w:uiPriority w:val="99"/>
    <w:pPr>
      <w:spacing w:after="0" w:line="240" w:lineRule="auto"/>
    </w:pPr>
    <w:tblPr>
      <w:tblStyleRowBandSize w:val="1"/>
      <w:tblStyleColBandSize w:val="1"/>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blStylePr w:type="band1Horz">
      <w:rPr>
        <w:sz w:val="22"/>
      </w:rPr>
      <w:tblPr/>
      <w:tcPr>
        <w:tcBorders>
          <w:top w:val="single" w:color="000000" w:themeColor="accent1" w:sz="4" w:space="0"/>
          <w:left w:val="single" w:color="000000" w:themeColor="accent1" w:sz="4" w:space="0"/>
          <w:bottom w:val="single" w:color="000000" w:themeColor="accent1" w:sz="4" w:space="0"/>
          <w:right w:val="single" w:color="000000" w:themeColor="accent1" w:sz="4" w:space="0"/>
        </w:tcBorders>
      </w:tcPr>
    </w:tblStylePr>
    <w:tblStylePr w:type="firstCol">
      <w:rPr>
        <w:b/>
      </w:rPr>
      <w:tblPr/>
    </w:tblStylePr>
    <w:tblStylePr w:type="firstRow">
      <w:rPr>
        <w:b/>
      </w:rPr>
      <w:tblPr/>
      <w:tcPr>
        <w:tcBorders>
          <w:bottom w:val="single" w:color="000000" w:themeColor="accent1" w:sz="12" w:space="0"/>
        </w:tcBorders>
      </w:tcPr>
    </w:tblStylePr>
    <w:tblStylePr w:type="lastCol">
      <w:rPr>
        <w:b/>
      </w:rPr>
      <w:tblPr/>
    </w:tblStylePr>
    <w:tblStylePr w:type="lastRow">
      <w:rPr>
        <w:b/>
      </w:rPr>
      <w:tblPr/>
    </w:tblStylePr>
  </w:style>
  <w:style w:type="table" w:styleId="1379">
    <w:name w:val="Grid Table 1 Light - Accent 2"/>
    <w:basedOn w:val="1496"/>
    <w:uiPriority w:val="99"/>
    <w:pPr>
      <w:spacing w:after="0" w:line="240" w:lineRule="auto"/>
    </w:pPr>
    <w:tblPr>
      <w:tblStyleRowBandSize w:val="1"/>
      <w:tblStyleColBandSize w:val="1"/>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blStylePr w:type="band1Horz">
      <w:rPr>
        <w:sz w:val="22"/>
      </w:rPr>
      <w:tblPr/>
      <w:tcPr>
        <w:tcBorders>
          <w:top w:val="single" w:color="000000" w:themeColor="accent2" w:sz="4" w:space="0"/>
          <w:left w:val="single" w:color="000000" w:themeColor="accent2" w:sz="4" w:space="0"/>
          <w:bottom w:val="single" w:color="000000" w:themeColor="accent2" w:sz="4" w:space="0"/>
          <w:right w:val="single" w:color="000000" w:themeColor="accent2" w:sz="4" w:space="0"/>
        </w:tcBorders>
      </w:tcPr>
    </w:tblStylePr>
    <w:tblStylePr w:type="firstCol">
      <w:rPr>
        <w:b/>
      </w:rPr>
      <w:tblPr/>
    </w:tblStylePr>
    <w:tblStylePr w:type="firstRow">
      <w:rPr>
        <w:b/>
      </w:rPr>
      <w:tblPr/>
      <w:tcPr>
        <w:tcBorders>
          <w:bottom w:val="single" w:color="000000" w:themeColor="accent2" w:sz="12" w:space="0"/>
        </w:tcBorders>
      </w:tcPr>
    </w:tblStylePr>
    <w:tblStylePr w:type="lastCol">
      <w:rPr>
        <w:b/>
      </w:rPr>
      <w:tblPr/>
    </w:tblStylePr>
    <w:tblStylePr w:type="lastRow">
      <w:rPr>
        <w:b/>
      </w:rPr>
      <w:tblPr/>
    </w:tblStylePr>
  </w:style>
  <w:style w:type="table" w:styleId="1380">
    <w:name w:val="Grid Table 1 Light - Accent 3"/>
    <w:basedOn w:val="1496"/>
    <w:uiPriority w:val="99"/>
    <w:pPr>
      <w:spacing w:after="0" w:line="240" w:lineRule="auto"/>
    </w:pPr>
    <w:tblPr>
      <w:tblStyleRowBandSize w:val="1"/>
      <w:tblStyleColBandSize w:val="1"/>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blStylePr w:type="band1Horz">
      <w:rPr>
        <w:sz w:val="22"/>
      </w:rPr>
      <w:tblPr/>
      <w:tcPr>
        <w:tcBorders>
          <w:top w:val="single" w:color="000000" w:themeColor="accent3" w:sz="4" w:space="0"/>
          <w:left w:val="single" w:color="000000" w:themeColor="accent3" w:sz="4" w:space="0"/>
          <w:bottom w:val="single" w:color="000000" w:themeColor="accent3" w:sz="4" w:space="0"/>
          <w:right w:val="single" w:color="000000" w:themeColor="accent3" w:sz="4" w:space="0"/>
        </w:tcBorders>
      </w:tcPr>
    </w:tblStylePr>
    <w:tblStylePr w:type="firstCol">
      <w:rPr>
        <w:b/>
      </w:rPr>
      <w:tblPr/>
    </w:tblStylePr>
    <w:tblStylePr w:type="firstRow">
      <w:rPr>
        <w:b/>
      </w:rPr>
      <w:tblPr/>
      <w:tcPr>
        <w:tcBorders>
          <w:bottom w:val="single" w:color="000000" w:themeColor="accent3" w:sz="12" w:space="0"/>
        </w:tcBorders>
      </w:tcPr>
    </w:tblStylePr>
    <w:tblStylePr w:type="lastCol">
      <w:rPr>
        <w:b/>
      </w:rPr>
      <w:tblPr/>
    </w:tblStylePr>
    <w:tblStylePr w:type="lastRow">
      <w:rPr>
        <w:b/>
      </w:rPr>
      <w:tblPr/>
    </w:tblStylePr>
  </w:style>
  <w:style w:type="table" w:styleId="1381">
    <w:name w:val="Grid Table 1 Light - Accent 4"/>
    <w:basedOn w:val="1496"/>
    <w:uiPriority w:val="99"/>
    <w:pPr>
      <w:spacing w:after="0" w:line="240" w:lineRule="auto"/>
    </w:pPr>
    <w:tblPr>
      <w:tblStyleRowBandSize w:val="1"/>
      <w:tblStyleColBandSize w:val="1"/>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blStylePr w:type="band1Horz">
      <w:rPr>
        <w:sz w:val="22"/>
      </w:rPr>
      <w:tblPr/>
      <w:tcPr>
        <w:tcBorders>
          <w:top w:val="single" w:color="000000" w:themeColor="accent4" w:sz="4" w:space="0"/>
          <w:left w:val="single" w:color="000000" w:themeColor="accent4" w:sz="4" w:space="0"/>
          <w:bottom w:val="single" w:color="000000" w:themeColor="accent4" w:sz="4" w:space="0"/>
          <w:right w:val="single" w:color="000000" w:themeColor="accent4" w:sz="4" w:space="0"/>
        </w:tcBorders>
      </w:tcPr>
    </w:tblStylePr>
    <w:tblStylePr w:type="firstCol">
      <w:rPr>
        <w:b/>
      </w:rPr>
      <w:tblPr/>
    </w:tblStylePr>
    <w:tblStylePr w:type="firstRow">
      <w:rPr>
        <w:b/>
      </w:rPr>
      <w:tblPr/>
      <w:tcPr>
        <w:tcBorders>
          <w:bottom w:val="single" w:color="000000" w:themeColor="accent4" w:sz="12" w:space="0"/>
        </w:tcBorders>
      </w:tcPr>
    </w:tblStylePr>
    <w:tblStylePr w:type="lastCol">
      <w:rPr>
        <w:b/>
      </w:rPr>
      <w:tblPr/>
    </w:tblStylePr>
    <w:tblStylePr w:type="lastRow">
      <w:rPr>
        <w:b/>
      </w:rPr>
      <w:tblPr/>
    </w:tblStylePr>
  </w:style>
  <w:style w:type="table" w:styleId="1382">
    <w:name w:val="Grid Table 1 Light - Accent 5"/>
    <w:basedOn w:val="1496"/>
    <w:uiPriority w:val="99"/>
    <w:pPr>
      <w:spacing w:after="0" w:line="240" w:lineRule="auto"/>
    </w:pPr>
    <w:tblPr>
      <w:tblStyleRowBandSize w:val="1"/>
      <w:tblStyleColBandSize w:val="1"/>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blStylePr w:type="band1Horz">
      <w:rPr>
        <w:sz w:val="22"/>
      </w:rPr>
      <w:tblPr/>
      <w:tcPr>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firstCol">
      <w:rPr>
        <w:b/>
      </w:rPr>
      <w:tblPr/>
    </w:tblStylePr>
    <w:tblStylePr w:type="firstRow">
      <w:rPr>
        <w:b/>
      </w:rPr>
      <w:tblPr/>
      <w:tcPr>
        <w:tcBorders>
          <w:bottom w:val="single" w:color="000000" w:themeColor="accent5" w:sz="12" w:space="0"/>
        </w:tcBorders>
      </w:tcPr>
    </w:tblStylePr>
    <w:tblStylePr w:type="lastCol">
      <w:rPr>
        <w:b/>
      </w:rPr>
      <w:tblPr/>
    </w:tblStylePr>
    <w:tblStylePr w:type="lastRow">
      <w:rPr>
        <w:b/>
      </w:rPr>
      <w:tblPr/>
    </w:tblStylePr>
  </w:style>
  <w:style w:type="table" w:styleId="1383">
    <w:name w:val="Grid Table 1 Light - Accent 6"/>
    <w:basedOn w:val="1496"/>
    <w:uiPriority w:val="99"/>
    <w:pPr>
      <w:spacing w:after="0" w:line="240" w:lineRule="auto"/>
    </w:pPr>
    <w:tblPr>
      <w:tblStyleRowBandSize w:val="1"/>
      <w:tblStyleColBandSize w:val="1"/>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blStylePr w:type="band1Horz">
      <w:rPr>
        <w:sz w:val="22"/>
      </w:rPr>
      <w:tblPr/>
      <w:tcPr>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firstCol">
      <w:rPr>
        <w:b/>
      </w:rPr>
      <w:tblPr/>
    </w:tblStylePr>
    <w:tblStylePr w:type="firstRow">
      <w:rPr>
        <w:b/>
      </w:rPr>
      <w:tblPr/>
      <w:tcPr>
        <w:tcBorders>
          <w:bottom w:val="single" w:color="000000" w:themeColor="accent6" w:sz="12" w:space="0"/>
        </w:tcBorders>
      </w:tcPr>
    </w:tblStylePr>
    <w:tblStylePr w:type="lastCol">
      <w:rPr>
        <w:b/>
      </w:rPr>
      <w:tblPr/>
    </w:tblStylePr>
    <w:tblStylePr w:type="lastRow">
      <w:rPr>
        <w:b/>
      </w:rPr>
      <w:tblPr/>
    </w:tblStylePr>
  </w:style>
  <w:style w:type="table" w:styleId="1384">
    <w:name w:val="Grid Table 2"/>
    <w:basedOn w:val="1496"/>
    <w:uiPriority w:val="99"/>
    <w:pPr>
      <w:spacing w:after="0" w:line="240" w:lineRule="auto"/>
    </w:pPr>
    <w:tblPr>
      <w:tblStyleRowBandSize w:val="1"/>
      <w:tblStyleColBandSize w:val="1"/>
      <w:tblBorders>
        <w:bottom w:val="single" w:color="000000" w:themeColor="text1" w:themeTint="95" w:sz="4" w:space="0"/>
        <w:insideH w:val="single" w:color="000000" w:themeColor="text1" w:themeTint="95" w:sz="4" w:space="0"/>
        <w:insideV w:val="single" w:color="000000" w:themeColor="text1" w:themeTint="95" w:sz="4" w:space="0"/>
      </w:tblBorders>
    </w:tblPr>
    <w:tblStylePr w:type="band1Horz">
      <w:rPr>
        <w:sz w:val="22"/>
      </w:rPr>
      <w:tblPr/>
      <w:tcPr>
        <w:shd w:val="clear" w:color="FFFFFF" w:fill="CBCBCB" w:themeFill="text1" w:themeFillTint="34"/>
      </w:tcPr>
    </w:tblStylePr>
    <w:tblStylePr w:type="band1Vert">
      <w:rPr>
        <w:sz w:val="22"/>
      </w:rPr>
      <w:tblPr/>
      <w:tcPr>
        <w:shd w:val="clear" w:color="FFFFFF" w:fill="CBCBCB" w:themeFill="text1" w:themeFillTint="34"/>
      </w:tcPr>
    </w:tblStylePr>
    <w:tblStylePr w:type="firstCol">
      <w:rPr>
        <w:b/>
      </w:rPr>
      <w:tblPr/>
    </w:tblStylePr>
    <w:tblStylePr w:type="firstRow">
      <w:rPr>
        <w:b/>
      </w:rPr>
      <w:tblPr/>
      <w:tcPr>
        <w:tcBorders>
          <w:top w:val="none" w:color="000000" w:sz="4" w:space="0"/>
          <w:left w:val="none" w:color="000000" w:sz="4" w:space="0"/>
          <w:bottom w:val="single" w:color="000000" w:themeColor="text1" w:sz="12" w:space="0"/>
          <w:right w:val="none" w:color="000000" w:sz="4" w:space="0"/>
        </w:tcBorders>
        <w:shd w:val="clear" w:color="FFFFFF"/>
      </w:tcPr>
    </w:tblStylePr>
    <w:tblStylePr w:type="lastCol">
      <w:rPr>
        <w:b/>
      </w:rPr>
      <w:tblPr/>
    </w:tblStylePr>
    <w:tblStylePr w:type="lastRow">
      <w:rPr>
        <w:b/>
      </w:rPr>
      <w:tblPr/>
      <w:tcPr>
        <w:tcBorders>
          <w:top w:val="single" w:color="000000" w:themeColor="text1" w:sz="4" w:space="0"/>
          <w:left w:val="none" w:color="000000" w:sz="4" w:space="0"/>
          <w:bottom w:val="none" w:color="000000" w:sz="4" w:space="0"/>
          <w:right w:val="none" w:color="000000" w:sz="4" w:space="0"/>
        </w:tcBorders>
        <w:shd w:val="clear" w:color="FFFFFF"/>
      </w:tcPr>
    </w:tblStylePr>
  </w:style>
  <w:style w:type="table" w:styleId="1385">
    <w:name w:val="Grid Table 2 - Accent 1"/>
    <w:basedOn w:val="1496"/>
    <w:uiPriority w:val="99"/>
    <w:pPr>
      <w:spacing w:after="0" w:line="240" w:lineRule="auto"/>
    </w:pPr>
    <w:tblPr>
      <w:tblStyleRowBandSize w:val="1"/>
      <w:tblStyleColBandSize w:val="1"/>
      <w:tblBorders>
        <w:bottom w:val="single" w:color="000000" w:themeColor="accent1" w:themeTint="ea" w:sz="4" w:space="0"/>
        <w:insideH w:val="single" w:color="000000" w:themeColor="accent1" w:themeTint="ea" w:sz="4" w:space="0"/>
        <w:insideV w:val="single" w:color="000000" w:themeColor="accent1" w:themeTint="ea" w:sz="4" w:space="0"/>
      </w:tblBorders>
    </w:tblPr>
    <w:tblStylePr w:type="band1Horz">
      <w:rPr>
        <w:sz w:val="22"/>
      </w:rPr>
      <w:tblPr/>
      <w:tcPr>
        <w:shd w:val="clear" w:color="FFFFFF" w:fill="D9E2F2" w:themeFill="accent1" w:themeFillTint="34"/>
      </w:tcPr>
    </w:tblStylePr>
    <w:tblStylePr w:type="band1Vert">
      <w:rPr>
        <w:sz w:val="22"/>
      </w:rPr>
      <w:tblPr/>
      <w:tcPr>
        <w:shd w:val="clear" w:color="FFFFFF" w:fill="D9E2F2" w:themeFill="accent1" w:themeFillTint="34"/>
      </w:tcPr>
    </w:tblStylePr>
    <w:tblStylePr w:type="firstCol">
      <w:rPr>
        <w:b/>
      </w:rPr>
      <w:tblPr/>
    </w:tblStylePr>
    <w:tblStylePr w:type="firstRow">
      <w:rPr>
        <w:b/>
      </w:rPr>
      <w:tblPr/>
      <w:tcPr>
        <w:tcBorders>
          <w:top w:val="none" w:color="000000" w:sz="4" w:space="0"/>
          <w:left w:val="none" w:color="000000" w:sz="4" w:space="0"/>
          <w:bottom w:val="single" w:color="000000" w:themeColor="accent1" w:sz="12" w:space="0"/>
          <w:right w:val="none" w:color="000000" w:sz="4" w:space="0"/>
        </w:tcBorders>
        <w:shd w:val="clear" w:color="FFFFFF"/>
      </w:tcPr>
    </w:tblStylePr>
    <w:tblStylePr w:type="lastCol">
      <w:rPr>
        <w:b/>
      </w:rPr>
      <w:tblPr/>
    </w:tblStylePr>
    <w:tblStylePr w:type="lastRow">
      <w:rPr>
        <w:b/>
      </w:rPr>
      <w:tblPr/>
      <w:tcPr>
        <w:tcBorders>
          <w:top w:val="single" w:color="000000" w:themeColor="accent1" w:sz="4" w:space="0"/>
          <w:left w:val="none" w:color="000000" w:sz="4" w:space="0"/>
          <w:bottom w:val="none" w:color="000000" w:sz="4" w:space="0"/>
          <w:right w:val="none" w:color="000000" w:sz="4" w:space="0"/>
        </w:tcBorders>
        <w:shd w:val="clear" w:color="FFFFFF"/>
      </w:tcPr>
    </w:tblStylePr>
  </w:style>
  <w:style w:type="table" w:styleId="1386">
    <w:name w:val="Grid Table 2 - Accent 2"/>
    <w:basedOn w:val="1496"/>
    <w:uiPriority w:val="99"/>
    <w:pPr>
      <w:spacing w:after="0" w:line="240" w:lineRule="auto"/>
    </w:pPr>
    <w:tblPr>
      <w:tblStyleRowBandSize w:val="1"/>
      <w:tblStyleColBandSize w:val="1"/>
      <w:tblBorders>
        <w:bottom w:val="single" w:color="000000" w:themeColor="accent2" w:themeTint="97" w:sz="4" w:space="0"/>
        <w:insideH w:val="single" w:color="000000" w:themeColor="accent2" w:themeTint="97" w:sz="4" w:space="0"/>
        <w:insideV w:val="single" w:color="000000" w:themeColor="accent2" w:themeTint="97" w:sz="4" w:space="0"/>
      </w:tblBorders>
    </w:tblPr>
    <w:tblStylePr w:type="band1Horz">
      <w:rPr>
        <w:sz w:val="22"/>
      </w:rPr>
      <w:tblPr/>
      <w:tcPr>
        <w:shd w:val="clear" w:color="FFFFFF" w:fill="FBE5D6" w:themeFill="accent2" w:themeFillTint="32"/>
      </w:tcPr>
    </w:tblStylePr>
    <w:tblStylePr w:type="band1Vert">
      <w:rPr>
        <w:sz w:val="22"/>
      </w:rPr>
      <w:tblPr/>
      <w:tcPr>
        <w:shd w:val="clear" w:color="FFFFFF" w:fill="FBE5D6" w:themeFill="accent2" w:themeFillTint="32"/>
      </w:tcPr>
    </w:tblStylePr>
    <w:tblStylePr w:type="firstCol">
      <w:rPr>
        <w:b/>
      </w:rPr>
      <w:tblPr/>
    </w:tblStylePr>
    <w:tblStylePr w:type="firstRow">
      <w:rPr>
        <w:b/>
      </w:rPr>
      <w:tblPr/>
      <w:tcPr>
        <w:tcBorders>
          <w:top w:val="none" w:color="000000" w:sz="4" w:space="0"/>
          <w:left w:val="none" w:color="000000" w:sz="4" w:space="0"/>
          <w:bottom w:val="single" w:color="000000" w:themeColor="accent2" w:sz="12" w:space="0"/>
          <w:right w:val="none" w:color="000000" w:sz="4" w:space="0"/>
        </w:tcBorders>
        <w:shd w:val="clear" w:color="FFFFFF"/>
      </w:tcPr>
    </w:tblStylePr>
    <w:tblStylePr w:type="lastCol">
      <w:rPr>
        <w:b/>
      </w:rPr>
      <w:tblPr/>
    </w:tblStylePr>
    <w:tblStylePr w:type="lastRow">
      <w:rPr>
        <w:b/>
      </w:rPr>
      <w:tblPr/>
      <w:tcPr>
        <w:tcBorders>
          <w:top w:val="single" w:color="000000" w:themeColor="accent2" w:sz="4" w:space="0"/>
          <w:left w:val="none" w:color="000000" w:sz="4" w:space="0"/>
          <w:bottom w:val="none" w:color="000000" w:sz="4" w:space="0"/>
          <w:right w:val="none" w:color="000000" w:sz="4" w:space="0"/>
        </w:tcBorders>
        <w:shd w:val="clear" w:color="FFFFFF"/>
      </w:tcPr>
    </w:tblStylePr>
  </w:style>
  <w:style w:type="table" w:styleId="1387">
    <w:name w:val="Grid Table 2 - Accent 3"/>
    <w:basedOn w:val="1496"/>
    <w:uiPriority w:val="99"/>
    <w:pPr>
      <w:spacing w:after="0" w:line="240" w:lineRule="auto"/>
    </w:pPr>
    <w:tblPr>
      <w:tblStyleRowBandSize w:val="1"/>
      <w:tblStyleColBandSize w:val="1"/>
      <w:tblBorders>
        <w:bottom w:val="single" w:color="000000" w:themeColor="accent3" w:themeTint="fe" w:sz="4" w:space="0"/>
        <w:insideH w:val="single" w:color="000000" w:themeColor="accent3" w:themeTint="fe" w:sz="4" w:space="0"/>
        <w:insideV w:val="single" w:color="000000" w:themeColor="accent3" w:themeTint="fe" w:sz="4" w:space="0"/>
      </w:tblBorders>
    </w:tblPr>
    <w:tblStylePr w:type="band1Horz">
      <w:rPr>
        <w:sz w:val="22"/>
      </w:rPr>
      <w:tblPr/>
      <w:tcPr>
        <w:shd w:val="clear" w:color="FFFFFF" w:fill="EDEDED" w:themeFill="accent3" w:themeFillTint="34"/>
      </w:tcPr>
    </w:tblStylePr>
    <w:tblStylePr w:type="band1Vert">
      <w:rPr>
        <w:sz w:val="22"/>
      </w:rPr>
      <w:tblPr/>
      <w:tcPr>
        <w:shd w:val="clear" w:color="FFFFFF" w:fill="EDEDED" w:themeFill="accent3" w:themeFillTint="34"/>
      </w:tcPr>
    </w:tblStylePr>
    <w:tblStylePr w:type="firstCol">
      <w:rPr>
        <w:b/>
      </w:rPr>
      <w:tblPr/>
    </w:tblStylePr>
    <w:tblStylePr w:type="firstRow">
      <w:rPr>
        <w:b/>
      </w:rPr>
      <w:tblPr/>
      <w:tcPr>
        <w:tcBorders>
          <w:top w:val="none" w:color="000000" w:sz="4" w:space="0"/>
          <w:left w:val="none" w:color="000000" w:sz="4" w:space="0"/>
          <w:bottom w:val="single" w:color="000000" w:themeColor="accent3" w:sz="12" w:space="0"/>
          <w:right w:val="none" w:color="000000" w:sz="4" w:space="0"/>
        </w:tcBorders>
        <w:shd w:val="clear" w:color="FFFFFF"/>
      </w:tcPr>
    </w:tblStylePr>
    <w:tblStylePr w:type="lastCol">
      <w:rPr>
        <w:b/>
      </w:rPr>
      <w:tblPr/>
    </w:tblStylePr>
    <w:tblStylePr w:type="lastRow">
      <w:rPr>
        <w:b/>
      </w:rPr>
      <w:tblPr/>
      <w:tcPr>
        <w:tcBorders>
          <w:top w:val="single" w:color="000000" w:themeColor="accent3" w:sz="4" w:space="0"/>
          <w:left w:val="none" w:color="000000" w:sz="4" w:space="0"/>
          <w:bottom w:val="none" w:color="000000" w:sz="4" w:space="0"/>
          <w:right w:val="none" w:color="000000" w:sz="4" w:space="0"/>
        </w:tcBorders>
        <w:shd w:val="clear" w:color="FFFFFF"/>
      </w:tcPr>
    </w:tblStylePr>
  </w:style>
  <w:style w:type="table" w:styleId="1388">
    <w:name w:val="Grid Table 2 - Accent 4"/>
    <w:basedOn w:val="1496"/>
    <w:uiPriority w:val="99"/>
    <w:pPr>
      <w:spacing w:after="0" w:line="240" w:lineRule="auto"/>
    </w:pPr>
    <w:tblPr>
      <w:tblStyleRowBandSize w:val="1"/>
      <w:tblStyleColBandSize w:val="1"/>
      <w:tblBorders>
        <w:bottom w:val="single" w:color="000000" w:themeColor="accent4" w:themeTint="9a" w:sz="4" w:space="0"/>
        <w:insideH w:val="single" w:color="000000" w:themeColor="accent4" w:themeTint="9a" w:sz="4" w:space="0"/>
        <w:insideV w:val="single" w:color="000000" w:themeColor="accent4" w:themeTint="9a" w:sz="4" w:space="0"/>
      </w:tblBorders>
    </w:tblPr>
    <w:tblStylePr w:type="band1Horz">
      <w:rPr>
        <w:sz w:val="22"/>
      </w:rPr>
      <w:tblPr/>
      <w:tcPr>
        <w:shd w:val="clear" w:color="FFFFFF" w:fill="FEF2CB" w:themeFill="accent4" w:themeFillTint="34"/>
      </w:tcPr>
    </w:tblStylePr>
    <w:tblStylePr w:type="band1Vert">
      <w:rPr>
        <w:sz w:val="22"/>
      </w:rPr>
      <w:tblPr/>
      <w:tcPr>
        <w:shd w:val="clear" w:color="FFFFFF" w:fill="FEF2CB" w:themeFill="accent4" w:themeFillTint="34"/>
      </w:tcPr>
    </w:tblStylePr>
    <w:tblStylePr w:type="firstCol">
      <w:rPr>
        <w:b/>
      </w:rPr>
      <w:tblPr/>
    </w:tblStylePr>
    <w:tblStylePr w:type="firstRow">
      <w:rPr>
        <w:b/>
      </w:rPr>
      <w:tblPr/>
      <w:tcPr>
        <w:tcBorders>
          <w:top w:val="none" w:color="000000" w:sz="4" w:space="0"/>
          <w:left w:val="none" w:color="000000" w:sz="4" w:space="0"/>
          <w:bottom w:val="single" w:color="000000" w:themeColor="accent4" w:sz="12" w:space="0"/>
          <w:right w:val="none" w:color="000000" w:sz="4" w:space="0"/>
        </w:tcBorders>
        <w:shd w:val="clear" w:color="FFFFFF"/>
      </w:tcPr>
    </w:tblStylePr>
    <w:tblStylePr w:type="lastCol">
      <w:rPr>
        <w:b/>
      </w:rPr>
      <w:tblPr/>
    </w:tblStylePr>
    <w:tblStylePr w:type="lastRow">
      <w:rPr>
        <w:b/>
      </w:rPr>
      <w:tblPr/>
      <w:tcPr>
        <w:tcBorders>
          <w:top w:val="single" w:color="000000" w:themeColor="accent4" w:sz="4" w:space="0"/>
          <w:left w:val="none" w:color="000000" w:sz="4" w:space="0"/>
          <w:bottom w:val="none" w:color="000000" w:sz="4" w:space="0"/>
          <w:right w:val="none" w:color="000000" w:sz="4" w:space="0"/>
        </w:tcBorders>
        <w:shd w:val="clear" w:color="FFFFFF"/>
      </w:tcPr>
    </w:tblStylePr>
  </w:style>
  <w:style w:type="table" w:styleId="1389">
    <w:name w:val="Grid Table 2 - Accent 5"/>
    <w:basedOn w:val="1496"/>
    <w:uiPriority w:val="99"/>
    <w:pPr>
      <w:spacing w:after="0" w:line="240" w:lineRule="auto"/>
    </w:pPr>
    <w:tblPr>
      <w:tblStyleRowBandSize w:val="1"/>
      <w:tblStyleColBandSize w:val="1"/>
      <w:tblBorders>
        <w:bottom w:val="single" w:color="000000" w:themeColor="accent5" w:sz="4" w:space="0"/>
        <w:insideH w:val="single" w:color="000000" w:themeColor="accent5" w:sz="4" w:space="0"/>
        <w:insideV w:val="single" w:color="000000" w:themeColor="accent5" w:sz="4" w:space="0"/>
      </w:tblBorders>
    </w:tblPr>
    <w:tblStylePr w:type="band1Horz">
      <w:rPr>
        <w:sz w:val="22"/>
      </w:rPr>
      <w:tblPr/>
      <w:tcPr>
        <w:shd w:val="clear" w:color="FFFFFF" w:fill="DDEBF6" w:themeFill="accent5" w:themeFillTint="34"/>
      </w:tcPr>
    </w:tblStylePr>
    <w:tblStylePr w:type="band1Vert">
      <w:rPr>
        <w:sz w:val="22"/>
      </w:rPr>
      <w:tblPr/>
      <w:tcPr>
        <w:shd w:val="clear" w:color="FFFFFF" w:fill="DDEBF6" w:themeFill="accent5" w:themeFillTint="34"/>
      </w:tcPr>
    </w:tblStylePr>
    <w:tblStylePr w:type="firstCol">
      <w:rPr>
        <w:b/>
      </w:rPr>
      <w:tblPr/>
    </w:tblStylePr>
    <w:tblStylePr w:type="firstRow">
      <w:rPr>
        <w:b/>
      </w:rPr>
      <w:tblPr/>
      <w:tcPr>
        <w:tcBorders>
          <w:top w:val="none" w:color="000000" w:sz="4" w:space="0"/>
          <w:left w:val="none" w:color="000000" w:sz="4" w:space="0"/>
          <w:bottom w:val="single" w:color="000000" w:themeColor="accent5" w:sz="12" w:space="0"/>
          <w:right w:val="none" w:color="000000" w:sz="4" w:space="0"/>
        </w:tcBorders>
        <w:shd w:val="clear" w:color="FFFFFF"/>
      </w:tcPr>
    </w:tblStylePr>
    <w:tblStylePr w:type="lastCol">
      <w:rPr>
        <w:b/>
      </w:rPr>
      <w:tblPr/>
    </w:tblStylePr>
    <w:tblStylePr w:type="lastRow">
      <w:rPr>
        <w:b/>
      </w:rPr>
      <w:tblPr/>
      <w:tcPr>
        <w:tcBorders>
          <w:top w:val="single" w:color="000000" w:themeColor="accent5" w:sz="4" w:space="0"/>
          <w:left w:val="none" w:color="000000" w:sz="4" w:space="0"/>
          <w:bottom w:val="none" w:color="000000" w:sz="4" w:space="0"/>
          <w:right w:val="none" w:color="000000" w:sz="4" w:space="0"/>
        </w:tcBorders>
        <w:shd w:val="clear" w:color="FFFFFF"/>
      </w:tcPr>
    </w:tblStylePr>
  </w:style>
  <w:style w:type="table" w:styleId="1390">
    <w:name w:val="Grid Table 2 - Accent 6"/>
    <w:basedOn w:val="1496"/>
    <w:uiPriority w:val="99"/>
    <w:pPr>
      <w:spacing w:after="0" w:line="240" w:lineRule="auto"/>
    </w:pPr>
    <w:tblPr>
      <w:tblStyleRowBandSize w:val="1"/>
      <w:tblStyleColBandSize w:val="1"/>
      <w:tblBorders>
        <w:bottom w:val="single" w:color="000000" w:themeColor="accent6" w:sz="4" w:space="0"/>
        <w:insideH w:val="single" w:color="000000" w:themeColor="accent6" w:sz="4" w:space="0"/>
        <w:insideV w:val="single" w:color="000000" w:themeColor="accent6" w:sz="4" w:space="0"/>
      </w:tblBorders>
    </w:tblPr>
    <w:tblStylePr w:type="band1Horz">
      <w:rPr>
        <w:sz w:val="22"/>
      </w:rPr>
      <w:tblPr/>
      <w:tcPr>
        <w:shd w:val="clear" w:color="FFFFFF" w:fill="E2EFD8" w:themeFill="accent6" w:themeFillTint="34"/>
      </w:tcPr>
    </w:tblStylePr>
    <w:tblStylePr w:type="band1Vert">
      <w:rPr>
        <w:sz w:val="22"/>
      </w:rPr>
      <w:tblPr/>
      <w:tcPr>
        <w:shd w:val="clear" w:color="FFFFFF" w:fill="E2EFD8" w:themeFill="accent6" w:themeFillTint="34"/>
      </w:tcPr>
    </w:tblStylePr>
    <w:tblStylePr w:type="firstCol">
      <w:rPr>
        <w:b/>
      </w:rPr>
      <w:tblPr/>
    </w:tblStylePr>
    <w:tblStylePr w:type="firstRow">
      <w:rPr>
        <w:b/>
      </w:rPr>
      <w:tblPr/>
      <w:tcPr>
        <w:tcBorders>
          <w:top w:val="none" w:color="000000" w:sz="4" w:space="0"/>
          <w:left w:val="none" w:color="000000" w:sz="4" w:space="0"/>
          <w:bottom w:val="single" w:color="000000" w:themeColor="accent6" w:sz="12" w:space="0"/>
          <w:right w:val="none" w:color="000000" w:sz="4" w:space="0"/>
        </w:tcBorders>
        <w:shd w:val="clear" w:color="FFFFFF"/>
      </w:tcPr>
    </w:tblStylePr>
    <w:tblStylePr w:type="lastCol">
      <w:rPr>
        <w:b/>
      </w:rPr>
      <w:tblPr/>
    </w:tblStylePr>
    <w:tblStylePr w:type="lastRow">
      <w:rPr>
        <w:b/>
      </w:rPr>
      <w:tblPr/>
      <w:tcPr>
        <w:tcBorders>
          <w:top w:val="single" w:color="000000" w:themeColor="accent6" w:sz="4" w:space="0"/>
          <w:left w:val="none" w:color="000000" w:sz="4" w:space="0"/>
          <w:bottom w:val="none" w:color="000000" w:sz="4" w:space="0"/>
          <w:right w:val="none" w:color="000000" w:sz="4" w:space="0"/>
        </w:tcBorders>
        <w:shd w:val="clear" w:color="FFFFFF"/>
      </w:tcPr>
    </w:tblStylePr>
  </w:style>
  <w:style w:type="table" w:styleId="1391">
    <w:name w:val="Grid Table 3"/>
    <w:basedOn w:val="1496"/>
    <w:uiPriority w:val="99"/>
    <w:pPr>
      <w:spacing w:after="0" w:line="240" w:lineRule="auto"/>
    </w:pPr>
    <w:tblPr>
      <w:tblStyleRowBandSize w:val="1"/>
      <w:tblStyleColBandSize w:val="1"/>
      <w:tblBorders>
        <w:bottom w:val="single" w:color="000000" w:themeColor="text1" w:themeTint="95" w:sz="4" w:space="0"/>
        <w:insideH w:val="single" w:color="000000" w:themeColor="text1" w:themeTint="95" w:sz="4" w:space="0"/>
        <w:insideV w:val="single" w:color="000000" w:themeColor="text1" w:themeTint="95" w:sz="4" w:space="0"/>
      </w:tblBorders>
    </w:tblPr>
    <w:tblStylePr w:type="band1Horz">
      <w:rPr>
        <w:sz w:val="22"/>
      </w:rPr>
      <w:tblPr/>
      <w:tcPr>
        <w:shd w:val="clear" w:color="FFFFFF" w:fill="CBCBCB" w:themeFill="text1" w:themeFillTint="34"/>
      </w:tcPr>
    </w:tblStylePr>
    <w:tblStylePr w:type="band1Vert">
      <w:rPr>
        <w:sz w:val="22"/>
      </w:rPr>
      <w:tblPr/>
      <w:tcPr>
        <w:shd w:val="clear" w:color="FFFFFF" w:fill="CBCBCB" w:themeFill="text1" w:themeFillTint="34"/>
      </w:tcPr>
    </w:tblStylePr>
    <w:tblStylePr w:type="firstCol">
      <w:pPr>
        <w:jc w:val="right"/>
      </w:pPr>
      <w:rPr>
        <w:i/>
      </w:rPr>
      <w:tblPr/>
      <w:tcPr>
        <w:tcBorders>
          <w:top w:val="none" w:color="000000" w:sz="4" w:space="0"/>
          <w:left w:val="none" w:color="000000" w:sz="4" w:space="0"/>
          <w:bottom w:val="none" w:color="000000" w:sz="4" w:space="0"/>
          <w:right w:val="none" w:color="000000" w:sz="4" w:space="0"/>
        </w:tcBorders>
        <w:shd w:val="clear" w:color="FFFFFF"/>
      </w:tcPr>
    </w:tblStylePr>
    <w:tblStylePr w:type="firstRow">
      <w:rPr>
        <w:b/>
      </w:rPr>
      <w:tblPr/>
      <w:tcPr>
        <w:tcBorders>
          <w:top w:val="none" w:color="000000" w:sz="4" w:space="0"/>
          <w:left w:val="none" w:color="000000" w:sz="4" w:space="0"/>
          <w:bottom w:val="none" w:color="000000" w:sz="4" w:space="0"/>
          <w:right w:val="none" w:color="000000" w:sz="4" w:space="0"/>
        </w:tcBorders>
        <w:shd w:val="clear" w:color="FFFFFF"/>
      </w:tcPr>
    </w:tblStylePr>
    <w:tblStylePr w:type="lastCol">
      <w:rPr>
        <w:i/>
      </w:rPr>
      <w:tblPr/>
      <w:tcPr>
        <w:tcBorders>
          <w:top w:val="none" w:color="000000" w:sz="4" w:space="0"/>
          <w:left w:val="none" w:color="000000" w:sz="4" w:space="0"/>
          <w:bottom w:val="none" w:color="000000" w:sz="4" w:space="0"/>
          <w:right w:val="none" w:color="000000" w:sz="4" w:space="0"/>
        </w:tcBorders>
        <w:shd w:val="clear" w:color="FFFFFF"/>
      </w:tcPr>
    </w:tblStylePr>
    <w:tblStylePr w:type="lastRow">
      <w:rPr>
        <w:b/>
      </w:rPr>
      <w:tblPr/>
      <w:tcPr>
        <w:tcBorders>
          <w:top w:val="none" w:color="000000" w:sz="4" w:space="0"/>
          <w:left w:val="none" w:color="000000" w:sz="4" w:space="0"/>
          <w:bottom w:val="none" w:color="000000" w:sz="4" w:space="0"/>
          <w:right w:val="none" w:color="000000" w:sz="4" w:space="0"/>
        </w:tcBorders>
        <w:shd w:val="clear" w:color="FFFFFF"/>
      </w:tcPr>
    </w:tblStylePr>
  </w:style>
  <w:style w:type="table" w:styleId="1392">
    <w:name w:val="Grid Table 3 - Accent 1"/>
    <w:basedOn w:val="1496"/>
    <w:uiPriority w:val="99"/>
    <w:pPr>
      <w:spacing w:after="0" w:line="240" w:lineRule="auto"/>
    </w:pPr>
    <w:tblPr>
      <w:tblStyleRowBandSize w:val="1"/>
      <w:tblStyleColBandSize w:val="1"/>
      <w:tblBorders>
        <w:bottom w:val="single" w:color="000000" w:themeColor="accent1" w:themeTint="ea" w:sz="4" w:space="0"/>
        <w:insideH w:val="single" w:color="000000" w:themeColor="accent1" w:themeTint="ea" w:sz="4" w:space="0"/>
        <w:insideV w:val="single" w:color="000000" w:themeColor="accent1" w:themeTint="ea" w:sz="4" w:space="0"/>
      </w:tblBorders>
    </w:tblPr>
    <w:tblStylePr w:type="band1Horz">
      <w:rPr>
        <w:sz w:val="22"/>
      </w:rPr>
      <w:tblPr/>
      <w:tcPr>
        <w:shd w:val="clear" w:color="FFFFFF" w:fill="D9E2F2" w:themeFill="accent1" w:themeFillTint="34"/>
      </w:tcPr>
    </w:tblStylePr>
    <w:tblStylePr w:type="band1Vert">
      <w:rPr>
        <w:sz w:val="22"/>
      </w:rPr>
      <w:tblPr/>
      <w:tcPr>
        <w:shd w:val="clear" w:color="FFFFFF" w:fill="D9E2F2" w:themeFill="accent1" w:themeFillTint="34"/>
      </w:tcPr>
    </w:tblStylePr>
    <w:tblStylePr w:type="firstCol">
      <w:pPr>
        <w:jc w:val="right"/>
      </w:pPr>
      <w:rPr>
        <w:i/>
      </w:rPr>
      <w:tblPr/>
      <w:tcPr>
        <w:tcBorders>
          <w:top w:val="none" w:color="000000" w:sz="4" w:space="0"/>
          <w:left w:val="none" w:color="000000" w:sz="4" w:space="0"/>
          <w:bottom w:val="none" w:color="000000" w:sz="4" w:space="0"/>
          <w:right w:val="none" w:color="000000" w:sz="4" w:space="0"/>
        </w:tcBorders>
        <w:shd w:val="clear" w:color="FFFFFF"/>
      </w:tcPr>
    </w:tblStylePr>
    <w:tblStylePr w:type="firstRow">
      <w:rPr>
        <w:b/>
      </w:rPr>
      <w:tblPr/>
      <w:tcPr>
        <w:tcBorders>
          <w:top w:val="none" w:color="000000" w:sz="4" w:space="0"/>
          <w:left w:val="none" w:color="000000" w:sz="4" w:space="0"/>
          <w:bottom w:val="none" w:color="000000" w:sz="4" w:space="0"/>
          <w:right w:val="none" w:color="000000" w:sz="4" w:space="0"/>
        </w:tcBorders>
        <w:shd w:val="clear" w:color="FFFFFF"/>
      </w:tcPr>
    </w:tblStylePr>
    <w:tblStylePr w:type="lastCol">
      <w:rPr>
        <w:i/>
      </w:rPr>
      <w:tblPr/>
      <w:tcPr>
        <w:tcBorders>
          <w:top w:val="none" w:color="000000" w:sz="4" w:space="0"/>
          <w:left w:val="none" w:color="000000" w:sz="4" w:space="0"/>
          <w:bottom w:val="none" w:color="000000" w:sz="4" w:space="0"/>
          <w:right w:val="none" w:color="000000" w:sz="4" w:space="0"/>
        </w:tcBorders>
        <w:shd w:val="clear" w:color="FFFFFF"/>
      </w:tcPr>
    </w:tblStylePr>
    <w:tblStylePr w:type="lastRow">
      <w:rPr>
        <w:b/>
      </w:rPr>
      <w:tblPr/>
      <w:tcPr>
        <w:tcBorders>
          <w:top w:val="none" w:color="000000" w:sz="4" w:space="0"/>
          <w:left w:val="none" w:color="000000" w:sz="4" w:space="0"/>
          <w:bottom w:val="none" w:color="000000" w:sz="4" w:space="0"/>
          <w:right w:val="none" w:color="000000" w:sz="4" w:space="0"/>
        </w:tcBorders>
        <w:shd w:val="clear" w:color="FFFFFF"/>
      </w:tcPr>
    </w:tblStylePr>
  </w:style>
  <w:style w:type="table" w:styleId="1393">
    <w:name w:val="Grid Table 3 - Accent 2"/>
    <w:basedOn w:val="1496"/>
    <w:uiPriority w:val="99"/>
    <w:pPr>
      <w:spacing w:after="0" w:line="240" w:lineRule="auto"/>
    </w:pPr>
    <w:tblPr>
      <w:tblStyleRowBandSize w:val="1"/>
      <w:tblStyleColBandSize w:val="1"/>
      <w:tblBorders>
        <w:bottom w:val="single" w:color="000000" w:themeColor="accent2" w:themeTint="97" w:sz="4" w:space="0"/>
        <w:insideH w:val="single" w:color="000000" w:themeColor="accent2" w:themeTint="97" w:sz="4" w:space="0"/>
        <w:insideV w:val="single" w:color="000000" w:themeColor="accent2" w:themeTint="97" w:sz="4" w:space="0"/>
      </w:tblBorders>
    </w:tblPr>
    <w:tblStylePr w:type="band1Horz">
      <w:rPr>
        <w:sz w:val="22"/>
      </w:rPr>
      <w:tblPr/>
      <w:tcPr>
        <w:shd w:val="clear" w:color="FFFFFF" w:fill="FBE5D6" w:themeFill="accent2" w:themeFillTint="32"/>
      </w:tcPr>
    </w:tblStylePr>
    <w:tblStylePr w:type="band1Vert">
      <w:rPr>
        <w:sz w:val="22"/>
      </w:rPr>
      <w:tblPr/>
      <w:tcPr>
        <w:shd w:val="clear" w:color="FFFFFF" w:fill="FBE5D6" w:themeFill="accent2" w:themeFillTint="32"/>
      </w:tcPr>
    </w:tblStylePr>
    <w:tblStylePr w:type="firstCol">
      <w:pPr>
        <w:jc w:val="right"/>
      </w:pPr>
      <w:rPr>
        <w:i/>
      </w:rPr>
      <w:tblPr/>
      <w:tcPr>
        <w:tcBorders>
          <w:top w:val="none" w:color="000000" w:sz="4" w:space="0"/>
          <w:left w:val="none" w:color="000000" w:sz="4" w:space="0"/>
          <w:bottom w:val="none" w:color="000000" w:sz="4" w:space="0"/>
          <w:right w:val="none" w:color="000000" w:sz="4" w:space="0"/>
        </w:tcBorders>
        <w:shd w:val="clear" w:color="FFFFFF"/>
      </w:tcPr>
    </w:tblStylePr>
    <w:tblStylePr w:type="firstRow">
      <w:rPr>
        <w:b/>
      </w:rPr>
      <w:tblPr/>
      <w:tcPr>
        <w:tcBorders>
          <w:top w:val="none" w:color="000000" w:sz="4" w:space="0"/>
          <w:left w:val="none" w:color="000000" w:sz="4" w:space="0"/>
          <w:bottom w:val="none" w:color="000000" w:sz="4" w:space="0"/>
          <w:right w:val="none" w:color="000000" w:sz="4" w:space="0"/>
        </w:tcBorders>
        <w:shd w:val="clear" w:color="FFFFFF"/>
      </w:tcPr>
    </w:tblStylePr>
    <w:tblStylePr w:type="lastCol">
      <w:rPr>
        <w:i/>
      </w:rPr>
      <w:tblPr/>
      <w:tcPr>
        <w:tcBorders>
          <w:top w:val="none" w:color="000000" w:sz="4" w:space="0"/>
          <w:left w:val="none" w:color="000000" w:sz="4" w:space="0"/>
          <w:bottom w:val="none" w:color="000000" w:sz="4" w:space="0"/>
          <w:right w:val="none" w:color="000000" w:sz="4" w:space="0"/>
        </w:tcBorders>
        <w:shd w:val="clear" w:color="FFFFFF"/>
      </w:tcPr>
    </w:tblStylePr>
    <w:tblStylePr w:type="lastRow">
      <w:rPr>
        <w:b/>
      </w:rPr>
      <w:tblPr/>
      <w:tcPr>
        <w:tcBorders>
          <w:top w:val="none" w:color="000000" w:sz="4" w:space="0"/>
          <w:left w:val="none" w:color="000000" w:sz="4" w:space="0"/>
          <w:bottom w:val="none" w:color="000000" w:sz="4" w:space="0"/>
          <w:right w:val="none" w:color="000000" w:sz="4" w:space="0"/>
        </w:tcBorders>
        <w:shd w:val="clear" w:color="FFFFFF"/>
      </w:tcPr>
    </w:tblStylePr>
  </w:style>
  <w:style w:type="table" w:styleId="1394">
    <w:name w:val="Grid Table 3 - Accent 3"/>
    <w:basedOn w:val="1496"/>
    <w:uiPriority w:val="99"/>
    <w:pPr>
      <w:spacing w:after="0" w:line="240" w:lineRule="auto"/>
    </w:pPr>
    <w:tblPr>
      <w:tblStyleRowBandSize w:val="1"/>
      <w:tblStyleColBandSize w:val="1"/>
      <w:tblBorders>
        <w:bottom w:val="single" w:color="000000" w:themeColor="accent3" w:themeTint="fe" w:sz="4" w:space="0"/>
        <w:insideH w:val="single" w:color="000000" w:themeColor="accent3" w:themeTint="fe" w:sz="4" w:space="0"/>
        <w:insideV w:val="single" w:color="000000" w:themeColor="accent3" w:themeTint="fe" w:sz="4" w:space="0"/>
      </w:tblBorders>
    </w:tblPr>
    <w:tblStylePr w:type="band1Horz">
      <w:rPr>
        <w:sz w:val="22"/>
      </w:rPr>
      <w:tblPr/>
      <w:tcPr>
        <w:shd w:val="clear" w:color="FFFFFF" w:fill="EDEDED" w:themeFill="accent3" w:themeFillTint="34"/>
      </w:tcPr>
    </w:tblStylePr>
    <w:tblStylePr w:type="band1Vert">
      <w:rPr>
        <w:sz w:val="22"/>
      </w:rPr>
      <w:tblPr/>
      <w:tcPr>
        <w:shd w:val="clear" w:color="FFFFFF" w:fill="EDEDED" w:themeFill="accent3" w:themeFillTint="34"/>
      </w:tcPr>
    </w:tblStylePr>
    <w:tblStylePr w:type="firstCol">
      <w:pPr>
        <w:jc w:val="right"/>
      </w:pPr>
      <w:rPr>
        <w:i/>
      </w:rPr>
      <w:tblPr/>
      <w:tcPr>
        <w:tcBorders>
          <w:top w:val="none" w:color="000000" w:sz="4" w:space="0"/>
          <w:left w:val="none" w:color="000000" w:sz="4" w:space="0"/>
          <w:bottom w:val="none" w:color="000000" w:sz="4" w:space="0"/>
          <w:right w:val="none" w:color="000000" w:sz="4" w:space="0"/>
        </w:tcBorders>
        <w:shd w:val="clear" w:color="FFFFFF"/>
      </w:tcPr>
    </w:tblStylePr>
    <w:tblStylePr w:type="firstRow">
      <w:rPr>
        <w:b/>
      </w:rPr>
      <w:tblPr/>
      <w:tcPr>
        <w:tcBorders>
          <w:top w:val="none" w:color="000000" w:sz="4" w:space="0"/>
          <w:left w:val="none" w:color="000000" w:sz="4" w:space="0"/>
          <w:bottom w:val="none" w:color="000000" w:sz="4" w:space="0"/>
          <w:right w:val="none" w:color="000000" w:sz="4" w:space="0"/>
        </w:tcBorders>
        <w:shd w:val="clear" w:color="FFFFFF"/>
      </w:tcPr>
    </w:tblStylePr>
    <w:tblStylePr w:type="lastCol">
      <w:rPr>
        <w:i/>
      </w:rPr>
      <w:tblPr/>
      <w:tcPr>
        <w:tcBorders>
          <w:top w:val="none" w:color="000000" w:sz="4" w:space="0"/>
          <w:left w:val="none" w:color="000000" w:sz="4" w:space="0"/>
          <w:bottom w:val="none" w:color="000000" w:sz="4" w:space="0"/>
          <w:right w:val="none" w:color="000000" w:sz="4" w:space="0"/>
        </w:tcBorders>
        <w:shd w:val="clear" w:color="FFFFFF"/>
      </w:tcPr>
    </w:tblStylePr>
    <w:tblStylePr w:type="lastRow">
      <w:rPr>
        <w:b/>
      </w:rPr>
      <w:tblPr/>
      <w:tcPr>
        <w:tcBorders>
          <w:top w:val="none" w:color="000000" w:sz="4" w:space="0"/>
          <w:left w:val="none" w:color="000000" w:sz="4" w:space="0"/>
          <w:bottom w:val="none" w:color="000000" w:sz="4" w:space="0"/>
          <w:right w:val="none" w:color="000000" w:sz="4" w:space="0"/>
        </w:tcBorders>
        <w:shd w:val="clear" w:color="FFFFFF"/>
      </w:tcPr>
    </w:tblStylePr>
  </w:style>
  <w:style w:type="table" w:styleId="1395">
    <w:name w:val="Grid Table 3 - Accent 4"/>
    <w:basedOn w:val="1496"/>
    <w:uiPriority w:val="99"/>
    <w:pPr>
      <w:spacing w:after="0" w:line="240" w:lineRule="auto"/>
    </w:pPr>
    <w:tblPr>
      <w:tblStyleRowBandSize w:val="1"/>
      <w:tblStyleColBandSize w:val="1"/>
      <w:tblBorders>
        <w:bottom w:val="single" w:color="000000" w:themeColor="accent4" w:themeTint="9a" w:sz="4" w:space="0"/>
        <w:insideH w:val="single" w:color="000000" w:themeColor="accent4" w:themeTint="9a" w:sz="4" w:space="0"/>
        <w:insideV w:val="single" w:color="000000" w:themeColor="accent4" w:themeTint="9a" w:sz="4" w:space="0"/>
      </w:tblBorders>
    </w:tblPr>
    <w:tblStylePr w:type="band1Horz">
      <w:rPr>
        <w:sz w:val="22"/>
      </w:rPr>
      <w:tblPr/>
      <w:tcPr>
        <w:shd w:val="clear" w:color="FFFFFF" w:fill="FEF2CB" w:themeFill="accent4" w:themeFillTint="34"/>
      </w:tcPr>
    </w:tblStylePr>
    <w:tblStylePr w:type="band1Vert">
      <w:rPr>
        <w:sz w:val="22"/>
      </w:rPr>
      <w:tblPr/>
      <w:tcPr>
        <w:shd w:val="clear" w:color="FFFFFF" w:fill="FEF2CB" w:themeFill="accent4" w:themeFillTint="34"/>
      </w:tcPr>
    </w:tblStylePr>
    <w:tblStylePr w:type="firstCol">
      <w:pPr>
        <w:jc w:val="right"/>
      </w:pPr>
      <w:rPr>
        <w:i/>
      </w:rPr>
      <w:tblPr/>
      <w:tcPr>
        <w:tcBorders>
          <w:top w:val="none" w:color="000000" w:sz="4" w:space="0"/>
          <w:left w:val="none" w:color="000000" w:sz="4" w:space="0"/>
          <w:bottom w:val="none" w:color="000000" w:sz="4" w:space="0"/>
          <w:right w:val="none" w:color="000000" w:sz="4" w:space="0"/>
        </w:tcBorders>
        <w:shd w:val="clear" w:color="FFFFFF"/>
      </w:tcPr>
    </w:tblStylePr>
    <w:tblStylePr w:type="firstRow">
      <w:rPr>
        <w:b/>
      </w:rPr>
      <w:tblPr/>
      <w:tcPr>
        <w:tcBorders>
          <w:top w:val="none" w:color="000000" w:sz="4" w:space="0"/>
          <w:left w:val="none" w:color="000000" w:sz="4" w:space="0"/>
          <w:bottom w:val="none" w:color="000000" w:sz="4" w:space="0"/>
          <w:right w:val="none" w:color="000000" w:sz="4" w:space="0"/>
        </w:tcBorders>
        <w:shd w:val="clear" w:color="FFFFFF"/>
      </w:tcPr>
    </w:tblStylePr>
    <w:tblStylePr w:type="lastCol">
      <w:rPr>
        <w:i/>
      </w:rPr>
      <w:tblPr/>
      <w:tcPr>
        <w:tcBorders>
          <w:top w:val="none" w:color="000000" w:sz="4" w:space="0"/>
          <w:left w:val="none" w:color="000000" w:sz="4" w:space="0"/>
          <w:bottom w:val="none" w:color="000000" w:sz="4" w:space="0"/>
          <w:right w:val="none" w:color="000000" w:sz="4" w:space="0"/>
        </w:tcBorders>
        <w:shd w:val="clear" w:color="FFFFFF"/>
      </w:tcPr>
    </w:tblStylePr>
    <w:tblStylePr w:type="lastRow">
      <w:rPr>
        <w:b/>
      </w:rPr>
      <w:tblPr/>
      <w:tcPr>
        <w:tcBorders>
          <w:top w:val="none" w:color="000000" w:sz="4" w:space="0"/>
          <w:left w:val="none" w:color="000000" w:sz="4" w:space="0"/>
          <w:bottom w:val="none" w:color="000000" w:sz="4" w:space="0"/>
          <w:right w:val="none" w:color="000000" w:sz="4" w:space="0"/>
        </w:tcBorders>
        <w:shd w:val="clear" w:color="FFFFFF"/>
      </w:tcPr>
    </w:tblStylePr>
  </w:style>
  <w:style w:type="table" w:styleId="1396">
    <w:name w:val="Grid Table 3 - Accent 5"/>
    <w:basedOn w:val="1496"/>
    <w:uiPriority w:val="99"/>
    <w:pPr>
      <w:spacing w:after="0" w:line="240" w:lineRule="auto"/>
    </w:pPr>
    <w:tblPr>
      <w:tblStyleRowBandSize w:val="1"/>
      <w:tblStyleColBandSize w:val="1"/>
      <w:tblBorders>
        <w:bottom w:val="single" w:color="000000" w:themeColor="accent5" w:sz="4" w:space="0"/>
        <w:insideH w:val="single" w:color="000000" w:themeColor="accent5" w:sz="4" w:space="0"/>
        <w:insideV w:val="single" w:color="000000" w:themeColor="accent5" w:sz="4" w:space="0"/>
      </w:tblBorders>
    </w:tblPr>
    <w:tblStylePr w:type="band1Horz">
      <w:rPr>
        <w:sz w:val="22"/>
      </w:rPr>
      <w:tblPr/>
      <w:tcPr>
        <w:shd w:val="clear" w:color="FFFFFF" w:fill="DDEBF6" w:themeFill="accent5" w:themeFillTint="34"/>
      </w:tcPr>
    </w:tblStylePr>
    <w:tblStylePr w:type="band1Vert">
      <w:rPr>
        <w:sz w:val="22"/>
      </w:rPr>
      <w:tblPr/>
      <w:tcPr>
        <w:shd w:val="clear" w:color="FFFFFF" w:fill="DDEBF6" w:themeFill="accent5" w:themeFillTint="34"/>
      </w:tcPr>
    </w:tblStylePr>
    <w:tblStylePr w:type="firstCol">
      <w:pPr>
        <w:jc w:val="right"/>
      </w:pPr>
      <w:rPr>
        <w:i/>
      </w:rPr>
      <w:tblPr/>
      <w:tcPr>
        <w:tcBorders>
          <w:top w:val="none" w:color="000000" w:sz="4" w:space="0"/>
          <w:left w:val="none" w:color="000000" w:sz="4" w:space="0"/>
          <w:bottom w:val="none" w:color="000000" w:sz="4" w:space="0"/>
          <w:right w:val="none" w:color="000000" w:sz="4" w:space="0"/>
        </w:tcBorders>
        <w:shd w:val="clear" w:color="FFFFFF"/>
      </w:tcPr>
    </w:tblStylePr>
    <w:tblStylePr w:type="firstRow">
      <w:rPr>
        <w:b/>
      </w:rPr>
      <w:tblPr/>
      <w:tcPr>
        <w:tcBorders>
          <w:top w:val="none" w:color="000000" w:sz="4" w:space="0"/>
          <w:left w:val="none" w:color="000000" w:sz="4" w:space="0"/>
          <w:bottom w:val="none" w:color="000000" w:sz="4" w:space="0"/>
          <w:right w:val="none" w:color="000000" w:sz="4" w:space="0"/>
        </w:tcBorders>
        <w:shd w:val="clear" w:color="FFFFFF"/>
      </w:tcPr>
    </w:tblStylePr>
    <w:tblStylePr w:type="lastCol">
      <w:rPr>
        <w:i/>
      </w:rPr>
      <w:tblPr/>
      <w:tcPr>
        <w:tcBorders>
          <w:top w:val="none" w:color="000000" w:sz="4" w:space="0"/>
          <w:left w:val="none" w:color="000000" w:sz="4" w:space="0"/>
          <w:bottom w:val="none" w:color="000000" w:sz="4" w:space="0"/>
          <w:right w:val="none" w:color="000000" w:sz="4" w:space="0"/>
        </w:tcBorders>
        <w:shd w:val="clear" w:color="FFFFFF"/>
      </w:tcPr>
    </w:tblStylePr>
    <w:tblStylePr w:type="lastRow">
      <w:rPr>
        <w:b/>
      </w:rPr>
      <w:tblPr/>
      <w:tcPr>
        <w:tcBorders>
          <w:top w:val="none" w:color="000000" w:sz="4" w:space="0"/>
          <w:left w:val="none" w:color="000000" w:sz="4" w:space="0"/>
          <w:bottom w:val="none" w:color="000000" w:sz="4" w:space="0"/>
          <w:right w:val="none" w:color="000000" w:sz="4" w:space="0"/>
        </w:tcBorders>
        <w:shd w:val="clear" w:color="FFFFFF"/>
      </w:tcPr>
    </w:tblStylePr>
  </w:style>
  <w:style w:type="table" w:styleId="1397">
    <w:name w:val="Grid Table 3 - Accent 6"/>
    <w:basedOn w:val="1496"/>
    <w:uiPriority w:val="99"/>
    <w:pPr>
      <w:spacing w:after="0" w:line="240" w:lineRule="auto"/>
    </w:pPr>
    <w:tblPr>
      <w:tblStyleRowBandSize w:val="1"/>
      <w:tblStyleColBandSize w:val="1"/>
      <w:tblBorders>
        <w:bottom w:val="single" w:color="000000" w:themeColor="accent6" w:sz="4" w:space="0"/>
        <w:insideH w:val="single" w:color="000000" w:themeColor="accent6" w:sz="4" w:space="0"/>
        <w:insideV w:val="single" w:color="000000" w:themeColor="accent6" w:sz="4" w:space="0"/>
      </w:tblBorders>
    </w:tblPr>
    <w:tblStylePr w:type="band1Horz">
      <w:rPr>
        <w:sz w:val="22"/>
      </w:rPr>
      <w:tblPr/>
      <w:tcPr>
        <w:shd w:val="clear" w:color="FFFFFF" w:fill="E2EFD8" w:themeFill="accent6" w:themeFillTint="34"/>
      </w:tcPr>
    </w:tblStylePr>
    <w:tblStylePr w:type="band1Vert">
      <w:rPr>
        <w:sz w:val="22"/>
      </w:rPr>
      <w:tblPr/>
      <w:tcPr>
        <w:shd w:val="clear" w:color="FFFFFF" w:fill="E2EFD8" w:themeFill="accent6" w:themeFillTint="34"/>
      </w:tcPr>
    </w:tblStylePr>
    <w:tblStylePr w:type="firstCol">
      <w:pPr>
        <w:jc w:val="right"/>
      </w:pPr>
      <w:rPr>
        <w:i/>
      </w:rPr>
      <w:tblPr/>
      <w:tcPr>
        <w:tcBorders>
          <w:top w:val="none" w:color="000000" w:sz="4" w:space="0"/>
          <w:left w:val="none" w:color="000000" w:sz="4" w:space="0"/>
          <w:bottom w:val="none" w:color="000000" w:sz="4" w:space="0"/>
          <w:right w:val="none" w:color="000000" w:sz="4" w:space="0"/>
        </w:tcBorders>
        <w:shd w:val="clear" w:color="FFFFFF"/>
      </w:tcPr>
    </w:tblStylePr>
    <w:tblStylePr w:type="firstRow">
      <w:rPr>
        <w:b/>
      </w:rPr>
      <w:tblPr/>
      <w:tcPr>
        <w:tcBorders>
          <w:top w:val="none" w:color="000000" w:sz="4" w:space="0"/>
          <w:left w:val="none" w:color="000000" w:sz="4" w:space="0"/>
          <w:bottom w:val="none" w:color="000000" w:sz="4" w:space="0"/>
          <w:right w:val="none" w:color="000000" w:sz="4" w:space="0"/>
        </w:tcBorders>
        <w:shd w:val="clear" w:color="FFFFFF"/>
      </w:tcPr>
    </w:tblStylePr>
    <w:tblStylePr w:type="lastCol">
      <w:rPr>
        <w:i/>
      </w:rPr>
      <w:tblPr/>
      <w:tcPr>
        <w:tcBorders>
          <w:top w:val="none" w:color="000000" w:sz="4" w:space="0"/>
          <w:left w:val="none" w:color="000000" w:sz="4" w:space="0"/>
          <w:bottom w:val="none" w:color="000000" w:sz="4" w:space="0"/>
          <w:right w:val="none" w:color="000000" w:sz="4" w:space="0"/>
        </w:tcBorders>
        <w:shd w:val="clear" w:color="FFFFFF"/>
      </w:tcPr>
    </w:tblStylePr>
    <w:tblStylePr w:type="lastRow">
      <w:rPr>
        <w:b/>
      </w:rPr>
      <w:tblPr/>
      <w:tcPr>
        <w:tcBorders>
          <w:top w:val="none" w:color="000000" w:sz="4" w:space="0"/>
          <w:left w:val="none" w:color="000000" w:sz="4" w:space="0"/>
          <w:bottom w:val="none" w:color="000000" w:sz="4" w:space="0"/>
          <w:right w:val="none" w:color="000000" w:sz="4" w:space="0"/>
        </w:tcBorders>
        <w:shd w:val="clear" w:color="FFFFFF"/>
      </w:tcPr>
    </w:tblStylePr>
  </w:style>
  <w:style w:type="table" w:styleId="1398">
    <w:name w:val="Grid Table 4"/>
    <w:basedOn w:val="1496"/>
    <w:uiPriority w:val="59"/>
    <w:pPr>
      <w:spacing w:after="0" w:line="240" w:lineRule="auto"/>
    </w:pPr>
    <w:tblPr>
      <w:tblStyleRowBandSize w:val="1"/>
      <w:tblStyleColBandSize w:val="1"/>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blStylePr w:type="band1Horz">
      <w:rPr>
        <w:sz w:val="22"/>
      </w:rPr>
      <w:tblPr/>
      <w:tcPr>
        <w:shd w:val="clear" w:color="FFFFFF" w:fill="CBCBCB" w:themeFill="text1" w:themeFillTint="34"/>
      </w:tcPr>
    </w:tblStylePr>
    <w:tblStylePr w:type="band1Vert">
      <w:rPr>
        <w:sz w:val="22"/>
      </w:rPr>
      <w:tblPr/>
      <w:tcPr>
        <w:shd w:val="clear" w:color="FFFFFF" w:fill="CBCBCB" w:themeFill="text1" w:themeFillTint="34"/>
      </w:tcPr>
    </w:tblStylePr>
    <w:tblStylePr w:type="firstCol">
      <w:rPr>
        <w:b/>
      </w:rPr>
      <w:tblPr/>
    </w:tblStylePr>
    <w:tblStylePr w:type="firstRow">
      <w:rPr>
        <w:b/>
        <w:sz w:val="22"/>
      </w:rPr>
      <w:tblPr/>
      <w:tcPr>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FFFFFF" w:fill="000000" w:themeFill="text1"/>
      </w:tcPr>
    </w:tblStylePr>
    <w:tblStylePr w:type="lastCol">
      <w:rPr>
        <w:b/>
      </w:rPr>
      <w:tblPr/>
    </w:tblStylePr>
    <w:tblStylePr w:type="lastRow">
      <w:rPr>
        <w:b/>
      </w:rPr>
      <w:tblPr/>
      <w:tcPr>
        <w:tcBorders>
          <w:top w:val="single" w:color="000000" w:themeColor="text1" w:sz="4" w:space="0"/>
        </w:tcBorders>
      </w:tcPr>
    </w:tblStylePr>
  </w:style>
  <w:style w:type="table" w:styleId="1399">
    <w:name w:val="Grid Table 4 - Accent 1"/>
    <w:basedOn w:val="1496"/>
    <w:uiPriority w:val="59"/>
    <w:pPr>
      <w:spacing w:after="0" w:line="240" w:lineRule="auto"/>
    </w:pPr>
    <w:tblPr>
      <w:tblStyleRowBandSize w:val="1"/>
      <w:tblStyleColBandSize w:val="1"/>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blStylePr w:type="band1Horz">
      <w:rPr>
        <w:sz w:val="22"/>
      </w:rPr>
      <w:tblPr/>
      <w:tcPr>
        <w:shd w:val="clear" w:color="FFFFFF" w:fill="DAE3F3" w:themeFill="accent1" w:themeFillTint="32"/>
      </w:tcPr>
    </w:tblStylePr>
    <w:tblStylePr w:type="band1Vert">
      <w:rPr>
        <w:sz w:val="22"/>
      </w:rPr>
      <w:tblPr/>
      <w:tcPr>
        <w:shd w:val="clear" w:color="FFFFFF" w:fill="DAE3F3" w:themeFill="accent1" w:themeFillTint="32"/>
      </w:tcPr>
    </w:tblStylePr>
    <w:tblStylePr w:type="firstCol">
      <w:rPr>
        <w:b/>
      </w:rPr>
      <w:tblPr/>
    </w:tblStylePr>
    <w:tblStylePr w:type="firstRow">
      <w:rPr>
        <w:b/>
        <w:sz w:val="22"/>
      </w:rPr>
      <w:tblPr/>
      <w:tcPr>
        <w:tcBorders>
          <w:top w:val="single" w:color="000000" w:themeColor="accent1" w:sz="4" w:space="0"/>
          <w:left w:val="single" w:color="000000" w:themeColor="accent1" w:sz="4" w:space="0"/>
          <w:bottom w:val="single" w:color="000000" w:themeColor="accent1" w:sz="4" w:space="0"/>
          <w:right w:val="single" w:color="000000" w:themeColor="accent1" w:sz="4" w:space="0"/>
        </w:tcBorders>
        <w:shd w:val="clear" w:color="FFFFFF" w:fill="537FC8" w:themeFill="accent1" w:themeFillTint="ea"/>
      </w:tcPr>
    </w:tblStylePr>
    <w:tblStylePr w:type="lastCol">
      <w:rPr>
        <w:b/>
      </w:rPr>
      <w:tblPr/>
    </w:tblStylePr>
    <w:tblStylePr w:type="lastRow">
      <w:rPr>
        <w:b/>
      </w:rPr>
      <w:tblPr/>
      <w:tcPr>
        <w:tcBorders>
          <w:top w:val="single" w:color="000000" w:themeColor="accent1" w:sz="4" w:space="0"/>
        </w:tcBorders>
      </w:tcPr>
    </w:tblStylePr>
  </w:style>
  <w:style w:type="table" w:styleId="1400">
    <w:name w:val="Grid Table 4 - Accent 2"/>
    <w:basedOn w:val="1496"/>
    <w:uiPriority w:val="59"/>
    <w:pPr>
      <w:spacing w:after="0" w:line="240" w:lineRule="auto"/>
    </w:pPr>
    <w:tblPr>
      <w:tblStyleRowBandSize w:val="1"/>
      <w:tblStyleColBandSize w:val="1"/>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blStylePr w:type="band1Horz">
      <w:rPr>
        <w:sz w:val="22"/>
      </w:rPr>
      <w:tblPr/>
      <w:tcPr>
        <w:shd w:val="clear" w:color="FFFFFF" w:fill="FBE5D6" w:themeFill="accent2" w:themeFillTint="32"/>
      </w:tcPr>
    </w:tblStylePr>
    <w:tblStylePr w:type="band1Vert">
      <w:rPr>
        <w:sz w:val="22"/>
      </w:rPr>
      <w:tblPr/>
      <w:tcPr>
        <w:shd w:val="clear" w:color="FFFFFF" w:fill="FBE5D6" w:themeFill="accent2" w:themeFillTint="32"/>
      </w:tcPr>
    </w:tblStylePr>
    <w:tblStylePr w:type="firstCol">
      <w:rPr>
        <w:b/>
      </w:rPr>
      <w:tblPr/>
    </w:tblStylePr>
    <w:tblStylePr w:type="firstRow">
      <w:rPr>
        <w:b/>
        <w:sz w:val="22"/>
      </w:rPr>
      <w:tblPr/>
      <w:tcPr>
        <w:tcBorders>
          <w:top w:val="single" w:color="000000" w:themeColor="accent2" w:sz="4" w:space="0"/>
          <w:left w:val="single" w:color="000000" w:themeColor="accent2" w:sz="4" w:space="0"/>
          <w:bottom w:val="single" w:color="000000" w:themeColor="accent2" w:sz="4" w:space="0"/>
          <w:right w:val="single" w:color="000000" w:themeColor="accent2" w:sz="4" w:space="0"/>
        </w:tcBorders>
        <w:shd w:val="clear" w:color="FFFFFF" w:fill="F4B185" w:themeFill="accent2" w:themeFillTint="97"/>
      </w:tcPr>
    </w:tblStylePr>
    <w:tblStylePr w:type="lastCol">
      <w:rPr>
        <w:b/>
      </w:rPr>
      <w:tblPr/>
    </w:tblStylePr>
    <w:tblStylePr w:type="lastRow">
      <w:rPr>
        <w:b/>
      </w:rPr>
      <w:tblPr/>
      <w:tcPr>
        <w:tcBorders>
          <w:top w:val="single" w:color="000000" w:themeColor="accent2" w:sz="4" w:space="0"/>
        </w:tcBorders>
      </w:tcPr>
    </w:tblStylePr>
  </w:style>
  <w:style w:type="table" w:styleId="1401">
    <w:name w:val="Grid Table 4 - Accent 3"/>
    <w:basedOn w:val="1496"/>
    <w:uiPriority w:val="59"/>
    <w:pPr>
      <w:spacing w:after="0" w:line="240" w:lineRule="auto"/>
    </w:pPr>
    <w:tblPr>
      <w:tblStyleRowBandSize w:val="1"/>
      <w:tblStyleColBandSize w:val="1"/>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blStylePr w:type="band1Horz">
      <w:rPr>
        <w:sz w:val="22"/>
      </w:rPr>
      <w:tblPr/>
      <w:tcPr>
        <w:shd w:val="clear" w:color="FFFFFF" w:fill="EDEDED" w:themeFill="accent3" w:themeFillTint="34"/>
      </w:tcPr>
    </w:tblStylePr>
    <w:tblStylePr w:type="band1Vert">
      <w:rPr>
        <w:sz w:val="22"/>
      </w:rPr>
      <w:tblPr/>
      <w:tcPr>
        <w:shd w:val="clear" w:color="FFFFFF" w:fill="EDEDED" w:themeFill="accent3" w:themeFillTint="34"/>
      </w:tcPr>
    </w:tblStylePr>
    <w:tblStylePr w:type="firstCol">
      <w:rPr>
        <w:b/>
      </w:rPr>
      <w:tblPr/>
    </w:tblStylePr>
    <w:tblStylePr w:type="firstRow">
      <w:rPr>
        <w:b/>
        <w:sz w:val="22"/>
      </w:rPr>
      <w:tblPr/>
      <w:tcPr>
        <w:tcBorders>
          <w:top w:val="single" w:color="000000" w:themeColor="accent3" w:sz="4" w:space="0"/>
          <w:left w:val="single" w:color="000000" w:themeColor="accent3" w:sz="4" w:space="0"/>
          <w:bottom w:val="single" w:color="000000" w:themeColor="accent3" w:sz="4" w:space="0"/>
          <w:right w:val="single" w:color="000000" w:themeColor="accent3" w:sz="4" w:space="0"/>
        </w:tcBorders>
        <w:shd w:val="clear" w:color="FFFFFF" w:fill="A5A5A5" w:themeFill="accent3" w:themeFillTint="fe"/>
      </w:tcPr>
    </w:tblStylePr>
    <w:tblStylePr w:type="lastCol">
      <w:rPr>
        <w:b/>
      </w:rPr>
      <w:tblPr/>
    </w:tblStylePr>
    <w:tblStylePr w:type="lastRow">
      <w:rPr>
        <w:b/>
      </w:rPr>
      <w:tblPr/>
      <w:tcPr>
        <w:tcBorders>
          <w:top w:val="single" w:color="000000" w:themeColor="accent3" w:sz="4" w:space="0"/>
        </w:tcBorders>
      </w:tcPr>
    </w:tblStylePr>
  </w:style>
  <w:style w:type="table" w:styleId="1402">
    <w:name w:val="Grid Table 4 - Accent 4"/>
    <w:basedOn w:val="1496"/>
    <w:uiPriority w:val="59"/>
    <w:pPr>
      <w:spacing w:after="0" w:line="240" w:lineRule="auto"/>
    </w:pPr>
    <w:tblPr>
      <w:tblStyleRowBandSize w:val="1"/>
      <w:tblStyleColBandSize w:val="1"/>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blStylePr w:type="band1Horz">
      <w:rPr>
        <w:sz w:val="22"/>
      </w:rPr>
      <w:tblPr/>
      <w:tcPr>
        <w:shd w:val="clear" w:color="FFFFFF" w:fill="FEF2CB" w:themeFill="accent4" w:themeFillTint="34"/>
      </w:tcPr>
    </w:tblStylePr>
    <w:tblStylePr w:type="band1Vert">
      <w:rPr>
        <w:sz w:val="22"/>
      </w:rPr>
      <w:tblPr/>
      <w:tcPr>
        <w:shd w:val="clear" w:color="FFFFFF" w:fill="FEF2CB" w:themeFill="accent4" w:themeFillTint="34"/>
      </w:tcPr>
    </w:tblStylePr>
    <w:tblStylePr w:type="firstCol">
      <w:rPr>
        <w:b/>
      </w:rPr>
      <w:tblPr/>
    </w:tblStylePr>
    <w:tblStylePr w:type="firstRow">
      <w:rPr>
        <w:b/>
        <w:sz w:val="22"/>
      </w:rPr>
      <w:tblPr/>
      <w:tcPr>
        <w:tcBorders>
          <w:top w:val="single" w:color="000000" w:themeColor="accent4" w:sz="4" w:space="0"/>
          <w:left w:val="single" w:color="000000" w:themeColor="accent4" w:sz="4" w:space="0"/>
          <w:bottom w:val="single" w:color="000000" w:themeColor="accent4" w:sz="4" w:space="0"/>
          <w:right w:val="single" w:color="000000" w:themeColor="accent4" w:sz="4" w:space="0"/>
        </w:tcBorders>
        <w:shd w:val="clear" w:color="FFFFFF" w:fill="FFD864" w:themeFill="accent4" w:themeFillTint="9a"/>
      </w:tcPr>
    </w:tblStylePr>
    <w:tblStylePr w:type="lastCol">
      <w:rPr>
        <w:b/>
      </w:rPr>
      <w:tblPr/>
    </w:tblStylePr>
    <w:tblStylePr w:type="lastRow">
      <w:rPr>
        <w:b/>
      </w:rPr>
      <w:tblPr/>
      <w:tcPr>
        <w:tcBorders>
          <w:top w:val="single" w:color="000000" w:themeColor="accent4" w:sz="4" w:space="0"/>
        </w:tcBorders>
      </w:tcPr>
    </w:tblStylePr>
  </w:style>
  <w:style w:type="table" w:styleId="1403">
    <w:name w:val="Grid Table 4 - Accent 5"/>
    <w:basedOn w:val="1496"/>
    <w:uiPriority w:val="59"/>
    <w:pPr>
      <w:spacing w:after="0" w:line="240" w:lineRule="auto"/>
    </w:pPr>
    <w:tblPr>
      <w:tblStyleRowBandSize w:val="1"/>
      <w:tblStyleColBandSize w:val="1"/>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blStylePr w:type="band1Horz">
      <w:rPr>
        <w:sz w:val="22"/>
      </w:rPr>
      <w:tblPr/>
      <w:tcPr>
        <w:shd w:val="clear" w:color="FFFFFF" w:fill="DDEBF6" w:themeFill="accent5" w:themeFillTint="34"/>
      </w:tcPr>
    </w:tblStylePr>
    <w:tblStylePr w:type="band1Vert">
      <w:rPr>
        <w:sz w:val="22"/>
      </w:rPr>
      <w:tblPr/>
      <w:tcPr>
        <w:shd w:val="clear" w:color="FFFFFF" w:fill="DDEBF6" w:themeFill="accent5" w:themeFillTint="34"/>
      </w:tcPr>
    </w:tblStylePr>
    <w:tblStylePr w:type="firstCol">
      <w:rPr>
        <w:b/>
      </w:rPr>
      <w:tblPr/>
    </w:tblStylePr>
    <w:tblStylePr w:type="firstRow">
      <w:rPr>
        <w:b/>
        <w:sz w:val="22"/>
      </w:rPr>
      <w:tblPr/>
      <w:tcPr>
        <w:tcBorders>
          <w:top w:val="single" w:color="000000" w:themeColor="accent5" w:sz="4" w:space="0"/>
          <w:left w:val="single" w:color="000000" w:themeColor="accent5" w:sz="4" w:space="0"/>
          <w:bottom w:val="single" w:color="000000" w:themeColor="accent5" w:sz="4" w:space="0"/>
          <w:right w:val="single" w:color="000000" w:themeColor="accent5" w:sz="4" w:space="0"/>
        </w:tcBorders>
        <w:shd w:val="clear" w:color="FFFFFF" w:fill="5B9BD5" w:themeFill="accent5"/>
      </w:tcPr>
    </w:tblStylePr>
    <w:tblStylePr w:type="lastCol">
      <w:rPr>
        <w:b/>
      </w:rPr>
      <w:tblPr/>
    </w:tblStylePr>
    <w:tblStylePr w:type="lastRow">
      <w:rPr>
        <w:b/>
      </w:rPr>
      <w:tblPr/>
      <w:tcPr>
        <w:tcBorders>
          <w:top w:val="single" w:color="000000" w:themeColor="accent5" w:sz="4" w:space="0"/>
        </w:tcBorders>
      </w:tcPr>
    </w:tblStylePr>
  </w:style>
  <w:style w:type="table" w:styleId="1404">
    <w:name w:val="Grid Table 4 - Accent 6"/>
    <w:basedOn w:val="1496"/>
    <w:uiPriority w:val="59"/>
    <w:pPr>
      <w:spacing w:after="0" w:line="240" w:lineRule="auto"/>
    </w:pPr>
    <w:tblPr>
      <w:tblStyleRowBandSize w:val="1"/>
      <w:tblStyleColBandSize w:val="1"/>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blStylePr w:type="band1Horz">
      <w:rPr>
        <w:sz w:val="22"/>
      </w:rPr>
      <w:tblPr/>
      <w:tcPr>
        <w:shd w:val="clear" w:color="FFFFFF" w:fill="E2EFD8" w:themeFill="accent6" w:themeFillTint="34"/>
      </w:tcPr>
    </w:tblStylePr>
    <w:tblStylePr w:type="band1Vert">
      <w:rPr>
        <w:sz w:val="22"/>
      </w:rPr>
      <w:tblPr/>
      <w:tcPr>
        <w:shd w:val="clear" w:color="FFFFFF" w:fill="E2EFD8" w:themeFill="accent6" w:themeFillTint="34"/>
      </w:tcPr>
    </w:tblStylePr>
    <w:tblStylePr w:type="firstCol">
      <w:rPr>
        <w:b/>
      </w:rPr>
      <w:tblPr/>
    </w:tblStylePr>
    <w:tblStylePr w:type="firstRow">
      <w:rPr>
        <w:b/>
        <w:sz w:val="22"/>
      </w:rPr>
      <w:tblPr/>
      <w:tcPr>
        <w:tcBorders>
          <w:top w:val="single" w:color="000000" w:themeColor="accent6" w:sz="4" w:space="0"/>
          <w:left w:val="single" w:color="000000" w:themeColor="accent6" w:sz="4" w:space="0"/>
          <w:bottom w:val="single" w:color="000000" w:themeColor="accent6" w:sz="4" w:space="0"/>
          <w:right w:val="single" w:color="000000" w:themeColor="accent6" w:sz="4" w:space="0"/>
        </w:tcBorders>
        <w:shd w:val="clear" w:color="FFFFFF" w:fill="70AD47" w:themeFill="accent6"/>
      </w:tcPr>
    </w:tblStylePr>
    <w:tblStylePr w:type="lastCol">
      <w:rPr>
        <w:b/>
      </w:rPr>
      <w:tblPr/>
    </w:tblStylePr>
    <w:tblStylePr w:type="lastRow">
      <w:rPr>
        <w:b/>
      </w:rPr>
      <w:tblPr/>
      <w:tcPr>
        <w:tcBorders>
          <w:top w:val="single" w:color="000000" w:themeColor="accent6" w:sz="4" w:space="0"/>
        </w:tcBorders>
      </w:tcPr>
    </w:tblStylePr>
  </w:style>
  <w:style w:type="table" w:styleId="1405">
    <w:name w:val="Grid Table 5 Dark"/>
    <w:basedOn w:val="1496"/>
    <w:uiPriority w:val="99"/>
    <w:pPr>
      <w:spacing w:after="0" w:line="240" w:lineRule="auto"/>
    </w:pPr>
    <w:tblPr>
      <w:tblStyleRowBandSize w:val="1"/>
      <w:tblStyleColBandSize w:val="1"/>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tblPr>
    <w:tblStylePr w:type="band1Horz">
      <w:tblPr/>
      <w:tcPr>
        <w:shd w:val="clear" w:color="FFFFFF" w:fill="8A8A8A" w:themeFill="text1" w:themeFillTint="75"/>
      </w:tcPr>
    </w:tblStylePr>
    <w:tblStylePr w:type="band1Vert">
      <w:tblPr/>
      <w:tcPr>
        <w:shd w:val="clear" w:color="FFFFFF" w:fill="8A8A8A" w:themeFill="text1" w:themeFillTint="75"/>
      </w:tcPr>
    </w:tblStylePr>
    <w:tblStylePr w:type="firstCol">
      <w:rPr>
        <w:b/>
        <w:sz w:val="22"/>
      </w:rPr>
      <w:tblPr/>
      <w:tcPr>
        <w:shd w:val="clear" w:color="FFFFFF" w:fill="000000" w:themeFill="text1"/>
      </w:tcPr>
    </w:tblStylePr>
    <w:tblStylePr w:type="firstRow">
      <w:rPr>
        <w:b/>
        <w:sz w:val="22"/>
      </w:rPr>
      <w:tblPr/>
      <w:tcPr>
        <w:shd w:val="clear" w:color="FFFFFF" w:fill="000000" w:themeFill="text1"/>
      </w:tcPr>
    </w:tblStylePr>
    <w:tblStylePr w:type="lastCol">
      <w:rPr>
        <w:b/>
        <w:sz w:val="22"/>
      </w:rPr>
      <w:tblPr/>
      <w:tcPr>
        <w:shd w:val="clear" w:color="FFFFFF" w:fill="000000" w:themeFill="text1"/>
      </w:tcPr>
    </w:tblStylePr>
    <w:tblStylePr w:type="lastRow">
      <w:rPr>
        <w:b/>
        <w:sz w:val="22"/>
      </w:rPr>
      <w:tblPr/>
      <w:tcPr>
        <w:tcBorders>
          <w:top w:val="single" w:color="000000" w:themeColor="light1" w:sz="4" w:space="0"/>
        </w:tcBorders>
        <w:shd w:val="clear" w:color="FFFFFF" w:fill="000000" w:themeFill="text1"/>
      </w:tcPr>
    </w:tblStylePr>
  </w:style>
  <w:style w:type="table" w:styleId="1406">
    <w:name w:val="Grid Table 5 Dark- Accent 1"/>
    <w:basedOn w:val="1496"/>
    <w:uiPriority w:val="99"/>
    <w:pPr>
      <w:spacing w:after="0" w:line="240" w:lineRule="auto"/>
    </w:pPr>
    <w:tblPr>
      <w:tblStyleRowBandSize w:val="1"/>
      <w:tblStyleColBandSize w:val="1"/>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tblPr>
    <w:tblStylePr w:type="band1Horz">
      <w:tblPr/>
      <w:tcPr>
        <w:shd w:val="clear" w:color="FFFFFF" w:fill="AABFE3" w:themeFill="accent1" w:themeFillTint="75"/>
      </w:tcPr>
    </w:tblStylePr>
    <w:tblStylePr w:type="band1Vert">
      <w:tblPr/>
      <w:tcPr>
        <w:shd w:val="clear" w:color="FFFFFF" w:fill="AABFE3" w:themeFill="accent1" w:themeFillTint="75"/>
      </w:tcPr>
    </w:tblStylePr>
    <w:tblStylePr w:type="firstCol">
      <w:rPr>
        <w:b/>
        <w:sz w:val="22"/>
      </w:rPr>
      <w:tblPr/>
      <w:tcPr>
        <w:shd w:val="clear" w:color="FFFFFF" w:fill="4472C4" w:themeFill="accent1"/>
      </w:tcPr>
    </w:tblStylePr>
    <w:tblStylePr w:type="firstRow">
      <w:rPr>
        <w:b/>
        <w:sz w:val="22"/>
      </w:rPr>
      <w:tblPr/>
      <w:tcPr>
        <w:shd w:val="clear" w:color="FFFFFF" w:fill="4472C4" w:themeFill="accent1"/>
      </w:tcPr>
    </w:tblStylePr>
    <w:tblStylePr w:type="lastCol">
      <w:rPr>
        <w:b/>
        <w:sz w:val="22"/>
      </w:rPr>
      <w:tblPr/>
      <w:tcPr>
        <w:shd w:val="clear" w:color="FFFFFF" w:fill="4472C4" w:themeFill="accent1"/>
      </w:tcPr>
    </w:tblStylePr>
    <w:tblStylePr w:type="lastRow">
      <w:rPr>
        <w:b/>
        <w:sz w:val="22"/>
      </w:rPr>
      <w:tblPr/>
      <w:tcPr>
        <w:tcBorders>
          <w:top w:val="single" w:color="000000" w:themeColor="light1" w:sz="4" w:space="0"/>
        </w:tcBorders>
        <w:shd w:val="clear" w:color="FFFFFF" w:fill="4472C4" w:themeFill="accent1"/>
      </w:tcPr>
    </w:tblStylePr>
  </w:style>
  <w:style w:type="table" w:styleId="1407">
    <w:name w:val="Grid Table 5 Dark - Accent 2"/>
    <w:basedOn w:val="1496"/>
    <w:uiPriority w:val="99"/>
    <w:pPr>
      <w:spacing w:after="0" w:line="240" w:lineRule="auto"/>
    </w:pPr>
    <w:tblPr>
      <w:tblStyleRowBandSize w:val="1"/>
      <w:tblStyleColBandSize w:val="1"/>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tblPr>
    <w:tblStylePr w:type="band1Horz">
      <w:tblPr/>
      <w:tcPr>
        <w:shd w:val="clear" w:color="FFFFFF" w:fill="F6C3A1" w:themeFill="accent2" w:themeFillTint="75"/>
      </w:tcPr>
    </w:tblStylePr>
    <w:tblStylePr w:type="band1Vert">
      <w:tblPr/>
      <w:tcPr>
        <w:shd w:val="clear" w:color="FFFFFF" w:fill="F6C3A1" w:themeFill="accent2" w:themeFillTint="75"/>
      </w:tcPr>
    </w:tblStylePr>
    <w:tblStylePr w:type="firstCol">
      <w:rPr>
        <w:b/>
        <w:sz w:val="22"/>
      </w:rPr>
      <w:tblPr/>
      <w:tcPr>
        <w:shd w:val="clear" w:color="FFFFFF" w:fill="ED7D31" w:themeFill="accent2"/>
      </w:tcPr>
    </w:tblStylePr>
    <w:tblStylePr w:type="firstRow">
      <w:rPr>
        <w:b/>
        <w:sz w:val="22"/>
      </w:rPr>
      <w:tblPr/>
      <w:tcPr>
        <w:shd w:val="clear" w:color="FFFFFF" w:fill="ED7D31" w:themeFill="accent2"/>
      </w:tcPr>
    </w:tblStylePr>
    <w:tblStylePr w:type="lastCol">
      <w:rPr>
        <w:b/>
        <w:sz w:val="22"/>
      </w:rPr>
      <w:tblPr/>
      <w:tcPr>
        <w:shd w:val="clear" w:color="FFFFFF" w:fill="ED7D31" w:themeFill="accent2"/>
      </w:tcPr>
    </w:tblStylePr>
    <w:tblStylePr w:type="lastRow">
      <w:rPr>
        <w:b/>
        <w:sz w:val="22"/>
      </w:rPr>
      <w:tblPr/>
      <w:tcPr>
        <w:tcBorders>
          <w:top w:val="single" w:color="000000" w:themeColor="light1" w:sz="4" w:space="0"/>
        </w:tcBorders>
        <w:shd w:val="clear" w:color="FFFFFF" w:fill="ED7D31" w:themeFill="accent2"/>
      </w:tcPr>
    </w:tblStylePr>
  </w:style>
  <w:style w:type="table" w:styleId="1408">
    <w:name w:val="Grid Table 5 Dark - Accent 3"/>
    <w:basedOn w:val="1496"/>
    <w:uiPriority w:val="99"/>
    <w:pPr>
      <w:spacing w:after="0" w:line="240" w:lineRule="auto"/>
    </w:pPr>
    <w:tblPr>
      <w:tblStyleRowBandSize w:val="1"/>
      <w:tblStyleColBandSize w:val="1"/>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tblPr>
    <w:tblStylePr w:type="band1Horz">
      <w:tblPr/>
      <w:tcPr>
        <w:shd w:val="clear" w:color="FFFFFF" w:fill="D6D6D6" w:themeFill="accent3" w:themeFillTint="75"/>
      </w:tcPr>
    </w:tblStylePr>
    <w:tblStylePr w:type="band1Vert">
      <w:tblPr/>
      <w:tcPr>
        <w:shd w:val="clear" w:color="FFFFFF" w:fill="D6D6D6" w:themeFill="accent3" w:themeFillTint="75"/>
      </w:tcPr>
    </w:tblStylePr>
    <w:tblStylePr w:type="firstCol">
      <w:rPr>
        <w:b/>
        <w:sz w:val="22"/>
      </w:rPr>
      <w:tblPr/>
      <w:tcPr>
        <w:shd w:val="clear" w:color="FFFFFF" w:fill="A5A5A5" w:themeFill="accent3"/>
      </w:tcPr>
    </w:tblStylePr>
    <w:tblStylePr w:type="firstRow">
      <w:rPr>
        <w:b/>
        <w:sz w:val="22"/>
      </w:rPr>
      <w:tblPr/>
      <w:tcPr>
        <w:shd w:val="clear" w:color="FFFFFF" w:fill="A5A5A5" w:themeFill="accent3"/>
      </w:tcPr>
    </w:tblStylePr>
    <w:tblStylePr w:type="lastCol">
      <w:rPr>
        <w:b/>
        <w:sz w:val="22"/>
      </w:rPr>
      <w:tblPr/>
      <w:tcPr>
        <w:shd w:val="clear" w:color="FFFFFF" w:fill="A5A5A5" w:themeFill="accent3"/>
      </w:tcPr>
    </w:tblStylePr>
    <w:tblStylePr w:type="lastRow">
      <w:rPr>
        <w:b/>
        <w:sz w:val="22"/>
      </w:rPr>
      <w:tblPr/>
      <w:tcPr>
        <w:tcBorders>
          <w:top w:val="single" w:color="000000" w:themeColor="light1" w:sz="4" w:space="0"/>
        </w:tcBorders>
        <w:shd w:val="clear" w:color="FFFFFF" w:fill="A5A5A5" w:themeFill="accent3"/>
      </w:tcPr>
    </w:tblStylePr>
  </w:style>
  <w:style w:type="table" w:styleId="1409">
    <w:name w:val="Grid Table 5 Dark- Accent 4"/>
    <w:basedOn w:val="1496"/>
    <w:uiPriority w:val="99"/>
    <w:pPr>
      <w:spacing w:after="0" w:line="240" w:lineRule="auto"/>
    </w:pPr>
    <w:tblPr>
      <w:tblStyleRowBandSize w:val="1"/>
      <w:tblStyleColBandSize w:val="1"/>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tblPr>
    <w:tblStylePr w:type="band1Horz">
      <w:tblPr/>
      <w:tcPr>
        <w:shd w:val="clear" w:color="FFFFFF" w:fill="FEE189" w:themeFill="accent4" w:themeFillTint="75"/>
      </w:tcPr>
    </w:tblStylePr>
    <w:tblStylePr w:type="band1Vert">
      <w:tblPr/>
      <w:tcPr>
        <w:shd w:val="clear" w:color="FFFFFF" w:fill="FEE189" w:themeFill="accent4" w:themeFillTint="75"/>
      </w:tcPr>
    </w:tblStylePr>
    <w:tblStylePr w:type="firstCol">
      <w:rPr>
        <w:b/>
        <w:sz w:val="22"/>
      </w:rPr>
      <w:tblPr/>
      <w:tcPr>
        <w:shd w:val="clear" w:color="FFFFFF" w:fill="FFC000" w:themeFill="accent4"/>
      </w:tcPr>
    </w:tblStylePr>
    <w:tblStylePr w:type="firstRow">
      <w:rPr>
        <w:b/>
        <w:sz w:val="22"/>
      </w:rPr>
      <w:tblPr/>
      <w:tcPr>
        <w:shd w:val="clear" w:color="FFFFFF" w:fill="FFC000" w:themeFill="accent4"/>
      </w:tcPr>
    </w:tblStylePr>
    <w:tblStylePr w:type="lastCol">
      <w:rPr>
        <w:b/>
        <w:sz w:val="22"/>
      </w:rPr>
      <w:tblPr/>
      <w:tcPr>
        <w:shd w:val="clear" w:color="FFFFFF" w:fill="FFC000" w:themeFill="accent4"/>
      </w:tcPr>
    </w:tblStylePr>
    <w:tblStylePr w:type="lastRow">
      <w:rPr>
        <w:b/>
        <w:sz w:val="22"/>
      </w:rPr>
      <w:tblPr/>
      <w:tcPr>
        <w:tcBorders>
          <w:top w:val="single" w:color="000000" w:themeColor="light1" w:sz="4" w:space="0"/>
        </w:tcBorders>
        <w:shd w:val="clear" w:color="FFFFFF" w:fill="FFC000" w:themeFill="accent4"/>
      </w:tcPr>
    </w:tblStylePr>
  </w:style>
  <w:style w:type="table" w:styleId="1410">
    <w:name w:val="Grid Table 5 Dark - Accent 5"/>
    <w:basedOn w:val="1496"/>
    <w:uiPriority w:val="99"/>
    <w:pPr>
      <w:spacing w:after="0" w:line="240" w:lineRule="auto"/>
    </w:pPr>
    <w:tblPr>
      <w:tblStyleRowBandSize w:val="1"/>
      <w:tblStyleColBandSize w:val="1"/>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tblPr>
    <w:tblStylePr w:type="band1Horz">
      <w:tblPr/>
      <w:tcPr>
        <w:shd w:val="clear" w:color="FFFFFF" w:fill="B4D2EB" w:themeFill="accent5" w:themeFillTint="75"/>
      </w:tcPr>
    </w:tblStylePr>
    <w:tblStylePr w:type="band1Vert">
      <w:tblPr/>
      <w:tcPr>
        <w:shd w:val="clear" w:color="FFFFFF" w:fill="B4D2EB" w:themeFill="accent5" w:themeFillTint="75"/>
      </w:tcPr>
    </w:tblStylePr>
    <w:tblStylePr w:type="firstCol">
      <w:rPr>
        <w:b/>
        <w:sz w:val="22"/>
      </w:rPr>
      <w:tblPr/>
      <w:tcPr>
        <w:shd w:val="clear" w:color="FFFFFF" w:fill="5B9BD5" w:themeFill="accent5"/>
      </w:tcPr>
    </w:tblStylePr>
    <w:tblStylePr w:type="firstRow">
      <w:rPr>
        <w:b/>
        <w:sz w:val="22"/>
      </w:rPr>
      <w:tblPr/>
      <w:tcPr>
        <w:shd w:val="clear" w:color="FFFFFF" w:fill="5B9BD5" w:themeFill="accent5"/>
      </w:tcPr>
    </w:tblStylePr>
    <w:tblStylePr w:type="lastCol">
      <w:rPr>
        <w:b/>
        <w:sz w:val="22"/>
      </w:rPr>
      <w:tblPr/>
      <w:tcPr>
        <w:shd w:val="clear" w:color="FFFFFF" w:fill="5B9BD5" w:themeFill="accent5"/>
      </w:tcPr>
    </w:tblStylePr>
    <w:tblStylePr w:type="lastRow">
      <w:rPr>
        <w:b/>
        <w:sz w:val="22"/>
      </w:rPr>
      <w:tblPr/>
      <w:tcPr>
        <w:tcBorders>
          <w:top w:val="single" w:color="000000" w:themeColor="light1" w:sz="4" w:space="0"/>
        </w:tcBorders>
        <w:shd w:val="clear" w:color="FFFFFF" w:fill="5B9BD5" w:themeFill="accent5"/>
      </w:tcPr>
    </w:tblStylePr>
  </w:style>
  <w:style w:type="table" w:styleId="1411">
    <w:name w:val="Grid Table 5 Dark - Accent 6"/>
    <w:basedOn w:val="1496"/>
    <w:uiPriority w:val="99"/>
    <w:pPr>
      <w:spacing w:after="0" w:line="240" w:lineRule="auto"/>
    </w:pPr>
    <w:tblPr>
      <w:tblStyleRowBandSize w:val="1"/>
      <w:tblStyleColBandSize w:val="1"/>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tblPr>
    <w:tblStylePr w:type="band1Horz">
      <w:tblPr/>
      <w:tcPr>
        <w:shd w:val="clear" w:color="FFFFFF" w:fill="BEDBA8" w:themeFill="accent6" w:themeFillTint="75"/>
      </w:tcPr>
    </w:tblStylePr>
    <w:tblStylePr w:type="band1Vert">
      <w:tblPr/>
      <w:tcPr>
        <w:shd w:val="clear" w:color="FFFFFF" w:fill="BEDBA8" w:themeFill="accent6" w:themeFillTint="75"/>
      </w:tcPr>
    </w:tblStylePr>
    <w:tblStylePr w:type="firstCol">
      <w:rPr>
        <w:b/>
        <w:sz w:val="22"/>
      </w:rPr>
      <w:tblPr/>
      <w:tcPr>
        <w:shd w:val="clear" w:color="FFFFFF" w:fill="70AD47" w:themeFill="accent6"/>
      </w:tcPr>
    </w:tblStylePr>
    <w:tblStylePr w:type="firstRow">
      <w:rPr>
        <w:b/>
        <w:sz w:val="22"/>
      </w:rPr>
      <w:tblPr/>
      <w:tcPr>
        <w:shd w:val="clear" w:color="FFFFFF" w:fill="70AD47" w:themeFill="accent6"/>
      </w:tcPr>
    </w:tblStylePr>
    <w:tblStylePr w:type="lastCol">
      <w:rPr>
        <w:b/>
        <w:sz w:val="22"/>
      </w:rPr>
      <w:tblPr/>
      <w:tcPr>
        <w:shd w:val="clear" w:color="FFFFFF" w:fill="70AD47" w:themeFill="accent6"/>
      </w:tcPr>
    </w:tblStylePr>
    <w:tblStylePr w:type="lastRow">
      <w:rPr>
        <w:b/>
        <w:sz w:val="22"/>
      </w:rPr>
      <w:tblPr/>
      <w:tcPr>
        <w:tcBorders>
          <w:top w:val="single" w:color="000000" w:themeColor="light1" w:sz="4" w:space="0"/>
        </w:tcBorders>
        <w:shd w:val="clear" w:color="FFFFFF" w:fill="70AD47" w:themeFill="accent6"/>
      </w:tcPr>
    </w:tblStylePr>
  </w:style>
  <w:style w:type="table" w:styleId="1412">
    <w:name w:val="Grid Table 6 Colorful"/>
    <w:basedOn w:val="1496"/>
    <w:uiPriority w:val="99"/>
    <w:pPr>
      <w:spacing w:after="0" w:line="240" w:lineRule="auto"/>
    </w:pPr>
    <w:tblPr>
      <w:tblStyleRowBandSize w:val="1"/>
      <w:tblStyleColBandSize w:val="1"/>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blStylePr w:type="band1Horz">
      <w:rPr>
        <w:color w:val="4A4A4A" w:themeColor="text1" w:themeTint="80" w:themeShade="95"/>
        <w:sz w:val="22"/>
      </w:rPr>
      <w:tblPr/>
      <w:tcPr>
        <w:shd w:val="clear" w:color="FFFFFF" w:fill="CBCBCB" w:themeFill="text1" w:themeFillTint="34"/>
      </w:tcPr>
    </w:tblStylePr>
    <w:tblStylePr w:type="band1Vert">
      <w:tblPr/>
      <w:tcPr>
        <w:shd w:val="clear" w:color="FFFFFF" w:fill="CBCBCB" w:themeFill="text1" w:themeFillTint="34"/>
      </w:tcPr>
    </w:tblStylePr>
    <w:tblStylePr w:type="band2Horz">
      <w:rPr>
        <w:color w:val="4A4A4A" w:themeColor="text1" w:themeTint="80" w:themeShade="95"/>
        <w:sz w:val="22"/>
      </w:rPr>
      <w:tblPr/>
    </w:tblStylePr>
    <w:tblStylePr w:type="firstCol">
      <w:rPr>
        <w:b/>
        <w:color w:val="4A4A4A" w:themeColor="text1" w:themeTint="80" w:themeShade="95"/>
      </w:rPr>
      <w:tblPr/>
    </w:tblStylePr>
    <w:tblStylePr w:type="firstRow">
      <w:rPr>
        <w:b/>
        <w:color w:val="4A4A4A" w:themeColor="text1" w:themeTint="80" w:themeShade="95"/>
      </w:rPr>
      <w:tblPr/>
      <w:tcPr>
        <w:tcBorders>
          <w:bottom w:val="single" w:color="000000" w:themeColor="text1" w:sz="12" w:space="0"/>
        </w:tcBorders>
      </w:tcPr>
    </w:tblStylePr>
    <w:tblStylePr w:type="lastCol">
      <w:rPr>
        <w:b/>
        <w:color w:val="4A4A4A" w:themeColor="text1" w:themeTint="80" w:themeShade="95"/>
      </w:rPr>
      <w:tblPr/>
    </w:tblStylePr>
    <w:tblStylePr w:type="lastRow">
      <w:rPr>
        <w:b/>
        <w:color w:val="4A4A4A" w:themeColor="text1" w:themeTint="80" w:themeShade="95"/>
      </w:rPr>
      <w:tblPr/>
    </w:tblStylePr>
    <w:tblStylePr w:type="wholeTable">
      <w:rPr>
        <w:color w:val="4A4A4A" w:themeColor="text1" w:themeTint="80" w:themeShade="95"/>
        <w:sz w:val="22"/>
      </w:rPr>
      <w:tblPr/>
    </w:tblStylePr>
  </w:style>
  <w:style w:type="table" w:styleId="1413">
    <w:name w:val="Grid Table 6 Colorful - Accent 1"/>
    <w:basedOn w:val="1496"/>
    <w:uiPriority w:val="99"/>
    <w:pPr>
      <w:spacing w:after="0" w:line="240" w:lineRule="auto"/>
    </w:pPr>
    <w:tblPr>
      <w:tblStyleRowBandSize w:val="1"/>
      <w:tblStyleColBandSize w:val="1"/>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blStylePr w:type="band1Horz">
      <w:rPr>
        <w:color w:val="3664A9" w:themeColor="accent1" w:themeTint="80" w:themeShade="95"/>
        <w:sz w:val="22"/>
      </w:rPr>
      <w:tblPr/>
      <w:tcPr>
        <w:shd w:val="clear" w:color="FFFFFF" w:fill="D9E2F2" w:themeFill="accent1" w:themeFillTint="34"/>
      </w:tcPr>
    </w:tblStylePr>
    <w:tblStylePr w:type="band1Vert">
      <w:tblPr/>
      <w:tcPr>
        <w:shd w:val="clear" w:color="FFFFFF" w:fill="D9E2F2" w:themeFill="accent1" w:themeFillTint="34"/>
      </w:tcPr>
    </w:tblStylePr>
    <w:tblStylePr w:type="band2Horz">
      <w:rPr>
        <w:color w:val="3664A9" w:themeColor="accent1" w:themeTint="80" w:themeShade="95"/>
        <w:sz w:val="22"/>
      </w:rPr>
      <w:tblPr/>
    </w:tblStylePr>
    <w:tblStylePr w:type="firstCol">
      <w:rPr>
        <w:b/>
        <w:color w:val="3664A9" w:themeColor="accent1" w:themeTint="80" w:themeShade="95"/>
      </w:rPr>
      <w:tblPr/>
    </w:tblStylePr>
    <w:tblStylePr w:type="firstRow">
      <w:rPr>
        <w:b/>
        <w:color w:val="3664A9" w:themeColor="accent1" w:themeTint="80" w:themeShade="95"/>
      </w:rPr>
      <w:tblPr/>
      <w:tcPr>
        <w:tcBorders>
          <w:bottom w:val="single" w:color="000000" w:themeColor="accent1" w:sz="12" w:space="0"/>
        </w:tcBorders>
      </w:tcPr>
    </w:tblStylePr>
    <w:tblStylePr w:type="lastCol">
      <w:rPr>
        <w:b/>
        <w:color w:val="3664A9" w:themeColor="accent1" w:themeTint="80" w:themeShade="95"/>
      </w:rPr>
      <w:tblPr/>
    </w:tblStylePr>
    <w:tblStylePr w:type="lastRow">
      <w:rPr>
        <w:b/>
        <w:color w:val="3664A9" w:themeColor="accent1" w:themeTint="80" w:themeShade="95"/>
      </w:rPr>
      <w:tblPr/>
    </w:tblStylePr>
    <w:tblStylePr w:type="wholeTable">
      <w:rPr>
        <w:color w:val="3664A9" w:themeColor="accent1" w:themeTint="80" w:themeShade="95"/>
        <w:sz w:val="22"/>
      </w:rPr>
      <w:tblPr/>
    </w:tblStylePr>
  </w:style>
  <w:style w:type="table" w:styleId="1414">
    <w:name w:val="Grid Table 6 Colorful - Accent 2"/>
    <w:basedOn w:val="1496"/>
    <w:uiPriority w:val="99"/>
    <w:pPr>
      <w:spacing w:after="0" w:line="240" w:lineRule="auto"/>
    </w:pPr>
    <w:tblPr>
      <w:tblStyleRowBandSize w:val="1"/>
      <w:tblStyleColBandSize w:val="1"/>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blStylePr w:type="band1Horz">
      <w:rPr>
        <w:color w:val="C95712" w:themeColor="accent2" w:themeTint="97" w:themeShade="95"/>
        <w:sz w:val="22"/>
      </w:rPr>
      <w:tblPr/>
      <w:tcPr>
        <w:shd w:val="clear" w:color="FFFFFF" w:fill="FBE5D6" w:themeFill="accent2" w:themeFillTint="32"/>
      </w:tcPr>
    </w:tblStylePr>
    <w:tblStylePr w:type="band1Vert">
      <w:tblPr/>
      <w:tcPr>
        <w:shd w:val="clear" w:color="FFFFFF" w:fill="FBE5D6" w:themeFill="accent2" w:themeFillTint="32"/>
      </w:tcPr>
    </w:tblStylePr>
    <w:tblStylePr w:type="band2Horz">
      <w:rPr>
        <w:color w:val="C95712" w:themeColor="accent2" w:themeTint="97" w:themeShade="95"/>
        <w:sz w:val="22"/>
      </w:rPr>
      <w:tblPr/>
    </w:tblStylePr>
    <w:tblStylePr w:type="firstCol">
      <w:rPr>
        <w:b/>
        <w:color w:val="C95712" w:themeColor="accent2" w:themeTint="97" w:themeShade="95"/>
      </w:rPr>
      <w:tblPr/>
    </w:tblStylePr>
    <w:tblStylePr w:type="firstRow">
      <w:rPr>
        <w:b/>
        <w:color w:val="C95712" w:themeColor="accent2" w:themeTint="97" w:themeShade="95"/>
      </w:rPr>
      <w:tblPr/>
      <w:tcPr>
        <w:tcBorders>
          <w:bottom w:val="single" w:color="000000" w:themeColor="accent2" w:sz="12" w:space="0"/>
        </w:tcBorders>
      </w:tcPr>
    </w:tblStylePr>
    <w:tblStylePr w:type="lastCol">
      <w:rPr>
        <w:b/>
        <w:color w:val="C95712" w:themeColor="accent2" w:themeTint="97" w:themeShade="95"/>
      </w:rPr>
      <w:tblPr/>
    </w:tblStylePr>
    <w:tblStylePr w:type="lastRow">
      <w:rPr>
        <w:b/>
        <w:color w:val="C95712" w:themeColor="accent2" w:themeTint="97" w:themeShade="95"/>
      </w:rPr>
      <w:tblPr/>
    </w:tblStylePr>
    <w:tblStylePr w:type="wholeTable">
      <w:rPr>
        <w:color w:val="C95712" w:themeColor="accent2" w:themeTint="97" w:themeShade="95"/>
        <w:sz w:val="22"/>
      </w:rPr>
      <w:tblPr/>
    </w:tblStylePr>
  </w:style>
  <w:style w:type="table" w:styleId="1415">
    <w:name w:val="Grid Table 6 Colorful - Accent 3"/>
    <w:basedOn w:val="1496"/>
    <w:uiPriority w:val="99"/>
    <w:pPr>
      <w:spacing w:after="0" w:line="240" w:lineRule="auto"/>
    </w:pPr>
    <w:tblPr>
      <w:tblStyleRowBandSize w:val="1"/>
      <w:tblStyleColBandSize w:val="1"/>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blStylePr w:type="band1Horz">
      <w:rPr>
        <w:color w:val="606060" w:themeColor="accent3" w:themeTint="fe" w:themeShade="95"/>
        <w:sz w:val="22"/>
      </w:rPr>
      <w:tblPr/>
      <w:tcPr>
        <w:shd w:val="clear" w:color="FFFFFF" w:fill="EDEDED" w:themeFill="accent3" w:themeFillTint="34"/>
      </w:tcPr>
    </w:tblStylePr>
    <w:tblStylePr w:type="band1Vert">
      <w:tblPr/>
      <w:tcPr>
        <w:shd w:val="clear" w:color="FFFFFF" w:fill="EDEDED" w:themeFill="accent3" w:themeFillTint="34"/>
      </w:tcPr>
    </w:tblStylePr>
    <w:tblStylePr w:type="band2Horz">
      <w:rPr>
        <w:color w:val="606060" w:themeColor="accent3" w:themeTint="fe" w:themeShade="95"/>
        <w:sz w:val="22"/>
      </w:rPr>
      <w:tblPr/>
    </w:tblStylePr>
    <w:tblStylePr w:type="firstCol">
      <w:rPr>
        <w:b/>
        <w:color w:val="606060" w:themeColor="accent3" w:themeTint="fe" w:themeShade="95"/>
      </w:rPr>
      <w:tblPr/>
    </w:tblStylePr>
    <w:tblStylePr w:type="firstRow">
      <w:rPr>
        <w:b/>
        <w:color w:val="606060" w:themeColor="accent3" w:themeTint="fe" w:themeShade="95"/>
      </w:rPr>
      <w:tblPr/>
      <w:tcPr>
        <w:tcBorders>
          <w:bottom w:val="single" w:color="000000" w:themeColor="accent3" w:sz="12" w:space="0"/>
        </w:tcBorders>
      </w:tcPr>
    </w:tblStylePr>
    <w:tblStylePr w:type="lastCol">
      <w:rPr>
        <w:b/>
        <w:color w:val="606060" w:themeColor="accent3" w:themeTint="fe" w:themeShade="95"/>
      </w:rPr>
      <w:tblPr/>
    </w:tblStylePr>
    <w:tblStylePr w:type="lastRow">
      <w:rPr>
        <w:b/>
        <w:color w:val="606060" w:themeColor="accent3" w:themeTint="fe" w:themeShade="95"/>
      </w:rPr>
      <w:tblPr/>
    </w:tblStylePr>
    <w:tblStylePr w:type="wholeTable">
      <w:rPr>
        <w:color w:val="606060" w:themeColor="accent3" w:themeTint="fe" w:themeShade="95"/>
        <w:sz w:val="22"/>
      </w:rPr>
      <w:tblPr/>
    </w:tblStylePr>
  </w:style>
  <w:style w:type="table" w:styleId="1416">
    <w:name w:val="Grid Table 6 Colorful - Accent 4"/>
    <w:basedOn w:val="1496"/>
    <w:uiPriority w:val="99"/>
    <w:pPr>
      <w:spacing w:after="0" w:line="240" w:lineRule="auto"/>
    </w:pPr>
    <w:tblPr>
      <w:tblStyleRowBandSize w:val="1"/>
      <w:tblStyleColBandSize w:val="1"/>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blStylePr w:type="band1Horz">
      <w:rPr>
        <w:color w:val="CD9600" w:themeColor="accent4" w:themeTint="9a" w:themeShade="95"/>
        <w:sz w:val="22"/>
      </w:rPr>
      <w:tblPr/>
      <w:tcPr>
        <w:shd w:val="clear" w:color="FFFFFF" w:fill="FEF2CB" w:themeFill="accent4" w:themeFillTint="34"/>
      </w:tcPr>
    </w:tblStylePr>
    <w:tblStylePr w:type="band1Vert">
      <w:tblPr/>
      <w:tcPr>
        <w:shd w:val="clear" w:color="FFFFFF" w:fill="FEF2CB" w:themeFill="accent4" w:themeFillTint="34"/>
      </w:tcPr>
    </w:tblStylePr>
    <w:tblStylePr w:type="band2Horz">
      <w:rPr>
        <w:color w:val="CD9600" w:themeColor="accent4" w:themeTint="9a" w:themeShade="95"/>
        <w:sz w:val="22"/>
      </w:rPr>
      <w:tblPr/>
    </w:tblStylePr>
    <w:tblStylePr w:type="firstCol">
      <w:rPr>
        <w:b/>
        <w:color w:val="CD9600" w:themeColor="accent4" w:themeTint="9a" w:themeShade="95"/>
      </w:rPr>
      <w:tblPr/>
    </w:tblStylePr>
    <w:tblStylePr w:type="firstRow">
      <w:rPr>
        <w:b/>
        <w:color w:val="CD9600" w:themeColor="accent4" w:themeTint="9a" w:themeShade="95"/>
      </w:rPr>
      <w:tblPr/>
      <w:tcPr>
        <w:tcBorders>
          <w:bottom w:val="single" w:color="000000" w:themeColor="accent4" w:sz="12" w:space="0"/>
        </w:tcBorders>
      </w:tcPr>
    </w:tblStylePr>
    <w:tblStylePr w:type="lastCol">
      <w:rPr>
        <w:b/>
        <w:color w:val="CD9600" w:themeColor="accent4" w:themeTint="9a" w:themeShade="95"/>
      </w:rPr>
      <w:tblPr/>
    </w:tblStylePr>
    <w:tblStylePr w:type="lastRow">
      <w:rPr>
        <w:b/>
        <w:color w:val="CD9600" w:themeColor="accent4" w:themeTint="9a" w:themeShade="95"/>
      </w:rPr>
      <w:tblPr/>
    </w:tblStylePr>
    <w:tblStylePr w:type="wholeTable">
      <w:rPr>
        <w:color w:val="CD9600" w:themeColor="accent4" w:themeTint="9a" w:themeShade="95"/>
        <w:sz w:val="22"/>
      </w:rPr>
      <w:tblPr/>
    </w:tblStylePr>
  </w:style>
  <w:style w:type="table" w:styleId="1417">
    <w:name w:val="Grid Table 6 Colorful - Accent 5"/>
    <w:basedOn w:val="1496"/>
    <w:uiPriority w:val="99"/>
    <w:pPr>
      <w:spacing w:after="0" w:line="240" w:lineRule="auto"/>
    </w:pPr>
    <w:tblPr>
      <w:tblStyleRowBandSize w:val="1"/>
      <w:tblStyleColBandSize w:val="1"/>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blStylePr w:type="band1Horz">
      <w:rPr>
        <w:color w:val="245D8D" w:themeColor="accent5" w:themeShade="95"/>
        <w:sz w:val="22"/>
      </w:rPr>
      <w:tblPr/>
      <w:tcPr>
        <w:shd w:val="clear" w:color="FFFFFF" w:fill="DDEBF6" w:themeFill="accent5" w:themeFillTint="34"/>
      </w:tcPr>
    </w:tblStylePr>
    <w:tblStylePr w:type="band1Vert">
      <w:tblPr/>
      <w:tcPr>
        <w:shd w:val="clear" w:color="FFFFFF" w:fill="DDEBF6" w:themeFill="accent5" w:themeFillTint="34"/>
      </w:tcPr>
    </w:tblStylePr>
    <w:tblStylePr w:type="band2Horz">
      <w:rPr>
        <w:color w:val="245D8D" w:themeColor="accent5" w:themeShade="95"/>
        <w:sz w:val="22"/>
      </w:rPr>
      <w:tblPr/>
    </w:tblStylePr>
    <w:tblStylePr w:type="firstCol">
      <w:rPr>
        <w:b/>
        <w:color w:val="245D8D" w:themeColor="accent5" w:themeShade="95"/>
      </w:rPr>
      <w:tblPr/>
    </w:tblStylePr>
    <w:tblStylePr w:type="firstRow">
      <w:rPr>
        <w:b/>
        <w:color w:val="245D8D" w:themeColor="accent5" w:themeShade="95"/>
      </w:rPr>
      <w:tblPr/>
      <w:tcPr>
        <w:tcBorders>
          <w:bottom w:val="single" w:color="000000" w:themeColor="accent5" w:sz="12" w:space="0"/>
        </w:tcBorders>
      </w:tcPr>
    </w:tblStylePr>
    <w:tblStylePr w:type="lastCol">
      <w:rPr>
        <w:b/>
        <w:color w:val="245D8D" w:themeColor="accent5" w:themeShade="95"/>
      </w:rPr>
      <w:tblPr/>
    </w:tblStylePr>
    <w:tblStylePr w:type="lastRow">
      <w:rPr>
        <w:b/>
        <w:color w:val="245D8D" w:themeColor="accent5" w:themeShade="95"/>
      </w:rPr>
      <w:tblPr/>
    </w:tblStylePr>
    <w:tblStylePr w:type="wholeTable">
      <w:rPr>
        <w:color w:val="245D8D" w:themeColor="accent5" w:themeShade="95"/>
        <w:sz w:val="22"/>
      </w:rPr>
      <w:tblPr/>
    </w:tblStylePr>
  </w:style>
  <w:style w:type="table" w:styleId="1418">
    <w:name w:val="Grid Table 6 Colorful - Accent 6"/>
    <w:basedOn w:val="1496"/>
    <w:uiPriority w:val="99"/>
    <w:pPr>
      <w:spacing w:after="0" w:line="240" w:lineRule="auto"/>
    </w:pPr>
    <w:tblPr>
      <w:tblStyleRowBandSize w:val="1"/>
      <w:tblStyleColBandSize w:val="1"/>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blStylePr w:type="band1Horz">
      <w:rPr>
        <w:color w:val="245D8D" w:themeColor="accent5" w:themeShade="95"/>
        <w:sz w:val="22"/>
      </w:rPr>
      <w:tblPr/>
      <w:tcPr>
        <w:shd w:val="clear" w:color="FFFFFF" w:fill="E2EFD8" w:themeFill="accent6" w:themeFillTint="34"/>
      </w:tcPr>
    </w:tblStylePr>
    <w:tblStylePr w:type="band1Vert">
      <w:tblPr/>
      <w:tcPr>
        <w:shd w:val="clear" w:color="FFFFFF" w:fill="E2EFD8" w:themeFill="accent6" w:themeFillTint="34"/>
      </w:tcPr>
    </w:tblStylePr>
    <w:tblStylePr w:type="band2Horz">
      <w:rPr>
        <w:color w:val="245D8D" w:themeColor="accent5" w:themeShade="95"/>
        <w:sz w:val="22"/>
      </w:rPr>
      <w:tblPr/>
    </w:tblStylePr>
    <w:tblStylePr w:type="firstCol">
      <w:rPr>
        <w:b/>
        <w:color w:val="245D8D" w:themeColor="accent5" w:themeShade="95"/>
      </w:rPr>
      <w:tblPr/>
    </w:tblStylePr>
    <w:tblStylePr w:type="firstRow">
      <w:rPr>
        <w:b/>
        <w:color w:val="245D8D" w:themeColor="accent5" w:themeShade="95"/>
      </w:rPr>
      <w:tblPr/>
      <w:tcPr>
        <w:tcBorders>
          <w:bottom w:val="single" w:color="000000" w:themeColor="accent6" w:sz="12" w:space="0"/>
        </w:tcBorders>
      </w:tcPr>
    </w:tblStylePr>
    <w:tblStylePr w:type="lastCol">
      <w:rPr>
        <w:b/>
        <w:color w:val="245D8D" w:themeColor="accent5" w:themeShade="95"/>
      </w:rPr>
      <w:tblPr/>
    </w:tblStylePr>
    <w:tblStylePr w:type="lastRow">
      <w:rPr>
        <w:b/>
        <w:color w:val="245D8D" w:themeColor="accent5" w:themeShade="95"/>
      </w:rPr>
      <w:tblPr/>
    </w:tblStylePr>
    <w:tblStylePr w:type="wholeTable">
      <w:rPr>
        <w:color w:val="245D8D" w:themeColor="accent5" w:themeShade="95"/>
        <w:sz w:val="22"/>
      </w:rPr>
      <w:tblPr/>
    </w:tblStylePr>
  </w:style>
  <w:style w:type="table" w:styleId="1419">
    <w:name w:val="Grid Table 7 Colorful"/>
    <w:basedOn w:val="1496"/>
    <w:uiPriority w:val="99"/>
    <w:pPr>
      <w:spacing w:after="0" w:line="240" w:lineRule="auto"/>
    </w:pPr>
    <w:tblPr>
      <w:tblStyleRowBandSize w:val="1"/>
      <w:tblStyleColBandSize w:val="1"/>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blStylePr w:type="band1Horz">
      <w:rPr>
        <w:color w:val="4A4A4A" w:themeColor="text1" w:themeTint="80" w:themeShade="95"/>
        <w:sz w:val="22"/>
      </w:rPr>
      <w:tblPr/>
      <w:tcPr>
        <w:shd w:val="clear" w:color="FFFFFF" w:fill="F2F2F2" w:themeFill="text1" w:themeFillTint="0"/>
      </w:tcPr>
    </w:tblStylePr>
    <w:tblStylePr w:type="band1Vert">
      <w:tblPr/>
      <w:tcPr>
        <w:shd w:val="clear" w:color="FFFFFF" w:fill="F2F2F2" w:themeFill="text1" w:themeFillTint="0"/>
      </w:tcPr>
    </w:tblStylePr>
    <w:tblStylePr w:type="band2Horz">
      <w:rPr>
        <w:color w:val="4A4A4A" w:themeColor="text1" w:themeTint="80" w:themeShade="95"/>
        <w:sz w:val="22"/>
      </w:rPr>
      <w:tblPr/>
    </w:tblStylePr>
    <w:tblStylePr w:type="firstCol">
      <w:pPr>
        <w:jc w:val="right"/>
      </w:pPr>
      <w:rPr>
        <w:i/>
        <w:color w:val="4A4A4A" w:themeColor="text1" w:themeTint="80" w:themeShade="95"/>
        <w:sz w:val="22"/>
      </w:rPr>
      <w:tblPr/>
      <w:tcPr>
        <w:tcBorders>
          <w:top w:val="none" w:color="000000" w:sz="4" w:space="0"/>
          <w:left w:val="none" w:color="000000" w:sz="4" w:space="0"/>
          <w:bottom w:val="none" w:color="000000" w:sz="4" w:space="0"/>
          <w:right w:val="single" w:color="000000" w:themeColor="text1" w:sz="4" w:space="0"/>
        </w:tcBorders>
        <w:shd w:val="clear" w:color="FFFFFF"/>
      </w:tcPr>
    </w:tblStylePr>
    <w:tblStylePr w:type="firstRow">
      <w:rPr>
        <w:b/>
        <w:color w:val="4A4A4A" w:themeColor="text1" w:themeTint="80" w:themeShade="95"/>
        <w:sz w:val="22"/>
      </w:rPr>
      <w:tblPr/>
      <w:tcPr>
        <w:tcBorders>
          <w:top w:val="none" w:color="000000" w:sz="4" w:space="0"/>
          <w:left w:val="none" w:color="000000" w:sz="4" w:space="0"/>
          <w:bottom w:val="single" w:color="000000" w:themeColor="text1" w:sz="4" w:space="0"/>
          <w:right w:val="none" w:color="000000" w:sz="4" w:space="0"/>
        </w:tcBorders>
        <w:shd w:val="clear" w:color="FFFFFF" w:fill="FFFFFF" w:themeFill="light1"/>
      </w:tcPr>
    </w:tblStylePr>
    <w:tblStylePr w:type="lastCol">
      <w:rPr>
        <w:i/>
        <w:color w:val="4A4A4A" w:themeColor="text1" w:themeTint="80" w:themeShade="95"/>
        <w:sz w:val="22"/>
      </w:rPr>
      <w:tblPr/>
      <w:tcPr>
        <w:tcBorders>
          <w:top w:val="none" w:color="000000" w:sz="4" w:space="0"/>
          <w:left w:val="single" w:color="000000" w:themeColor="text1" w:sz="4" w:space="0"/>
          <w:bottom w:val="none" w:color="000000" w:sz="4" w:space="0"/>
          <w:right w:val="none" w:color="000000" w:sz="4" w:space="0"/>
        </w:tcBorders>
        <w:shd w:val="clear" w:color="FFFFFF"/>
      </w:tcPr>
    </w:tblStylePr>
    <w:tblStylePr w:type="lastRow">
      <w:rPr>
        <w:b/>
        <w:color w:val="4A4A4A" w:themeColor="text1" w:themeTint="80" w:themeShade="95"/>
        <w:sz w:val="22"/>
      </w:rPr>
      <w:tblPr/>
      <w:tcPr>
        <w:tcBorders>
          <w:top w:val="single" w:color="000000" w:themeColor="text1" w:sz="4" w:space="0"/>
          <w:left w:val="none" w:color="000000" w:sz="4" w:space="0"/>
          <w:bottom w:val="none" w:color="000000" w:sz="4" w:space="0"/>
          <w:right w:val="none" w:color="000000" w:sz="4" w:space="0"/>
        </w:tcBorders>
        <w:shd w:val="clear" w:color="FFFFFF" w:fill="FFFFFF" w:themeFill="light1"/>
      </w:tcPr>
    </w:tblStylePr>
  </w:style>
  <w:style w:type="table" w:styleId="1420">
    <w:name w:val="Grid Table 7 Colorful - Accent 1"/>
    <w:basedOn w:val="1496"/>
    <w:uiPriority w:val="99"/>
    <w:pPr>
      <w:spacing w:after="0" w:line="240" w:lineRule="auto"/>
    </w:pPr>
    <w:tblPr>
      <w:tblStyleRowBandSize w:val="1"/>
      <w:tblStyleColBandSize w:val="1"/>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blStylePr w:type="band1Horz">
      <w:rPr>
        <w:color w:val="3664A9" w:themeColor="accent1" w:themeTint="80" w:themeShade="95"/>
        <w:sz w:val="22"/>
      </w:rPr>
      <w:tblPr/>
      <w:tcPr>
        <w:shd w:val="clear" w:color="FFFFFF" w:fill="D9E2F2" w:themeFill="accent1" w:themeFillTint="34"/>
      </w:tcPr>
    </w:tblStylePr>
    <w:tblStylePr w:type="band1Vert">
      <w:tblPr/>
      <w:tcPr>
        <w:shd w:val="clear" w:color="FFFFFF" w:fill="D9E2F2" w:themeFill="accent1" w:themeFillTint="34"/>
      </w:tcPr>
    </w:tblStylePr>
    <w:tblStylePr w:type="band2Horz">
      <w:rPr>
        <w:color w:val="3664A9" w:themeColor="accent1" w:themeTint="80" w:themeShade="95"/>
        <w:sz w:val="22"/>
      </w:rPr>
      <w:tblPr/>
    </w:tblStylePr>
    <w:tblStylePr w:type="firstCol">
      <w:pPr>
        <w:jc w:val="right"/>
      </w:pPr>
      <w:rPr>
        <w:i/>
        <w:color w:val="3664A9" w:themeColor="accent1" w:themeTint="80" w:themeShade="95"/>
        <w:sz w:val="22"/>
      </w:rPr>
      <w:tblPr/>
      <w:tcPr>
        <w:tcBorders>
          <w:top w:val="none" w:color="000000" w:sz="4" w:space="0"/>
          <w:left w:val="none" w:color="000000" w:sz="4" w:space="0"/>
          <w:bottom w:val="none" w:color="000000" w:sz="4" w:space="0"/>
          <w:right w:val="single" w:color="000000" w:themeColor="accent1" w:sz="4" w:space="0"/>
        </w:tcBorders>
        <w:shd w:val="clear" w:color="FFFFFF"/>
      </w:tcPr>
    </w:tblStylePr>
    <w:tblStylePr w:type="firstRow">
      <w:rPr>
        <w:b/>
        <w:color w:val="3664A9" w:themeColor="accent1" w:themeTint="80" w:themeShade="95"/>
        <w:sz w:val="22"/>
      </w:rPr>
      <w:tblPr/>
      <w:tcPr>
        <w:tcBorders>
          <w:top w:val="none" w:color="000000" w:sz="4" w:space="0"/>
          <w:left w:val="none" w:color="000000" w:sz="4" w:space="0"/>
          <w:bottom w:val="single" w:color="000000" w:themeColor="accent1" w:sz="4" w:space="0"/>
          <w:right w:val="none" w:color="000000" w:sz="4" w:space="0"/>
        </w:tcBorders>
        <w:shd w:val="clear" w:color="FFFFFF" w:fill="FFFFFF" w:themeFill="light1"/>
      </w:tcPr>
    </w:tblStylePr>
    <w:tblStylePr w:type="lastCol">
      <w:rPr>
        <w:i/>
        <w:color w:val="3664A9" w:themeColor="accent1" w:themeTint="80" w:themeShade="95"/>
        <w:sz w:val="22"/>
      </w:rPr>
      <w:tblPr/>
      <w:tcPr>
        <w:tcBorders>
          <w:top w:val="none" w:color="000000" w:sz="4" w:space="0"/>
          <w:left w:val="single" w:color="000000" w:themeColor="accent1" w:sz="4" w:space="0"/>
          <w:bottom w:val="none" w:color="000000" w:sz="4" w:space="0"/>
          <w:right w:val="none" w:color="000000" w:sz="4" w:space="0"/>
        </w:tcBorders>
        <w:shd w:val="clear" w:color="FFFFFF"/>
      </w:tcPr>
    </w:tblStylePr>
    <w:tblStylePr w:type="lastRow">
      <w:rPr>
        <w:b/>
        <w:color w:val="3664A9" w:themeColor="accent1" w:themeTint="80" w:themeShade="95"/>
        <w:sz w:val="22"/>
      </w:rPr>
      <w:tblPr/>
      <w:tcPr>
        <w:tcBorders>
          <w:top w:val="single" w:color="000000" w:themeColor="accent1" w:sz="4" w:space="0"/>
          <w:left w:val="none" w:color="000000" w:sz="4" w:space="0"/>
          <w:bottom w:val="none" w:color="000000" w:sz="4" w:space="0"/>
          <w:right w:val="none" w:color="000000" w:sz="4" w:space="0"/>
        </w:tcBorders>
        <w:shd w:val="clear" w:color="FFFFFF" w:fill="FFFFFF" w:themeFill="light1"/>
      </w:tcPr>
    </w:tblStylePr>
  </w:style>
  <w:style w:type="table" w:styleId="1421">
    <w:name w:val="Grid Table 7 Colorful - Accent 2"/>
    <w:basedOn w:val="1496"/>
    <w:uiPriority w:val="99"/>
    <w:pPr>
      <w:spacing w:after="0" w:line="240" w:lineRule="auto"/>
    </w:pPr>
    <w:tblPr>
      <w:tblStyleRowBandSize w:val="1"/>
      <w:tblStyleColBandSize w:val="1"/>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blStylePr w:type="band1Horz">
      <w:rPr>
        <w:color w:val="C95712" w:themeColor="accent2" w:themeTint="97" w:themeShade="95"/>
        <w:sz w:val="22"/>
      </w:rPr>
      <w:tblPr/>
      <w:tcPr>
        <w:shd w:val="clear" w:color="FFFFFF" w:fill="FBE5D6" w:themeFill="accent2" w:themeFillTint="32"/>
      </w:tcPr>
    </w:tblStylePr>
    <w:tblStylePr w:type="band1Vert">
      <w:tblPr/>
      <w:tcPr>
        <w:shd w:val="clear" w:color="FFFFFF" w:fill="FBE5D6" w:themeFill="accent2" w:themeFillTint="32"/>
      </w:tcPr>
    </w:tblStylePr>
    <w:tblStylePr w:type="band2Horz">
      <w:rPr>
        <w:color w:val="C95712" w:themeColor="accent2" w:themeTint="97" w:themeShade="95"/>
        <w:sz w:val="22"/>
      </w:rPr>
      <w:tblPr/>
    </w:tblStylePr>
    <w:tblStylePr w:type="firstCol">
      <w:pPr>
        <w:jc w:val="right"/>
      </w:pPr>
      <w:rPr>
        <w:i/>
        <w:color w:val="C95712" w:themeColor="accent2" w:themeTint="97" w:themeShade="95"/>
        <w:sz w:val="22"/>
      </w:rPr>
      <w:tblPr/>
      <w:tcPr>
        <w:tcBorders>
          <w:top w:val="none" w:color="000000" w:sz="4" w:space="0"/>
          <w:left w:val="none" w:color="000000" w:sz="4" w:space="0"/>
          <w:bottom w:val="none" w:color="000000" w:sz="4" w:space="0"/>
          <w:right w:val="single" w:color="000000" w:themeColor="accent2" w:sz="4" w:space="0"/>
        </w:tcBorders>
        <w:shd w:val="clear" w:color="FFFFFF"/>
      </w:tcPr>
    </w:tblStylePr>
    <w:tblStylePr w:type="firstRow">
      <w:rPr>
        <w:b/>
        <w:color w:val="C95712" w:themeColor="accent2" w:themeTint="97" w:themeShade="95"/>
        <w:sz w:val="22"/>
      </w:rPr>
      <w:tblPr/>
      <w:tcPr>
        <w:tcBorders>
          <w:top w:val="none" w:color="000000" w:sz="4" w:space="0"/>
          <w:left w:val="none" w:color="000000" w:sz="4" w:space="0"/>
          <w:bottom w:val="single" w:color="000000" w:themeColor="accent2" w:sz="4" w:space="0"/>
          <w:right w:val="none" w:color="000000" w:sz="4" w:space="0"/>
        </w:tcBorders>
        <w:shd w:val="clear" w:color="FFFFFF" w:fill="FFFFFF" w:themeFill="light1"/>
      </w:tcPr>
    </w:tblStylePr>
    <w:tblStylePr w:type="lastCol">
      <w:rPr>
        <w:i/>
        <w:color w:val="C95712" w:themeColor="accent2" w:themeTint="97" w:themeShade="95"/>
        <w:sz w:val="22"/>
      </w:rPr>
      <w:tblPr/>
      <w:tcPr>
        <w:tcBorders>
          <w:top w:val="none" w:color="000000" w:sz="4" w:space="0"/>
          <w:left w:val="single" w:color="000000" w:themeColor="accent2" w:sz="4" w:space="0"/>
          <w:bottom w:val="none" w:color="000000" w:sz="4" w:space="0"/>
          <w:right w:val="none" w:color="000000" w:sz="4" w:space="0"/>
        </w:tcBorders>
        <w:shd w:val="clear" w:color="FFFFFF"/>
      </w:tcPr>
    </w:tblStylePr>
    <w:tblStylePr w:type="lastRow">
      <w:rPr>
        <w:b/>
        <w:color w:val="C95712" w:themeColor="accent2" w:themeTint="97" w:themeShade="95"/>
        <w:sz w:val="22"/>
      </w:rPr>
      <w:tblPr/>
      <w:tcPr>
        <w:tcBorders>
          <w:top w:val="single" w:color="000000" w:themeColor="accent2" w:sz="4" w:space="0"/>
          <w:left w:val="none" w:color="000000" w:sz="4" w:space="0"/>
          <w:bottom w:val="none" w:color="000000" w:sz="4" w:space="0"/>
          <w:right w:val="none" w:color="000000" w:sz="4" w:space="0"/>
        </w:tcBorders>
        <w:shd w:val="clear" w:color="FFFFFF" w:fill="FFFFFF" w:themeFill="light1"/>
      </w:tcPr>
    </w:tblStylePr>
  </w:style>
  <w:style w:type="table" w:styleId="1422">
    <w:name w:val="Grid Table 7 Colorful - Accent 3"/>
    <w:basedOn w:val="1496"/>
    <w:uiPriority w:val="99"/>
    <w:pPr>
      <w:spacing w:after="0" w:line="240" w:lineRule="auto"/>
    </w:pPr>
    <w:tblPr>
      <w:tblStyleRowBandSize w:val="1"/>
      <w:tblStyleColBandSize w:val="1"/>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blStylePr w:type="band1Horz">
      <w:rPr>
        <w:color w:val="606060" w:themeColor="accent3" w:themeTint="fe" w:themeShade="95"/>
        <w:sz w:val="22"/>
      </w:rPr>
      <w:tblPr/>
      <w:tcPr>
        <w:shd w:val="clear" w:color="FFFFFF" w:fill="EDEDED" w:themeFill="accent3" w:themeFillTint="34"/>
      </w:tcPr>
    </w:tblStylePr>
    <w:tblStylePr w:type="band1Vert">
      <w:tblPr/>
      <w:tcPr>
        <w:shd w:val="clear" w:color="FFFFFF" w:fill="EDEDED" w:themeFill="accent3" w:themeFillTint="34"/>
      </w:tcPr>
    </w:tblStylePr>
    <w:tblStylePr w:type="band2Horz">
      <w:rPr>
        <w:color w:val="606060" w:themeColor="accent3" w:themeTint="fe" w:themeShade="95"/>
        <w:sz w:val="22"/>
      </w:rPr>
      <w:tblPr/>
    </w:tblStylePr>
    <w:tblStylePr w:type="firstCol">
      <w:pPr>
        <w:jc w:val="right"/>
      </w:pPr>
      <w:rPr>
        <w:i/>
        <w:color w:val="606060" w:themeColor="accent3" w:themeTint="fe" w:themeShade="95"/>
        <w:sz w:val="22"/>
      </w:rPr>
      <w:tblPr/>
      <w:tcPr>
        <w:tcBorders>
          <w:top w:val="none" w:color="000000" w:sz="4" w:space="0"/>
          <w:left w:val="none" w:color="000000" w:sz="4" w:space="0"/>
          <w:bottom w:val="none" w:color="000000" w:sz="4" w:space="0"/>
          <w:right w:val="single" w:color="000000" w:themeColor="accent3" w:sz="4" w:space="0"/>
        </w:tcBorders>
        <w:shd w:val="clear" w:color="FFFFFF"/>
      </w:tcPr>
    </w:tblStylePr>
    <w:tblStylePr w:type="firstRow">
      <w:rPr>
        <w:b/>
        <w:color w:val="606060" w:themeColor="accent3" w:themeTint="fe" w:themeShade="95"/>
        <w:sz w:val="22"/>
      </w:rPr>
      <w:tblPr/>
      <w:tcPr>
        <w:tcBorders>
          <w:top w:val="none" w:color="000000" w:sz="4" w:space="0"/>
          <w:left w:val="none" w:color="000000" w:sz="4" w:space="0"/>
          <w:bottom w:val="single" w:color="000000" w:themeColor="accent3" w:sz="4" w:space="0"/>
          <w:right w:val="none" w:color="000000" w:sz="4" w:space="0"/>
        </w:tcBorders>
        <w:shd w:val="clear" w:color="FFFFFF" w:fill="FFFFFF" w:themeFill="light1"/>
      </w:tcPr>
    </w:tblStylePr>
    <w:tblStylePr w:type="lastCol">
      <w:rPr>
        <w:i/>
        <w:color w:val="606060" w:themeColor="accent3" w:themeTint="fe" w:themeShade="95"/>
        <w:sz w:val="22"/>
      </w:rPr>
      <w:tblPr/>
      <w:tcPr>
        <w:tcBorders>
          <w:top w:val="none" w:color="000000" w:sz="4" w:space="0"/>
          <w:left w:val="single" w:color="000000" w:themeColor="accent3" w:sz="4" w:space="0"/>
          <w:bottom w:val="none" w:color="000000" w:sz="4" w:space="0"/>
          <w:right w:val="none" w:color="000000" w:sz="4" w:space="0"/>
        </w:tcBorders>
        <w:shd w:val="clear" w:color="FFFFFF"/>
      </w:tcPr>
    </w:tblStylePr>
    <w:tblStylePr w:type="lastRow">
      <w:rPr>
        <w:b/>
        <w:color w:val="606060" w:themeColor="accent3" w:themeTint="fe" w:themeShade="95"/>
        <w:sz w:val="22"/>
      </w:rPr>
      <w:tblPr/>
      <w:tcPr>
        <w:tcBorders>
          <w:top w:val="single" w:color="000000" w:themeColor="accent3" w:sz="4" w:space="0"/>
          <w:left w:val="none" w:color="000000" w:sz="4" w:space="0"/>
          <w:bottom w:val="none" w:color="000000" w:sz="4" w:space="0"/>
          <w:right w:val="none" w:color="000000" w:sz="4" w:space="0"/>
        </w:tcBorders>
        <w:shd w:val="clear" w:color="FFFFFF" w:fill="FFFFFF" w:themeFill="light1"/>
      </w:tcPr>
    </w:tblStylePr>
  </w:style>
  <w:style w:type="table" w:styleId="1423">
    <w:name w:val="Grid Table 7 Colorful - Accent 4"/>
    <w:basedOn w:val="1496"/>
    <w:uiPriority w:val="99"/>
    <w:pPr>
      <w:spacing w:after="0" w:line="240" w:lineRule="auto"/>
    </w:pPr>
    <w:tblPr>
      <w:tblStyleRowBandSize w:val="1"/>
      <w:tblStyleColBandSize w:val="1"/>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blStylePr w:type="band1Horz">
      <w:rPr>
        <w:color w:val="CD9600" w:themeColor="accent4" w:themeTint="9a" w:themeShade="95"/>
        <w:sz w:val="22"/>
      </w:rPr>
      <w:tblPr/>
      <w:tcPr>
        <w:shd w:val="clear" w:color="FFFFFF" w:fill="FEF2CB" w:themeFill="accent4" w:themeFillTint="34"/>
      </w:tcPr>
    </w:tblStylePr>
    <w:tblStylePr w:type="band1Vert">
      <w:tblPr/>
      <w:tcPr>
        <w:shd w:val="clear" w:color="FFFFFF" w:fill="FEF2CB" w:themeFill="accent4" w:themeFillTint="34"/>
      </w:tcPr>
    </w:tblStylePr>
    <w:tblStylePr w:type="band2Horz">
      <w:rPr>
        <w:color w:val="CD9600" w:themeColor="accent4" w:themeTint="9a" w:themeShade="95"/>
        <w:sz w:val="22"/>
      </w:rPr>
      <w:tblPr/>
    </w:tblStylePr>
    <w:tblStylePr w:type="firstCol">
      <w:pPr>
        <w:jc w:val="right"/>
      </w:pPr>
      <w:rPr>
        <w:i/>
        <w:color w:val="CD9600" w:themeColor="accent4" w:themeTint="9a" w:themeShade="95"/>
        <w:sz w:val="22"/>
      </w:rPr>
      <w:tblPr/>
      <w:tcPr>
        <w:tcBorders>
          <w:top w:val="none" w:color="000000" w:sz="4" w:space="0"/>
          <w:left w:val="none" w:color="000000" w:sz="4" w:space="0"/>
          <w:bottom w:val="none" w:color="000000" w:sz="4" w:space="0"/>
          <w:right w:val="single" w:color="000000" w:themeColor="accent4" w:sz="4" w:space="0"/>
        </w:tcBorders>
        <w:shd w:val="clear" w:color="FFFFFF"/>
      </w:tcPr>
    </w:tblStylePr>
    <w:tblStylePr w:type="firstRow">
      <w:rPr>
        <w:b/>
        <w:color w:val="CD9600" w:themeColor="accent4" w:themeTint="9a" w:themeShade="95"/>
        <w:sz w:val="22"/>
      </w:rPr>
      <w:tblPr/>
      <w:tcPr>
        <w:tcBorders>
          <w:top w:val="none" w:color="000000" w:sz="4" w:space="0"/>
          <w:left w:val="none" w:color="000000" w:sz="4" w:space="0"/>
          <w:bottom w:val="single" w:color="000000" w:themeColor="accent4" w:sz="4" w:space="0"/>
          <w:right w:val="none" w:color="000000" w:sz="4" w:space="0"/>
        </w:tcBorders>
        <w:shd w:val="clear" w:color="FFFFFF" w:fill="FFFFFF" w:themeFill="light1"/>
      </w:tcPr>
    </w:tblStylePr>
    <w:tblStylePr w:type="lastCol">
      <w:rPr>
        <w:i/>
        <w:color w:val="CD9600" w:themeColor="accent4" w:themeTint="9a" w:themeShade="95"/>
        <w:sz w:val="22"/>
      </w:rPr>
      <w:tblPr/>
      <w:tcPr>
        <w:tcBorders>
          <w:top w:val="none" w:color="000000" w:sz="4" w:space="0"/>
          <w:left w:val="single" w:color="000000" w:themeColor="accent4" w:sz="4" w:space="0"/>
          <w:bottom w:val="none" w:color="000000" w:sz="4" w:space="0"/>
          <w:right w:val="none" w:color="000000" w:sz="4" w:space="0"/>
        </w:tcBorders>
        <w:shd w:val="clear" w:color="FFFFFF"/>
      </w:tcPr>
    </w:tblStylePr>
    <w:tblStylePr w:type="lastRow">
      <w:rPr>
        <w:b/>
        <w:color w:val="CD9600" w:themeColor="accent4" w:themeTint="9a" w:themeShade="95"/>
        <w:sz w:val="22"/>
      </w:rPr>
      <w:tblPr/>
      <w:tcPr>
        <w:tcBorders>
          <w:top w:val="single" w:color="000000" w:themeColor="accent4" w:sz="4" w:space="0"/>
          <w:left w:val="none" w:color="000000" w:sz="4" w:space="0"/>
          <w:bottom w:val="none" w:color="000000" w:sz="4" w:space="0"/>
          <w:right w:val="none" w:color="000000" w:sz="4" w:space="0"/>
        </w:tcBorders>
        <w:shd w:val="clear" w:color="FFFFFF" w:fill="FFFFFF" w:themeFill="light1"/>
      </w:tcPr>
    </w:tblStylePr>
  </w:style>
  <w:style w:type="table" w:styleId="1424">
    <w:name w:val="Grid Table 7 Colorful - Accent 5"/>
    <w:basedOn w:val="1496"/>
    <w:uiPriority w:val="99"/>
    <w:pPr>
      <w:spacing w:after="0" w:line="240" w:lineRule="auto"/>
    </w:pPr>
    <w:tblPr>
      <w:tblStyleRowBandSize w:val="1"/>
      <w:tblStyleColBandSize w:val="1"/>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blStylePr w:type="band1Horz">
      <w:rPr>
        <w:color w:val="245D8D" w:themeColor="accent5" w:themeShade="95"/>
        <w:sz w:val="22"/>
      </w:rPr>
      <w:tblPr/>
      <w:tcPr>
        <w:shd w:val="clear" w:color="FFFFFF" w:fill="DDEBF6" w:themeFill="accent5" w:themeFillTint="34"/>
      </w:tcPr>
    </w:tblStylePr>
    <w:tblStylePr w:type="band1Vert">
      <w:tblPr/>
      <w:tcPr>
        <w:shd w:val="clear" w:color="FFFFFF" w:fill="DDEBF6" w:themeFill="accent5" w:themeFillTint="34"/>
      </w:tcPr>
    </w:tblStylePr>
    <w:tblStylePr w:type="band2Horz">
      <w:rPr>
        <w:color w:val="245D8D" w:themeColor="accent5" w:themeShade="95"/>
        <w:sz w:val="22"/>
      </w:rPr>
      <w:tblPr/>
    </w:tblStylePr>
    <w:tblStylePr w:type="firstCol">
      <w:pPr>
        <w:jc w:val="right"/>
      </w:pPr>
      <w:rPr>
        <w:i/>
        <w:color w:val="245D8D" w:themeColor="accent5" w:themeShade="95"/>
        <w:sz w:val="22"/>
      </w:rPr>
      <w:tblPr/>
      <w:tcPr>
        <w:tcBorders>
          <w:top w:val="none" w:color="000000" w:sz="4" w:space="0"/>
          <w:left w:val="none" w:color="000000" w:sz="4" w:space="0"/>
          <w:bottom w:val="none" w:color="000000" w:sz="4" w:space="0"/>
          <w:right w:val="single" w:color="000000" w:themeColor="accent5" w:sz="4" w:space="0"/>
        </w:tcBorders>
        <w:shd w:val="clear" w:color="FFFFFF"/>
      </w:tcPr>
    </w:tblStylePr>
    <w:tblStylePr w:type="firstRow">
      <w:rPr>
        <w:b/>
        <w:color w:val="245D8D" w:themeColor="accent5" w:themeShade="95"/>
        <w:sz w:val="22"/>
      </w:rPr>
      <w:tblPr/>
      <w:tcPr>
        <w:tcBorders>
          <w:top w:val="none" w:color="000000" w:sz="4" w:space="0"/>
          <w:left w:val="none" w:color="000000" w:sz="4" w:space="0"/>
          <w:bottom w:val="single" w:color="000000" w:themeColor="accent5" w:sz="4" w:space="0"/>
          <w:right w:val="none" w:color="000000" w:sz="4" w:space="0"/>
        </w:tcBorders>
        <w:shd w:val="clear" w:color="FFFFFF" w:fill="FFFFFF" w:themeFill="light1"/>
      </w:tcPr>
    </w:tblStylePr>
    <w:tblStylePr w:type="lastCol">
      <w:rPr>
        <w:i/>
        <w:color w:val="245D8D" w:themeColor="accent5" w:themeShade="95"/>
        <w:sz w:val="22"/>
      </w:rPr>
      <w:tblPr/>
      <w:tcPr>
        <w:tcBorders>
          <w:top w:val="none" w:color="000000" w:sz="4" w:space="0"/>
          <w:left w:val="single" w:color="000000" w:themeColor="accent5" w:sz="4" w:space="0"/>
          <w:bottom w:val="none" w:color="000000" w:sz="4" w:space="0"/>
          <w:right w:val="none" w:color="000000" w:sz="4" w:space="0"/>
        </w:tcBorders>
        <w:shd w:val="clear" w:color="FFFFFF"/>
      </w:tcPr>
    </w:tblStylePr>
    <w:tblStylePr w:type="lastRow">
      <w:rPr>
        <w:b/>
        <w:color w:val="245D8D" w:themeColor="accent5" w:themeShade="95"/>
        <w:sz w:val="22"/>
      </w:rPr>
      <w:tblPr/>
      <w:tcPr>
        <w:tcBorders>
          <w:top w:val="single" w:color="000000" w:themeColor="accent5" w:sz="4" w:space="0"/>
          <w:left w:val="none" w:color="000000" w:sz="4" w:space="0"/>
          <w:bottom w:val="none" w:color="000000" w:sz="4" w:space="0"/>
          <w:right w:val="none" w:color="000000" w:sz="4" w:space="0"/>
        </w:tcBorders>
        <w:shd w:val="clear" w:color="FFFFFF" w:fill="FFFFFF" w:themeFill="light1"/>
      </w:tcPr>
    </w:tblStylePr>
  </w:style>
  <w:style w:type="table" w:styleId="1425">
    <w:name w:val="Grid Table 7 Colorful - Accent 6"/>
    <w:basedOn w:val="1496"/>
    <w:uiPriority w:val="99"/>
    <w:pPr>
      <w:spacing w:after="0" w:line="240" w:lineRule="auto"/>
    </w:pPr>
    <w:tblPr>
      <w:tblStyleRowBandSize w:val="1"/>
      <w:tblStyleColBandSize w:val="1"/>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blStylePr w:type="band1Horz">
      <w:rPr>
        <w:color w:val="426429" w:themeColor="accent6" w:themeShade="95"/>
        <w:sz w:val="22"/>
      </w:rPr>
      <w:tblPr/>
      <w:tcPr>
        <w:shd w:val="clear" w:color="FFFFFF" w:fill="E2EFD8" w:themeFill="accent6" w:themeFillTint="34"/>
      </w:tcPr>
    </w:tblStylePr>
    <w:tblStylePr w:type="band1Vert">
      <w:tblPr/>
      <w:tcPr>
        <w:shd w:val="clear" w:color="FFFFFF" w:fill="E2EFD8" w:themeFill="accent6" w:themeFillTint="34"/>
      </w:tcPr>
    </w:tblStylePr>
    <w:tblStylePr w:type="band2Horz">
      <w:rPr>
        <w:color w:val="426429" w:themeColor="accent6" w:themeShade="95"/>
        <w:sz w:val="22"/>
      </w:rPr>
      <w:tblPr/>
    </w:tblStylePr>
    <w:tblStylePr w:type="firstCol">
      <w:pPr>
        <w:jc w:val="right"/>
      </w:pPr>
      <w:rPr>
        <w:i/>
        <w:color w:val="426429" w:themeColor="accent6" w:themeShade="95"/>
        <w:sz w:val="22"/>
      </w:rPr>
      <w:tblPr/>
      <w:tcPr>
        <w:tcBorders>
          <w:top w:val="none" w:color="000000" w:sz="4" w:space="0"/>
          <w:left w:val="none" w:color="000000" w:sz="4" w:space="0"/>
          <w:bottom w:val="none" w:color="000000" w:sz="4" w:space="0"/>
          <w:right w:val="single" w:color="000000" w:themeColor="accent6" w:sz="4" w:space="0"/>
        </w:tcBorders>
        <w:shd w:val="clear" w:color="FFFFFF"/>
      </w:tcPr>
    </w:tblStylePr>
    <w:tblStylePr w:type="firstRow">
      <w:rPr>
        <w:b/>
        <w:color w:val="426429" w:themeColor="accent6" w:themeShade="95"/>
        <w:sz w:val="22"/>
      </w:rPr>
      <w:tblPr/>
      <w:tcPr>
        <w:tcBorders>
          <w:top w:val="none" w:color="000000" w:sz="4" w:space="0"/>
          <w:left w:val="none" w:color="000000" w:sz="4" w:space="0"/>
          <w:bottom w:val="single" w:color="000000" w:themeColor="accent6" w:sz="4" w:space="0"/>
          <w:right w:val="none" w:color="000000" w:sz="4" w:space="0"/>
        </w:tcBorders>
        <w:shd w:val="clear" w:color="FFFFFF" w:fill="FFFFFF" w:themeFill="light1"/>
      </w:tcPr>
    </w:tblStylePr>
    <w:tblStylePr w:type="lastCol">
      <w:rPr>
        <w:i/>
        <w:color w:val="426429" w:themeColor="accent6" w:themeShade="95"/>
        <w:sz w:val="22"/>
      </w:rPr>
      <w:tblPr/>
      <w:tcPr>
        <w:tcBorders>
          <w:top w:val="none" w:color="000000" w:sz="4" w:space="0"/>
          <w:left w:val="single" w:color="000000" w:themeColor="accent6" w:sz="4" w:space="0"/>
          <w:bottom w:val="none" w:color="000000" w:sz="4" w:space="0"/>
          <w:right w:val="none" w:color="000000" w:sz="4" w:space="0"/>
        </w:tcBorders>
        <w:shd w:val="clear" w:color="FFFFFF"/>
      </w:tcPr>
    </w:tblStylePr>
    <w:tblStylePr w:type="lastRow">
      <w:rPr>
        <w:b/>
        <w:color w:val="426429" w:themeColor="accent6" w:themeShade="95"/>
        <w:sz w:val="22"/>
      </w:rPr>
      <w:tblPr/>
      <w:tcPr>
        <w:tcBorders>
          <w:top w:val="single" w:color="000000" w:themeColor="accent6" w:sz="4" w:space="0"/>
          <w:left w:val="none" w:color="000000" w:sz="4" w:space="0"/>
          <w:bottom w:val="none" w:color="000000" w:sz="4" w:space="0"/>
          <w:right w:val="none" w:color="000000" w:sz="4" w:space="0"/>
        </w:tcBorders>
        <w:shd w:val="clear" w:color="FFFFFF" w:fill="FFFFFF" w:themeFill="light1"/>
      </w:tcPr>
    </w:tblStylePr>
  </w:style>
  <w:style w:type="table" w:styleId="1426">
    <w:name w:val="List Table 1 Light"/>
    <w:basedOn w:val="1496"/>
    <w:uiPriority w:val="99"/>
    <w:pPr>
      <w:spacing w:after="0" w:line="240" w:lineRule="auto"/>
    </w:pPr>
    <w:tblPr>
      <w:tblStyleRowBandSize w:val="1"/>
      <w:tblStyleColBandSize w:val="1"/>
    </w:tblPr>
    <w:tblStylePr w:type="band1Horz">
      <w:tblPr/>
      <w:tcPr>
        <w:shd w:val="clear" w:color="FFFFFF" w:fill="BFBFBF" w:themeFill="text1" w:themeFillTint="40"/>
      </w:tcPr>
    </w:tblStylePr>
    <w:tblStylePr w:type="band1Vert">
      <w:tblPr/>
      <w:tcPr>
        <w:shd w:val="clear" w:color="FFFFFF" w:fill="BFBFBF" w:themeFill="text1" w:themeFillTint="40"/>
      </w:tcPr>
    </w:tblStylePr>
    <w:tblStylePr w:type="firstCol">
      <w:rPr>
        <w:b/>
      </w:rPr>
      <w:tblPr/>
    </w:tblStylePr>
    <w:tblStylePr w:type="firstRow">
      <w:rPr>
        <w:b/>
      </w:rPr>
      <w:tblPr/>
      <w:tcPr>
        <w:tcBorders>
          <w:top w:val="none" w:color="000000" w:sz="4" w:space="0"/>
          <w:left w:val="none" w:color="000000" w:sz="4" w:space="0"/>
          <w:bottom w:val="single" w:color="000000" w:themeColor="text1" w:sz="4" w:space="0"/>
          <w:right w:val="none" w:color="000000" w:sz="4" w:space="0"/>
        </w:tcBorders>
      </w:tcPr>
    </w:tblStylePr>
    <w:tblStylePr w:type="lastCol">
      <w:rPr>
        <w:b/>
      </w:rPr>
      <w:tblPr/>
    </w:tblStylePr>
    <w:tblStylePr w:type="lastRow">
      <w:rPr>
        <w:b/>
      </w:rPr>
      <w:tblPr/>
      <w:tcPr>
        <w:tcBorders>
          <w:top w:val="single" w:color="000000" w:themeColor="text1" w:sz="4" w:space="0"/>
          <w:left w:val="none" w:color="000000" w:sz="4" w:space="0"/>
          <w:bottom w:val="none" w:color="000000" w:sz="4" w:space="0"/>
          <w:right w:val="none" w:color="000000" w:sz="4" w:space="0"/>
        </w:tcBorders>
      </w:tcPr>
    </w:tblStylePr>
  </w:style>
  <w:style w:type="table" w:styleId="1427">
    <w:name w:val="List Table 1 Light - Accent 1"/>
    <w:basedOn w:val="1496"/>
    <w:uiPriority w:val="99"/>
    <w:pPr>
      <w:spacing w:after="0" w:line="240" w:lineRule="auto"/>
    </w:pPr>
    <w:tblPr>
      <w:tblStyleRowBandSize w:val="1"/>
      <w:tblStyleColBandSize w:val="1"/>
    </w:tblPr>
    <w:tblStylePr w:type="band1Horz">
      <w:tblPr/>
      <w:tcPr>
        <w:shd w:val="clear" w:color="FFFFFF" w:fill="CFDCF0" w:themeFill="accent1" w:themeFillTint="40"/>
      </w:tcPr>
    </w:tblStylePr>
    <w:tblStylePr w:type="band1Vert">
      <w:tblPr/>
      <w:tcPr>
        <w:shd w:val="clear" w:color="FFFFFF" w:fill="CFDCF0" w:themeFill="accent1" w:themeFillTint="40"/>
      </w:tcPr>
    </w:tblStylePr>
    <w:tblStylePr w:type="firstCol">
      <w:rPr>
        <w:b/>
      </w:rPr>
      <w:tblPr/>
    </w:tblStylePr>
    <w:tblStylePr w:type="firstRow">
      <w:rPr>
        <w:b/>
      </w:rPr>
      <w:tblPr/>
      <w:tcPr>
        <w:tcBorders>
          <w:top w:val="none" w:color="000000" w:sz="4" w:space="0"/>
          <w:left w:val="none" w:color="000000" w:sz="4" w:space="0"/>
          <w:bottom w:val="single" w:color="000000" w:themeColor="accent1" w:sz="4" w:space="0"/>
          <w:right w:val="none" w:color="000000" w:sz="4" w:space="0"/>
        </w:tcBorders>
      </w:tcPr>
    </w:tblStylePr>
    <w:tblStylePr w:type="lastCol">
      <w:rPr>
        <w:b/>
      </w:rPr>
      <w:tblPr/>
    </w:tblStylePr>
    <w:tblStylePr w:type="lastRow">
      <w:rPr>
        <w:b/>
      </w:rPr>
      <w:tblPr/>
      <w:tcPr>
        <w:tcBorders>
          <w:top w:val="single" w:color="000000" w:themeColor="accent1" w:sz="4" w:space="0"/>
          <w:left w:val="none" w:color="000000" w:sz="4" w:space="0"/>
          <w:bottom w:val="none" w:color="000000" w:sz="4" w:space="0"/>
          <w:right w:val="none" w:color="000000" w:sz="4" w:space="0"/>
        </w:tcBorders>
      </w:tcPr>
    </w:tblStylePr>
  </w:style>
  <w:style w:type="table" w:styleId="1428">
    <w:name w:val="List Table 1 Light - Accent 2"/>
    <w:basedOn w:val="1496"/>
    <w:uiPriority w:val="99"/>
    <w:pPr>
      <w:spacing w:after="0" w:line="240" w:lineRule="auto"/>
    </w:pPr>
    <w:tblPr>
      <w:tblStyleRowBandSize w:val="1"/>
      <w:tblStyleColBandSize w:val="1"/>
    </w:tblPr>
    <w:tblStylePr w:type="band1Horz">
      <w:tblPr/>
      <w:tcPr>
        <w:shd w:val="clear" w:color="FFFFFF" w:fill="FADECB" w:themeFill="accent2" w:themeFillTint="40"/>
      </w:tcPr>
    </w:tblStylePr>
    <w:tblStylePr w:type="band1Vert">
      <w:tblPr/>
      <w:tcPr>
        <w:shd w:val="clear" w:color="FFFFFF" w:fill="FADECB" w:themeFill="accent2" w:themeFillTint="40"/>
      </w:tcPr>
    </w:tblStylePr>
    <w:tblStylePr w:type="firstCol">
      <w:rPr>
        <w:b/>
      </w:rPr>
      <w:tblPr/>
    </w:tblStylePr>
    <w:tblStylePr w:type="firstRow">
      <w:rPr>
        <w:b/>
      </w:rPr>
      <w:tblPr/>
      <w:tcPr>
        <w:tcBorders>
          <w:top w:val="none" w:color="000000" w:sz="4" w:space="0"/>
          <w:left w:val="none" w:color="000000" w:sz="4" w:space="0"/>
          <w:bottom w:val="single" w:color="000000" w:themeColor="accent2" w:sz="4" w:space="0"/>
          <w:right w:val="none" w:color="000000" w:sz="4" w:space="0"/>
        </w:tcBorders>
      </w:tcPr>
    </w:tblStylePr>
    <w:tblStylePr w:type="lastCol">
      <w:rPr>
        <w:b/>
      </w:rPr>
      <w:tblPr/>
    </w:tblStylePr>
    <w:tblStylePr w:type="lastRow">
      <w:rPr>
        <w:b/>
      </w:rPr>
      <w:tblPr/>
      <w:tcPr>
        <w:tcBorders>
          <w:top w:val="single" w:color="000000" w:themeColor="accent2" w:sz="4" w:space="0"/>
          <w:left w:val="none" w:color="000000" w:sz="4" w:space="0"/>
          <w:bottom w:val="none" w:color="000000" w:sz="4" w:space="0"/>
          <w:right w:val="none" w:color="000000" w:sz="4" w:space="0"/>
        </w:tcBorders>
      </w:tcPr>
    </w:tblStylePr>
  </w:style>
  <w:style w:type="table" w:styleId="1429">
    <w:name w:val="List Table 1 Light - Accent 3"/>
    <w:basedOn w:val="1496"/>
    <w:uiPriority w:val="99"/>
    <w:pPr>
      <w:spacing w:after="0" w:line="240" w:lineRule="auto"/>
    </w:pPr>
    <w:tblPr>
      <w:tblStyleRowBandSize w:val="1"/>
      <w:tblStyleColBandSize w:val="1"/>
    </w:tblPr>
    <w:tblStylePr w:type="band1Horz">
      <w:tblPr/>
      <w:tcPr>
        <w:shd w:val="clear" w:color="FFFFFF" w:fill="E8E8E8" w:themeFill="accent3" w:themeFillTint="40"/>
      </w:tcPr>
    </w:tblStylePr>
    <w:tblStylePr w:type="band1Vert">
      <w:tblPr/>
      <w:tcPr>
        <w:shd w:val="clear" w:color="FFFFFF" w:fill="E8E8E8" w:themeFill="accent3" w:themeFillTint="40"/>
      </w:tcPr>
    </w:tblStylePr>
    <w:tblStylePr w:type="firstCol">
      <w:rPr>
        <w:b/>
      </w:rPr>
      <w:tblPr/>
    </w:tblStylePr>
    <w:tblStylePr w:type="firstRow">
      <w:rPr>
        <w:b/>
      </w:rPr>
      <w:tblPr/>
      <w:tcPr>
        <w:tcBorders>
          <w:top w:val="none" w:color="000000" w:sz="4" w:space="0"/>
          <w:left w:val="none" w:color="000000" w:sz="4" w:space="0"/>
          <w:bottom w:val="single" w:color="000000" w:themeColor="accent3" w:sz="4" w:space="0"/>
          <w:right w:val="none" w:color="000000" w:sz="4" w:space="0"/>
        </w:tcBorders>
      </w:tcPr>
    </w:tblStylePr>
    <w:tblStylePr w:type="lastCol">
      <w:rPr>
        <w:b/>
      </w:rPr>
      <w:tblPr/>
    </w:tblStylePr>
    <w:tblStylePr w:type="lastRow">
      <w:rPr>
        <w:b/>
      </w:rPr>
      <w:tblPr/>
      <w:tcPr>
        <w:tcBorders>
          <w:top w:val="single" w:color="000000" w:themeColor="accent3" w:sz="4" w:space="0"/>
          <w:left w:val="none" w:color="000000" w:sz="4" w:space="0"/>
          <w:bottom w:val="none" w:color="000000" w:sz="4" w:space="0"/>
          <w:right w:val="none" w:color="000000" w:sz="4" w:space="0"/>
        </w:tcBorders>
      </w:tcPr>
    </w:tblStylePr>
  </w:style>
  <w:style w:type="table" w:styleId="1430">
    <w:name w:val="List Table 1 Light - Accent 4"/>
    <w:basedOn w:val="1496"/>
    <w:uiPriority w:val="99"/>
    <w:pPr>
      <w:spacing w:after="0" w:line="240" w:lineRule="auto"/>
    </w:pPr>
    <w:tblPr>
      <w:tblStyleRowBandSize w:val="1"/>
      <w:tblStyleColBandSize w:val="1"/>
    </w:tblPr>
    <w:tblStylePr w:type="band1Horz">
      <w:tblPr/>
      <w:tcPr>
        <w:shd w:val="clear" w:color="FFFFFF" w:fill="FFEFBF" w:themeFill="accent4" w:themeFillTint="40"/>
      </w:tcPr>
    </w:tblStylePr>
    <w:tblStylePr w:type="band1Vert">
      <w:tblPr/>
      <w:tcPr>
        <w:shd w:val="clear" w:color="FFFFFF" w:fill="FFEFBF" w:themeFill="accent4" w:themeFillTint="40"/>
      </w:tcPr>
    </w:tblStylePr>
    <w:tblStylePr w:type="firstCol">
      <w:rPr>
        <w:b/>
      </w:rPr>
      <w:tblPr/>
    </w:tblStylePr>
    <w:tblStylePr w:type="firstRow">
      <w:rPr>
        <w:b/>
      </w:rPr>
      <w:tblPr/>
      <w:tcPr>
        <w:tcBorders>
          <w:top w:val="none" w:color="000000" w:sz="4" w:space="0"/>
          <w:left w:val="none" w:color="000000" w:sz="4" w:space="0"/>
          <w:bottom w:val="single" w:color="000000" w:themeColor="accent4" w:sz="4" w:space="0"/>
          <w:right w:val="none" w:color="000000" w:sz="4" w:space="0"/>
        </w:tcBorders>
      </w:tcPr>
    </w:tblStylePr>
    <w:tblStylePr w:type="lastCol">
      <w:rPr>
        <w:b/>
      </w:rPr>
      <w:tblPr/>
    </w:tblStylePr>
    <w:tblStylePr w:type="lastRow">
      <w:rPr>
        <w:b/>
      </w:rPr>
      <w:tblPr/>
      <w:tcPr>
        <w:tcBorders>
          <w:top w:val="single" w:color="000000" w:themeColor="accent4" w:sz="4" w:space="0"/>
          <w:left w:val="none" w:color="000000" w:sz="4" w:space="0"/>
          <w:bottom w:val="none" w:color="000000" w:sz="4" w:space="0"/>
          <w:right w:val="none" w:color="000000" w:sz="4" w:space="0"/>
        </w:tcBorders>
      </w:tcPr>
    </w:tblStylePr>
  </w:style>
  <w:style w:type="table" w:styleId="1431">
    <w:name w:val="List Table 1 Light - Accent 5"/>
    <w:basedOn w:val="1496"/>
    <w:uiPriority w:val="99"/>
    <w:pPr>
      <w:spacing w:after="0" w:line="240" w:lineRule="auto"/>
    </w:pPr>
    <w:tblPr>
      <w:tblStyleRowBandSize w:val="1"/>
      <w:tblStyleColBandSize w:val="1"/>
    </w:tblPr>
    <w:tblStylePr w:type="band1Horz">
      <w:tblPr/>
      <w:tcPr>
        <w:shd w:val="clear" w:color="FFFFFF" w:fill="D5E6F4" w:themeFill="accent5" w:themeFillTint="40"/>
      </w:tcPr>
    </w:tblStylePr>
    <w:tblStylePr w:type="band1Vert">
      <w:tblPr/>
      <w:tcPr>
        <w:shd w:val="clear" w:color="FFFFFF" w:fill="D5E6F4" w:themeFill="accent5" w:themeFillTint="40"/>
      </w:tcPr>
    </w:tblStylePr>
    <w:tblStylePr w:type="firstCol">
      <w:rPr>
        <w:b/>
      </w:rPr>
      <w:tblPr/>
    </w:tblStylePr>
    <w:tblStylePr w:type="firstRow">
      <w:rPr>
        <w:b/>
      </w:rPr>
      <w:tblPr/>
      <w:tcPr>
        <w:tcBorders>
          <w:top w:val="none" w:color="000000" w:sz="4" w:space="0"/>
          <w:left w:val="none" w:color="000000" w:sz="4" w:space="0"/>
          <w:bottom w:val="single" w:color="000000" w:themeColor="accent5" w:sz="4" w:space="0"/>
          <w:right w:val="none" w:color="000000" w:sz="4" w:space="0"/>
        </w:tcBorders>
      </w:tcPr>
    </w:tblStylePr>
    <w:tblStylePr w:type="lastCol">
      <w:rPr>
        <w:b/>
      </w:rPr>
      <w:tblPr/>
    </w:tblStylePr>
    <w:tblStylePr w:type="lastRow">
      <w:rPr>
        <w:b/>
      </w:rPr>
      <w:tblPr/>
      <w:tcPr>
        <w:tcBorders>
          <w:top w:val="single" w:color="000000" w:themeColor="accent5" w:sz="4" w:space="0"/>
          <w:left w:val="none" w:color="000000" w:sz="4" w:space="0"/>
          <w:bottom w:val="none" w:color="000000" w:sz="4" w:space="0"/>
          <w:right w:val="none" w:color="000000" w:sz="4" w:space="0"/>
        </w:tcBorders>
      </w:tcPr>
    </w:tblStylePr>
  </w:style>
  <w:style w:type="table" w:styleId="1432">
    <w:name w:val="List Table 1 Light - Accent 6"/>
    <w:basedOn w:val="1496"/>
    <w:uiPriority w:val="99"/>
    <w:pPr>
      <w:spacing w:after="0" w:line="240" w:lineRule="auto"/>
    </w:pPr>
    <w:tblPr>
      <w:tblStyleRowBandSize w:val="1"/>
      <w:tblStyleColBandSize w:val="1"/>
    </w:tblPr>
    <w:tblStylePr w:type="band1Horz">
      <w:tblPr/>
      <w:tcPr>
        <w:shd w:val="clear" w:color="FFFFFF" w:fill="DBEBD0" w:themeFill="accent6" w:themeFillTint="40"/>
      </w:tcPr>
    </w:tblStylePr>
    <w:tblStylePr w:type="band1Vert">
      <w:tblPr/>
      <w:tcPr>
        <w:shd w:val="clear" w:color="FFFFFF" w:fill="DBEBD0" w:themeFill="accent6" w:themeFillTint="40"/>
      </w:tcPr>
    </w:tblStylePr>
    <w:tblStylePr w:type="firstCol">
      <w:rPr>
        <w:b/>
      </w:rPr>
      <w:tblPr/>
    </w:tblStylePr>
    <w:tblStylePr w:type="firstRow">
      <w:rPr>
        <w:b/>
      </w:rPr>
      <w:tblPr/>
      <w:tcPr>
        <w:tcBorders>
          <w:top w:val="none" w:color="000000" w:sz="4" w:space="0"/>
          <w:left w:val="none" w:color="000000" w:sz="4" w:space="0"/>
          <w:bottom w:val="single" w:color="000000" w:themeColor="accent6" w:sz="4" w:space="0"/>
          <w:right w:val="none" w:color="000000" w:sz="4" w:space="0"/>
        </w:tcBorders>
      </w:tcPr>
    </w:tblStylePr>
    <w:tblStylePr w:type="lastCol">
      <w:rPr>
        <w:b/>
      </w:rPr>
      <w:tblPr/>
    </w:tblStylePr>
    <w:tblStylePr w:type="lastRow">
      <w:rPr>
        <w:b/>
      </w:rPr>
      <w:tblPr/>
      <w:tcPr>
        <w:tcBorders>
          <w:top w:val="single" w:color="000000" w:themeColor="accent6" w:sz="4" w:space="0"/>
          <w:left w:val="none" w:color="000000" w:sz="4" w:space="0"/>
          <w:bottom w:val="none" w:color="000000" w:sz="4" w:space="0"/>
          <w:right w:val="none" w:color="000000" w:sz="4" w:space="0"/>
        </w:tcBorders>
      </w:tcPr>
    </w:tblStylePr>
  </w:style>
  <w:style w:type="table" w:styleId="1433">
    <w:name w:val="List Table 2"/>
    <w:basedOn w:val="1496"/>
    <w:uiPriority w:val="99"/>
    <w:pPr>
      <w:spacing w:after="0" w:line="240" w:lineRule="auto"/>
    </w:pPr>
    <w:tblPr>
      <w:tblStyleRowBandSize w:val="1"/>
      <w:tblStyleColBandSize w:val="1"/>
      <w:tblBorders>
        <w:top w:val="single" w:color="000000" w:themeColor="text1" w:themeTint="90" w:sz="4" w:space="0"/>
        <w:bottom w:val="single" w:color="000000" w:themeColor="text1" w:themeTint="90" w:sz="4" w:space="0"/>
        <w:insideH w:val="single" w:color="000000" w:themeColor="text1" w:themeTint="90" w:sz="4" w:space="0"/>
      </w:tblBorders>
    </w:tblPr>
    <w:tblStylePr w:type="band1Horz">
      <w:rPr>
        <w:sz w:val="22"/>
      </w:rPr>
      <w:tblPr/>
      <w:tcPr>
        <w:shd w:val="clear" w:color="FFFFFF" w:fill="BFBFBF" w:themeFill="text1" w:themeFillTint="40"/>
      </w:tcPr>
    </w:tblStylePr>
    <w:tblStylePr w:type="band1Vert">
      <w:rPr>
        <w:sz w:val="22"/>
      </w:rPr>
      <w:tblPr/>
      <w:tcPr>
        <w:shd w:val="clear" w:color="FFFFFF" w:fill="BFBFBF" w:themeFill="text1" w:themeFillTint="40"/>
      </w:tcPr>
    </w:tblStylePr>
    <w:tblStylePr w:type="firstCol">
      <w:rPr>
        <w:b/>
        <w:sz w:val="22"/>
      </w:rPr>
      <w:tblPr/>
    </w:tblStylePr>
    <w:tblStylePr w:type="firstRow">
      <w:rPr>
        <w:b/>
        <w:sz w:val="22"/>
      </w:rPr>
      <w:tblPr/>
      <w:tcPr>
        <w:tcBorders>
          <w:top w:val="single" w:color="000000" w:themeColor="text1" w:sz="4" w:space="0"/>
          <w:left w:val="none" w:color="000000" w:sz="4" w:space="0"/>
          <w:bottom w:val="single" w:color="000000" w:themeColor="text1" w:sz="4" w:space="0"/>
          <w:right w:val="none" w:color="000000" w:sz="4" w:space="0"/>
        </w:tcBorders>
      </w:tcPr>
    </w:tblStylePr>
    <w:tblStylePr w:type="lastCol">
      <w:rPr>
        <w:b/>
        <w:sz w:val="22"/>
      </w:rPr>
      <w:tblPr/>
    </w:tblStylePr>
    <w:tblStylePr w:type="lastRow">
      <w:rPr>
        <w:b/>
        <w:sz w:val="22"/>
      </w:rPr>
      <w:tblPr/>
      <w:tcPr>
        <w:tcBorders>
          <w:top w:val="single" w:color="000000" w:themeColor="text1" w:sz="4" w:space="0"/>
          <w:left w:val="none" w:color="000000" w:sz="4" w:space="0"/>
          <w:bottom w:val="single" w:color="000000" w:themeColor="text1" w:sz="4" w:space="0"/>
          <w:right w:val="none" w:color="000000" w:sz="4" w:space="0"/>
        </w:tcBorders>
      </w:tcPr>
    </w:tblStylePr>
  </w:style>
  <w:style w:type="table" w:styleId="1434">
    <w:name w:val="List Table 2 - Accent 1"/>
    <w:basedOn w:val="1496"/>
    <w:uiPriority w:val="99"/>
    <w:pPr>
      <w:spacing w:after="0" w:line="240" w:lineRule="auto"/>
    </w:pPr>
    <w:tblPr>
      <w:tblStyleRowBandSize w:val="1"/>
      <w:tblStyleColBandSize w:val="1"/>
      <w:tblBorders>
        <w:top w:val="single" w:color="000000" w:themeColor="accent1" w:themeTint="90" w:sz="4" w:space="0"/>
        <w:bottom w:val="single" w:color="000000" w:themeColor="accent1" w:themeTint="90" w:sz="4" w:space="0"/>
        <w:insideH w:val="single" w:color="000000" w:themeColor="accent1" w:themeTint="90" w:sz="4" w:space="0"/>
      </w:tblBorders>
    </w:tblPr>
    <w:tblStylePr w:type="band1Horz">
      <w:rPr>
        <w:sz w:val="22"/>
      </w:rPr>
      <w:tblPr/>
      <w:tcPr>
        <w:shd w:val="clear" w:color="FFFFFF" w:fill="CFDCF0" w:themeFill="accent1" w:themeFillTint="40"/>
      </w:tcPr>
    </w:tblStylePr>
    <w:tblStylePr w:type="band1Vert">
      <w:rPr>
        <w:sz w:val="22"/>
      </w:rPr>
      <w:tblPr/>
      <w:tcPr>
        <w:shd w:val="clear" w:color="FFFFFF" w:fill="CFDCF0" w:themeFill="accent1" w:themeFillTint="40"/>
      </w:tcPr>
    </w:tblStylePr>
    <w:tblStylePr w:type="firstCol">
      <w:rPr>
        <w:b/>
        <w:sz w:val="22"/>
      </w:rPr>
      <w:tblPr/>
    </w:tblStylePr>
    <w:tblStylePr w:type="firstRow">
      <w:rPr>
        <w:b/>
        <w:sz w:val="22"/>
      </w:rPr>
      <w:tblPr/>
      <w:tcPr>
        <w:tcBorders>
          <w:top w:val="single" w:color="000000" w:themeColor="accent1" w:sz="4" w:space="0"/>
          <w:left w:val="none" w:color="000000" w:sz="4" w:space="0"/>
          <w:bottom w:val="single" w:color="000000" w:themeColor="accent1" w:sz="4" w:space="0"/>
          <w:right w:val="none" w:color="000000" w:sz="4" w:space="0"/>
        </w:tcBorders>
      </w:tcPr>
    </w:tblStylePr>
    <w:tblStylePr w:type="lastCol">
      <w:rPr>
        <w:b/>
        <w:sz w:val="22"/>
      </w:rPr>
      <w:tblPr/>
    </w:tblStylePr>
    <w:tblStylePr w:type="lastRow">
      <w:rPr>
        <w:b/>
        <w:sz w:val="22"/>
      </w:rPr>
      <w:tblPr/>
      <w:tcPr>
        <w:tcBorders>
          <w:top w:val="single" w:color="000000" w:themeColor="accent1" w:sz="4" w:space="0"/>
          <w:left w:val="none" w:color="000000" w:sz="4" w:space="0"/>
          <w:bottom w:val="single" w:color="000000" w:themeColor="accent1" w:sz="4" w:space="0"/>
          <w:right w:val="none" w:color="000000" w:sz="4" w:space="0"/>
        </w:tcBorders>
      </w:tcPr>
    </w:tblStylePr>
  </w:style>
  <w:style w:type="table" w:styleId="1435">
    <w:name w:val="List Table 2 - Accent 2"/>
    <w:basedOn w:val="1496"/>
    <w:uiPriority w:val="99"/>
    <w:pPr>
      <w:spacing w:after="0" w:line="240" w:lineRule="auto"/>
    </w:pPr>
    <w:tblPr>
      <w:tblStyleRowBandSize w:val="1"/>
      <w:tblStyleColBandSize w:val="1"/>
      <w:tblBorders>
        <w:top w:val="single" w:color="000000" w:themeColor="accent2" w:themeTint="90" w:sz="4" w:space="0"/>
        <w:bottom w:val="single" w:color="000000" w:themeColor="accent2" w:themeTint="90" w:sz="4" w:space="0"/>
        <w:insideH w:val="single" w:color="000000" w:themeColor="accent2" w:themeTint="90" w:sz="4" w:space="0"/>
      </w:tblBorders>
    </w:tblPr>
    <w:tblStylePr w:type="band1Horz">
      <w:rPr>
        <w:sz w:val="22"/>
      </w:rPr>
      <w:tblPr/>
      <w:tcPr>
        <w:shd w:val="clear" w:color="FFFFFF" w:fill="FADECB" w:themeFill="accent2" w:themeFillTint="40"/>
      </w:tcPr>
    </w:tblStylePr>
    <w:tblStylePr w:type="band1Vert">
      <w:rPr>
        <w:sz w:val="22"/>
      </w:rPr>
      <w:tblPr/>
      <w:tcPr>
        <w:shd w:val="clear" w:color="FFFFFF" w:fill="FADECB" w:themeFill="accent2" w:themeFillTint="40"/>
      </w:tcPr>
    </w:tblStylePr>
    <w:tblStylePr w:type="firstCol">
      <w:rPr>
        <w:b/>
        <w:sz w:val="22"/>
      </w:rPr>
      <w:tblPr/>
    </w:tblStylePr>
    <w:tblStylePr w:type="firstRow">
      <w:rPr>
        <w:b/>
        <w:sz w:val="22"/>
      </w:rPr>
      <w:tblPr/>
      <w:tcPr>
        <w:tcBorders>
          <w:top w:val="single" w:color="000000" w:themeColor="accent2" w:sz="4" w:space="0"/>
          <w:left w:val="none" w:color="000000" w:sz="4" w:space="0"/>
          <w:bottom w:val="single" w:color="000000" w:themeColor="accent2" w:sz="4" w:space="0"/>
          <w:right w:val="none" w:color="000000" w:sz="4" w:space="0"/>
        </w:tcBorders>
      </w:tcPr>
    </w:tblStylePr>
    <w:tblStylePr w:type="lastCol">
      <w:rPr>
        <w:b/>
        <w:sz w:val="22"/>
      </w:rPr>
      <w:tblPr/>
    </w:tblStylePr>
    <w:tblStylePr w:type="lastRow">
      <w:rPr>
        <w:b/>
        <w:sz w:val="22"/>
      </w:rPr>
      <w:tblPr/>
      <w:tcPr>
        <w:tcBorders>
          <w:top w:val="single" w:color="000000" w:themeColor="accent2" w:sz="4" w:space="0"/>
          <w:left w:val="none" w:color="000000" w:sz="4" w:space="0"/>
          <w:bottom w:val="single" w:color="000000" w:themeColor="accent2" w:sz="4" w:space="0"/>
          <w:right w:val="none" w:color="000000" w:sz="4" w:space="0"/>
        </w:tcBorders>
      </w:tcPr>
    </w:tblStylePr>
  </w:style>
  <w:style w:type="table" w:styleId="1436">
    <w:name w:val="List Table 2 - Accent 3"/>
    <w:basedOn w:val="1496"/>
    <w:uiPriority w:val="99"/>
    <w:pPr>
      <w:spacing w:after="0" w:line="240" w:lineRule="auto"/>
    </w:pPr>
    <w:tblPr>
      <w:tblStyleRowBandSize w:val="1"/>
      <w:tblStyleColBandSize w:val="1"/>
      <w:tblBorders>
        <w:top w:val="single" w:color="000000" w:themeColor="accent3" w:themeTint="90" w:sz="4" w:space="0"/>
        <w:bottom w:val="single" w:color="000000" w:themeColor="accent3" w:themeTint="90" w:sz="4" w:space="0"/>
        <w:insideH w:val="single" w:color="000000" w:themeColor="accent3" w:themeTint="90" w:sz="4" w:space="0"/>
      </w:tblBorders>
    </w:tblPr>
    <w:tblStylePr w:type="band1Horz">
      <w:rPr>
        <w:sz w:val="22"/>
      </w:rPr>
      <w:tblPr/>
      <w:tcPr>
        <w:shd w:val="clear" w:color="FFFFFF" w:fill="E8E8E8" w:themeFill="accent3" w:themeFillTint="40"/>
      </w:tcPr>
    </w:tblStylePr>
    <w:tblStylePr w:type="band1Vert">
      <w:rPr>
        <w:sz w:val="22"/>
      </w:rPr>
      <w:tblPr/>
      <w:tcPr>
        <w:shd w:val="clear" w:color="FFFFFF" w:fill="E8E8E8" w:themeFill="accent3" w:themeFillTint="40"/>
      </w:tcPr>
    </w:tblStylePr>
    <w:tblStylePr w:type="firstCol">
      <w:rPr>
        <w:b/>
        <w:sz w:val="22"/>
      </w:rPr>
      <w:tblPr/>
    </w:tblStylePr>
    <w:tblStylePr w:type="firstRow">
      <w:rPr>
        <w:b/>
        <w:sz w:val="22"/>
      </w:rPr>
      <w:tblPr/>
      <w:tcPr>
        <w:tcBorders>
          <w:top w:val="single" w:color="000000" w:themeColor="accent3" w:sz="4" w:space="0"/>
          <w:left w:val="none" w:color="000000" w:sz="4" w:space="0"/>
          <w:bottom w:val="single" w:color="000000" w:themeColor="accent3" w:sz="4" w:space="0"/>
          <w:right w:val="none" w:color="000000" w:sz="4" w:space="0"/>
        </w:tcBorders>
      </w:tcPr>
    </w:tblStylePr>
    <w:tblStylePr w:type="lastCol">
      <w:rPr>
        <w:b/>
        <w:sz w:val="22"/>
      </w:rPr>
      <w:tblPr/>
    </w:tblStylePr>
    <w:tblStylePr w:type="lastRow">
      <w:rPr>
        <w:b/>
        <w:sz w:val="22"/>
      </w:rPr>
      <w:tblPr/>
      <w:tcPr>
        <w:tcBorders>
          <w:top w:val="single" w:color="000000" w:themeColor="accent3" w:sz="4" w:space="0"/>
          <w:left w:val="none" w:color="000000" w:sz="4" w:space="0"/>
          <w:bottom w:val="single" w:color="000000" w:themeColor="accent3" w:sz="4" w:space="0"/>
          <w:right w:val="none" w:color="000000" w:sz="4" w:space="0"/>
        </w:tcBorders>
      </w:tcPr>
    </w:tblStylePr>
  </w:style>
  <w:style w:type="table" w:styleId="1437">
    <w:name w:val="List Table 2 - Accent 4"/>
    <w:basedOn w:val="1496"/>
    <w:uiPriority w:val="99"/>
    <w:pPr>
      <w:spacing w:after="0" w:line="240" w:lineRule="auto"/>
    </w:pPr>
    <w:tblPr>
      <w:tblStyleRowBandSize w:val="1"/>
      <w:tblStyleColBandSize w:val="1"/>
      <w:tblBorders>
        <w:top w:val="single" w:color="000000" w:themeColor="accent4" w:themeTint="90" w:sz="4" w:space="0"/>
        <w:bottom w:val="single" w:color="000000" w:themeColor="accent4" w:themeTint="90" w:sz="4" w:space="0"/>
        <w:insideH w:val="single" w:color="000000" w:themeColor="accent4" w:themeTint="90" w:sz="4" w:space="0"/>
      </w:tblBorders>
    </w:tblPr>
    <w:tblStylePr w:type="band1Horz">
      <w:rPr>
        <w:sz w:val="22"/>
      </w:rPr>
      <w:tblPr/>
      <w:tcPr>
        <w:shd w:val="clear" w:color="FFFFFF" w:fill="FFEFBF" w:themeFill="accent4" w:themeFillTint="40"/>
      </w:tcPr>
    </w:tblStylePr>
    <w:tblStylePr w:type="band1Vert">
      <w:rPr>
        <w:sz w:val="22"/>
      </w:rPr>
      <w:tblPr/>
      <w:tcPr>
        <w:shd w:val="clear" w:color="FFFFFF" w:fill="FFEFBF" w:themeFill="accent4" w:themeFillTint="40"/>
      </w:tcPr>
    </w:tblStylePr>
    <w:tblStylePr w:type="firstCol">
      <w:rPr>
        <w:b/>
        <w:sz w:val="22"/>
      </w:rPr>
      <w:tblPr/>
    </w:tblStylePr>
    <w:tblStylePr w:type="firstRow">
      <w:rPr>
        <w:b/>
        <w:sz w:val="22"/>
      </w:rPr>
      <w:tblPr/>
      <w:tcPr>
        <w:tcBorders>
          <w:top w:val="single" w:color="000000" w:themeColor="accent4" w:sz="4" w:space="0"/>
          <w:left w:val="none" w:color="000000" w:sz="4" w:space="0"/>
          <w:bottom w:val="single" w:color="000000" w:themeColor="accent4" w:sz="4" w:space="0"/>
          <w:right w:val="none" w:color="000000" w:sz="4" w:space="0"/>
        </w:tcBorders>
      </w:tcPr>
    </w:tblStylePr>
    <w:tblStylePr w:type="lastCol">
      <w:rPr>
        <w:b/>
        <w:sz w:val="22"/>
      </w:rPr>
      <w:tblPr/>
    </w:tblStylePr>
    <w:tblStylePr w:type="lastRow">
      <w:rPr>
        <w:b/>
        <w:sz w:val="22"/>
      </w:rPr>
      <w:tblPr/>
      <w:tcPr>
        <w:tcBorders>
          <w:top w:val="single" w:color="000000" w:themeColor="accent4" w:sz="4" w:space="0"/>
          <w:left w:val="none" w:color="000000" w:sz="4" w:space="0"/>
          <w:bottom w:val="single" w:color="000000" w:themeColor="accent4" w:sz="4" w:space="0"/>
          <w:right w:val="none" w:color="000000" w:sz="4" w:space="0"/>
        </w:tcBorders>
      </w:tcPr>
    </w:tblStylePr>
  </w:style>
  <w:style w:type="table" w:styleId="1438">
    <w:name w:val="List Table 2 - Accent 5"/>
    <w:basedOn w:val="1496"/>
    <w:uiPriority w:val="99"/>
    <w:pPr>
      <w:spacing w:after="0" w:line="240" w:lineRule="auto"/>
    </w:pPr>
    <w:tblPr>
      <w:tblStyleRowBandSize w:val="1"/>
      <w:tblStyleColBandSize w:val="1"/>
      <w:tblBorders>
        <w:top w:val="single" w:color="000000" w:themeColor="accent5" w:themeTint="90" w:sz="4" w:space="0"/>
        <w:bottom w:val="single" w:color="000000" w:themeColor="accent5" w:themeTint="90" w:sz="4" w:space="0"/>
        <w:insideH w:val="single" w:color="000000" w:themeColor="accent5" w:themeTint="90" w:sz="4" w:space="0"/>
      </w:tblBorders>
    </w:tblPr>
    <w:tblStylePr w:type="band1Horz">
      <w:rPr>
        <w:sz w:val="22"/>
      </w:rPr>
      <w:tblPr/>
      <w:tcPr>
        <w:shd w:val="clear" w:color="FFFFFF" w:fill="D5E6F4" w:themeFill="accent5" w:themeFillTint="40"/>
      </w:tcPr>
    </w:tblStylePr>
    <w:tblStylePr w:type="band1Vert">
      <w:rPr>
        <w:sz w:val="22"/>
      </w:rPr>
      <w:tblPr/>
      <w:tcPr>
        <w:shd w:val="clear" w:color="FFFFFF" w:fill="D5E6F4" w:themeFill="accent5" w:themeFillTint="40"/>
      </w:tcPr>
    </w:tblStylePr>
    <w:tblStylePr w:type="firstCol">
      <w:rPr>
        <w:b/>
        <w:sz w:val="22"/>
      </w:rPr>
      <w:tblPr/>
    </w:tblStylePr>
    <w:tblStylePr w:type="firstRow">
      <w:rPr>
        <w:b/>
        <w:sz w:val="22"/>
      </w:rPr>
      <w:tblPr/>
      <w:tcPr>
        <w:tcBorders>
          <w:top w:val="single" w:color="000000" w:themeColor="accent5" w:sz="4" w:space="0"/>
          <w:left w:val="none" w:color="000000" w:sz="4" w:space="0"/>
          <w:bottom w:val="single" w:color="000000" w:themeColor="accent5" w:sz="4" w:space="0"/>
          <w:right w:val="none" w:color="000000" w:sz="4" w:space="0"/>
        </w:tcBorders>
      </w:tcPr>
    </w:tblStylePr>
    <w:tblStylePr w:type="lastCol">
      <w:rPr>
        <w:b/>
        <w:sz w:val="22"/>
      </w:rPr>
      <w:tblPr/>
    </w:tblStylePr>
    <w:tblStylePr w:type="lastRow">
      <w:rPr>
        <w:b/>
        <w:sz w:val="22"/>
      </w:rPr>
      <w:tblPr/>
      <w:tcPr>
        <w:tcBorders>
          <w:top w:val="single" w:color="000000" w:themeColor="accent5" w:sz="4" w:space="0"/>
          <w:left w:val="none" w:color="000000" w:sz="4" w:space="0"/>
          <w:bottom w:val="single" w:color="000000" w:themeColor="accent5" w:sz="4" w:space="0"/>
          <w:right w:val="none" w:color="000000" w:sz="4" w:space="0"/>
        </w:tcBorders>
      </w:tcPr>
    </w:tblStylePr>
  </w:style>
  <w:style w:type="table" w:styleId="1439">
    <w:name w:val="List Table 2 - Accent 6"/>
    <w:basedOn w:val="1496"/>
    <w:uiPriority w:val="99"/>
    <w:pPr>
      <w:spacing w:after="0" w:line="240" w:lineRule="auto"/>
    </w:pPr>
    <w:tblPr>
      <w:tblStyleRowBandSize w:val="1"/>
      <w:tblStyleColBandSize w:val="1"/>
      <w:tblBorders>
        <w:top w:val="single" w:color="000000" w:themeColor="accent6" w:themeTint="90" w:sz="4" w:space="0"/>
        <w:bottom w:val="single" w:color="000000" w:themeColor="accent6" w:themeTint="90" w:sz="4" w:space="0"/>
        <w:insideH w:val="single" w:color="000000" w:themeColor="accent6" w:themeTint="90" w:sz="4" w:space="0"/>
      </w:tblBorders>
    </w:tblPr>
    <w:tblStylePr w:type="band1Horz">
      <w:rPr>
        <w:sz w:val="22"/>
      </w:rPr>
      <w:tblPr/>
      <w:tcPr>
        <w:shd w:val="clear" w:color="FFFFFF" w:fill="DBEBD0" w:themeFill="accent6" w:themeFillTint="40"/>
      </w:tcPr>
    </w:tblStylePr>
    <w:tblStylePr w:type="band1Vert">
      <w:rPr>
        <w:sz w:val="22"/>
      </w:rPr>
      <w:tblPr/>
      <w:tcPr>
        <w:shd w:val="clear" w:color="FFFFFF" w:fill="DBEBD0" w:themeFill="accent6" w:themeFillTint="40"/>
      </w:tcPr>
    </w:tblStylePr>
    <w:tblStylePr w:type="firstCol">
      <w:rPr>
        <w:b/>
        <w:sz w:val="22"/>
      </w:rPr>
      <w:tblPr/>
    </w:tblStylePr>
    <w:tblStylePr w:type="firstRow">
      <w:rPr>
        <w:b/>
        <w:sz w:val="22"/>
      </w:rPr>
      <w:tblPr/>
      <w:tcPr>
        <w:tcBorders>
          <w:top w:val="single" w:color="000000" w:themeColor="accent6" w:sz="4" w:space="0"/>
          <w:left w:val="none" w:color="000000" w:sz="4" w:space="0"/>
          <w:bottom w:val="single" w:color="000000" w:themeColor="accent6" w:sz="4" w:space="0"/>
          <w:right w:val="none" w:color="000000" w:sz="4" w:space="0"/>
        </w:tcBorders>
      </w:tcPr>
    </w:tblStylePr>
    <w:tblStylePr w:type="lastCol">
      <w:rPr>
        <w:b/>
        <w:sz w:val="22"/>
      </w:rPr>
      <w:tblPr/>
    </w:tblStylePr>
    <w:tblStylePr w:type="lastRow">
      <w:rPr>
        <w:b/>
        <w:sz w:val="22"/>
      </w:rPr>
      <w:tblPr/>
      <w:tcPr>
        <w:tcBorders>
          <w:top w:val="single" w:color="000000" w:themeColor="accent6" w:sz="4" w:space="0"/>
          <w:left w:val="none" w:color="000000" w:sz="4" w:space="0"/>
          <w:bottom w:val="single" w:color="000000" w:themeColor="accent6" w:sz="4" w:space="0"/>
          <w:right w:val="none" w:color="000000" w:sz="4" w:space="0"/>
        </w:tcBorders>
      </w:tcPr>
    </w:tblStylePr>
  </w:style>
  <w:style w:type="table" w:styleId="1440">
    <w:name w:val="List Table 3"/>
    <w:basedOn w:val="1496"/>
    <w:uiPriority w:val="99"/>
    <w:pPr>
      <w:spacing w:after="0" w:line="240" w:lineRule="auto"/>
    </w:pPr>
    <w:tblPr>
      <w:tblStyleRowBandSize w:val="1"/>
      <w:tblStyleColBandSize w:val="1"/>
      <w:tblBorders>
        <w:top w:val="single" w:color="000000" w:themeColor="text1" w:sz="4" w:space="0"/>
        <w:left w:val="single" w:color="000000" w:themeColor="text1" w:sz="4" w:space="0"/>
        <w:bottom w:val="single" w:color="000000" w:themeColor="text1" w:sz="4" w:space="0"/>
        <w:right w:val="single" w:color="000000" w:themeColor="text1" w:sz="4" w:space="0"/>
      </w:tblBorders>
    </w:tblPr>
    <w:tblStylePr w:type="band1Horz">
      <w:rPr>
        <w:sz w:val="22"/>
      </w:rPr>
      <w:tblPr/>
      <w:tcPr>
        <w:tcBorders>
          <w:top w:val="single" w:color="000000" w:themeColor="text1" w:sz="4" w:space="0"/>
          <w:bottom w:val="single" w:color="000000" w:themeColor="text1" w:sz="4" w:space="0"/>
        </w:tcBorders>
      </w:tcPr>
    </w:tblStylePr>
    <w:tblStylePr w:type="band1Vert">
      <w:rPr>
        <w:sz w:val="22"/>
      </w:rPr>
      <w:tblPr/>
      <w:tcPr>
        <w:tcBorders>
          <w:left w:val="single" w:color="000000" w:themeColor="text1" w:sz="4" w:space="0"/>
          <w:right w:val="single" w:color="000000" w:themeColor="text1" w:sz="4" w:space="0"/>
        </w:tcBorders>
      </w:tcPr>
    </w:tblStylePr>
    <w:tblStylePr w:type="firstCol">
      <w:rPr>
        <w:b/>
      </w:rPr>
      <w:tblPr/>
    </w:tblStylePr>
    <w:tblStylePr w:type="firstRow">
      <w:rPr>
        <w:b/>
        <w:sz w:val="22"/>
      </w:rPr>
      <w:tblPr/>
      <w:tcPr>
        <w:shd w:val="clear" w:color="FFFFFF" w:fill="000000" w:themeFill="text1"/>
      </w:tcPr>
    </w:tblStylePr>
    <w:tblStylePr w:type="lastCol">
      <w:rPr>
        <w:b/>
      </w:rPr>
      <w:tblPr/>
    </w:tblStylePr>
    <w:tblStylePr w:type="lastRow">
      <w:rPr>
        <w:b/>
      </w:rPr>
      <w:tblPr/>
    </w:tblStylePr>
  </w:style>
  <w:style w:type="table" w:styleId="1441">
    <w:name w:val="List Table 3 - Accent 1"/>
    <w:basedOn w:val="1496"/>
    <w:uiPriority w:val="99"/>
    <w:pPr>
      <w:spacing w:after="0" w:line="240" w:lineRule="auto"/>
    </w:pPr>
    <w:tblPr>
      <w:tblStyleRowBandSize w:val="1"/>
      <w:tblStyleColBandSize w:val="1"/>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blStylePr w:type="band1Horz">
      <w:rPr>
        <w:sz w:val="22"/>
      </w:rPr>
      <w:tblPr/>
      <w:tcPr>
        <w:tcBorders>
          <w:top w:val="single" w:color="000000" w:themeColor="accent1" w:sz="4" w:space="0"/>
          <w:bottom w:val="single" w:color="000000" w:themeColor="accent1" w:sz="4" w:space="0"/>
        </w:tcBorders>
      </w:tcPr>
    </w:tblStylePr>
    <w:tblStylePr w:type="band1Vert">
      <w:rPr>
        <w:sz w:val="22"/>
      </w:rPr>
      <w:tblPr/>
      <w:tcPr>
        <w:tcBorders>
          <w:left w:val="single" w:color="000000" w:themeColor="accent1" w:sz="4" w:space="0"/>
          <w:right w:val="single" w:color="000000" w:themeColor="accent1" w:sz="4" w:space="0"/>
        </w:tcBorders>
      </w:tcPr>
    </w:tblStylePr>
    <w:tblStylePr w:type="firstCol">
      <w:rPr>
        <w:b/>
      </w:rPr>
      <w:tblPr/>
    </w:tblStylePr>
    <w:tblStylePr w:type="firstRow">
      <w:rPr>
        <w:b/>
        <w:sz w:val="22"/>
      </w:rPr>
      <w:tblPr/>
      <w:tcPr>
        <w:shd w:val="clear" w:color="FFFFFF" w:fill="4472C4" w:themeFill="accent1"/>
      </w:tcPr>
    </w:tblStylePr>
    <w:tblStylePr w:type="lastCol">
      <w:rPr>
        <w:b/>
      </w:rPr>
      <w:tblPr/>
    </w:tblStylePr>
    <w:tblStylePr w:type="lastRow">
      <w:rPr>
        <w:b/>
      </w:rPr>
      <w:tblPr/>
    </w:tblStylePr>
  </w:style>
  <w:style w:type="table" w:styleId="1442">
    <w:name w:val="List Table 3 - Accent 2"/>
    <w:basedOn w:val="1496"/>
    <w:uiPriority w:val="99"/>
    <w:pPr>
      <w:spacing w:after="0" w:line="240" w:lineRule="auto"/>
    </w:pPr>
    <w:tblPr>
      <w:tblStyleRowBandSize w:val="1"/>
      <w:tblStyleColBandSize w:val="1"/>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blStylePr w:type="band1Horz">
      <w:rPr>
        <w:sz w:val="22"/>
      </w:rPr>
      <w:tblPr/>
      <w:tcPr>
        <w:tcBorders>
          <w:top w:val="single" w:color="000000" w:themeColor="accent2" w:sz="4" w:space="0"/>
          <w:bottom w:val="single" w:color="000000" w:themeColor="accent2" w:sz="4" w:space="0"/>
        </w:tcBorders>
      </w:tcPr>
    </w:tblStylePr>
    <w:tblStylePr w:type="band1Vert">
      <w:rPr>
        <w:sz w:val="22"/>
      </w:rPr>
      <w:tblPr/>
      <w:tcPr>
        <w:tcBorders>
          <w:left w:val="single" w:color="000000" w:themeColor="accent2" w:sz="4" w:space="0"/>
          <w:right w:val="single" w:color="000000" w:themeColor="accent2" w:sz="4" w:space="0"/>
        </w:tcBorders>
      </w:tcPr>
    </w:tblStylePr>
    <w:tblStylePr w:type="firstCol">
      <w:rPr>
        <w:b/>
      </w:rPr>
      <w:tblPr/>
    </w:tblStylePr>
    <w:tblStylePr w:type="firstRow">
      <w:rPr>
        <w:b/>
        <w:sz w:val="22"/>
      </w:rPr>
      <w:tblPr/>
      <w:tcPr>
        <w:shd w:val="clear" w:color="FFFFFF" w:fill="F4B185" w:themeFill="accent2" w:themeFillTint="97"/>
      </w:tcPr>
    </w:tblStylePr>
    <w:tblStylePr w:type="lastCol">
      <w:rPr>
        <w:b/>
      </w:rPr>
      <w:tblPr/>
    </w:tblStylePr>
    <w:tblStylePr w:type="lastRow">
      <w:rPr>
        <w:b/>
      </w:rPr>
      <w:tblPr/>
    </w:tblStylePr>
  </w:style>
  <w:style w:type="table" w:styleId="1443">
    <w:name w:val="List Table 3 - Accent 3"/>
    <w:basedOn w:val="1496"/>
    <w:uiPriority w:val="99"/>
    <w:pPr>
      <w:spacing w:after="0" w:line="240" w:lineRule="auto"/>
    </w:pPr>
    <w:tblPr>
      <w:tblStyleRowBandSize w:val="1"/>
      <w:tblStyleColBandSize w:val="1"/>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blStylePr w:type="band1Horz">
      <w:rPr>
        <w:sz w:val="22"/>
      </w:rPr>
      <w:tblPr/>
      <w:tcPr>
        <w:tcBorders>
          <w:top w:val="single" w:color="000000" w:themeColor="accent3" w:sz="4" w:space="0"/>
          <w:bottom w:val="single" w:color="000000" w:themeColor="accent3" w:sz="4" w:space="0"/>
        </w:tcBorders>
      </w:tcPr>
    </w:tblStylePr>
    <w:tblStylePr w:type="band1Vert">
      <w:rPr>
        <w:sz w:val="22"/>
      </w:rPr>
      <w:tblPr/>
      <w:tcPr>
        <w:tcBorders>
          <w:left w:val="single" w:color="000000" w:themeColor="accent3" w:sz="4" w:space="0"/>
          <w:right w:val="single" w:color="000000" w:themeColor="accent3" w:sz="4" w:space="0"/>
        </w:tcBorders>
      </w:tcPr>
    </w:tblStylePr>
    <w:tblStylePr w:type="firstCol">
      <w:rPr>
        <w:b/>
      </w:rPr>
      <w:tblPr/>
    </w:tblStylePr>
    <w:tblStylePr w:type="firstRow">
      <w:rPr>
        <w:b/>
        <w:sz w:val="22"/>
      </w:rPr>
      <w:tblPr/>
      <w:tcPr>
        <w:shd w:val="clear" w:color="FFFFFF" w:fill="C9C9C9" w:themeFill="accent3" w:themeFillTint="98"/>
      </w:tcPr>
    </w:tblStylePr>
    <w:tblStylePr w:type="lastCol">
      <w:rPr>
        <w:b/>
      </w:rPr>
      <w:tblPr/>
    </w:tblStylePr>
    <w:tblStylePr w:type="lastRow">
      <w:rPr>
        <w:b/>
      </w:rPr>
      <w:tblPr/>
    </w:tblStylePr>
  </w:style>
  <w:style w:type="table" w:styleId="1444">
    <w:name w:val="List Table 3 - Accent 4"/>
    <w:basedOn w:val="1496"/>
    <w:uiPriority w:val="99"/>
    <w:pPr>
      <w:spacing w:after="0" w:line="240" w:lineRule="auto"/>
    </w:pPr>
    <w:tblPr>
      <w:tblStyleRowBandSize w:val="1"/>
      <w:tblStyleColBandSize w:val="1"/>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blStylePr w:type="band1Horz">
      <w:rPr>
        <w:sz w:val="22"/>
      </w:rPr>
      <w:tblPr/>
      <w:tcPr>
        <w:tcBorders>
          <w:top w:val="single" w:color="000000" w:themeColor="accent4" w:sz="4" w:space="0"/>
          <w:bottom w:val="single" w:color="000000" w:themeColor="accent4" w:sz="4" w:space="0"/>
        </w:tcBorders>
      </w:tcPr>
    </w:tblStylePr>
    <w:tblStylePr w:type="band1Vert">
      <w:rPr>
        <w:sz w:val="22"/>
      </w:rPr>
      <w:tblPr/>
      <w:tcPr>
        <w:tcBorders>
          <w:left w:val="single" w:color="000000" w:themeColor="accent4" w:sz="4" w:space="0"/>
          <w:right w:val="single" w:color="000000" w:themeColor="accent4" w:sz="4" w:space="0"/>
        </w:tcBorders>
      </w:tcPr>
    </w:tblStylePr>
    <w:tblStylePr w:type="firstCol">
      <w:rPr>
        <w:b/>
      </w:rPr>
      <w:tblPr/>
    </w:tblStylePr>
    <w:tblStylePr w:type="firstRow">
      <w:rPr>
        <w:b/>
        <w:sz w:val="22"/>
      </w:rPr>
      <w:tblPr/>
      <w:tcPr>
        <w:shd w:val="clear" w:color="FFFFFF" w:fill="FFD864" w:themeFill="accent4" w:themeFillTint="9a"/>
      </w:tcPr>
    </w:tblStylePr>
    <w:tblStylePr w:type="lastCol">
      <w:rPr>
        <w:b/>
      </w:rPr>
      <w:tblPr/>
    </w:tblStylePr>
    <w:tblStylePr w:type="lastRow">
      <w:rPr>
        <w:b/>
      </w:rPr>
      <w:tblPr/>
    </w:tblStylePr>
  </w:style>
  <w:style w:type="table" w:styleId="1445">
    <w:name w:val="List Table 3 - Accent 5"/>
    <w:basedOn w:val="1496"/>
    <w:uiPriority w:val="99"/>
    <w:pPr>
      <w:spacing w:after="0" w:line="240" w:lineRule="auto"/>
    </w:pPr>
    <w:tblPr>
      <w:tblStyleRowBandSize w:val="1"/>
      <w:tblStyleColBandSize w:val="1"/>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blStylePr w:type="band1Horz">
      <w:rPr>
        <w:sz w:val="22"/>
      </w:rPr>
      <w:tblPr/>
      <w:tcPr>
        <w:tcBorders>
          <w:top w:val="single" w:color="000000" w:themeColor="accent5" w:sz="4" w:space="0"/>
          <w:bottom w:val="single" w:color="000000" w:themeColor="accent5" w:sz="4" w:space="0"/>
        </w:tcBorders>
      </w:tcPr>
    </w:tblStylePr>
    <w:tblStylePr w:type="band1Vert">
      <w:rPr>
        <w:sz w:val="22"/>
      </w:rPr>
      <w:tblPr/>
      <w:tcPr>
        <w:tcBorders>
          <w:left w:val="single" w:color="000000" w:themeColor="accent5" w:sz="4" w:space="0"/>
          <w:right w:val="single" w:color="000000" w:themeColor="accent5" w:sz="4" w:space="0"/>
        </w:tcBorders>
      </w:tcPr>
    </w:tblStylePr>
    <w:tblStylePr w:type="firstCol">
      <w:rPr>
        <w:b/>
      </w:rPr>
      <w:tblPr/>
    </w:tblStylePr>
    <w:tblStylePr w:type="firstRow">
      <w:rPr>
        <w:b/>
        <w:sz w:val="22"/>
      </w:rPr>
      <w:tblPr/>
      <w:tcPr>
        <w:shd w:val="clear" w:color="FFFFFF" w:fill="9CC4E5" w:themeFill="accent5" w:themeFillTint="9a"/>
      </w:tcPr>
    </w:tblStylePr>
    <w:tblStylePr w:type="lastCol">
      <w:rPr>
        <w:b/>
      </w:rPr>
      <w:tblPr/>
    </w:tblStylePr>
    <w:tblStylePr w:type="lastRow">
      <w:rPr>
        <w:b/>
      </w:rPr>
      <w:tblPr/>
    </w:tblStylePr>
  </w:style>
  <w:style w:type="table" w:styleId="1446">
    <w:name w:val="List Table 3 - Accent 6"/>
    <w:basedOn w:val="1496"/>
    <w:uiPriority w:val="99"/>
    <w:pPr>
      <w:spacing w:after="0" w:line="240" w:lineRule="auto"/>
    </w:pPr>
    <w:tblPr>
      <w:tblStyleRowBandSize w:val="1"/>
      <w:tblStyleColBandSize w:val="1"/>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blStylePr w:type="band1Horz">
      <w:rPr>
        <w:sz w:val="22"/>
      </w:rPr>
      <w:tblPr/>
      <w:tcPr>
        <w:tcBorders>
          <w:top w:val="single" w:color="000000" w:themeColor="accent6" w:sz="4" w:space="0"/>
          <w:bottom w:val="single" w:color="000000" w:themeColor="accent6" w:sz="4" w:space="0"/>
        </w:tcBorders>
      </w:tcPr>
    </w:tblStylePr>
    <w:tblStylePr w:type="band1Vert">
      <w:rPr>
        <w:sz w:val="22"/>
      </w:rPr>
      <w:tblPr/>
      <w:tcPr>
        <w:tcBorders>
          <w:left w:val="single" w:color="000000" w:themeColor="accent6" w:sz="4" w:space="0"/>
          <w:right w:val="single" w:color="000000" w:themeColor="accent6" w:sz="4" w:space="0"/>
        </w:tcBorders>
      </w:tcPr>
    </w:tblStylePr>
    <w:tblStylePr w:type="firstCol">
      <w:rPr>
        <w:b/>
      </w:rPr>
      <w:tblPr/>
    </w:tblStylePr>
    <w:tblStylePr w:type="firstRow">
      <w:rPr>
        <w:b/>
        <w:sz w:val="22"/>
      </w:rPr>
      <w:tblPr/>
      <w:tcPr>
        <w:shd w:val="clear" w:color="FFFFFF" w:fill="AAD08F" w:themeFill="accent6" w:themeFillTint="98"/>
      </w:tcPr>
    </w:tblStylePr>
    <w:tblStylePr w:type="lastCol">
      <w:rPr>
        <w:b/>
      </w:rPr>
      <w:tblPr/>
    </w:tblStylePr>
    <w:tblStylePr w:type="lastRow">
      <w:rPr>
        <w:b/>
      </w:rPr>
      <w:tblPr/>
    </w:tblStylePr>
  </w:style>
  <w:style w:type="table" w:styleId="1447">
    <w:name w:val="List Table 4"/>
    <w:basedOn w:val="1496"/>
    <w:uiPriority w:val="99"/>
    <w:pPr>
      <w:spacing w:after="0" w:line="240" w:lineRule="auto"/>
    </w:pPr>
    <w:tblPr>
      <w:tblStyleRowBandSize w:val="1"/>
      <w:tblStyleColBandSize w:val="1"/>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blStylePr w:type="band1Horz">
      <w:rPr>
        <w:sz w:val="22"/>
      </w:rPr>
      <w:tblPr/>
      <w:tcPr>
        <w:shd w:val="clear" w:color="FFFFFF" w:fill="BFBFBF" w:themeFill="text1" w:themeFillTint="40"/>
      </w:tcPr>
    </w:tblStylePr>
    <w:tblStylePr w:type="band1Vert">
      <w:rPr>
        <w:sz w:val="22"/>
      </w:rPr>
      <w:tblPr/>
      <w:tcPr>
        <w:shd w:val="clear" w:color="FFFFFF" w:fill="BFBFBF" w:themeFill="text1" w:themeFillTint="40"/>
      </w:tcPr>
    </w:tblStylePr>
    <w:tblStylePr w:type="firstCol">
      <w:rPr>
        <w:b/>
      </w:rPr>
      <w:tblPr/>
    </w:tblStylePr>
    <w:tblStylePr w:type="firstRow">
      <w:rPr>
        <w:b/>
        <w:sz w:val="22"/>
      </w:rPr>
      <w:tblPr/>
      <w:tcPr>
        <w:shd w:val="clear" w:color="FFFFFF" w:fill="000000" w:themeFill="text1"/>
      </w:tcPr>
    </w:tblStylePr>
    <w:tblStylePr w:type="lastCol">
      <w:rPr>
        <w:b/>
      </w:rPr>
      <w:tblPr/>
    </w:tblStylePr>
    <w:tblStylePr w:type="lastRow">
      <w:rPr>
        <w:b/>
      </w:rPr>
      <w:tblPr/>
    </w:tblStylePr>
  </w:style>
  <w:style w:type="table" w:styleId="1448">
    <w:name w:val="List Table 4 - Accent 1"/>
    <w:basedOn w:val="1496"/>
    <w:uiPriority w:val="99"/>
    <w:pPr>
      <w:spacing w:after="0" w:line="240" w:lineRule="auto"/>
    </w:pPr>
    <w:tblPr>
      <w:tblStyleRowBandSize w:val="1"/>
      <w:tblStyleColBandSize w:val="1"/>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blStylePr w:type="band1Horz">
      <w:rPr>
        <w:sz w:val="22"/>
      </w:rPr>
      <w:tblPr/>
      <w:tcPr>
        <w:shd w:val="clear" w:color="FFFFFF" w:fill="CFDCF0" w:themeFill="accent1" w:themeFillTint="40"/>
      </w:tcPr>
    </w:tblStylePr>
    <w:tblStylePr w:type="band1Vert">
      <w:rPr>
        <w:sz w:val="22"/>
      </w:rPr>
      <w:tblPr/>
      <w:tcPr>
        <w:shd w:val="clear" w:color="FFFFFF" w:fill="CFDCF0" w:themeFill="accent1" w:themeFillTint="40"/>
      </w:tcPr>
    </w:tblStylePr>
    <w:tblStylePr w:type="firstCol">
      <w:rPr>
        <w:b/>
      </w:rPr>
      <w:tblPr/>
    </w:tblStylePr>
    <w:tblStylePr w:type="firstRow">
      <w:rPr>
        <w:b/>
        <w:sz w:val="22"/>
      </w:rPr>
      <w:tblPr/>
      <w:tcPr>
        <w:shd w:val="clear" w:color="FFFFFF" w:fill="4472C4" w:themeFill="accent1"/>
      </w:tcPr>
    </w:tblStylePr>
    <w:tblStylePr w:type="lastCol">
      <w:rPr>
        <w:b/>
      </w:rPr>
      <w:tblPr/>
    </w:tblStylePr>
    <w:tblStylePr w:type="lastRow">
      <w:rPr>
        <w:b/>
      </w:rPr>
      <w:tblPr/>
    </w:tblStylePr>
  </w:style>
  <w:style w:type="table" w:styleId="1449">
    <w:name w:val="List Table 4 - Accent 2"/>
    <w:basedOn w:val="1496"/>
    <w:uiPriority w:val="99"/>
    <w:pPr>
      <w:spacing w:after="0" w:line="240" w:lineRule="auto"/>
    </w:pPr>
    <w:tblPr>
      <w:tblStyleRowBandSize w:val="1"/>
      <w:tblStyleColBandSize w:val="1"/>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blStylePr w:type="band1Horz">
      <w:rPr>
        <w:sz w:val="22"/>
      </w:rPr>
      <w:tblPr/>
      <w:tcPr>
        <w:shd w:val="clear" w:color="FFFFFF" w:fill="FADECB" w:themeFill="accent2" w:themeFillTint="40"/>
      </w:tcPr>
    </w:tblStylePr>
    <w:tblStylePr w:type="band1Vert">
      <w:rPr>
        <w:sz w:val="22"/>
      </w:rPr>
      <w:tblPr/>
      <w:tcPr>
        <w:shd w:val="clear" w:color="FFFFFF" w:fill="FADECB" w:themeFill="accent2" w:themeFillTint="40"/>
      </w:tcPr>
    </w:tblStylePr>
    <w:tblStylePr w:type="firstCol">
      <w:rPr>
        <w:b/>
      </w:rPr>
      <w:tblPr/>
    </w:tblStylePr>
    <w:tblStylePr w:type="firstRow">
      <w:rPr>
        <w:b/>
        <w:sz w:val="22"/>
      </w:rPr>
      <w:tblPr/>
      <w:tcPr>
        <w:shd w:val="clear" w:color="FFFFFF" w:fill="ED7D31" w:themeFill="accent2"/>
      </w:tcPr>
    </w:tblStylePr>
    <w:tblStylePr w:type="lastCol">
      <w:rPr>
        <w:b/>
      </w:rPr>
      <w:tblPr/>
    </w:tblStylePr>
    <w:tblStylePr w:type="lastRow">
      <w:rPr>
        <w:b/>
      </w:rPr>
      <w:tblPr/>
    </w:tblStylePr>
  </w:style>
  <w:style w:type="table" w:styleId="1450">
    <w:name w:val="List Table 4 - Accent 3"/>
    <w:basedOn w:val="1496"/>
    <w:uiPriority w:val="99"/>
    <w:pPr>
      <w:spacing w:after="0" w:line="240" w:lineRule="auto"/>
    </w:pPr>
    <w:tblPr>
      <w:tblStyleRowBandSize w:val="1"/>
      <w:tblStyleColBandSize w:val="1"/>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blStylePr w:type="band1Horz">
      <w:rPr>
        <w:sz w:val="22"/>
      </w:rPr>
      <w:tblPr/>
      <w:tcPr>
        <w:shd w:val="clear" w:color="FFFFFF" w:fill="E8E8E8" w:themeFill="accent3" w:themeFillTint="40"/>
      </w:tcPr>
    </w:tblStylePr>
    <w:tblStylePr w:type="band1Vert">
      <w:rPr>
        <w:sz w:val="22"/>
      </w:rPr>
      <w:tblPr/>
      <w:tcPr>
        <w:shd w:val="clear" w:color="FFFFFF" w:fill="E8E8E8" w:themeFill="accent3" w:themeFillTint="40"/>
      </w:tcPr>
    </w:tblStylePr>
    <w:tblStylePr w:type="firstCol">
      <w:rPr>
        <w:b/>
      </w:rPr>
      <w:tblPr/>
    </w:tblStylePr>
    <w:tblStylePr w:type="firstRow">
      <w:rPr>
        <w:b/>
        <w:sz w:val="22"/>
      </w:rPr>
      <w:tblPr/>
      <w:tcPr>
        <w:shd w:val="clear" w:color="FFFFFF" w:fill="A5A5A5" w:themeFill="accent3"/>
      </w:tcPr>
    </w:tblStylePr>
    <w:tblStylePr w:type="lastCol">
      <w:rPr>
        <w:b/>
      </w:rPr>
      <w:tblPr/>
    </w:tblStylePr>
    <w:tblStylePr w:type="lastRow">
      <w:rPr>
        <w:b/>
      </w:rPr>
      <w:tblPr/>
    </w:tblStylePr>
  </w:style>
  <w:style w:type="table" w:styleId="1451">
    <w:name w:val="List Table 4 - Accent 4"/>
    <w:basedOn w:val="1496"/>
    <w:uiPriority w:val="99"/>
    <w:pPr>
      <w:spacing w:after="0" w:line="240" w:lineRule="auto"/>
    </w:pPr>
    <w:tblPr>
      <w:tblStyleRowBandSize w:val="1"/>
      <w:tblStyleColBandSize w:val="1"/>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blStylePr w:type="band1Horz">
      <w:rPr>
        <w:sz w:val="22"/>
      </w:rPr>
      <w:tblPr/>
      <w:tcPr>
        <w:shd w:val="clear" w:color="FFFFFF" w:fill="FFEFBF" w:themeFill="accent4" w:themeFillTint="40"/>
      </w:tcPr>
    </w:tblStylePr>
    <w:tblStylePr w:type="band1Vert">
      <w:rPr>
        <w:sz w:val="22"/>
      </w:rPr>
      <w:tblPr/>
      <w:tcPr>
        <w:shd w:val="clear" w:color="FFFFFF" w:fill="FFEFBF" w:themeFill="accent4" w:themeFillTint="40"/>
      </w:tcPr>
    </w:tblStylePr>
    <w:tblStylePr w:type="firstCol">
      <w:rPr>
        <w:b/>
      </w:rPr>
      <w:tblPr/>
    </w:tblStylePr>
    <w:tblStylePr w:type="firstRow">
      <w:rPr>
        <w:b/>
        <w:sz w:val="22"/>
      </w:rPr>
      <w:tblPr/>
      <w:tcPr>
        <w:shd w:val="clear" w:color="FFFFFF" w:fill="FFC000" w:themeFill="accent4"/>
      </w:tcPr>
    </w:tblStylePr>
    <w:tblStylePr w:type="lastCol">
      <w:rPr>
        <w:b/>
      </w:rPr>
      <w:tblPr/>
    </w:tblStylePr>
    <w:tblStylePr w:type="lastRow">
      <w:rPr>
        <w:b/>
      </w:rPr>
      <w:tblPr/>
    </w:tblStylePr>
  </w:style>
  <w:style w:type="table" w:styleId="1452">
    <w:name w:val="List Table 4 - Accent 5"/>
    <w:basedOn w:val="1496"/>
    <w:uiPriority w:val="99"/>
    <w:pPr>
      <w:spacing w:after="0" w:line="240" w:lineRule="auto"/>
    </w:pPr>
    <w:tblPr>
      <w:tblStyleRowBandSize w:val="1"/>
      <w:tblStyleColBandSize w:val="1"/>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blStylePr w:type="band1Horz">
      <w:rPr>
        <w:sz w:val="22"/>
      </w:rPr>
      <w:tblPr/>
      <w:tcPr>
        <w:shd w:val="clear" w:color="FFFFFF" w:fill="D5E6F4" w:themeFill="accent5" w:themeFillTint="40"/>
      </w:tcPr>
    </w:tblStylePr>
    <w:tblStylePr w:type="band1Vert">
      <w:rPr>
        <w:sz w:val="22"/>
      </w:rPr>
      <w:tblPr/>
      <w:tcPr>
        <w:shd w:val="clear" w:color="FFFFFF" w:fill="D5E6F4" w:themeFill="accent5" w:themeFillTint="40"/>
      </w:tcPr>
    </w:tblStylePr>
    <w:tblStylePr w:type="firstCol">
      <w:rPr>
        <w:b/>
      </w:rPr>
      <w:tblPr/>
    </w:tblStylePr>
    <w:tblStylePr w:type="firstRow">
      <w:rPr>
        <w:b/>
        <w:sz w:val="22"/>
      </w:rPr>
      <w:tblPr/>
      <w:tcPr>
        <w:shd w:val="clear" w:color="FFFFFF" w:fill="5B9BD5" w:themeFill="accent5"/>
      </w:tcPr>
    </w:tblStylePr>
    <w:tblStylePr w:type="lastCol">
      <w:rPr>
        <w:b/>
      </w:rPr>
      <w:tblPr/>
    </w:tblStylePr>
    <w:tblStylePr w:type="lastRow">
      <w:rPr>
        <w:b/>
      </w:rPr>
      <w:tblPr/>
    </w:tblStylePr>
  </w:style>
  <w:style w:type="table" w:styleId="1453">
    <w:name w:val="List Table 4 - Accent 6"/>
    <w:basedOn w:val="1496"/>
    <w:uiPriority w:val="99"/>
    <w:pPr>
      <w:spacing w:after="0" w:line="240" w:lineRule="auto"/>
    </w:pPr>
    <w:tblPr>
      <w:tblStyleRowBandSize w:val="1"/>
      <w:tblStyleColBandSize w:val="1"/>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blStylePr w:type="band1Horz">
      <w:rPr>
        <w:sz w:val="22"/>
      </w:rPr>
      <w:tblPr/>
      <w:tcPr>
        <w:shd w:val="clear" w:color="FFFFFF" w:fill="DBEBD0" w:themeFill="accent6" w:themeFillTint="40"/>
      </w:tcPr>
    </w:tblStylePr>
    <w:tblStylePr w:type="band1Vert">
      <w:rPr>
        <w:sz w:val="22"/>
      </w:rPr>
      <w:tblPr/>
      <w:tcPr>
        <w:shd w:val="clear" w:color="FFFFFF" w:fill="DBEBD0" w:themeFill="accent6" w:themeFillTint="40"/>
      </w:tcPr>
    </w:tblStylePr>
    <w:tblStylePr w:type="firstCol">
      <w:rPr>
        <w:b/>
      </w:rPr>
      <w:tblPr/>
    </w:tblStylePr>
    <w:tblStylePr w:type="firstRow">
      <w:rPr>
        <w:b/>
        <w:sz w:val="22"/>
      </w:rPr>
      <w:tblPr/>
      <w:tcPr>
        <w:shd w:val="clear" w:color="FFFFFF" w:fill="70AD47" w:themeFill="accent6"/>
      </w:tcPr>
    </w:tblStylePr>
    <w:tblStylePr w:type="lastCol">
      <w:rPr>
        <w:b/>
      </w:rPr>
      <w:tblPr/>
    </w:tblStylePr>
    <w:tblStylePr w:type="lastRow">
      <w:rPr>
        <w:b/>
      </w:rPr>
      <w:tblPr/>
    </w:tblStylePr>
  </w:style>
  <w:style w:type="table" w:styleId="1454">
    <w:name w:val="List Table 5 Dark"/>
    <w:basedOn w:val="1496"/>
    <w:uiPriority w:val="99"/>
    <w:pPr>
      <w:spacing w:after="0" w:line="240" w:lineRule="auto"/>
    </w:pPr>
    <w:tblPr>
      <w:tblStyleRowBandSize w:val="1"/>
      <w:tblStyleColBandSize w:val="1"/>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tblPr>
    <w:tblStylePr w:type="band1Horz">
      <w:tblPr/>
      <w:tcPr>
        <w:tcBorders>
          <w:top w:val="single" w:color="000000" w:themeColor="light1" w:sz="4" w:space="0"/>
          <w:bottom w:val="single" w:color="000000" w:themeColor="light1" w:sz="4" w:space="0"/>
        </w:tcBorders>
        <w:shd w:val="clear" w:color="FFFFFF" w:fill="7F7F7F" w:themeFill="text1" w:themeFillTint="80"/>
      </w:tcPr>
    </w:tblStylePr>
    <w:tblStylePr w:type="band1Vert">
      <w:tblPr/>
      <w:tcPr>
        <w:tcBorders>
          <w:left w:val="single" w:color="000000" w:themeColor="light1" w:sz="4" w:space="0"/>
          <w:right w:val="single" w:color="000000" w:themeColor="light1" w:sz="4" w:space="0"/>
        </w:tcBorders>
        <w:shd w:val="clear" w:color="FFFFFF" w:fill="7F7F7F" w:themeFill="text1" w:themeFillTint="80"/>
      </w:tcPr>
    </w:tblStylePr>
    <w:tblStylePr w:type="band2Horz">
      <w:tblPr/>
      <w:tcPr>
        <w:tcBorders>
          <w:top w:val="single" w:color="000000" w:themeColor="light1" w:sz="4" w:space="0"/>
          <w:bottom w:val="single" w:color="000000" w:themeColor="light1" w:sz="4" w:space="0"/>
        </w:tcBorders>
        <w:shd w:val="clear" w:color="FFFFFF" w:fill="7F7F7F" w:themeFill="text1" w:themeFillTint="80"/>
      </w:tcPr>
    </w:tblStylePr>
    <w:tblStylePr w:type="band2Vert">
      <w:tblPr/>
      <w:tcPr>
        <w:tcBorders>
          <w:left w:val="single" w:color="000000" w:themeColor="light1" w:sz="4" w:space="0"/>
          <w:right w:val="single" w:color="000000" w:themeColor="light1" w:sz="4" w:space="0"/>
        </w:tcBorders>
      </w:tcPr>
    </w:tblStylePr>
    <w:tblStylePr w:type="firstCol">
      <w:rPr>
        <w:b/>
        <w:color w:val="FFFFFF" w:themeColor="light1"/>
        <w:sz w:val="22"/>
      </w:rPr>
      <w:tblPr/>
      <w:tcPr>
        <w:tcBorders>
          <w:left w:val="single" w:color="000000" w:themeColor="text1" w:sz="32" w:space="0"/>
          <w:right w:val="single" w:color="000000" w:themeColor="light1" w:sz="4" w:space="0"/>
        </w:tcBorders>
      </w:tcPr>
    </w:tblStylePr>
    <w:tblStylePr w:type="firstRow">
      <w:rPr>
        <w:b/>
        <w:color w:val="FFFFFF" w:themeColor="light1"/>
        <w:sz w:val="22"/>
      </w:rPr>
      <w:tblPr/>
      <w:tcPr>
        <w:tcBorders>
          <w:top w:val="single" w:color="000000" w:themeColor="text1" w:sz="32" w:space="0"/>
          <w:bottom w:val="single" w:color="000000" w:themeColor="light1" w:sz="12" w:space="0"/>
        </w:tcBorders>
        <w:shd w:val="clear" w:color="FFFFFF" w:fill="7F7F7F" w:themeFill="text1" w:themeFillTint="80"/>
      </w:tcPr>
    </w:tblStylePr>
    <w:tblStylePr w:type="lastCol">
      <w:tblPr/>
      <w:tcPr>
        <w:tcBorders>
          <w:left w:val="single" w:color="000000" w:themeColor="light1" w:sz="4" w:space="0"/>
          <w:right w:val="single" w:color="000000" w:themeColor="text1" w:sz="32" w:space="0"/>
        </w:tcBorders>
      </w:tcPr>
    </w:tblStylePr>
    <w:tblStylePr w:type="lastRow">
      <w:rPr>
        <w:b/>
        <w:color w:val="FFFFFF" w:themeColor="light1"/>
        <w:sz w:val="22"/>
      </w:rPr>
      <w:tblPr/>
    </w:tblStylePr>
    <w:tblStylePr w:type="wholeTable">
      <w:rPr>
        <w:color w:val="FFFFFF" w:themeColor="light1"/>
        <w:sz w:val="22"/>
      </w:rPr>
      <w:tblPr/>
    </w:tblStylePr>
  </w:style>
  <w:style w:type="table" w:styleId="1455">
    <w:name w:val="List Table 5 Dark - Accent 1"/>
    <w:basedOn w:val="1496"/>
    <w:uiPriority w:val="99"/>
    <w:pPr>
      <w:spacing w:after="0" w:line="240" w:lineRule="auto"/>
    </w:pPr>
    <w:tblPr>
      <w:tblStyleRowBandSize w:val="1"/>
      <w:tblStyleColBandSize w:val="1"/>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tblPr>
    <w:tblStylePr w:type="band1Horz">
      <w:tblPr/>
      <w:tcPr>
        <w:tcBorders>
          <w:top w:val="single" w:color="000000" w:themeColor="light1" w:sz="4" w:space="0"/>
          <w:bottom w:val="single" w:color="000000" w:themeColor="light1" w:sz="4" w:space="0"/>
        </w:tcBorders>
        <w:shd w:val="clear" w:color="FFFFFF" w:fill="4472C4" w:themeFill="accent1"/>
      </w:tcPr>
    </w:tblStylePr>
    <w:tblStylePr w:type="band1Vert">
      <w:tblPr/>
      <w:tcPr>
        <w:tcBorders>
          <w:left w:val="single" w:color="000000" w:themeColor="light1" w:sz="4" w:space="0"/>
          <w:right w:val="single" w:color="000000" w:themeColor="light1" w:sz="4" w:space="0"/>
        </w:tcBorders>
        <w:shd w:val="clear" w:color="FFFFFF" w:fill="4472C4" w:themeFill="accent1"/>
      </w:tcPr>
    </w:tblStylePr>
    <w:tblStylePr w:type="band2Horz">
      <w:tblPr/>
      <w:tcPr>
        <w:tcBorders>
          <w:top w:val="single" w:color="000000" w:themeColor="light1" w:sz="4" w:space="0"/>
          <w:bottom w:val="single" w:color="000000" w:themeColor="light1" w:sz="4" w:space="0"/>
        </w:tcBorders>
        <w:shd w:val="clear" w:color="FFFFFF" w:fill="4472C4" w:themeFill="accent1"/>
      </w:tcPr>
    </w:tblStylePr>
    <w:tblStylePr w:type="band2Vert">
      <w:tblPr/>
      <w:tcPr>
        <w:tcBorders>
          <w:left w:val="single" w:color="000000" w:themeColor="light1" w:sz="4" w:space="0"/>
          <w:right w:val="single" w:color="000000" w:themeColor="light1" w:sz="4" w:space="0"/>
        </w:tcBorders>
      </w:tcPr>
    </w:tblStylePr>
    <w:tblStylePr w:type="firstCol">
      <w:rPr>
        <w:b/>
        <w:color w:val="FFFFFF" w:themeColor="light1"/>
        <w:sz w:val="22"/>
      </w:rPr>
      <w:tblPr/>
      <w:tcPr>
        <w:tcBorders>
          <w:left w:val="single" w:color="000000" w:themeColor="accent1" w:sz="32" w:space="0"/>
          <w:right w:val="single" w:color="000000" w:themeColor="light1" w:sz="4" w:space="0"/>
        </w:tcBorders>
      </w:tcPr>
    </w:tblStylePr>
    <w:tblStylePr w:type="firstRow">
      <w:rPr>
        <w:b/>
        <w:color w:val="FFFFFF" w:themeColor="light1"/>
        <w:sz w:val="22"/>
      </w:rPr>
      <w:tblPr/>
      <w:tcPr>
        <w:tcBorders>
          <w:top w:val="single" w:color="000000" w:themeColor="accent1" w:sz="32" w:space="0"/>
          <w:bottom w:val="single" w:color="000000" w:themeColor="light1" w:sz="12" w:space="0"/>
        </w:tcBorders>
        <w:shd w:val="clear" w:color="FFFFFF" w:fill="4472C4" w:themeFill="accent1"/>
      </w:tcPr>
    </w:tblStylePr>
    <w:tblStylePr w:type="lastCol">
      <w:tblPr/>
      <w:tcPr>
        <w:tcBorders>
          <w:left w:val="single" w:color="000000" w:themeColor="light1" w:sz="4" w:space="0"/>
          <w:right w:val="single" w:color="000000" w:themeColor="accent1" w:sz="32" w:space="0"/>
        </w:tcBorders>
      </w:tcPr>
    </w:tblStylePr>
    <w:tblStylePr w:type="lastRow">
      <w:rPr>
        <w:b/>
        <w:color w:val="FFFFFF" w:themeColor="light1"/>
        <w:sz w:val="22"/>
      </w:rPr>
      <w:tblPr/>
    </w:tblStylePr>
    <w:tblStylePr w:type="wholeTable">
      <w:rPr>
        <w:color w:val="FFFFFF" w:themeColor="light1"/>
        <w:sz w:val="22"/>
      </w:rPr>
      <w:tblPr/>
    </w:tblStylePr>
  </w:style>
  <w:style w:type="table" w:styleId="1456">
    <w:name w:val="List Table 5 Dark - Accent 2"/>
    <w:basedOn w:val="1496"/>
    <w:uiPriority w:val="99"/>
    <w:pPr>
      <w:spacing w:after="0" w:line="240" w:lineRule="auto"/>
    </w:pPr>
    <w:tblPr>
      <w:tblStyleRowBandSize w:val="1"/>
      <w:tblStyleColBandSize w:val="1"/>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tblPr>
    <w:tblStylePr w:type="band1Horz">
      <w:tblPr/>
      <w:tcPr>
        <w:tcBorders>
          <w:top w:val="single" w:color="000000" w:themeColor="light1" w:sz="4" w:space="0"/>
          <w:bottom w:val="single" w:color="000000" w:themeColor="light1" w:sz="4" w:space="0"/>
        </w:tcBorders>
        <w:shd w:val="clear" w:color="FFFFFF" w:fill="F4B185" w:themeFill="accent2" w:themeFillTint="97"/>
      </w:tcPr>
    </w:tblStylePr>
    <w:tblStylePr w:type="band1Vert">
      <w:tblPr/>
      <w:tcPr>
        <w:tcBorders>
          <w:left w:val="single" w:color="000000" w:themeColor="light1" w:sz="4" w:space="0"/>
          <w:right w:val="single" w:color="000000" w:themeColor="light1" w:sz="4" w:space="0"/>
        </w:tcBorders>
        <w:shd w:val="clear" w:color="FFFFFF" w:fill="F4B185" w:themeFill="accent2" w:themeFillTint="97"/>
      </w:tcPr>
    </w:tblStylePr>
    <w:tblStylePr w:type="band2Horz">
      <w:tblPr/>
      <w:tcPr>
        <w:tcBorders>
          <w:top w:val="single" w:color="000000" w:themeColor="light1" w:sz="4" w:space="0"/>
          <w:bottom w:val="single" w:color="000000" w:themeColor="light1" w:sz="4" w:space="0"/>
        </w:tcBorders>
        <w:shd w:val="clear" w:color="FFFFFF" w:fill="F4B185" w:themeFill="accent2" w:themeFillTint="97"/>
      </w:tcPr>
    </w:tblStylePr>
    <w:tblStylePr w:type="band2Vert">
      <w:tblPr/>
      <w:tcPr>
        <w:tcBorders>
          <w:left w:val="single" w:color="000000" w:themeColor="light1" w:sz="4" w:space="0"/>
          <w:right w:val="single" w:color="000000" w:themeColor="light1" w:sz="4" w:space="0"/>
        </w:tcBorders>
      </w:tcPr>
    </w:tblStylePr>
    <w:tblStylePr w:type="firstCol">
      <w:rPr>
        <w:b/>
        <w:color w:val="FFFFFF" w:themeColor="light1"/>
        <w:sz w:val="22"/>
      </w:rPr>
      <w:tblPr/>
      <w:tcPr>
        <w:tcBorders>
          <w:left w:val="single" w:color="000000" w:themeColor="accent2" w:sz="32" w:space="0"/>
          <w:right w:val="single" w:color="000000" w:themeColor="light1" w:sz="4" w:space="0"/>
        </w:tcBorders>
      </w:tcPr>
    </w:tblStylePr>
    <w:tblStylePr w:type="firstRow">
      <w:rPr>
        <w:b/>
        <w:color w:val="FFFFFF" w:themeColor="light1"/>
        <w:sz w:val="22"/>
      </w:rPr>
      <w:tblPr/>
      <w:tcPr>
        <w:tcBorders>
          <w:top w:val="single" w:color="000000" w:themeColor="accent2" w:sz="32" w:space="0"/>
          <w:bottom w:val="single" w:color="000000" w:themeColor="light1" w:sz="12" w:space="0"/>
        </w:tcBorders>
        <w:shd w:val="clear" w:color="FFFFFF" w:fill="F4B185" w:themeFill="accent2" w:themeFillTint="97"/>
      </w:tcPr>
    </w:tblStylePr>
    <w:tblStylePr w:type="lastCol">
      <w:tblPr/>
      <w:tcPr>
        <w:tcBorders>
          <w:left w:val="single" w:color="000000" w:themeColor="light1" w:sz="4" w:space="0"/>
          <w:right w:val="single" w:color="000000" w:themeColor="accent2" w:sz="32" w:space="0"/>
        </w:tcBorders>
      </w:tcPr>
    </w:tblStylePr>
    <w:tblStylePr w:type="lastRow">
      <w:rPr>
        <w:b/>
        <w:color w:val="FFFFFF" w:themeColor="light1"/>
        <w:sz w:val="22"/>
      </w:rPr>
      <w:tblPr/>
    </w:tblStylePr>
    <w:tblStylePr w:type="wholeTable">
      <w:rPr>
        <w:color w:val="FFFFFF" w:themeColor="light1"/>
        <w:sz w:val="22"/>
      </w:rPr>
      <w:tblPr/>
    </w:tblStylePr>
  </w:style>
  <w:style w:type="table" w:styleId="1457">
    <w:name w:val="List Table 5 Dark - Accent 3"/>
    <w:basedOn w:val="1496"/>
    <w:uiPriority w:val="99"/>
    <w:pPr>
      <w:spacing w:after="0" w:line="240" w:lineRule="auto"/>
    </w:pPr>
    <w:tblPr>
      <w:tblStyleRowBandSize w:val="1"/>
      <w:tblStyleColBandSize w:val="1"/>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tblPr>
    <w:tblStylePr w:type="band1Horz">
      <w:tblPr/>
      <w:tcPr>
        <w:tcBorders>
          <w:top w:val="single" w:color="000000" w:themeColor="light1" w:sz="4" w:space="0"/>
          <w:bottom w:val="single" w:color="000000" w:themeColor="light1" w:sz="4" w:space="0"/>
        </w:tcBorders>
        <w:shd w:val="clear" w:color="FFFFFF" w:fill="C9C9C9" w:themeFill="accent3" w:themeFillTint="98"/>
      </w:tcPr>
    </w:tblStylePr>
    <w:tblStylePr w:type="band1Vert">
      <w:tblPr/>
      <w:tcPr>
        <w:tcBorders>
          <w:left w:val="single" w:color="000000" w:themeColor="light1" w:sz="4" w:space="0"/>
          <w:right w:val="single" w:color="000000" w:themeColor="light1" w:sz="4" w:space="0"/>
        </w:tcBorders>
        <w:shd w:val="clear" w:color="FFFFFF" w:fill="C9C9C9" w:themeFill="accent3" w:themeFillTint="98"/>
      </w:tcPr>
    </w:tblStylePr>
    <w:tblStylePr w:type="band2Horz">
      <w:tblPr/>
      <w:tcPr>
        <w:tcBorders>
          <w:top w:val="single" w:color="000000" w:themeColor="light1" w:sz="4" w:space="0"/>
          <w:bottom w:val="single" w:color="000000" w:themeColor="light1" w:sz="4" w:space="0"/>
        </w:tcBorders>
        <w:shd w:val="clear" w:color="FFFFFF" w:fill="C9C9C9" w:themeFill="accent3" w:themeFillTint="98"/>
      </w:tcPr>
    </w:tblStylePr>
    <w:tblStylePr w:type="band2Vert">
      <w:tblPr/>
      <w:tcPr>
        <w:tcBorders>
          <w:left w:val="single" w:color="000000" w:themeColor="light1" w:sz="4" w:space="0"/>
          <w:right w:val="single" w:color="000000" w:themeColor="light1" w:sz="4" w:space="0"/>
        </w:tcBorders>
      </w:tcPr>
    </w:tblStylePr>
    <w:tblStylePr w:type="firstCol">
      <w:rPr>
        <w:b/>
        <w:color w:val="FFFFFF" w:themeColor="light1"/>
        <w:sz w:val="22"/>
      </w:rPr>
      <w:tblPr/>
      <w:tcPr>
        <w:tcBorders>
          <w:left w:val="single" w:color="000000" w:themeColor="accent3" w:sz="32" w:space="0"/>
          <w:right w:val="single" w:color="000000" w:themeColor="light1" w:sz="4" w:space="0"/>
        </w:tcBorders>
      </w:tcPr>
    </w:tblStylePr>
    <w:tblStylePr w:type="firstRow">
      <w:rPr>
        <w:b/>
        <w:color w:val="FFFFFF" w:themeColor="light1"/>
        <w:sz w:val="22"/>
      </w:rPr>
      <w:tblPr/>
      <w:tcPr>
        <w:tcBorders>
          <w:top w:val="single" w:color="000000" w:themeColor="accent3" w:sz="32" w:space="0"/>
          <w:bottom w:val="single" w:color="000000" w:themeColor="light1" w:sz="12" w:space="0"/>
        </w:tcBorders>
        <w:shd w:val="clear" w:color="FFFFFF" w:fill="C9C9C9" w:themeFill="accent3" w:themeFillTint="98"/>
      </w:tcPr>
    </w:tblStylePr>
    <w:tblStylePr w:type="lastCol">
      <w:tblPr/>
      <w:tcPr>
        <w:tcBorders>
          <w:left w:val="single" w:color="000000" w:themeColor="light1" w:sz="4" w:space="0"/>
          <w:right w:val="single" w:color="000000" w:themeColor="accent3" w:sz="32" w:space="0"/>
        </w:tcBorders>
      </w:tcPr>
    </w:tblStylePr>
    <w:tblStylePr w:type="lastRow">
      <w:rPr>
        <w:b/>
        <w:color w:val="FFFFFF" w:themeColor="light1"/>
        <w:sz w:val="22"/>
      </w:rPr>
      <w:tblPr/>
    </w:tblStylePr>
    <w:tblStylePr w:type="wholeTable">
      <w:rPr>
        <w:color w:val="FFFFFF" w:themeColor="light1"/>
        <w:sz w:val="22"/>
      </w:rPr>
      <w:tblPr/>
    </w:tblStylePr>
  </w:style>
  <w:style w:type="table" w:styleId="1458">
    <w:name w:val="List Table 5 Dark - Accent 4"/>
    <w:basedOn w:val="1496"/>
    <w:uiPriority w:val="99"/>
    <w:pPr>
      <w:spacing w:after="0" w:line="240" w:lineRule="auto"/>
    </w:pPr>
    <w:tblPr>
      <w:tblStyleRowBandSize w:val="1"/>
      <w:tblStyleColBandSize w:val="1"/>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tblPr>
    <w:tblStylePr w:type="band1Horz">
      <w:tblPr/>
      <w:tcPr>
        <w:tcBorders>
          <w:top w:val="single" w:color="000000" w:themeColor="light1" w:sz="4" w:space="0"/>
          <w:bottom w:val="single" w:color="000000" w:themeColor="light1" w:sz="4" w:space="0"/>
        </w:tcBorders>
        <w:shd w:val="clear" w:color="FFFFFF" w:fill="FFD864" w:themeFill="accent4" w:themeFillTint="9a"/>
      </w:tcPr>
    </w:tblStylePr>
    <w:tblStylePr w:type="band1Vert">
      <w:tblPr/>
      <w:tcPr>
        <w:tcBorders>
          <w:left w:val="single" w:color="000000" w:themeColor="light1" w:sz="4" w:space="0"/>
          <w:right w:val="single" w:color="000000" w:themeColor="light1" w:sz="4" w:space="0"/>
        </w:tcBorders>
        <w:shd w:val="clear" w:color="FFFFFF" w:fill="FFD864" w:themeFill="accent4" w:themeFillTint="9a"/>
      </w:tcPr>
    </w:tblStylePr>
    <w:tblStylePr w:type="band2Horz">
      <w:tblPr/>
      <w:tcPr>
        <w:tcBorders>
          <w:top w:val="single" w:color="000000" w:themeColor="light1" w:sz="4" w:space="0"/>
          <w:bottom w:val="single" w:color="000000" w:themeColor="light1" w:sz="4" w:space="0"/>
        </w:tcBorders>
        <w:shd w:val="clear" w:color="FFFFFF" w:fill="FFD864" w:themeFill="accent4" w:themeFillTint="9a"/>
      </w:tcPr>
    </w:tblStylePr>
    <w:tblStylePr w:type="band2Vert">
      <w:tblPr/>
      <w:tcPr>
        <w:tcBorders>
          <w:left w:val="single" w:color="000000" w:themeColor="light1" w:sz="4" w:space="0"/>
          <w:right w:val="single" w:color="000000" w:themeColor="light1" w:sz="4" w:space="0"/>
        </w:tcBorders>
      </w:tcPr>
    </w:tblStylePr>
    <w:tblStylePr w:type="firstCol">
      <w:rPr>
        <w:b/>
        <w:color w:val="FFFFFF" w:themeColor="light1"/>
        <w:sz w:val="22"/>
      </w:rPr>
      <w:tblPr/>
      <w:tcPr>
        <w:tcBorders>
          <w:left w:val="single" w:color="000000" w:themeColor="accent4" w:sz="32" w:space="0"/>
          <w:right w:val="single" w:color="000000" w:themeColor="light1" w:sz="4" w:space="0"/>
        </w:tcBorders>
      </w:tcPr>
    </w:tblStylePr>
    <w:tblStylePr w:type="firstRow">
      <w:rPr>
        <w:b/>
        <w:color w:val="FFFFFF" w:themeColor="light1"/>
        <w:sz w:val="22"/>
      </w:rPr>
      <w:tblPr/>
      <w:tcPr>
        <w:tcBorders>
          <w:top w:val="single" w:color="000000" w:themeColor="accent4" w:sz="32" w:space="0"/>
          <w:bottom w:val="single" w:color="000000" w:themeColor="light1" w:sz="12" w:space="0"/>
        </w:tcBorders>
        <w:shd w:val="clear" w:color="FFFFFF" w:fill="FFD864" w:themeFill="accent4" w:themeFillTint="9a"/>
      </w:tcPr>
    </w:tblStylePr>
    <w:tblStylePr w:type="lastCol">
      <w:tblPr/>
      <w:tcPr>
        <w:tcBorders>
          <w:left w:val="single" w:color="000000" w:themeColor="light1" w:sz="4" w:space="0"/>
          <w:right w:val="single" w:color="000000" w:themeColor="accent4" w:sz="32" w:space="0"/>
        </w:tcBorders>
      </w:tcPr>
    </w:tblStylePr>
    <w:tblStylePr w:type="lastRow">
      <w:rPr>
        <w:b/>
        <w:color w:val="FFFFFF" w:themeColor="light1"/>
        <w:sz w:val="22"/>
      </w:rPr>
      <w:tblPr/>
    </w:tblStylePr>
    <w:tblStylePr w:type="wholeTable">
      <w:rPr>
        <w:color w:val="FFFFFF" w:themeColor="light1"/>
        <w:sz w:val="22"/>
      </w:rPr>
      <w:tblPr/>
    </w:tblStylePr>
  </w:style>
  <w:style w:type="table" w:styleId="1459">
    <w:name w:val="List Table 5 Dark - Accent 5"/>
    <w:basedOn w:val="1496"/>
    <w:uiPriority w:val="99"/>
    <w:pPr>
      <w:spacing w:after="0" w:line="240" w:lineRule="auto"/>
    </w:pPr>
    <w:tblPr>
      <w:tblStyleRowBandSize w:val="1"/>
      <w:tblStyleColBandSize w:val="1"/>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tblPr>
    <w:tblStylePr w:type="band1Horz">
      <w:tblPr/>
      <w:tcPr>
        <w:tcBorders>
          <w:top w:val="single" w:color="000000" w:themeColor="light1" w:sz="4" w:space="0"/>
          <w:bottom w:val="single" w:color="000000" w:themeColor="light1" w:sz="4" w:space="0"/>
        </w:tcBorders>
        <w:shd w:val="clear" w:color="FFFFFF" w:fill="9CC4E5" w:themeFill="accent5" w:themeFillTint="9a"/>
      </w:tcPr>
    </w:tblStylePr>
    <w:tblStylePr w:type="band1Vert">
      <w:tblPr/>
      <w:tcPr>
        <w:tcBorders>
          <w:left w:val="single" w:color="000000" w:themeColor="light1" w:sz="4" w:space="0"/>
          <w:right w:val="single" w:color="000000" w:themeColor="light1" w:sz="4" w:space="0"/>
        </w:tcBorders>
        <w:shd w:val="clear" w:color="FFFFFF" w:fill="9CC4E5" w:themeFill="accent5" w:themeFillTint="9a"/>
      </w:tcPr>
    </w:tblStylePr>
    <w:tblStylePr w:type="band2Horz">
      <w:tblPr/>
      <w:tcPr>
        <w:tcBorders>
          <w:top w:val="single" w:color="000000" w:themeColor="light1" w:sz="4" w:space="0"/>
          <w:bottom w:val="single" w:color="000000" w:themeColor="light1" w:sz="4" w:space="0"/>
        </w:tcBorders>
        <w:shd w:val="clear" w:color="FFFFFF" w:fill="9CC4E5" w:themeFill="accent5" w:themeFillTint="9a"/>
      </w:tcPr>
    </w:tblStylePr>
    <w:tblStylePr w:type="band2Vert">
      <w:tblPr/>
      <w:tcPr>
        <w:tcBorders>
          <w:left w:val="single" w:color="000000" w:themeColor="light1" w:sz="4" w:space="0"/>
          <w:right w:val="single" w:color="000000" w:themeColor="light1" w:sz="4" w:space="0"/>
        </w:tcBorders>
      </w:tcPr>
    </w:tblStylePr>
    <w:tblStylePr w:type="firstCol">
      <w:rPr>
        <w:b/>
        <w:color w:val="FFFFFF" w:themeColor="light1"/>
        <w:sz w:val="22"/>
      </w:rPr>
      <w:tblPr/>
      <w:tcPr>
        <w:tcBorders>
          <w:left w:val="single" w:color="000000" w:themeColor="accent5" w:sz="32" w:space="0"/>
          <w:right w:val="single" w:color="000000" w:themeColor="light1" w:sz="4" w:space="0"/>
        </w:tcBorders>
      </w:tcPr>
    </w:tblStylePr>
    <w:tblStylePr w:type="firstRow">
      <w:rPr>
        <w:b/>
        <w:color w:val="FFFFFF" w:themeColor="light1"/>
        <w:sz w:val="22"/>
      </w:rPr>
      <w:tblPr/>
      <w:tcPr>
        <w:tcBorders>
          <w:top w:val="single" w:color="000000" w:themeColor="accent5" w:sz="32" w:space="0"/>
          <w:bottom w:val="single" w:color="000000" w:themeColor="light1" w:sz="12" w:space="0"/>
        </w:tcBorders>
        <w:shd w:val="clear" w:color="FFFFFF" w:fill="9CC4E5" w:themeFill="accent5" w:themeFillTint="9a"/>
      </w:tcPr>
    </w:tblStylePr>
    <w:tblStylePr w:type="lastCol">
      <w:tblPr/>
      <w:tcPr>
        <w:tcBorders>
          <w:left w:val="single" w:color="000000" w:themeColor="light1" w:sz="4" w:space="0"/>
          <w:right w:val="single" w:color="000000" w:themeColor="accent5" w:sz="32" w:space="0"/>
        </w:tcBorders>
      </w:tcPr>
    </w:tblStylePr>
    <w:tblStylePr w:type="lastRow">
      <w:rPr>
        <w:b/>
        <w:color w:val="FFFFFF" w:themeColor="light1"/>
        <w:sz w:val="22"/>
      </w:rPr>
      <w:tblPr/>
    </w:tblStylePr>
    <w:tblStylePr w:type="wholeTable">
      <w:rPr>
        <w:color w:val="FFFFFF" w:themeColor="light1"/>
        <w:sz w:val="22"/>
      </w:rPr>
      <w:tblPr/>
    </w:tblStylePr>
  </w:style>
  <w:style w:type="table" w:styleId="1460">
    <w:name w:val="List Table 5 Dark - Accent 6"/>
    <w:basedOn w:val="1496"/>
    <w:uiPriority w:val="99"/>
    <w:pPr>
      <w:spacing w:after="0" w:line="240" w:lineRule="auto"/>
    </w:pPr>
    <w:tblPr>
      <w:tblStyleRowBandSize w:val="1"/>
      <w:tblStyleColBandSize w:val="1"/>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tblPr>
    <w:tblStylePr w:type="band1Horz">
      <w:tblPr/>
      <w:tcPr>
        <w:tcBorders>
          <w:top w:val="single" w:color="000000" w:themeColor="light1" w:sz="4" w:space="0"/>
          <w:bottom w:val="single" w:color="000000" w:themeColor="light1" w:sz="4" w:space="0"/>
        </w:tcBorders>
        <w:shd w:val="clear" w:color="FFFFFF" w:fill="AAD08F" w:themeFill="accent6" w:themeFillTint="98"/>
      </w:tcPr>
    </w:tblStylePr>
    <w:tblStylePr w:type="band1Vert">
      <w:tblPr/>
      <w:tcPr>
        <w:tcBorders>
          <w:left w:val="single" w:color="000000" w:themeColor="light1" w:sz="4" w:space="0"/>
          <w:right w:val="single" w:color="000000" w:themeColor="light1" w:sz="4" w:space="0"/>
        </w:tcBorders>
        <w:shd w:val="clear" w:color="FFFFFF" w:fill="AAD08F" w:themeFill="accent6" w:themeFillTint="98"/>
      </w:tcPr>
    </w:tblStylePr>
    <w:tblStylePr w:type="band2Horz">
      <w:tblPr/>
      <w:tcPr>
        <w:tcBorders>
          <w:top w:val="single" w:color="000000" w:themeColor="light1" w:sz="4" w:space="0"/>
          <w:bottom w:val="single" w:color="000000" w:themeColor="light1" w:sz="4" w:space="0"/>
        </w:tcBorders>
        <w:shd w:val="clear" w:color="FFFFFF" w:fill="AAD08F" w:themeFill="accent6" w:themeFillTint="98"/>
      </w:tcPr>
    </w:tblStylePr>
    <w:tblStylePr w:type="band2Vert">
      <w:tblPr/>
      <w:tcPr>
        <w:tcBorders>
          <w:left w:val="single" w:color="000000" w:themeColor="light1" w:sz="4" w:space="0"/>
          <w:right w:val="single" w:color="000000" w:themeColor="light1" w:sz="4" w:space="0"/>
        </w:tcBorders>
      </w:tcPr>
    </w:tblStylePr>
    <w:tblStylePr w:type="firstCol">
      <w:rPr>
        <w:b/>
        <w:color w:val="FFFFFF" w:themeColor="light1"/>
        <w:sz w:val="22"/>
      </w:rPr>
      <w:tblPr/>
      <w:tcPr>
        <w:tcBorders>
          <w:left w:val="single" w:color="000000" w:themeColor="accent6" w:sz="32" w:space="0"/>
          <w:right w:val="single" w:color="000000" w:themeColor="light1" w:sz="4" w:space="0"/>
        </w:tcBorders>
      </w:tcPr>
    </w:tblStylePr>
    <w:tblStylePr w:type="firstRow">
      <w:rPr>
        <w:b/>
        <w:color w:val="FFFFFF" w:themeColor="light1"/>
        <w:sz w:val="22"/>
      </w:rPr>
      <w:tblPr/>
      <w:tcPr>
        <w:tcBorders>
          <w:top w:val="single" w:color="000000" w:themeColor="accent6" w:sz="32" w:space="0"/>
          <w:bottom w:val="single" w:color="000000" w:themeColor="light1" w:sz="12" w:space="0"/>
        </w:tcBorders>
        <w:shd w:val="clear" w:color="FFFFFF" w:fill="AAD08F" w:themeFill="accent6" w:themeFillTint="98"/>
      </w:tcPr>
    </w:tblStylePr>
    <w:tblStylePr w:type="lastCol">
      <w:tblPr/>
      <w:tcPr>
        <w:tcBorders>
          <w:left w:val="single" w:color="000000" w:themeColor="light1" w:sz="4" w:space="0"/>
          <w:right w:val="single" w:color="000000" w:themeColor="accent6" w:sz="32" w:space="0"/>
        </w:tcBorders>
      </w:tcPr>
    </w:tblStylePr>
    <w:tblStylePr w:type="lastRow">
      <w:rPr>
        <w:b/>
        <w:color w:val="FFFFFF" w:themeColor="light1"/>
        <w:sz w:val="22"/>
      </w:rPr>
      <w:tblPr/>
    </w:tblStylePr>
    <w:tblStylePr w:type="wholeTable">
      <w:rPr>
        <w:color w:val="FFFFFF" w:themeColor="light1"/>
        <w:sz w:val="22"/>
      </w:rPr>
      <w:tblPr/>
    </w:tblStylePr>
  </w:style>
  <w:style w:type="table" w:styleId="1461">
    <w:name w:val="List Table 6 Colorful"/>
    <w:basedOn w:val="1496"/>
    <w:uiPriority w:val="99"/>
    <w:pPr>
      <w:spacing w:after="0" w:line="240" w:lineRule="auto"/>
    </w:pPr>
    <w:tblPr>
      <w:tblStyleRowBandSize w:val="1"/>
      <w:tblStyleColBandSize w:val="1"/>
      <w:tblBorders>
        <w:top w:val="single" w:color="000000" w:themeColor="text1" w:themeTint="80" w:sz="4" w:space="0"/>
        <w:bottom w:val="single" w:color="000000" w:themeColor="text1" w:themeTint="80" w:sz="4" w:space="0"/>
      </w:tblBorders>
    </w:tblPr>
    <w:tblStylePr w:type="band1Horz">
      <w:rPr>
        <w:color w:val="000000" w:themeColor="text1"/>
        <w:sz w:val="22"/>
      </w:rPr>
      <w:tblPr/>
      <w:tcPr>
        <w:shd w:val="clear" w:color="FFFFFF" w:fill="BFBFBF" w:themeFill="text1" w:themeFillTint="40"/>
      </w:tcPr>
    </w:tblStylePr>
    <w:tblStylePr w:type="band1Vert">
      <w:tblPr/>
      <w:tcPr>
        <w:shd w:val="clear" w:color="FFFFFF" w:fill="BFBFBF" w:themeFill="text1" w:themeFillTint="40"/>
      </w:tcPr>
    </w:tblStylePr>
    <w:tblStylePr w:type="band2Horz">
      <w:rPr>
        <w:color w:val="000000" w:themeColor="text1"/>
        <w:sz w:val="22"/>
      </w:rPr>
      <w:tblPr/>
    </w:tblStylePr>
    <w:tblStylePr w:type="firstCol">
      <w:rPr>
        <w:b/>
        <w:color w:val="000000" w:themeColor="text1"/>
      </w:rPr>
      <w:tblPr/>
    </w:tblStylePr>
    <w:tblStylePr w:type="firstRow">
      <w:rPr>
        <w:b/>
        <w:color w:val="000000" w:themeColor="text1"/>
      </w:rPr>
      <w:tblPr/>
      <w:tcPr>
        <w:tcBorders>
          <w:bottom w:val="single" w:color="000000" w:themeColor="text1" w:sz="4" w:space="0"/>
        </w:tcBorders>
      </w:tcPr>
    </w:tblStylePr>
    <w:tblStylePr w:type="lastCol">
      <w:rPr>
        <w:b/>
        <w:color w:val="000000" w:themeColor="text1"/>
      </w:rPr>
      <w:tblPr/>
    </w:tblStylePr>
    <w:tblStylePr w:type="lastRow">
      <w:rPr>
        <w:b/>
        <w:color w:val="000000" w:themeColor="text1"/>
      </w:rPr>
      <w:tblPr/>
      <w:tcPr>
        <w:tcBorders>
          <w:top w:val="single" w:color="000000" w:themeColor="text1" w:sz="4" w:space="0"/>
        </w:tcBorders>
      </w:tcPr>
    </w:tblStylePr>
  </w:style>
  <w:style w:type="table" w:styleId="1462">
    <w:name w:val="List Table 6 Colorful - Accent 1"/>
    <w:basedOn w:val="1496"/>
    <w:uiPriority w:val="99"/>
    <w:pPr>
      <w:spacing w:after="0" w:line="240" w:lineRule="auto"/>
    </w:pPr>
    <w:tblPr>
      <w:tblStyleRowBandSize w:val="1"/>
      <w:tblStyleColBandSize w:val="1"/>
      <w:tblBorders>
        <w:top w:val="single" w:color="000000" w:themeColor="accent1" w:sz="4" w:space="0"/>
        <w:bottom w:val="single" w:color="000000" w:themeColor="accent1" w:sz="4" w:space="0"/>
      </w:tblBorders>
    </w:tblPr>
    <w:tblStylePr w:type="band1Horz">
      <w:rPr>
        <w:color w:val="254374" w:themeColor="accent1" w:themeShade="95"/>
        <w:sz w:val="22"/>
      </w:rPr>
      <w:tblPr/>
      <w:tcPr>
        <w:shd w:val="clear" w:color="FFFFFF" w:fill="CFDCF0" w:themeFill="accent1" w:themeFillTint="40"/>
      </w:tcPr>
    </w:tblStylePr>
    <w:tblStylePr w:type="band1Vert">
      <w:tblPr/>
      <w:tcPr>
        <w:shd w:val="clear" w:color="FFFFFF" w:fill="CFDCF0" w:themeFill="accent1" w:themeFillTint="40"/>
      </w:tcPr>
    </w:tblStylePr>
    <w:tblStylePr w:type="band2Horz">
      <w:rPr>
        <w:color w:val="254374" w:themeColor="accent1" w:themeShade="95"/>
        <w:sz w:val="22"/>
      </w:rPr>
      <w:tblPr/>
    </w:tblStylePr>
    <w:tblStylePr w:type="firstCol">
      <w:rPr>
        <w:b/>
        <w:color w:val="254374" w:themeColor="accent1" w:themeShade="95"/>
      </w:rPr>
      <w:tblPr/>
    </w:tblStylePr>
    <w:tblStylePr w:type="firstRow">
      <w:rPr>
        <w:b/>
        <w:color w:val="254374" w:themeColor="accent1" w:themeShade="95"/>
      </w:rPr>
      <w:tblPr/>
      <w:tcPr>
        <w:tcBorders>
          <w:bottom w:val="single" w:color="000000" w:themeColor="accent1" w:sz="4" w:space="0"/>
        </w:tcBorders>
      </w:tcPr>
    </w:tblStylePr>
    <w:tblStylePr w:type="lastCol">
      <w:rPr>
        <w:b/>
        <w:color w:val="254374" w:themeColor="accent1" w:themeShade="95"/>
      </w:rPr>
      <w:tblPr/>
    </w:tblStylePr>
    <w:tblStylePr w:type="lastRow">
      <w:rPr>
        <w:b/>
        <w:color w:val="254374" w:themeColor="accent1" w:themeShade="95"/>
      </w:rPr>
      <w:tblPr/>
      <w:tcPr>
        <w:tcBorders>
          <w:top w:val="single" w:color="000000" w:themeColor="accent1" w:sz="4" w:space="0"/>
        </w:tcBorders>
      </w:tcPr>
    </w:tblStylePr>
  </w:style>
  <w:style w:type="table" w:styleId="1463">
    <w:name w:val="List Table 6 Colorful - Accent 2"/>
    <w:basedOn w:val="1496"/>
    <w:uiPriority w:val="99"/>
    <w:pPr>
      <w:spacing w:after="0" w:line="240" w:lineRule="auto"/>
    </w:pPr>
    <w:tblPr>
      <w:tblStyleRowBandSize w:val="1"/>
      <w:tblStyleColBandSize w:val="1"/>
      <w:tblBorders>
        <w:top w:val="single" w:color="000000" w:themeColor="accent2" w:themeTint="97" w:sz="4" w:space="0"/>
        <w:bottom w:val="single" w:color="000000" w:themeColor="accent2" w:themeTint="97" w:sz="4" w:space="0"/>
      </w:tblBorders>
    </w:tblPr>
    <w:tblStylePr w:type="band1Horz">
      <w:rPr>
        <w:color w:val="C95712" w:themeColor="accent2" w:themeTint="97" w:themeShade="95"/>
        <w:sz w:val="22"/>
      </w:rPr>
      <w:tblPr/>
      <w:tcPr>
        <w:shd w:val="clear" w:color="FFFFFF" w:fill="FADECB" w:themeFill="accent2" w:themeFillTint="40"/>
      </w:tcPr>
    </w:tblStylePr>
    <w:tblStylePr w:type="band1Vert">
      <w:tblPr/>
      <w:tcPr>
        <w:shd w:val="clear" w:color="FFFFFF" w:fill="FADECB" w:themeFill="accent2" w:themeFillTint="40"/>
      </w:tcPr>
    </w:tblStylePr>
    <w:tblStylePr w:type="band2Horz">
      <w:rPr>
        <w:color w:val="C95712" w:themeColor="accent2" w:themeTint="97" w:themeShade="95"/>
        <w:sz w:val="22"/>
      </w:rPr>
      <w:tblPr/>
    </w:tblStylePr>
    <w:tblStylePr w:type="firstCol">
      <w:rPr>
        <w:b/>
        <w:color w:val="C95712" w:themeColor="accent2" w:themeTint="97" w:themeShade="95"/>
      </w:rPr>
      <w:tblPr/>
    </w:tblStylePr>
    <w:tblStylePr w:type="firstRow">
      <w:rPr>
        <w:b/>
        <w:color w:val="C95712" w:themeColor="accent2" w:themeTint="97" w:themeShade="95"/>
      </w:rPr>
      <w:tblPr/>
      <w:tcPr>
        <w:tcBorders>
          <w:bottom w:val="single" w:color="000000" w:themeColor="accent2" w:sz="4" w:space="0"/>
        </w:tcBorders>
      </w:tcPr>
    </w:tblStylePr>
    <w:tblStylePr w:type="lastCol">
      <w:rPr>
        <w:b/>
        <w:color w:val="C95712" w:themeColor="accent2" w:themeTint="97" w:themeShade="95"/>
      </w:rPr>
      <w:tblPr/>
    </w:tblStylePr>
    <w:tblStylePr w:type="lastRow">
      <w:rPr>
        <w:b/>
        <w:color w:val="C95712" w:themeColor="accent2" w:themeTint="97" w:themeShade="95"/>
      </w:rPr>
      <w:tblPr/>
      <w:tcPr>
        <w:tcBorders>
          <w:top w:val="single" w:color="000000" w:themeColor="accent2" w:sz="4" w:space="0"/>
        </w:tcBorders>
      </w:tcPr>
    </w:tblStylePr>
  </w:style>
  <w:style w:type="table" w:styleId="1464">
    <w:name w:val="List Table 6 Colorful - Accent 3"/>
    <w:basedOn w:val="1496"/>
    <w:uiPriority w:val="99"/>
    <w:pPr>
      <w:spacing w:after="0" w:line="240" w:lineRule="auto"/>
    </w:pPr>
    <w:tblPr>
      <w:tblStyleRowBandSize w:val="1"/>
      <w:tblStyleColBandSize w:val="1"/>
      <w:tblBorders>
        <w:top w:val="single" w:color="000000" w:themeColor="accent3" w:themeTint="98" w:sz="4" w:space="0"/>
        <w:bottom w:val="single" w:color="000000" w:themeColor="accent3" w:themeTint="98" w:sz="4" w:space="0"/>
      </w:tblBorders>
    </w:tblPr>
    <w:tblStylePr w:type="band1Horz">
      <w:rPr>
        <w:color w:val="757575" w:themeColor="accent3" w:themeTint="98" w:themeShade="95"/>
        <w:sz w:val="22"/>
      </w:rPr>
      <w:tblPr/>
      <w:tcPr>
        <w:shd w:val="clear" w:color="FFFFFF" w:fill="E8E8E8" w:themeFill="accent3" w:themeFillTint="40"/>
      </w:tcPr>
    </w:tblStylePr>
    <w:tblStylePr w:type="band1Vert">
      <w:tblPr/>
      <w:tcPr>
        <w:shd w:val="clear" w:color="FFFFFF" w:fill="E8E8E8" w:themeFill="accent3" w:themeFillTint="40"/>
      </w:tcPr>
    </w:tblStylePr>
    <w:tblStylePr w:type="band2Horz">
      <w:rPr>
        <w:color w:val="757575" w:themeColor="accent3" w:themeTint="98" w:themeShade="95"/>
        <w:sz w:val="22"/>
      </w:rPr>
      <w:tblPr/>
    </w:tblStylePr>
    <w:tblStylePr w:type="firstCol">
      <w:rPr>
        <w:b/>
        <w:color w:val="757575" w:themeColor="accent3" w:themeTint="98" w:themeShade="95"/>
      </w:rPr>
      <w:tblPr/>
    </w:tblStylePr>
    <w:tblStylePr w:type="firstRow">
      <w:rPr>
        <w:b/>
        <w:color w:val="757575" w:themeColor="accent3" w:themeTint="98" w:themeShade="95"/>
      </w:rPr>
      <w:tblPr/>
      <w:tcPr>
        <w:tcBorders>
          <w:bottom w:val="single" w:color="000000" w:themeColor="accent3" w:sz="4" w:space="0"/>
        </w:tcBorders>
      </w:tcPr>
    </w:tblStylePr>
    <w:tblStylePr w:type="lastCol">
      <w:rPr>
        <w:b/>
        <w:color w:val="757575" w:themeColor="accent3" w:themeTint="98" w:themeShade="95"/>
      </w:rPr>
      <w:tblPr/>
    </w:tblStylePr>
    <w:tblStylePr w:type="lastRow">
      <w:rPr>
        <w:b/>
        <w:color w:val="757575" w:themeColor="accent3" w:themeTint="98" w:themeShade="95"/>
      </w:rPr>
      <w:tblPr/>
      <w:tcPr>
        <w:tcBorders>
          <w:top w:val="single" w:color="000000" w:themeColor="accent3" w:sz="4" w:space="0"/>
        </w:tcBorders>
      </w:tcPr>
    </w:tblStylePr>
  </w:style>
  <w:style w:type="table" w:styleId="1465">
    <w:name w:val="List Table 6 Colorful - Accent 4"/>
    <w:basedOn w:val="1496"/>
    <w:uiPriority w:val="99"/>
    <w:pPr>
      <w:spacing w:after="0" w:line="240" w:lineRule="auto"/>
    </w:pPr>
    <w:tblPr>
      <w:tblStyleRowBandSize w:val="1"/>
      <w:tblStyleColBandSize w:val="1"/>
      <w:tblBorders>
        <w:top w:val="single" w:color="000000" w:themeColor="accent4" w:themeTint="9a" w:sz="4" w:space="0"/>
        <w:bottom w:val="single" w:color="000000" w:themeColor="accent4" w:themeTint="9a" w:sz="4" w:space="0"/>
      </w:tblBorders>
    </w:tblPr>
    <w:tblStylePr w:type="band1Horz">
      <w:rPr>
        <w:color w:val="CD9600" w:themeColor="accent4" w:themeTint="9a" w:themeShade="95"/>
        <w:sz w:val="22"/>
      </w:rPr>
      <w:tblPr/>
      <w:tcPr>
        <w:shd w:val="clear" w:color="FFFFFF" w:fill="FFEFBF" w:themeFill="accent4" w:themeFillTint="40"/>
      </w:tcPr>
    </w:tblStylePr>
    <w:tblStylePr w:type="band1Vert">
      <w:tblPr/>
      <w:tcPr>
        <w:shd w:val="clear" w:color="FFFFFF" w:fill="FFEFBF" w:themeFill="accent4" w:themeFillTint="40"/>
      </w:tcPr>
    </w:tblStylePr>
    <w:tblStylePr w:type="band2Horz">
      <w:rPr>
        <w:color w:val="CD9600" w:themeColor="accent4" w:themeTint="9a" w:themeShade="95"/>
        <w:sz w:val="22"/>
      </w:rPr>
      <w:tblPr/>
    </w:tblStylePr>
    <w:tblStylePr w:type="firstCol">
      <w:rPr>
        <w:b/>
        <w:color w:val="CD9600" w:themeColor="accent4" w:themeTint="9a" w:themeShade="95"/>
      </w:rPr>
      <w:tblPr/>
    </w:tblStylePr>
    <w:tblStylePr w:type="firstRow">
      <w:rPr>
        <w:b/>
        <w:color w:val="CD9600" w:themeColor="accent4" w:themeTint="9a" w:themeShade="95"/>
      </w:rPr>
      <w:tblPr/>
      <w:tcPr>
        <w:tcBorders>
          <w:bottom w:val="single" w:color="000000" w:themeColor="accent4" w:sz="4" w:space="0"/>
        </w:tcBorders>
      </w:tcPr>
    </w:tblStylePr>
    <w:tblStylePr w:type="lastCol">
      <w:rPr>
        <w:b/>
        <w:color w:val="CD9600" w:themeColor="accent4" w:themeTint="9a" w:themeShade="95"/>
      </w:rPr>
      <w:tblPr/>
    </w:tblStylePr>
    <w:tblStylePr w:type="lastRow">
      <w:rPr>
        <w:b/>
        <w:color w:val="CD9600" w:themeColor="accent4" w:themeTint="9a" w:themeShade="95"/>
      </w:rPr>
      <w:tblPr/>
      <w:tcPr>
        <w:tcBorders>
          <w:top w:val="single" w:color="000000" w:themeColor="accent4" w:sz="4" w:space="0"/>
        </w:tcBorders>
      </w:tcPr>
    </w:tblStylePr>
  </w:style>
  <w:style w:type="table" w:styleId="1466">
    <w:name w:val="List Table 6 Colorful - Accent 5"/>
    <w:basedOn w:val="1496"/>
    <w:uiPriority w:val="99"/>
    <w:pPr>
      <w:spacing w:after="0" w:line="240" w:lineRule="auto"/>
    </w:pPr>
    <w:tblPr>
      <w:tblStyleRowBandSize w:val="1"/>
      <w:tblStyleColBandSize w:val="1"/>
      <w:tblBorders>
        <w:top w:val="single" w:color="000000" w:themeColor="accent5" w:themeTint="9a" w:sz="4" w:space="0"/>
        <w:bottom w:val="single" w:color="000000" w:themeColor="accent5" w:themeTint="9a" w:sz="4" w:space="0"/>
      </w:tblBorders>
    </w:tblPr>
    <w:tblStylePr w:type="band1Horz">
      <w:rPr>
        <w:color w:val="2E78B1" w:themeColor="accent5" w:themeTint="9a" w:themeShade="95"/>
        <w:sz w:val="22"/>
      </w:rPr>
      <w:tblPr/>
      <w:tcPr>
        <w:shd w:val="clear" w:color="FFFFFF" w:fill="D5E6F4" w:themeFill="accent5" w:themeFillTint="40"/>
      </w:tcPr>
    </w:tblStylePr>
    <w:tblStylePr w:type="band1Vert">
      <w:tblPr/>
      <w:tcPr>
        <w:shd w:val="clear" w:color="FFFFFF" w:fill="D5E6F4" w:themeFill="accent5" w:themeFillTint="40"/>
      </w:tcPr>
    </w:tblStylePr>
    <w:tblStylePr w:type="band2Horz">
      <w:rPr>
        <w:color w:val="2E78B1" w:themeColor="accent5" w:themeTint="9a" w:themeShade="95"/>
        <w:sz w:val="22"/>
      </w:rPr>
      <w:tblPr/>
    </w:tblStylePr>
    <w:tblStylePr w:type="firstCol">
      <w:rPr>
        <w:b/>
        <w:color w:val="2E78B1" w:themeColor="accent5" w:themeTint="9a" w:themeShade="95"/>
      </w:rPr>
      <w:tblPr/>
    </w:tblStylePr>
    <w:tblStylePr w:type="firstRow">
      <w:rPr>
        <w:b/>
        <w:color w:val="2E78B1" w:themeColor="accent5" w:themeTint="9a" w:themeShade="95"/>
      </w:rPr>
      <w:tblPr/>
      <w:tcPr>
        <w:tcBorders>
          <w:bottom w:val="single" w:color="000000" w:themeColor="accent5" w:sz="4" w:space="0"/>
        </w:tcBorders>
      </w:tcPr>
    </w:tblStylePr>
    <w:tblStylePr w:type="lastCol">
      <w:rPr>
        <w:b/>
        <w:color w:val="2E78B1" w:themeColor="accent5" w:themeTint="9a" w:themeShade="95"/>
      </w:rPr>
      <w:tblPr/>
    </w:tblStylePr>
    <w:tblStylePr w:type="lastRow">
      <w:rPr>
        <w:b/>
        <w:color w:val="2E78B1" w:themeColor="accent5" w:themeTint="9a" w:themeShade="95"/>
      </w:rPr>
      <w:tblPr/>
      <w:tcPr>
        <w:tcBorders>
          <w:top w:val="single" w:color="000000" w:themeColor="accent5" w:sz="4" w:space="0"/>
        </w:tcBorders>
      </w:tcPr>
    </w:tblStylePr>
  </w:style>
  <w:style w:type="table" w:styleId="1467">
    <w:name w:val="List Table 6 Colorful - Accent 6"/>
    <w:basedOn w:val="1496"/>
    <w:uiPriority w:val="99"/>
    <w:pPr>
      <w:spacing w:after="0" w:line="240" w:lineRule="auto"/>
    </w:pPr>
    <w:tblPr>
      <w:tblStyleRowBandSize w:val="1"/>
      <w:tblStyleColBandSize w:val="1"/>
      <w:tblBorders>
        <w:top w:val="single" w:color="000000" w:themeColor="accent6" w:themeTint="98" w:sz="4" w:space="0"/>
        <w:bottom w:val="single" w:color="000000" w:themeColor="accent6" w:themeTint="98" w:sz="4" w:space="0"/>
      </w:tblBorders>
    </w:tblPr>
    <w:tblStylePr w:type="band1Horz">
      <w:rPr>
        <w:color w:val="5F8F3C" w:themeColor="accent6" w:themeTint="98" w:themeShade="95"/>
        <w:sz w:val="22"/>
      </w:rPr>
      <w:tblPr/>
      <w:tcPr>
        <w:shd w:val="clear" w:color="FFFFFF" w:fill="DBEBD0" w:themeFill="accent6" w:themeFillTint="40"/>
      </w:tcPr>
    </w:tblStylePr>
    <w:tblStylePr w:type="band1Vert">
      <w:tblPr/>
      <w:tcPr>
        <w:shd w:val="clear" w:color="FFFFFF" w:fill="DBEBD0" w:themeFill="accent6" w:themeFillTint="40"/>
      </w:tcPr>
    </w:tblStylePr>
    <w:tblStylePr w:type="band2Horz">
      <w:rPr>
        <w:color w:val="5F8F3C" w:themeColor="accent6" w:themeTint="98" w:themeShade="95"/>
        <w:sz w:val="22"/>
      </w:rPr>
      <w:tblPr/>
    </w:tblStylePr>
    <w:tblStylePr w:type="firstCol">
      <w:rPr>
        <w:b/>
        <w:color w:val="5F8F3C" w:themeColor="accent6" w:themeTint="98" w:themeShade="95"/>
      </w:rPr>
      <w:tblPr/>
    </w:tblStylePr>
    <w:tblStylePr w:type="firstRow">
      <w:rPr>
        <w:b/>
        <w:color w:val="5F8F3C" w:themeColor="accent6" w:themeTint="98" w:themeShade="95"/>
      </w:rPr>
      <w:tblPr/>
      <w:tcPr>
        <w:tcBorders>
          <w:bottom w:val="single" w:color="000000" w:themeColor="accent6" w:sz="4" w:space="0"/>
        </w:tcBorders>
      </w:tcPr>
    </w:tblStylePr>
    <w:tblStylePr w:type="lastCol">
      <w:rPr>
        <w:b/>
        <w:color w:val="5F8F3C" w:themeColor="accent6" w:themeTint="98" w:themeShade="95"/>
      </w:rPr>
      <w:tblPr/>
    </w:tblStylePr>
    <w:tblStylePr w:type="lastRow">
      <w:rPr>
        <w:b/>
        <w:color w:val="5F8F3C" w:themeColor="accent6" w:themeTint="98" w:themeShade="95"/>
      </w:rPr>
      <w:tblPr/>
      <w:tcPr>
        <w:tcBorders>
          <w:top w:val="single" w:color="000000" w:themeColor="accent6" w:sz="4" w:space="0"/>
        </w:tcBorders>
      </w:tcPr>
    </w:tblStylePr>
  </w:style>
  <w:style w:type="table" w:styleId="1468">
    <w:name w:val="List Table 7 Colorful"/>
    <w:basedOn w:val="1496"/>
    <w:uiPriority w:val="99"/>
    <w:pPr>
      <w:spacing w:after="0" w:line="240" w:lineRule="auto"/>
    </w:pPr>
    <w:tblPr>
      <w:tblStyleRowBandSize w:val="1"/>
      <w:tblStyleColBandSize w:val="1"/>
      <w:tblBorders>
        <w:right w:val="single" w:color="000000" w:themeColor="text1" w:themeTint="80" w:sz="4" w:space="0"/>
      </w:tblBorders>
    </w:tblPr>
    <w:tblStylePr w:type="band1Horz">
      <w:rPr>
        <w:color w:val="4A4A4A" w:themeColor="text1" w:themeTint="80" w:themeShade="95"/>
        <w:sz w:val="22"/>
      </w:rPr>
      <w:tblPr/>
      <w:tcPr>
        <w:shd w:val="clear" w:color="FFFFFF" w:fill="BFBFBF" w:themeFill="text1" w:themeFillTint="40"/>
      </w:tcPr>
    </w:tblStylePr>
    <w:tblStylePr w:type="band1Vert">
      <w:tblPr/>
      <w:tcPr>
        <w:shd w:val="clear" w:color="FFFFFF" w:fill="BFBFBF" w:themeFill="text1" w:themeFillTint="40"/>
      </w:tcPr>
    </w:tblStylePr>
    <w:tblStylePr w:type="band2Horz">
      <w:rPr>
        <w:color w:val="4A4A4A" w:themeColor="text1" w:themeTint="80" w:themeShade="95"/>
        <w:sz w:val="22"/>
      </w:rPr>
      <w:tblPr/>
    </w:tblStylePr>
    <w:tblStylePr w:type="firstCol">
      <w:pPr>
        <w:jc w:val="right"/>
      </w:pPr>
      <w:rPr>
        <w:i/>
        <w:color w:val="4A4A4A" w:themeColor="text1" w:themeTint="80" w:themeShade="95"/>
        <w:sz w:val="22"/>
      </w:rPr>
      <w:tblPr/>
      <w:tcPr>
        <w:tcBorders>
          <w:top w:val="none" w:color="000000" w:sz="4" w:space="0"/>
          <w:left w:val="none" w:color="000000" w:sz="4" w:space="0"/>
          <w:bottom w:val="none" w:color="000000" w:sz="4" w:space="0"/>
          <w:right w:val="single" w:color="000000" w:themeColor="text1" w:sz="4" w:space="0"/>
        </w:tcBorders>
        <w:shd w:val="clear" w:color="FFFFFF"/>
      </w:tcPr>
    </w:tblStylePr>
    <w:tblStylePr w:type="firstRow">
      <w:rPr>
        <w:i/>
        <w:color w:val="4A4A4A" w:themeColor="text1" w:themeTint="80" w:themeShade="95"/>
        <w:sz w:val="22"/>
      </w:rPr>
      <w:tblPr/>
      <w:tcPr>
        <w:tcBorders>
          <w:top w:val="none" w:color="000000" w:sz="4" w:space="0"/>
          <w:left w:val="none" w:color="000000" w:sz="4" w:space="0"/>
          <w:bottom w:val="single" w:color="000000" w:themeColor="text1" w:sz="4" w:space="0"/>
          <w:right w:val="none" w:color="000000" w:sz="4" w:space="0"/>
        </w:tcBorders>
        <w:shd w:val="clear" w:color="FFFFFF" w:fill="FFFFFF" w:themeFill="light1"/>
      </w:tcPr>
    </w:tblStylePr>
    <w:tblStylePr w:type="lastCol">
      <w:rPr>
        <w:i/>
        <w:color w:val="4A4A4A" w:themeColor="text1" w:themeTint="80" w:themeShade="95"/>
        <w:sz w:val="22"/>
      </w:rPr>
      <w:tblPr/>
      <w:tcPr>
        <w:tcBorders>
          <w:top w:val="none" w:color="000000" w:sz="4" w:space="0"/>
          <w:left w:val="single" w:color="000000" w:themeColor="text1" w:sz="4" w:space="0"/>
          <w:bottom w:val="none" w:color="000000" w:sz="4" w:space="0"/>
          <w:right w:val="none" w:color="000000" w:sz="4" w:space="0"/>
        </w:tcBorders>
        <w:shd w:val="clear" w:color="FFFFFF"/>
      </w:tcPr>
    </w:tblStylePr>
    <w:tblStylePr w:type="lastRow">
      <w:rPr>
        <w:i/>
        <w:color w:val="4A4A4A" w:themeColor="text1" w:themeTint="80" w:themeShade="95"/>
        <w:sz w:val="22"/>
      </w:rPr>
      <w:tblPr/>
      <w:tcPr>
        <w:tcBorders>
          <w:top w:val="single" w:color="000000" w:themeColor="text1" w:sz="4" w:space="0"/>
          <w:left w:val="none" w:color="000000" w:sz="4" w:space="0"/>
          <w:bottom w:val="none" w:color="000000" w:sz="4" w:space="0"/>
          <w:right w:val="none" w:color="000000" w:sz="4" w:space="0"/>
        </w:tcBorders>
        <w:shd w:val="clear" w:color="FFFFFF" w:fill="FFFFFF" w:themeFill="light1"/>
      </w:tcPr>
    </w:tblStylePr>
    <w:tblStylePr w:type="wholeTable">
      <w:rPr>
        <w:color w:val="4A4A4A" w:themeColor="text1" w:themeTint="80" w:themeShade="95"/>
        <w:sz w:val="22"/>
      </w:rPr>
      <w:tblPr/>
    </w:tblStylePr>
  </w:style>
  <w:style w:type="table" w:styleId="1469">
    <w:name w:val="List Table 7 Colorful - Accent 1"/>
    <w:basedOn w:val="1496"/>
    <w:uiPriority w:val="99"/>
    <w:pPr>
      <w:spacing w:after="0" w:line="240" w:lineRule="auto"/>
    </w:pPr>
    <w:tblPr>
      <w:tblStyleRowBandSize w:val="1"/>
      <w:tblStyleColBandSize w:val="1"/>
      <w:tblBorders>
        <w:right w:val="single" w:color="000000" w:themeColor="accent1" w:sz="4" w:space="0"/>
      </w:tblBorders>
    </w:tblPr>
    <w:tblStylePr w:type="band1Horz">
      <w:rPr>
        <w:color w:val="254374" w:themeColor="accent1" w:themeShade="95"/>
        <w:sz w:val="22"/>
      </w:rPr>
      <w:tblPr/>
      <w:tcPr>
        <w:shd w:val="clear" w:color="FFFFFF" w:fill="CFDCF0" w:themeFill="accent1" w:themeFillTint="40"/>
      </w:tcPr>
    </w:tblStylePr>
    <w:tblStylePr w:type="band1Vert">
      <w:tblPr/>
      <w:tcPr>
        <w:shd w:val="clear" w:color="FFFFFF" w:fill="CFDCF0" w:themeFill="accent1" w:themeFillTint="40"/>
      </w:tcPr>
    </w:tblStylePr>
    <w:tblStylePr w:type="band2Horz">
      <w:rPr>
        <w:color w:val="254374" w:themeColor="accent1" w:themeShade="95"/>
        <w:sz w:val="22"/>
      </w:rPr>
      <w:tblPr/>
    </w:tblStylePr>
    <w:tblStylePr w:type="firstCol">
      <w:pPr>
        <w:jc w:val="right"/>
      </w:pPr>
      <w:rPr>
        <w:i/>
        <w:color w:val="254374" w:themeColor="accent1" w:themeShade="95"/>
        <w:sz w:val="22"/>
      </w:rPr>
      <w:tblPr/>
      <w:tcPr>
        <w:tcBorders>
          <w:top w:val="none" w:color="000000" w:sz="4" w:space="0"/>
          <w:left w:val="none" w:color="000000" w:sz="4" w:space="0"/>
          <w:bottom w:val="none" w:color="000000" w:sz="4" w:space="0"/>
          <w:right w:val="single" w:color="000000" w:themeColor="accent1" w:sz="4" w:space="0"/>
        </w:tcBorders>
        <w:shd w:val="clear" w:color="FFFFFF"/>
      </w:tcPr>
    </w:tblStylePr>
    <w:tblStylePr w:type="firstRow">
      <w:rPr>
        <w:i/>
        <w:color w:val="254374" w:themeColor="accent1" w:themeShade="95"/>
        <w:sz w:val="22"/>
      </w:rPr>
      <w:tblPr/>
      <w:tcPr>
        <w:tcBorders>
          <w:top w:val="none" w:color="000000" w:sz="4" w:space="0"/>
          <w:left w:val="none" w:color="000000" w:sz="4" w:space="0"/>
          <w:bottom w:val="single" w:color="000000" w:themeColor="accent1" w:sz="4" w:space="0"/>
          <w:right w:val="none" w:color="000000" w:sz="4" w:space="0"/>
        </w:tcBorders>
        <w:shd w:val="clear" w:color="FFFFFF" w:fill="FFFFFF" w:themeFill="light1"/>
      </w:tcPr>
    </w:tblStylePr>
    <w:tblStylePr w:type="lastCol">
      <w:rPr>
        <w:i/>
        <w:color w:val="254374" w:themeColor="accent1" w:themeShade="95"/>
        <w:sz w:val="22"/>
      </w:rPr>
      <w:tblPr/>
      <w:tcPr>
        <w:tcBorders>
          <w:top w:val="none" w:color="000000" w:sz="4" w:space="0"/>
          <w:left w:val="single" w:color="000000" w:themeColor="accent1" w:sz="4" w:space="0"/>
          <w:bottom w:val="none" w:color="000000" w:sz="4" w:space="0"/>
          <w:right w:val="none" w:color="000000" w:sz="4" w:space="0"/>
        </w:tcBorders>
        <w:shd w:val="clear" w:color="FFFFFF"/>
      </w:tcPr>
    </w:tblStylePr>
    <w:tblStylePr w:type="lastRow">
      <w:rPr>
        <w:i/>
        <w:color w:val="254374" w:themeColor="accent1" w:themeShade="95"/>
        <w:sz w:val="22"/>
      </w:rPr>
      <w:tblPr/>
      <w:tcPr>
        <w:tcBorders>
          <w:top w:val="single" w:color="000000" w:themeColor="accent1" w:sz="4" w:space="0"/>
          <w:left w:val="none" w:color="000000" w:sz="4" w:space="0"/>
          <w:bottom w:val="none" w:color="000000" w:sz="4" w:space="0"/>
          <w:right w:val="none" w:color="000000" w:sz="4" w:space="0"/>
        </w:tcBorders>
        <w:shd w:val="clear" w:color="FFFFFF" w:fill="FFFFFF" w:themeFill="light1"/>
      </w:tcPr>
    </w:tblStylePr>
    <w:tblStylePr w:type="wholeTable">
      <w:rPr>
        <w:color w:val="254374" w:themeColor="accent1" w:themeShade="95"/>
        <w:sz w:val="22"/>
      </w:rPr>
      <w:tblPr/>
    </w:tblStylePr>
  </w:style>
  <w:style w:type="table" w:styleId="1470">
    <w:name w:val="List Table 7 Colorful - Accent 2"/>
    <w:basedOn w:val="1496"/>
    <w:uiPriority w:val="99"/>
    <w:pPr>
      <w:spacing w:after="0" w:line="240" w:lineRule="auto"/>
    </w:pPr>
    <w:tblPr>
      <w:tblStyleRowBandSize w:val="1"/>
      <w:tblStyleColBandSize w:val="1"/>
      <w:tblBorders>
        <w:right w:val="single" w:color="000000" w:themeColor="accent2" w:themeTint="97" w:sz="4" w:space="0"/>
      </w:tblBorders>
    </w:tblPr>
    <w:tblStylePr w:type="band1Horz">
      <w:rPr>
        <w:color w:val="C95712" w:themeColor="accent2" w:themeTint="97" w:themeShade="95"/>
        <w:sz w:val="22"/>
      </w:rPr>
      <w:tblPr/>
      <w:tcPr>
        <w:shd w:val="clear" w:color="FFFFFF" w:fill="FADECB" w:themeFill="accent2" w:themeFillTint="40"/>
      </w:tcPr>
    </w:tblStylePr>
    <w:tblStylePr w:type="band1Vert">
      <w:tblPr/>
      <w:tcPr>
        <w:shd w:val="clear" w:color="FFFFFF" w:fill="FADECB" w:themeFill="accent2" w:themeFillTint="40"/>
      </w:tcPr>
    </w:tblStylePr>
    <w:tblStylePr w:type="band2Horz">
      <w:rPr>
        <w:color w:val="C95712" w:themeColor="accent2" w:themeTint="97" w:themeShade="95"/>
        <w:sz w:val="22"/>
      </w:rPr>
      <w:tblPr/>
    </w:tblStylePr>
    <w:tblStylePr w:type="firstCol">
      <w:pPr>
        <w:jc w:val="right"/>
      </w:pPr>
      <w:rPr>
        <w:i/>
        <w:color w:val="C95712" w:themeColor="accent2" w:themeTint="97" w:themeShade="95"/>
        <w:sz w:val="22"/>
      </w:rPr>
      <w:tblPr/>
      <w:tcPr>
        <w:tcBorders>
          <w:top w:val="none" w:color="000000" w:sz="4" w:space="0"/>
          <w:left w:val="none" w:color="000000" w:sz="4" w:space="0"/>
          <w:bottom w:val="none" w:color="000000" w:sz="4" w:space="0"/>
          <w:right w:val="single" w:color="000000" w:themeColor="accent2" w:sz="4" w:space="0"/>
        </w:tcBorders>
        <w:shd w:val="clear" w:color="FFFFFF"/>
      </w:tcPr>
    </w:tblStylePr>
    <w:tblStylePr w:type="firstRow">
      <w:rPr>
        <w:i/>
        <w:color w:val="C95712" w:themeColor="accent2" w:themeTint="97" w:themeShade="95"/>
        <w:sz w:val="22"/>
      </w:rPr>
      <w:tblPr/>
      <w:tcPr>
        <w:tcBorders>
          <w:top w:val="none" w:color="000000" w:sz="4" w:space="0"/>
          <w:left w:val="none" w:color="000000" w:sz="4" w:space="0"/>
          <w:bottom w:val="single" w:color="000000" w:themeColor="accent2" w:sz="4" w:space="0"/>
          <w:right w:val="none" w:color="000000" w:sz="4" w:space="0"/>
        </w:tcBorders>
        <w:shd w:val="clear" w:color="FFFFFF" w:fill="FFFFFF" w:themeFill="light1"/>
      </w:tcPr>
    </w:tblStylePr>
    <w:tblStylePr w:type="lastCol">
      <w:rPr>
        <w:i/>
        <w:color w:val="C95712" w:themeColor="accent2" w:themeTint="97" w:themeShade="95"/>
        <w:sz w:val="22"/>
      </w:rPr>
      <w:tblPr/>
      <w:tcPr>
        <w:tcBorders>
          <w:top w:val="none" w:color="000000" w:sz="4" w:space="0"/>
          <w:left w:val="single" w:color="000000" w:themeColor="accent2" w:sz="4" w:space="0"/>
          <w:bottom w:val="none" w:color="000000" w:sz="4" w:space="0"/>
          <w:right w:val="none" w:color="000000" w:sz="4" w:space="0"/>
        </w:tcBorders>
        <w:shd w:val="clear" w:color="FFFFFF"/>
      </w:tcPr>
    </w:tblStylePr>
    <w:tblStylePr w:type="lastRow">
      <w:rPr>
        <w:i/>
        <w:color w:val="C95712" w:themeColor="accent2" w:themeTint="97" w:themeShade="95"/>
        <w:sz w:val="22"/>
      </w:rPr>
      <w:tblPr/>
      <w:tcPr>
        <w:tcBorders>
          <w:top w:val="single" w:color="000000" w:themeColor="accent2" w:sz="4" w:space="0"/>
          <w:left w:val="none" w:color="000000" w:sz="4" w:space="0"/>
          <w:bottom w:val="none" w:color="000000" w:sz="4" w:space="0"/>
          <w:right w:val="none" w:color="000000" w:sz="4" w:space="0"/>
        </w:tcBorders>
        <w:shd w:val="clear" w:color="FFFFFF" w:fill="FFFFFF" w:themeFill="light1"/>
      </w:tcPr>
    </w:tblStylePr>
    <w:tblStylePr w:type="wholeTable">
      <w:rPr>
        <w:color w:val="C95712" w:themeColor="accent2" w:themeTint="97" w:themeShade="95"/>
        <w:sz w:val="22"/>
      </w:rPr>
      <w:tblPr/>
    </w:tblStylePr>
  </w:style>
  <w:style w:type="table" w:styleId="1471">
    <w:name w:val="List Table 7 Colorful - Accent 3"/>
    <w:basedOn w:val="1496"/>
    <w:uiPriority w:val="99"/>
    <w:pPr>
      <w:spacing w:after="0" w:line="240" w:lineRule="auto"/>
    </w:pPr>
    <w:tblPr>
      <w:tblStyleRowBandSize w:val="1"/>
      <w:tblStyleColBandSize w:val="1"/>
      <w:tblBorders>
        <w:right w:val="single" w:color="000000" w:themeColor="accent3" w:themeTint="98" w:sz="4" w:space="0"/>
      </w:tblBorders>
    </w:tblPr>
    <w:tblStylePr w:type="band1Horz">
      <w:rPr>
        <w:color w:val="757575" w:themeColor="accent3" w:themeTint="98" w:themeShade="95"/>
        <w:sz w:val="22"/>
      </w:rPr>
      <w:tblPr/>
      <w:tcPr>
        <w:shd w:val="clear" w:color="FFFFFF" w:fill="E8E8E8" w:themeFill="accent3" w:themeFillTint="40"/>
      </w:tcPr>
    </w:tblStylePr>
    <w:tblStylePr w:type="band1Vert">
      <w:tblPr/>
      <w:tcPr>
        <w:shd w:val="clear" w:color="FFFFFF" w:fill="E8E8E8" w:themeFill="accent3" w:themeFillTint="40"/>
      </w:tcPr>
    </w:tblStylePr>
    <w:tblStylePr w:type="band2Horz">
      <w:rPr>
        <w:color w:val="757575" w:themeColor="accent3" w:themeTint="98" w:themeShade="95"/>
        <w:sz w:val="22"/>
      </w:rPr>
      <w:tblPr/>
    </w:tblStylePr>
    <w:tblStylePr w:type="firstCol">
      <w:pPr>
        <w:jc w:val="right"/>
      </w:pPr>
      <w:rPr>
        <w:i/>
        <w:color w:val="757575" w:themeColor="accent3" w:themeTint="98" w:themeShade="95"/>
        <w:sz w:val="22"/>
      </w:rPr>
      <w:tblPr/>
      <w:tcPr>
        <w:tcBorders>
          <w:top w:val="none" w:color="000000" w:sz="4" w:space="0"/>
          <w:left w:val="none" w:color="000000" w:sz="4" w:space="0"/>
          <w:bottom w:val="none" w:color="000000" w:sz="4" w:space="0"/>
          <w:right w:val="single" w:color="000000" w:themeColor="accent3" w:sz="4" w:space="0"/>
        </w:tcBorders>
        <w:shd w:val="clear" w:color="FFFFFF"/>
      </w:tcPr>
    </w:tblStylePr>
    <w:tblStylePr w:type="firstRow">
      <w:rPr>
        <w:i/>
        <w:color w:val="757575" w:themeColor="accent3" w:themeTint="98" w:themeShade="95"/>
        <w:sz w:val="22"/>
      </w:rPr>
      <w:tblPr/>
      <w:tcPr>
        <w:tcBorders>
          <w:top w:val="none" w:color="000000" w:sz="4" w:space="0"/>
          <w:left w:val="none" w:color="000000" w:sz="4" w:space="0"/>
          <w:bottom w:val="single" w:color="000000" w:themeColor="accent3" w:sz="4" w:space="0"/>
          <w:right w:val="none" w:color="000000" w:sz="4" w:space="0"/>
        </w:tcBorders>
        <w:shd w:val="clear" w:color="FFFFFF" w:fill="FFFFFF" w:themeFill="light1"/>
      </w:tcPr>
    </w:tblStylePr>
    <w:tblStylePr w:type="lastCol">
      <w:rPr>
        <w:i/>
        <w:color w:val="757575" w:themeColor="accent3" w:themeTint="98" w:themeShade="95"/>
        <w:sz w:val="22"/>
      </w:rPr>
      <w:tblPr/>
      <w:tcPr>
        <w:tcBorders>
          <w:top w:val="none" w:color="000000" w:sz="4" w:space="0"/>
          <w:left w:val="single" w:color="000000" w:themeColor="accent3" w:sz="4" w:space="0"/>
          <w:bottom w:val="none" w:color="000000" w:sz="4" w:space="0"/>
          <w:right w:val="none" w:color="000000" w:sz="4" w:space="0"/>
        </w:tcBorders>
        <w:shd w:val="clear" w:color="FFFFFF"/>
      </w:tcPr>
    </w:tblStylePr>
    <w:tblStylePr w:type="lastRow">
      <w:rPr>
        <w:i/>
        <w:color w:val="757575" w:themeColor="accent3" w:themeTint="98" w:themeShade="95"/>
        <w:sz w:val="22"/>
      </w:rPr>
      <w:tblPr/>
      <w:tcPr>
        <w:tcBorders>
          <w:top w:val="single" w:color="000000" w:themeColor="accent3" w:sz="4" w:space="0"/>
          <w:left w:val="none" w:color="000000" w:sz="4" w:space="0"/>
          <w:bottom w:val="none" w:color="000000" w:sz="4" w:space="0"/>
          <w:right w:val="none" w:color="000000" w:sz="4" w:space="0"/>
        </w:tcBorders>
        <w:shd w:val="clear" w:color="FFFFFF" w:fill="FFFFFF" w:themeFill="light1"/>
      </w:tcPr>
    </w:tblStylePr>
    <w:tblStylePr w:type="wholeTable">
      <w:rPr>
        <w:color w:val="757575" w:themeColor="accent3" w:themeTint="98" w:themeShade="95"/>
        <w:sz w:val="22"/>
      </w:rPr>
      <w:tblPr/>
    </w:tblStylePr>
  </w:style>
  <w:style w:type="table" w:styleId="1472">
    <w:name w:val="List Table 7 Colorful - Accent 4"/>
    <w:basedOn w:val="1496"/>
    <w:uiPriority w:val="99"/>
    <w:pPr>
      <w:spacing w:after="0" w:line="240" w:lineRule="auto"/>
    </w:pPr>
    <w:tblPr>
      <w:tblStyleRowBandSize w:val="1"/>
      <w:tblStyleColBandSize w:val="1"/>
      <w:tblBorders>
        <w:right w:val="single" w:color="000000" w:themeColor="accent4" w:themeTint="9a" w:sz="4" w:space="0"/>
      </w:tblBorders>
    </w:tblPr>
    <w:tblStylePr w:type="band1Horz">
      <w:rPr>
        <w:color w:val="CD9600" w:themeColor="accent4" w:themeTint="9a" w:themeShade="95"/>
        <w:sz w:val="22"/>
      </w:rPr>
      <w:tblPr/>
      <w:tcPr>
        <w:shd w:val="clear" w:color="FFFFFF" w:fill="FFEFBF" w:themeFill="accent4" w:themeFillTint="40"/>
      </w:tcPr>
    </w:tblStylePr>
    <w:tblStylePr w:type="band1Vert">
      <w:tblPr/>
      <w:tcPr>
        <w:shd w:val="clear" w:color="FFFFFF" w:fill="FFEFBF" w:themeFill="accent4" w:themeFillTint="40"/>
      </w:tcPr>
    </w:tblStylePr>
    <w:tblStylePr w:type="band2Horz">
      <w:rPr>
        <w:color w:val="CD9600" w:themeColor="accent4" w:themeTint="9a" w:themeShade="95"/>
        <w:sz w:val="22"/>
      </w:rPr>
      <w:tblPr/>
    </w:tblStylePr>
    <w:tblStylePr w:type="firstCol">
      <w:pPr>
        <w:jc w:val="right"/>
      </w:pPr>
      <w:rPr>
        <w:i/>
        <w:color w:val="CD9600" w:themeColor="accent4" w:themeTint="9a" w:themeShade="95"/>
        <w:sz w:val="22"/>
      </w:rPr>
      <w:tblPr/>
      <w:tcPr>
        <w:tcBorders>
          <w:top w:val="none" w:color="000000" w:sz="4" w:space="0"/>
          <w:left w:val="none" w:color="000000" w:sz="4" w:space="0"/>
          <w:bottom w:val="none" w:color="000000" w:sz="4" w:space="0"/>
          <w:right w:val="single" w:color="000000" w:themeColor="accent4" w:sz="4" w:space="0"/>
        </w:tcBorders>
        <w:shd w:val="clear" w:color="FFFFFF"/>
      </w:tcPr>
    </w:tblStylePr>
    <w:tblStylePr w:type="firstRow">
      <w:rPr>
        <w:i/>
        <w:color w:val="CD9600" w:themeColor="accent4" w:themeTint="9a" w:themeShade="95"/>
        <w:sz w:val="22"/>
      </w:rPr>
      <w:tblPr/>
      <w:tcPr>
        <w:tcBorders>
          <w:top w:val="none" w:color="000000" w:sz="4" w:space="0"/>
          <w:left w:val="none" w:color="000000" w:sz="4" w:space="0"/>
          <w:bottom w:val="single" w:color="000000" w:themeColor="accent4" w:sz="4" w:space="0"/>
          <w:right w:val="none" w:color="000000" w:sz="4" w:space="0"/>
        </w:tcBorders>
        <w:shd w:val="clear" w:color="FFFFFF" w:fill="FFFFFF" w:themeFill="light1"/>
      </w:tcPr>
    </w:tblStylePr>
    <w:tblStylePr w:type="lastCol">
      <w:rPr>
        <w:i/>
        <w:color w:val="CD9600" w:themeColor="accent4" w:themeTint="9a" w:themeShade="95"/>
        <w:sz w:val="22"/>
      </w:rPr>
      <w:tblPr/>
      <w:tcPr>
        <w:tcBorders>
          <w:top w:val="none" w:color="000000" w:sz="4" w:space="0"/>
          <w:left w:val="single" w:color="000000" w:themeColor="accent4" w:sz="4" w:space="0"/>
          <w:bottom w:val="none" w:color="000000" w:sz="4" w:space="0"/>
          <w:right w:val="none" w:color="000000" w:sz="4" w:space="0"/>
        </w:tcBorders>
        <w:shd w:val="clear" w:color="FFFFFF"/>
      </w:tcPr>
    </w:tblStylePr>
    <w:tblStylePr w:type="lastRow">
      <w:rPr>
        <w:i/>
        <w:color w:val="CD9600" w:themeColor="accent4" w:themeTint="9a" w:themeShade="95"/>
        <w:sz w:val="22"/>
      </w:rPr>
      <w:tblPr/>
      <w:tcPr>
        <w:tcBorders>
          <w:top w:val="single" w:color="000000" w:themeColor="accent4" w:sz="4" w:space="0"/>
          <w:left w:val="none" w:color="000000" w:sz="4" w:space="0"/>
          <w:bottom w:val="none" w:color="000000" w:sz="4" w:space="0"/>
          <w:right w:val="none" w:color="000000" w:sz="4" w:space="0"/>
        </w:tcBorders>
        <w:shd w:val="clear" w:color="FFFFFF" w:fill="FFFFFF" w:themeFill="light1"/>
      </w:tcPr>
    </w:tblStylePr>
    <w:tblStylePr w:type="wholeTable">
      <w:rPr>
        <w:color w:val="CD9600" w:themeColor="accent4" w:themeTint="9a" w:themeShade="95"/>
        <w:sz w:val="22"/>
      </w:rPr>
      <w:tblPr/>
    </w:tblStylePr>
  </w:style>
  <w:style w:type="table" w:styleId="1473">
    <w:name w:val="List Table 7 Colorful - Accent 5"/>
    <w:basedOn w:val="1496"/>
    <w:uiPriority w:val="99"/>
    <w:pPr>
      <w:spacing w:after="0" w:line="240" w:lineRule="auto"/>
    </w:pPr>
    <w:tblPr>
      <w:tblStyleRowBandSize w:val="1"/>
      <w:tblStyleColBandSize w:val="1"/>
      <w:tblBorders>
        <w:right w:val="single" w:color="000000" w:themeColor="accent5" w:themeTint="9a" w:sz="4" w:space="0"/>
      </w:tblBorders>
    </w:tblPr>
    <w:tblStylePr w:type="band1Horz">
      <w:rPr>
        <w:color w:val="2E78B1" w:themeColor="accent5" w:themeTint="9a" w:themeShade="95"/>
        <w:sz w:val="22"/>
      </w:rPr>
      <w:tblPr/>
      <w:tcPr>
        <w:shd w:val="clear" w:color="FFFFFF" w:fill="D5E6F4" w:themeFill="accent5" w:themeFillTint="40"/>
      </w:tcPr>
    </w:tblStylePr>
    <w:tblStylePr w:type="band1Vert">
      <w:tblPr/>
      <w:tcPr>
        <w:shd w:val="clear" w:color="FFFFFF" w:fill="D5E6F4" w:themeFill="accent5" w:themeFillTint="40"/>
      </w:tcPr>
    </w:tblStylePr>
    <w:tblStylePr w:type="band2Horz">
      <w:rPr>
        <w:color w:val="2E78B1" w:themeColor="accent5" w:themeTint="9a" w:themeShade="95"/>
        <w:sz w:val="22"/>
      </w:rPr>
      <w:tblPr/>
    </w:tblStylePr>
    <w:tblStylePr w:type="firstCol">
      <w:pPr>
        <w:jc w:val="right"/>
      </w:pPr>
      <w:rPr>
        <w:i/>
        <w:color w:val="2E78B1" w:themeColor="accent5" w:themeTint="9a" w:themeShade="95"/>
        <w:sz w:val="22"/>
      </w:rPr>
      <w:tblPr/>
      <w:tcPr>
        <w:tcBorders>
          <w:top w:val="none" w:color="000000" w:sz="4" w:space="0"/>
          <w:left w:val="none" w:color="000000" w:sz="4" w:space="0"/>
          <w:bottom w:val="none" w:color="000000" w:sz="4" w:space="0"/>
          <w:right w:val="single" w:color="000000" w:themeColor="accent5" w:sz="4" w:space="0"/>
        </w:tcBorders>
        <w:shd w:val="clear" w:color="FFFFFF"/>
      </w:tcPr>
    </w:tblStylePr>
    <w:tblStylePr w:type="firstRow">
      <w:rPr>
        <w:i/>
        <w:color w:val="2E78B1" w:themeColor="accent5" w:themeTint="9a" w:themeShade="95"/>
        <w:sz w:val="22"/>
      </w:rPr>
      <w:tblPr/>
      <w:tcPr>
        <w:tcBorders>
          <w:top w:val="none" w:color="000000" w:sz="4" w:space="0"/>
          <w:left w:val="none" w:color="000000" w:sz="4" w:space="0"/>
          <w:bottom w:val="single" w:color="000000" w:themeColor="accent5" w:sz="4" w:space="0"/>
          <w:right w:val="none" w:color="000000" w:sz="4" w:space="0"/>
        </w:tcBorders>
        <w:shd w:val="clear" w:color="FFFFFF" w:fill="FFFFFF" w:themeFill="light1"/>
      </w:tcPr>
    </w:tblStylePr>
    <w:tblStylePr w:type="lastCol">
      <w:rPr>
        <w:i/>
        <w:color w:val="2E78B1" w:themeColor="accent5" w:themeTint="9a" w:themeShade="95"/>
        <w:sz w:val="22"/>
      </w:rPr>
      <w:tblPr/>
      <w:tcPr>
        <w:tcBorders>
          <w:top w:val="none" w:color="000000" w:sz="4" w:space="0"/>
          <w:left w:val="single" w:color="000000" w:themeColor="accent5" w:sz="4" w:space="0"/>
          <w:bottom w:val="none" w:color="000000" w:sz="4" w:space="0"/>
          <w:right w:val="none" w:color="000000" w:sz="4" w:space="0"/>
        </w:tcBorders>
        <w:shd w:val="clear" w:color="FFFFFF"/>
      </w:tcPr>
    </w:tblStylePr>
    <w:tblStylePr w:type="lastRow">
      <w:rPr>
        <w:i/>
        <w:color w:val="2E78B1" w:themeColor="accent5" w:themeTint="9a" w:themeShade="95"/>
        <w:sz w:val="22"/>
      </w:rPr>
      <w:tblPr/>
      <w:tcPr>
        <w:tcBorders>
          <w:top w:val="single" w:color="000000" w:themeColor="accent5" w:sz="4" w:space="0"/>
          <w:left w:val="none" w:color="000000" w:sz="4" w:space="0"/>
          <w:bottom w:val="none" w:color="000000" w:sz="4" w:space="0"/>
          <w:right w:val="none" w:color="000000" w:sz="4" w:space="0"/>
        </w:tcBorders>
        <w:shd w:val="clear" w:color="FFFFFF" w:fill="FFFFFF" w:themeFill="light1"/>
      </w:tcPr>
    </w:tblStylePr>
    <w:tblStylePr w:type="wholeTable">
      <w:rPr>
        <w:color w:val="2E78B1" w:themeColor="accent5" w:themeTint="9a" w:themeShade="95"/>
        <w:sz w:val="22"/>
      </w:rPr>
      <w:tblPr/>
    </w:tblStylePr>
  </w:style>
  <w:style w:type="table" w:styleId="1474">
    <w:name w:val="List Table 7 Colorful - Accent 6"/>
    <w:basedOn w:val="1496"/>
    <w:uiPriority w:val="99"/>
    <w:pPr>
      <w:spacing w:after="0" w:line="240" w:lineRule="auto"/>
    </w:pPr>
    <w:tblPr>
      <w:tblStyleRowBandSize w:val="1"/>
      <w:tblStyleColBandSize w:val="1"/>
      <w:tblBorders>
        <w:right w:val="single" w:color="000000" w:themeColor="accent6" w:themeTint="98" w:sz="4" w:space="0"/>
      </w:tblBorders>
    </w:tblPr>
    <w:tblStylePr w:type="band1Horz">
      <w:rPr>
        <w:color w:val="5F8F3C" w:themeColor="accent6" w:themeTint="98" w:themeShade="95"/>
        <w:sz w:val="22"/>
      </w:rPr>
      <w:tblPr/>
      <w:tcPr>
        <w:shd w:val="clear" w:color="FFFFFF" w:fill="DBEBD0" w:themeFill="accent6" w:themeFillTint="40"/>
      </w:tcPr>
    </w:tblStylePr>
    <w:tblStylePr w:type="band1Vert">
      <w:tblPr/>
      <w:tcPr>
        <w:shd w:val="clear" w:color="FFFFFF" w:fill="DBEBD0" w:themeFill="accent6" w:themeFillTint="40"/>
      </w:tcPr>
    </w:tblStylePr>
    <w:tblStylePr w:type="band2Horz">
      <w:rPr>
        <w:color w:val="5F8F3C" w:themeColor="accent6" w:themeTint="98" w:themeShade="95"/>
        <w:sz w:val="22"/>
      </w:rPr>
      <w:tblPr/>
    </w:tblStylePr>
    <w:tblStylePr w:type="firstCol">
      <w:pPr>
        <w:jc w:val="right"/>
      </w:pPr>
      <w:rPr>
        <w:i/>
        <w:color w:val="5F8F3C" w:themeColor="accent6" w:themeTint="98" w:themeShade="95"/>
        <w:sz w:val="22"/>
      </w:rPr>
      <w:tblPr/>
      <w:tcPr>
        <w:tcBorders>
          <w:top w:val="none" w:color="000000" w:sz="4" w:space="0"/>
          <w:left w:val="none" w:color="000000" w:sz="4" w:space="0"/>
          <w:bottom w:val="none" w:color="000000" w:sz="4" w:space="0"/>
          <w:right w:val="single" w:color="000000" w:themeColor="accent6" w:sz="4" w:space="0"/>
        </w:tcBorders>
        <w:shd w:val="clear" w:color="FFFFFF"/>
      </w:tcPr>
    </w:tblStylePr>
    <w:tblStylePr w:type="firstRow">
      <w:rPr>
        <w:i/>
        <w:color w:val="5F8F3C" w:themeColor="accent6" w:themeTint="98" w:themeShade="95"/>
        <w:sz w:val="22"/>
      </w:rPr>
      <w:tblPr/>
      <w:tcPr>
        <w:tcBorders>
          <w:top w:val="none" w:color="000000" w:sz="4" w:space="0"/>
          <w:left w:val="none" w:color="000000" w:sz="4" w:space="0"/>
          <w:bottom w:val="single" w:color="000000" w:themeColor="accent6" w:sz="4" w:space="0"/>
          <w:right w:val="none" w:color="000000" w:sz="4" w:space="0"/>
        </w:tcBorders>
        <w:shd w:val="clear" w:color="FFFFFF" w:fill="FFFFFF" w:themeFill="light1"/>
      </w:tcPr>
    </w:tblStylePr>
    <w:tblStylePr w:type="lastCol">
      <w:rPr>
        <w:i/>
        <w:color w:val="5F8F3C" w:themeColor="accent6" w:themeTint="98" w:themeShade="95"/>
        <w:sz w:val="22"/>
      </w:rPr>
      <w:tblPr/>
      <w:tcPr>
        <w:tcBorders>
          <w:top w:val="none" w:color="000000" w:sz="4" w:space="0"/>
          <w:left w:val="single" w:color="000000" w:themeColor="accent6" w:sz="4" w:space="0"/>
          <w:bottom w:val="none" w:color="000000" w:sz="4" w:space="0"/>
          <w:right w:val="none" w:color="000000" w:sz="4" w:space="0"/>
        </w:tcBorders>
        <w:shd w:val="clear" w:color="FFFFFF"/>
      </w:tcPr>
    </w:tblStylePr>
    <w:tblStylePr w:type="lastRow">
      <w:rPr>
        <w:i/>
        <w:color w:val="5F8F3C" w:themeColor="accent6" w:themeTint="98" w:themeShade="95"/>
        <w:sz w:val="22"/>
      </w:rPr>
      <w:tblPr/>
      <w:tcPr>
        <w:tcBorders>
          <w:top w:val="single" w:color="000000" w:themeColor="accent6" w:sz="4" w:space="0"/>
          <w:left w:val="none" w:color="000000" w:sz="4" w:space="0"/>
          <w:bottom w:val="none" w:color="000000" w:sz="4" w:space="0"/>
          <w:right w:val="none" w:color="000000" w:sz="4" w:space="0"/>
        </w:tcBorders>
        <w:shd w:val="clear" w:color="FFFFFF" w:fill="FFFFFF" w:themeFill="light1"/>
      </w:tcPr>
    </w:tblStylePr>
    <w:tblStylePr w:type="wholeTable">
      <w:rPr>
        <w:color w:val="5F8F3C" w:themeColor="accent6" w:themeTint="98" w:themeShade="95"/>
        <w:sz w:val="22"/>
      </w:rPr>
      <w:tblPr/>
    </w:tblStylePr>
  </w:style>
  <w:style w:type="table" w:styleId="1475">
    <w:name w:val="Lined - Accent"/>
    <w:basedOn w:val="1496"/>
    <w:uiPriority w:val="99"/>
    <w:pPr>
      <w:spacing w:after="0" w:line="240" w:lineRule="auto"/>
    </w:pPr>
    <w:tblPr>
      <w:tblStyleRowBandSize w:val="1"/>
      <w:tblStyleColBandSize w:val="1"/>
    </w:tblPr>
    <w:tblStylePr w:type="band1Horz">
      <w:rPr>
        <w:sz w:val="22"/>
      </w:rPr>
      <w:tblPr/>
    </w:tblStylePr>
    <w:tblStylePr w:type="band1Vert">
      <w:rPr>
        <w:sz w:val="22"/>
      </w:rPr>
      <w:tblPr/>
    </w:tblStylePr>
    <w:tblStylePr w:type="band2Horz">
      <w:rPr>
        <w:sz w:val="22"/>
      </w:rPr>
      <w:tblPr/>
      <w:tcPr>
        <w:shd w:val="clear" w:color="FFFFFF" w:fill="F2F2F2" w:themeFill="text1" w:themeFillTint="0"/>
      </w:tcPr>
    </w:tblStylePr>
    <w:tblStylePr w:type="band2Vert">
      <w:rPr>
        <w:sz w:val="22"/>
      </w:rPr>
      <w:tblPr/>
      <w:tcPr>
        <w:shd w:val="clear" w:color="FFFFFF" w:fill="F2F2F2" w:themeFill="text1" w:themeFillTint="0"/>
      </w:tcPr>
    </w:tblStylePr>
    <w:tblStylePr w:type="firstCol">
      <w:rPr>
        <w:sz w:val="22"/>
      </w:rPr>
      <w:tblPr/>
      <w:tcPr>
        <w:shd w:val="clear" w:color="FFFFFF" w:fill="7F7F7F" w:themeFill="text1" w:themeFillTint="80"/>
      </w:tcPr>
    </w:tblStylePr>
    <w:tblStylePr w:type="firstRow">
      <w:rPr>
        <w:sz w:val="22"/>
      </w:rPr>
      <w:tblPr/>
      <w:tcPr>
        <w:shd w:val="clear" w:color="FFFFFF" w:fill="7F7F7F" w:themeFill="text1" w:themeFillTint="80"/>
      </w:tcPr>
    </w:tblStylePr>
    <w:tblStylePr w:type="lastCol">
      <w:rPr>
        <w:sz w:val="22"/>
      </w:rPr>
      <w:tblPr/>
      <w:tcPr>
        <w:shd w:val="clear" w:color="FFFFFF" w:fill="7F7F7F" w:themeFill="text1" w:themeFillTint="80"/>
      </w:tcPr>
    </w:tblStylePr>
    <w:tblStylePr w:type="lastRow">
      <w:rPr>
        <w:sz w:val="22"/>
      </w:rPr>
      <w:tblPr/>
      <w:tcPr>
        <w:shd w:val="clear" w:color="FFFFFF" w:fill="7F7F7F" w:themeFill="text1" w:themeFillTint="80"/>
      </w:tcPr>
    </w:tblStylePr>
  </w:style>
  <w:style w:type="table" w:styleId="1476">
    <w:name w:val="Lined - Accent 1"/>
    <w:basedOn w:val="1496"/>
    <w:uiPriority w:val="99"/>
    <w:pPr>
      <w:spacing w:after="0" w:line="240" w:lineRule="auto"/>
    </w:pPr>
    <w:tblPr>
      <w:tblStyleRowBandSize w:val="1"/>
      <w:tblStyleColBandSize w:val="1"/>
    </w:tblPr>
    <w:tblStylePr w:type="band1Horz">
      <w:rPr>
        <w:sz w:val="22"/>
      </w:rPr>
      <w:tblPr/>
    </w:tblStylePr>
    <w:tblStylePr w:type="band1Vert">
      <w:rPr>
        <w:sz w:val="22"/>
      </w:rPr>
      <w:tblPr/>
    </w:tblStylePr>
    <w:tblStylePr w:type="band2Horz">
      <w:rPr>
        <w:sz w:val="22"/>
      </w:rPr>
      <w:tblPr/>
      <w:tcPr>
        <w:shd w:val="clear" w:color="FFFFFF" w:fill="C3D3EC" w:themeFill="accent1" w:themeFillTint="50"/>
      </w:tcPr>
    </w:tblStylePr>
    <w:tblStylePr w:type="band2Vert">
      <w:rPr>
        <w:sz w:val="22"/>
      </w:rPr>
      <w:tblPr/>
      <w:tcPr>
        <w:shd w:val="clear" w:color="FFFFFF" w:fill="C3D3EC" w:themeFill="accent1" w:themeFillTint="50"/>
      </w:tcPr>
    </w:tblStylePr>
    <w:tblStylePr w:type="firstCol">
      <w:rPr>
        <w:sz w:val="22"/>
      </w:rPr>
      <w:tblPr/>
      <w:tcPr>
        <w:shd w:val="clear" w:color="FFFFFF" w:fill="537FC8" w:themeFill="accent1" w:themeFillTint="ea"/>
      </w:tcPr>
    </w:tblStylePr>
    <w:tblStylePr w:type="firstRow">
      <w:rPr>
        <w:sz w:val="22"/>
      </w:rPr>
      <w:tblPr/>
      <w:tcPr>
        <w:shd w:val="clear" w:color="FFFFFF" w:fill="537FC8" w:themeFill="accent1" w:themeFillTint="ea"/>
      </w:tcPr>
    </w:tblStylePr>
    <w:tblStylePr w:type="lastCol">
      <w:rPr>
        <w:sz w:val="22"/>
      </w:rPr>
      <w:tblPr/>
      <w:tcPr>
        <w:shd w:val="clear" w:color="FFFFFF" w:fill="537FC8" w:themeFill="accent1" w:themeFillTint="ea"/>
      </w:tcPr>
    </w:tblStylePr>
    <w:tblStylePr w:type="lastRow">
      <w:rPr>
        <w:sz w:val="22"/>
      </w:rPr>
      <w:tblPr/>
      <w:tcPr>
        <w:shd w:val="clear" w:color="FFFFFF" w:fill="537FC8" w:themeFill="accent1" w:themeFillTint="ea"/>
      </w:tcPr>
    </w:tblStylePr>
  </w:style>
  <w:style w:type="table" w:styleId="1477">
    <w:name w:val="Lined - Accent 2"/>
    <w:basedOn w:val="1496"/>
    <w:uiPriority w:val="99"/>
    <w:pPr>
      <w:spacing w:after="0" w:line="240" w:lineRule="auto"/>
    </w:pPr>
    <w:tblPr>
      <w:tblStyleRowBandSize w:val="1"/>
      <w:tblStyleColBandSize w:val="1"/>
    </w:tblPr>
    <w:tblStylePr w:type="band1Horz">
      <w:rPr>
        <w:sz w:val="22"/>
      </w:rPr>
      <w:tblPr/>
    </w:tblStylePr>
    <w:tblStylePr w:type="band1Vert">
      <w:rPr>
        <w:sz w:val="22"/>
      </w:rPr>
      <w:tblPr/>
    </w:tblStylePr>
    <w:tblStylePr w:type="band2Horz">
      <w:rPr>
        <w:sz w:val="22"/>
      </w:rPr>
      <w:tblPr/>
      <w:tcPr>
        <w:shd w:val="clear" w:color="FFFFFF" w:fill="FBE5D6" w:themeFill="accent2" w:themeFillTint="32"/>
      </w:tcPr>
    </w:tblStylePr>
    <w:tblStylePr w:type="band2Vert">
      <w:rPr>
        <w:sz w:val="22"/>
      </w:rPr>
      <w:tblPr/>
      <w:tcPr>
        <w:shd w:val="clear" w:color="FFFFFF" w:fill="FBE5D6" w:themeFill="accent2" w:themeFillTint="32"/>
      </w:tcPr>
    </w:tblStylePr>
    <w:tblStylePr w:type="firstCol">
      <w:rPr>
        <w:sz w:val="22"/>
      </w:rPr>
      <w:tblPr/>
      <w:tcPr>
        <w:shd w:val="clear" w:color="FFFFFF" w:fill="F4B185" w:themeFill="accent2" w:themeFillTint="97"/>
      </w:tcPr>
    </w:tblStylePr>
    <w:tblStylePr w:type="firstRow">
      <w:rPr>
        <w:sz w:val="22"/>
      </w:rPr>
      <w:tblPr/>
      <w:tcPr>
        <w:shd w:val="clear" w:color="FFFFFF" w:fill="F4B185" w:themeFill="accent2" w:themeFillTint="97"/>
      </w:tcPr>
    </w:tblStylePr>
    <w:tblStylePr w:type="lastCol">
      <w:rPr>
        <w:sz w:val="22"/>
      </w:rPr>
      <w:tblPr/>
      <w:tcPr>
        <w:shd w:val="clear" w:color="FFFFFF" w:fill="F4B185" w:themeFill="accent2" w:themeFillTint="97"/>
      </w:tcPr>
    </w:tblStylePr>
    <w:tblStylePr w:type="lastRow">
      <w:rPr>
        <w:sz w:val="22"/>
      </w:rPr>
      <w:tblPr/>
      <w:tcPr>
        <w:shd w:val="clear" w:color="FFFFFF" w:fill="F4B185" w:themeFill="accent2" w:themeFillTint="97"/>
      </w:tcPr>
    </w:tblStylePr>
  </w:style>
  <w:style w:type="table" w:styleId="1478">
    <w:name w:val="Lined - Accent 3"/>
    <w:basedOn w:val="1496"/>
    <w:uiPriority w:val="99"/>
    <w:pPr>
      <w:spacing w:after="0" w:line="240" w:lineRule="auto"/>
    </w:pPr>
    <w:tblPr>
      <w:tblStyleRowBandSize w:val="1"/>
      <w:tblStyleColBandSize w:val="1"/>
    </w:tblPr>
    <w:tblStylePr w:type="band1Horz">
      <w:rPr>
        <w:sz w:val="22"/>
      </w:rPr>
      <w:tblPr/>
    </w:tblStylePr>
    <w:tblStylePr w:type="band1Vert">
      <w:rPr>
        <w:sz w:val="22"/>
      </w:rPr>
      <w:tblPr/>
    </w:tblStylePr>
    <w:tblStylePr w:type="band2Horz">
      <w:rPr>
        <w:sz w:val="22"/>
      </w:rPr>
      <w:tblPr/>
      <w:tcPr>
        <w:shd w:val="clear" w:color="FFFFFF" w:fill="EDEDED" w:themeFill="accent3" w:themeFillTint="34"/>
      </w:tcPr>
    </w:tblStylePr>
    <w:tblStylePr w:type="band2Vert">
      <w:rPr>
        <w:sz w:val="22"/>
      </w:rPr>
      <w:tblPr/>
      <w:tcPr>
        <w:shd w:val="clear" w:color="FFFFFF" w:fill="EDEDED" w:themeFill="accent3" w:themeFillTint="34"/>
      </w:tcPr>
    </w:tblStylePr>
    <w:tblStylePr w:type="firstCol">
      <w:rPr>
        <w:sz w:val="22"/>
      </w:rPr>
      <w:tblPr/>
      <w:tcPr>
        <w:shd w:val="clear" w:color="FFFFFF" w:fill="A5A5A5" w:themeFill="accent3" w:themeFillTint="fe"/>
      </w:tcPr>
    </w:tblStylePr>
    <w:tblStylePr w:type="firstRow">
      <w:rPr>
        <w:sz w:val="22"/>
      </w:rPr>
      <w:tblPr/>
      <w:tcPr>
        <w:shd w:val="clear" w:color="FFFFFF" w:fill="A5A5A5" w:themeFill="accent3" w:themeFillTint="fe"/>
      </w:tcPr>
    </w:tblStylePr>
    <w:tblStylePr w:type="lastCol">
      <w:rPr>
        <w:sz w:val="22"/>
      </w:rPr>
      <w:tblPr/>
      <w:tcPr>
        <w:shd w:val="clear" w:color="FFFFFF" w:fill="A5A5A5" w:themeFill="accent3" w:themeFillTint="fe"/>
      </w:tcPr>
    </w:tblStylePr>
    <w:tblStylePr w:type="lastRow">
      <w:rPr>
        <w:sz w:val="22"/>
      </w:rPr>
      <w:tblPr/>
      <w:tcPr>
        <w:shd w:val="clear" w:color="FFFFFF" w:fill="A5A5A5" w:themeFill="accent3" w:themeFillTint="fe"/>
      </w:tcPr>
    </w:tblStylePr>
  </w:style>
  <w:style w:type="table" w:styleId="1479">
    <w:name w:val="Lined - Accent 4"/>
    <w:basedOn w:val="1496"/>
    <w:uiPriority w:val="99"/>
    <w:pPr>
      <w:spacing w:after="0" w:line="240" w:lineRule="auto"/>
    </w:pPr>
    <w:tblPr>
      <w:tblStyleRowBandSize w:val="1"/>
      <w:tblStyleColBandSize w:val="1"/>
    </w:tblPr>
    <w:tblStylePr w:type="band1Horz">
      <w:rPr>
        <w:sz w:val="22"/>
      </w:rPr>
      <w:tblPr/>
    </w:tblStylePr>
    <w:tblStylePr w:type="band1Vert">
      <w:rPr>
        <w:sz w:val="22"/>
      </w:rPr>
      <w:tblPr/>
    </w:tblStylePr>
    <w:tblStylePr w:type="band2Horz">
      <w:rPr>
        <w:sz w:val="22"/>
      </w:rPr>
      <w:tblPr/>
      <w:tcPr>
        <w:shd w:val="clear" w:color="FFFFFF" w:fill="FEF2CB" w:themeFill="accent4" w:themeFillTint="34"/>
      </w:tcPr>
    </w:tblStylePr>
    <w:tblStylePr w:type="band2Vert">
      <w:rPr>
        <w:sz w:val="22"/>
      </w:rPr>
      <w:tblPr/>
      <w:tcPr>
        <w:shd w:val="clear" w:color="FFFFFF" w:fill="FEF2CB" w:themeFill="accent4" w:themeFillTint="34"/>
      </w:tcPr>
    </w:tblStylePr>
    <w:tblStylePr w:type="firstCol">
      <w:rPr>
        <w:sz w:val="22"/>
      </w:rPr>
      <w:tblPr/>
      <w:tcPr>
        <w:shd w:val="clear" w:color="FFFFFF" w:fill="FFD864" w:themeFill="accent4" w:themeFillTint="9a"/>
      </w:tcPr>
    </w:tblStylePr>
    <w:tblStylePr w:type="firstRow">
      <w:rPr>
        <w:sz w:val="22"/>
      </w:rPr>
      <w:tblPr/>
      <w:tcPr>
        <w:shd w:val="clear" w:color="FFFFFF" w:fill="FFD864" w:themeFill="accent4" w:themeFillTint="9a"/>
      </w:tcPr>
    </w:tblStylePr>
    <w:tblStylePr w:type="lastCol">
      <w:rPr>
        <w:sz w:val="22"/>
      </w:rPr>
      <w:tblPr/>
      <w:tcPr>
        <w:shd w:val="clear" w:color="FFFFFF" w:fill="FFD864" w:themeFill="accent4" w:themeFillTint="9a"/>
      </w:tcPr>
    </w:tblStylePr>
    <w:tblStylePr w:type="lastRow">
      <w:rPr>
        <w:sz w:val="22"/>
      </w:rPr>
      <w:tblPr/>
      <w:tcPr>
        <w:shd w:val="clear" w:color="FFFFFF" w:fill="FFD864" w:themeFill="accent4" w:themeFillTint="9a"/>
      </w:tcPr>
    </w:tblStylePr>
  </w:style>
  <w:style w:type="table" w:styleId="1480">
    <w:name w:val="Lined - Accent 5"/>
    <w:basedOn w:val="1496"/>
    <w:uiPriority w:val="99"/>
    <w:pPr>
      <w:spacing w:after="0" w:line="240" w:lineRule="auto"/>
    </w:pPr>
    <w:tblPr>
      <w:tblStyleRowBandSize w:val="1"/>
      <w:tblStyleColBandSize w:val="1"/>
    </w:tblPr>
    <w:tblStylePr w:type="band1Horz">
      <w:rPr>
        <w:sz w:val="22"/>
      </w:rPr>
      <w:tblPr/>
    </w:tblStylePr>
    <w:tblStylePr w:type="band1Vert">
      <w:rPr>
        <w:sz w:val="22"/>
      </w:rPr>
      <w:tblPr/>
    </w:tblStylePr>
    <w:tblStylePr w:type="band2Horz">
      <w:rPr>
        <w:sz w:val="22"/>
      </w:rPr>
      <w:tblPr/>
      <w:tcPr>
        <w:shd w:val="clear" w:color="FFFFFF" w:fill="DDEBF6" w:themeFill="accent5" w:themeFillTint="34"/>
      </w:tcPr>
    </w:tblStylePr>
    <w:tblStylePr w:type="band2Vert">
      <w:rPr>
        <w:sz w:val="22"/>
      </w:rPr>
      <w:tblPr/>
      <w:tcPr>
        <w:shd w:val="clear" w:color="FFFFFF" w:fill="DDEBF6" w:themeFill="accent5" w:themeFillTint="34"/>
      </w:tcPr>
    </w:tblStylePr>
    <w:tblStylePr w:type="firstCol">
      <w:rPr>
        <w:sz w:val="22"/>
      </w:rPr>
      <w:tblPr/>
      <w:tcPr>
        <w:shd w:val="clear" w:color="FFFFFF" w:fill="5B9BD5" w:themeFill="accent5"/>
      </w:tcPr>
    </w:tblStylePr>
    <w:tblStylePr w:type="firstRow">
      <w:rPr>
        <w:sz w:val="22"/>
      </w:rPr>
      <w:tblPr/>
      <w:tcPr>
        <w:shd w:val="clear" w:color="FFFFFF" w:fill="5B9BD5" w:themeFill="accent5"/>
      </w:tcPr>
    </w:tblStylePr>
    <w:tblStylePr w:type="lastCol">
      <w:rPr>
        <w:sz w:val="22"/>
      </w:rPr>
      <w:tblPr/>
      <w:tcPr>
        <w:shd w:val="clear" w:color="FFFFFF" w:fill="5B9BD5" w:themeFill="accent5"/>
      </w:tcPr>
    </w:tblStylePr>
    <w:tblStylePr w:type="lastRow">
      <w:rPr>
        <w:sz w:val="22"/>
      </w:rPr>
      <w:tblPr/>
      <w:tcPr>
        <w:shd w:val="clear" w:color="FFFFFF" w:fill="5B9BD5" w:themeFill="accent5"/>
      </w:tcPr>
    </w:tblStylePr>
  </w:style>
  <w:style w:type="table" w:styleId="1481">
    <w:name w:val="Lined - Accent 6"/>
    <w:basedOn w:val="1496"/>
    <w:uiPriority w:val="99"/>
    <w:pPr>
      <w:spacing w:after="0" w:line="240" w:lineRule="auto"/>
    </w:pPr>
    <w:tblPr>
      <w:tblStyleRowBandSize w:val="1"/>
      <w:tblStyleColBandSize w:val="1"/>
    </w:tblPr>
    <w:tblStylePr w:type="band1Horz">
      <w:rPr>
        <w:sz w:val="22"/>
      </w:rPr>
      <w:tblPr/>
    </w:tblStylePr>
    <w:tblStylePr w:type="band1Vert">
      <w:rPr>
        <w:sz w:val="22"/>
      </w:rPr>
      <w:tblPr/>
    </w:tblStylePr>
    <w:tblStylePr w:type="band2Horz">
      <w:rPr>
        <w:sz w:val="22"/>
      </w:rPr>
      <w:tblPr/>
      <w:tcPr>
        <w:shd w:val="clear" w:color="FFFFFF" w:fill="E2EFD8" w:themeFill="accent6" w:themeFillTint="34"/>
      </w:tcPr>
    </w:tblStylePr>
    <w:tblStylePr w:type="band2Vert">
      <w:rPr>
        <w:sz w:val="22"/>
      </w:rPr>
      <w:tblPr/>
      <w:tcPr>
        <w:shd w:val="clear" w:color="FFFFFF" w:fill="E2EFD8" w:themeFill="accent6" w:themeFillTint="34"/>
      </w:tcPr>
    </w:tblStylePr>
    <w:tblStylePr w:type="firstCol">
      <w:rPr>
        <w:sz w:val="22"/>
      </w:rPr>
      <w:tblPr/>
      <w:tcPr>
        <w:shd w:val="clear" w:color="FFFFFF" w:fill="70AD47" w:themeFill="accent6"/>
      </w:tcPr>
    </w:tblStylePr>
    <w:tblStylePr w:type="firstRow">
      <w:rPr>
        <w:sz w:val="22"/>
      </w:rPr>
      <w:tblPr/>
      <w:tcPr>
        <w:shd w:val="clear" w:color="FFFFFF" w:fill="70AD47" w:themeFill="accent6"/>
      </w:tcPr>
    </w:tblStylePr>
    <w:tblStylePr w:type="lastCol">
      <w:rPr>
        <w:sz w:val="22"/>
      </w:rPr>
      <w:tblPr/>
      <w:tcPr>
        <w:shd w:val="clear" w:color="FFFFFF" w:fill="70AD47" w:themeFill="accent6"/>
      </w:tcPr>
    </w:tblStylePr>
    <w:tblStylePr w:type="lastRow">
      <w:rPr>
        <w:sz w:val="22"/>
      </w:rPr>
      <w:tblPr/>
      <w:tcPr>
        <w:shd w:val="clear" w:color="FFFFFF" w:fill="70AD47" w:themeFill="accent6"/>
      </w:tcPr>
    </w:tblStylePr>
  </w:style>
  <w:style w:type="table" w:styleId="1482">
    <w:name w:val="Bordered &amp; Lined - Accent"/>
    <w:basedOn w:val="1496"/>
    <w:uiPriority w:val="99"/>
    <w:pPr>
      <w:spacing w:after="0" w:line="240" w:lineRule="auto"/>
    </w:pPr>
    <w:tblPr>
      <w:tblStyleRowBandSize w:val="1"/>
      <w:tblStyleColBandSize w:val="1"/>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blStylePr w:type="band1Horz">
      <w:rPr>
        <w:sz w:val="22"/>
      </w:rPr>
      <w:tblPr/>
    </w:tblStylePr>
    <w:tblStylePr w:type="band1Vert">
      <w:rPr>
        <w:sz w:val="22"/>
      </w:rPr>
      <w:tblPr/>
    </w:tblStylePr>
    <w:tblStylePr w:type="band2Horz">
      <w:rPr>
        <w:sz w:val="22"/>
      </w:rPr>
      <w:tblPr/>
      <w:tcPr>
        <w:shd w:val="clear" w:color="FFFFFF" w:fill="F2F2F2" w:themeFill="text1" w:themeFillTint="0"/>
      </w:tcPr>
    </w:tblStylePr>
    <w:tblStylePr w:type="band2Vert">
      <w:rPr>
        <w:sz w:val="22"/>
      </w:rPr>
      <w:tblPr/>
      <w:tcPr>
        <w:shd w:val="clear" w:color="FFFFFF" w:fill="F2F2F2" w:themeFill="text1" w:themeFillTint="0"/>
      </w:tcPr>
    </w:tblStylePr>
    <w:tblStylePr w:type="firstCol">
      <w:rPr>
        <w:sz w:val="22"/>
      </w:rPr>
      <w:tblPr/>
      <w:tcPr>
        <w:shd w:val="clear" w:color="FFFFFF" w:fill="7F7F7F" w:themeFill="text1" w:themeFillTint="80"/>
      </w:tcPr>
    </w:tblStylePr>
    <w:tblStylePr w:type="firstRow">
      <w:rPr>
        <w:sz w:val="22"/>
      </w:rPr>
      <w:tblPr/>
      <w:tcPr>
        <w:shd w:val="clear" w:color="FFFFFF" w:fill="7F7F7F" w:themeFill="text1" w:themeFillTint="80"/>
      </w:tcPr>
    </w:tblStylePr>
    <w:tblStylePr w:type="lastCol">
      <w:rPr>
        <w:sz w:val="22"/>
      </w:rPr>
      <w:tblPr/>
      <w:tcPr>
        <w:shd w:val="clear" w:color="FFFFFF" w:fill="7F7F7F" w:themeFill="text1" w:themeFillTint="80"/>
      </w:tcPr>
    </w:tblStylePr>
    <w:tblStylePr w:type="lastRow">
      <w:rPr>
        <w:sz w:val="22"/>
      </w:rPr>
      <w:tblPr/>
      <w:tcPr>
        <w:shd w:val="clear" w:color="FFFFFF" w:fill="7F7F7F" w:themeFill="text1" w:themeFillTint="80"/>
      </w:tcPr>
    </w:tblStylePr>
  </w:style>
  <w:style w:type="table" w:styleId="1483">
    <w:name w:val="Bordered &amp; Lined - Accent 1"/>
    <w:basedOn w:val="1496"/>
    <w:uiPriority w:val="99"/>
    <w:pPr>
      <w:spacing w:after="0" w:line="240" w:lineRule="auto"/>
    </w:pPr>
    <w:tblPr>
      <w:tblStyleRowBandSize w:val="1"/>
      <w:tblStyleColBandSize w:val="1"/>
      <w:tblBorders>
        <w:top w:val="single" w:color="000000" w:themeColor="accent1" w:sz="4" w:space="0"/>
        <w:left w:val="single" w:color="000000" w:themeColor="accent1" w:sz="4" w:space="0"/>
        <w:bottom w:val="single" w:color="000000" w:themeColor="accent1" w:sz="4" w:space="0"/>
        <w:right w:val="single" w:color="000000" w:themeColor="accent1" w:sz="4" w:space="0"/>
        <w:insideH w:val="single" w:color="000000" w:themeColor="accent1" w:sz="4" w:space="0"/>
        <w:insideV w:val="single" w:color="000000" w:themeColor="accent1" w:sz="4" w:space="0"/>
      </w:tblBorders>
    </w:tblPr>
    <w:tblStylePr w:type="band1Horz">
      <w:rPr>
        <w:sz w:val="22"/>
      </w:rPr>
      <w:tblPr/>
    </w:tblStylePr>
    <w:tblStylePr w:type="band1Vert">
      <w:rPr>
        <w:sz w:val="22"/>
      </w:rPr>
      <w:tblPr/>
    </w:tblStylePr>
    <w:tblStylePr w:type="band2Horz">
      <w:rPr>
        <w:sz w:val="22"/>
      </w:rPr>
      <w:tblPr/>
      <w:tcPr>
        <w:shd w:val="clear" w:color="FFFFFF" w:fill="C3D3EC" w:themeFill="accent1" w:themeFillTint="50"/>
      </w:tcPr>
    </w:tblStylePr>
    <w:tblStylePr w:type="band2Vert">
      <w:rPr>
        <w:sz w:val="22"/>
      </w:rPr>
      <w:tblPr/>
      <w:tcPr>
        <w:shd w:val="clear" w:color="FFFFFF" w:fill="C3D3EC" w:themeFill="accent1" w:themeFillTint="50"/>
      </w:tcPr>
    </w:tblStylePr>
    <w:tblStylePr w:type="firstCol">
      <w:rPr>
        <w:sz w:val="22"/>
      </w:rPr>
      <w:tblPr/>
      <w:tcPr>
        <w:shd w:val="clear" w:color="FFFFFF" w:fill="537FC8" w:themeFill="accent1" w:themeFillTint="ea"/>
      </w:tcPr>
    </w:tblStylePr>
    <w:tblStylePr w:type="firstRow">
      <w:rPr>
        <w:sz w:val="22"/>
      </w:rPr>
      <w:tblPr/>
      <w:tcPr>
        <w:shd w:val="clear" w:color="FFFFFF" w:fill="537FC8" w:themeFill="accent1" w:themeFillTint="ea"/>
      </w:tcPr>
    </w:tblStylePr>
    <w:tblStylePr w:type="lastCol">
      <w:rPr>
        <w:sz w:val="22"/>
      </w:rPr>
      <w:tblPr/>
      <w:tcPr>
        <w:shd w:val="clear" w:color="FFFFFF" w:fill="537FC8" w:themeFill="accent1" w:themeFillTint="ea"/>
      </w:tcPr>
    </w:tblStylePr>
    <w:tblStylePr w:type="lastRow">
      <w:rPr>
        <w:sz w:val="22"/>
      </w:rPr>
      <w:tblPr/>
      <w:tcPr>
        <w:shd w:val="clear" w:color="FFFFFF" w:fill="537FC8" w:themeFill="accent1" w:themeFillTint="ea"/>
      </w:tcPr>
    </w:tblStylePr>
  </w:style>
  <w:style w:type="table" w:styleId="1484">
    <w:name w:val="Bordered &amp; Lined - Accent 2"/>
    <w:basedOn w:val="1496"/>
    <w:uiPriority w:val="99"/>
    <w:pPr>
      <w:spacing w:after="0" w:line="240" w:lineRule="auto"/>
    </w:pPr>
    <w:tblPr>
      <w:tblStyleRowBandSize w:val="1"/>
      <w:tblStyleColBandSize w:val="1"/>
      <w:tblBorders>
        <w:top w:val="single" w:color="000000" w:themeColor="accent2" w:sz="4" w:space="0"/>
        <w:left w:val="single" w:color="000000" w:themeColor="accent2" w:sz="4" w:space="0"/>
        <w:bottom w:val="single" w:color="000000" w:themeColor="accent2" w:sz="4" w:space="0"/>
        <w:right w:val="single" w:color="000000" w:themeColor="accent2" w:sz="4" w:space="0"/>
        <w:insideH w:val="single" w:color="000000" w:themeColor="accent2" w:sz="4" w:space="0"/>
        <w:insideV w:val="single" w:color="000000" w:themeColor="accent2" w:sz="4" w:space="0"/>
      </w:tblBorders>
    </w:tblPr>
    <w:tblStylePr w:type="band1Horz">
      <w:rPr>
        <w:sz w:val="22"/>
      </w:rPr>
      <w:tblPr/>
    </w:tblStylePr>
    <w:tblStylePr w:type="band1Vert">
      <w:rPr>
        <w:sz w:val="22"/>
      </w:rPr>
      <w:tblPr/>
    </w:tblStylePr>
    <w:tblStylePr w:type="band2Horz">
      <w:rPr>
        <w:sz w:val="22"/>
      </w:rPr>
      <w:tblPr/>
      <w:tcPr>
        <w:shd w:val="clear" w:color="FFFFFF" w:fill="FBE5D6" w:themeFill="accent2" w:themeFillTint="32"/>
      </w:tcPr>
    </w:tblStylePr>
    <w:tblStylePr w:type="band2Vert">
      <w:rPr>
        <w:sz w:val="22"/>
      </w:rPr>
      <w:tblPr/>
      <w:tcPr>
        <w:shd w:val="clear" w:color="FFFFFF" w:fill="FBE5D6" w:themeFill="accent2" w:themeFillTint="32"/>
      </w:tcPr>
    </w:tblStylePr>
    <w:tblStylePr w:type="firstCol">
      <w:rPr>
        <w:sz w:val="22"/>
      </w:rPr>
      <w:tblPr/>
      <w:tcPr>
        <w:shd w:val="clear" w:color="FFFFFF" w:fill="F4B185" w:themeFill="accent2" w:themeFillTint="97"/>
      </w:tcPr>
    </w:tblStylePr>
    <w:tblStylePr w:type="firstRow">
      <w:rPr>
        <w:sz w:val="22"/>
      </w:rPr>
      <w:tblPr/>
      <w:tcPr>
        <w:shd w:val="clear" w:color="FFFFFF" w:fill="F4B185" w:themeFill="accent2" w:themeFillTint="97"/>
      </w:tcPr>
    </w:tblStylePr>
    <w:tblStylePr w:type="lastCol">
      <w:rPr>
        <w:sz w:val="22"/>
      </w:rPr>
      <w:tblPr/>
      <w:tcPr>
        <w:shd w:val="clear" w:color="FFFFFF" w:fill="F4B185" w:themeFill="accent2" w:themeFillTint="97"/>
      </w:tcPr>
    </w:tblStylePr>
    <w:tblStylePr w:type="lastRow">
      <w:rPr>
        <w:sz w:val="22"/>
      </w:rPr>
      <w:tblPr/>
      <w:tcPr>
        <w:shd w:val="clear" w:color="FFFFFF" w:fill="F4B185" w:themeFill="accent2" w:themeFillTint="97"/>
      </w:tcPr>
    </w:tblStylePr>
  </w:style>
  <w:style w:type="table" w:styleId="1485">
    <w:name w:val="Bordered &amp; Lined - Accent 3"/>
    <w:basedOn w:val="1496"/>
    <w:uiPriority w:val="99"/>
    <w:pPr>
      <w:spacing w:after="0" w:line="240" w:lineRule="auto"/>
    </w:pPr>
    <w:tblPr>
      <w:tblStyleRowBandSize w:val="1"/>
      <w:tblStyleColBandSize w:val="1"/>
      <w:tblBorders>
        <w:top w:val="single" w:color="000000" w:themeColor="accent3" w:sz="4" w:space="0"/>
        <w:left w:val="single" w:color="000000" w:themeColor="accent3" w:sz="4" w:space="0"/>
        <w:bottom w:val="single" w:color="000000" w:themeColor="accent3" w:sz="4" w:space="0"/>
        <w:right w:val="single" w:color="000000" w:themeColor="accent3" w:sz="4" w:space="0"/>
        <w:insideH w:val="single" w:color="000000" w:themeColor="accent3" w:sz="4" w:space="0"/>
        <w:insideV w:val="single" w:color="000000" w:themeColor="accent3" w:sz="4" w:space="0"/>
      </w:tblBorders>
    </w:tblPr>
    <w:tblStylePr w:type="band1Horz">
      <w:rPr>
        <w:sz w:val="22"/>
      </w:rPr>
      <w:tblPr/>
    </w:tblStylePr>
    <w:tblStylePr w:type="band1Vert">
      <w:rPr>
        <w:sz w:val="22"/>
      </w:rPr>
      <w:tblPr/>
    </w:tblStylePr>
    <w:tblStylePr w:type="band2Horz">
      <w:rPr>
        <w:sz w:val="22"/>
      </w:rPr>
      <w:tblPr/>
      <w:tcPr>
        <w:shd w:val="clear" w:color="FFFFFF" w:fill="EDEDED" w:themeFill="accent3" w:themeFillTint="34"/>
      </w:tcPr>
    </w:tblStylePr>
    <w:tblStylePr w:type="band2Vert">
      <w:rPr>
        <w:sz w:val="22"/>
      </w:rPr>
      <w:tblPr/>
      <w:tcPr>
        <w:shd w:val="clear" w:color="FFFFFF" w:fill="EDEDED" w:themeFill="accent3" w:themeFillTint="34"/>
      </w:tcPr>
    </w:tblStylePr>
    <w:tblStylePr w:type="firstCol">
      <w:rPr>
        <w:sz w:val="22"/>
      </w:rPr>
      <w:tblPr/>
      <w:tcPr>
        <w:shd w:val="clear" w:color="FFFFFF" w:fill="A5A5A5" w:themeFill="accent3" w:themeFillTint="fe"/>
      </w:tcPr>
    </w:tblStylePr>
    <w:tblStylePr w:type="firstRow">
      <w:rPr>
        <w:sz w:val="22"/>
      </w:rPr>
      <w:tblPr/>
      <w:tcPr>
        <w:shd w:val="clear" w:color="FFFFFF" w:fill="A5A5A5" w:themeFill="accent3" w:themeFillTint="fe"/>
      </w:tcPr>
    </w:tblStylePr>
    <w:tblStylePr w:type="lastCol">
      <w:rPr>
        <w:sz w:val="22"/>
      </w:rPr>
      <w:tblPr/>
      <w:tcPr>
        <w:shd w:val="clear" w:color="FFFFFF" w:fill="A5A5A5" w:themeFill="accent3" w:themeFillTint="fe"/>
      </w:tcPr>
    </w:tblStylePr>
    <w:tblStylePr w:type="lastRow">
      <w:rPr>
        <w:sz w:val="22"/>
      </w:rPr>
      <w:tblPr/>
      <w:tcPr>
        <w:shd w:val="clear" w:color="FFFFFF" w:fill="A5A5A5" w:themeFill="accent3" w:themeFillTint="fe"/>
      </w:tcPr>
    </w:tblStylePr>
  </w:style>
  <w:style w:type="table" w:styleId="1486">
    <w:name w:val="Bordered &amp; Lined - Accent 4"/>
    <w:basedOn w:val="1496"/>
    <w:uiPriority w:val="99"/>
    <w:pPr>
      <w:spacing w:after="0" w:line="240" w:lineRule="auto"/>
    </w:pPr>
    <w:tblPr>
      <w:tblStyleRowBandSize w:val="1"/>
      <w:tblStyleColBandSize w:val="1"/>
      <w:tblBorders>
        <w:top w:val="single" w:color="000000" w:themeColor="accent4" w:sz="4" w:space="0"/>
        <w:left w:val="single" w:color="000000" w:themeColor="accent4" w:sz="4" w:space="0"/>
        <w:bottom w:val="single" w:color="000000" w:themeColor="accent4" w:sz="4" w:space="0"/>
        <w:right w:val="single" w:color="000000" w:themeColor="accent4" w:sz="4" w:space="0"/>
        <w:insideH w:val="single" w:color="000000" w:themeColor="accent4" w:sz="4" w:space="0"/>
        <w:insideV w:val="single" w:color="000000" w:themeColor="accent4" w:sz="4" w:space="0"/>
      </w:tblBorders>
    </w:tblPr>
    <w:tblStylePr w:type="band1Horz">
      <w:rPr>
        <w:sz w:val="22"/>
      </w:rPr>
      <w:tblPr/>
    </w:tblStylePr>
    <w:tblStylePr w:type="band1Vert">
      <w:rPr>
        <w:sz w:val="22"/>
      </w:rPr>
      <w:tblPr/>
    </w:tblStylePr>
    <w:tblStylePr w:type="band2Horz">
      <w:rPr>
        <w:sz w:val="22"/>
      </w:rPr>
      <w:tblPr/>
      <w:tcPr>
        <w:shd w:val="clear" w:color="FFFFFF" w:fill="FEF2CB" w:themeFill="accent4" w:themeFillTint="34"/>
      </w:tcPr>
    </w:tblStylePr>
    <w:tblStylePr w:type="band2Vert">
      <w:rPr>
        <w:sz w:val="22"/>
      </w:rPr>
      <w:tblPr/>
      <w:tcPr>
        <w:shd w:val="clear" w:color="FFFFFF" w:fill="FEF2CB" w:themeFill="accent4" w:themeFillTint="34"/>
      </w:tcPr>
    </w:tblStylePr>
    <w:tblStylePr w:type="firstCol">
      <w:rPr>
        <w:sz w:val="22"/>
      </w:rPr>
      <w:tblPr/>
      <w:tcPr>
        <w:shd w:val="clear" w:color="FFFFFF" w:fill="FFD864" w:themeFill="accent4" w:themeFillTint="9a"/>
      </w:tcPr>
    </w:tblStylePr>
    <w:tblStylePr w:type="firstRow">
      <w:rPr>
        <w:sz w:val="22"/>
      </w:rPr>
      <w:tblPr/>
      <w:tcPr>
        <w:shd w:val="clear" w:color="FFFFFF" w:fill="FFD864" w:themeFill="accent4" w:themeFillTint="9a"/>
      </w:tcPr>
    </w:tblStylePr>
    <w:tblStylePr w:type="lastCol">
      <w:rPr>
        <w:sz w:val="22"/>
      </w:rPr>
      <w:tblPr/>
      <w:tcPr>
        <w:shd w:val="clear" w:color="FFFFFF" w:fill="FFD864" w:themeFill="accent4" w:themeFillTint="9a"/>
      </w:tcPr>
    </w:tblStylePr>
    <w:tblStylePr w:type="lastRow">
      <w:rPr>
        <w:sz w:val="22"/>
      </w:rPr>
      <w:tblPr/>
      <w:tcPr>
        <w:shd w:val="clear" w:color="FFFFFF" w:fill="FFD864" w:themeFill="accent4" w:themeFillTint="9a"/>
      </w:tcPr>
    </w:tblStylePr>
  </w:style>
  <w:style w:type="table" w:styleId="1487">
    <w:name w:val="Bordered &amp; Lined - Accent 5"/>
    <w:basedOn w:val="1496"/>
    <w:uiPriority w:val="99"/>
    <w:pPr>
      <w:spacing w:after="0" w:line="240" w:lineRule="auto"/>
    </w:pPr>
    <w:tblPr>
      <w:tblStyleRowBandSize w:val="1"/>
      <w:tblStyleColBandSize w:val="1"/>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blStylePr w:type="band1Horz">
      <w:rPr>
        <w:sz w:val="22"/>
      </w:rPr>
      <w:tblPr/>
    </w:tblStylePr>
    <w:tblStylePr w:type="band1Vert">
      <w:rPr>
        <w:sz w:val="22"/>
      </w:rPr>
      <w:tblPr/>
    </w:tblStylePr>
    <w:tblStylePr w:type="band2Horz">
      <w:rPr>
        <w:sz w:val="22"/>
      </w:rPr>
      <w:tblPr/>
      <w:tcPr>
        <w:shd w:val="clear" w:color="FFFFFF" w:fill="DDEBF6" w:themeFill="accent5" w:themeFillTint="34"/>
      </w:tcPr>
    </w:tblStylePr>
    <w:tblStylePr w:type="band2Vert">
      <w:rPr>
        <w:sz w:val="22"/>
      </w:rPr>
      <w:tblPr/>
      <w:tcPr>
        <w:shd w:val="clear" w:color="FFFFFF" w:fill="DDEBF6" w:themeFill="accent5" w:themeFillTint="34"/>
      </w:tcPr>
    </w:tblStylePr>
    <w:tblStylePr w:type="firstCol">
      <w:rPr>
        <w:sz w:val="22"/>
      </w:rPr>
      <w:tblPr/>
      <w:tcPr>
        <w:shd w:val="clear" w:color="FFFFFF" w:fill="5B9BD5" w:themeFill="accent5"/>
      </w:tcPr>
    </w:tblStylePr>
    <w:tblStylePr w:type="firstRow">
      <w:rPr>
        <w:sz w:val="22"/>
      </w:rPr>
      <w:tblPr/>
      <w:tcPr>
        <w:shd w:val="clear" w:color="FFFFFF" w:fill="5B9BD5" w:themeFill="accent5"/>
      </w:tcPr>
    </w:tblStylePr>
    <w:tblStylePr w:type="lastCol">
      <w:rPr>
        <w:sz w:val="22"/>
      </w:rPr>
      <w:tblPr/>
      <w:tcPr>
        <w:shd w:val="clear" w:color="FFFFFF" w:fill="5B9BD5" w:themeFill="accent5"/>
      </w:tcPr>
    </w:tblStylePr>
    <w:tblStylePr w:type="lastRow">
      <w:rPr>
        <w:sz w:val="22"/>
      </w:rPr>
      <w:tblPr/>
      <w:tcPr>
        <w:shd w:val="clear" w:color="FFFFFF" w:fill="5B9BD5" w:themeFill="accent5"/>
      </w:tcPr>
    </w:tblStylePr>
  </w:style>
  <w:style w:type="table" w:styleId="1488">
    <w:name w:val="Bordered &amp; Lined - Accent 6"/>
    <w:basedOn w:val="1496"/>
    <w:uiPriority w:val="99"/>
    <w:pPr>
      <w:spacing w:after="0" w:line="240" w:lineRule="auto"/>
    </w:pPr>
    <w:tblPr>
      <w:tblStyleRowBandSize w:val="1"/>
      <w:tblStyleColBandSize w:val="1"/>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blStylePr w:type="band1Horz">
      <w:rPr>
        <w:sz w:val="22"/>
      </w:rPr>
      <w:tblPr/>
    </w:tblStylePr>
    <w:tblStylePr w:type="band1Vert">
      <w:rPr>
        <w:sz w:val="22"/>
      </w:rPr>
      <w:tblPr/>
    </w:tblStylePr>
    <w:tblStylePr w:type="band2Horz">
      <w:rPr>
        <w:sz w:val="22"/>
      </w:rPr>
      <w:tblPr/>
      <w:tcPr>
        <w:shd w:val="clear" w:color="FFFFFF" w:fill="E2EFD8" w:themeFill="accent6" w:themeFillTint="34"/>
      </w:tcPr>
    </w:tblStylePr>
    <w:tblStylePr w:type="band2Vert">
      <w:rPr>
        <w:sz w:val="22"/>
      </w:rPr>
      <w:tblPr/>
      <w:tcPr>
        <w:shd w:val="clear" w:color="FFFFFF" w:fill="E2EFD8" w:themeFill="accent6" w:themeFillTint="34"/>
      </w:tcPr>
    </w:tblStylePr>
    <w:tblStylePr w:type="firstCol">
      <w:rPr>
        <w:sz w:val="22"/>
      </w:rPr>
      <w:tblPr/>
      <w:tcPr>
        <w:shd w:val="clear" w:color="FFFFFF" w:fill="70AD47" w:themeFill="accent6"/>
      </w:tcPr>
    </w:tblStylePr>
    <w:tblStylePr w:type="firstRow">
      <w:rPr>
        <w:sz w:val="22"/>
      </w:rPr>
      <w:tblPr/>
      <w:tcPr>
        <w:shd w:val="clear" w:color="FFFFFF" w:fill="70AD47" w:themeFill="accent6"/>
      </w:tcPr>
    </w:tblStylePr>
    <w:tblStylePr w:type="lastCol">
      <w:rPr>
        <w:sz w:val="22"/>
      </w:rPr>
      <w:tblPr/>
      <w:tcPr>
        <w:shd w:val="clear" w:color="FFFFFF" w:fill="70AD47" w:themeFill="accent6"/>
      </w:tcPr>
    </w:tblStylePr>
    <w:tblStylePr w:type="lastRow">
      <w:rPr>
        <w:sz w:val="22"/>
      </w:rPr>
      <w:tblPr/>
      <w:tcPr>
        <w:shd w:val="clear" w:color="FFFFFF" w:fill="70AD47" w:themeFill="accent6"/>
      </w:tcPr>
    </w:tblStylePr>
  </w:style>
  <w:style w:type="table" w:styleId="1489">
    <w:name w:val="Bordered"/>
    <w:basedOn w:val="1496"/>
    <w:uiPriority w:val="99"/>
    <w:pPr>
      <w:spacing w:after="0" w:line="240" w:lineRule="auto"/>
    </w:pPr>
    <w:tblPr>
      <w:tblStyleRowBandSize w:val="1"/>
      <w:tblStyleColBandSize w:val="1"/>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blStylePr w:type="band1Horz">
      <w:rPr>
        <w:sz w:val="22"/>
      </w:rPr>
      <w:tblPr/>
      <w:tcPr>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firstCol">
      <w:rPr>
        <w:sz w:val="22"/>
      </w:rPr>
      <w:tblPr/>
    </w:tblStylePr>
    <w:tblStylePr w:type="firstRow">
      <w:rPr>
        <w:sz w:val="22"/>
      </w:rPr>
      <w:tblPr/>
      <w:tcPr>
        <w:tcBorders>
          <w:bottom w:val="single" w:color="000000" w:themeColor="text1" w:sz="12" w:space="0"/>
        </w:tcBorders>
      </w:tcPr>
    </w:tblStylePr>
    <w:tblStylePr w:type="lastCol">
      <w:rPr>
        <w:sz w:val="22"/>
      </w:rPr>
      <w:tblPr/>
      <w:tcPr>
        <w:tcBorders>
          <w:left w:val="single" w:color="000000" w:themeColor="text1" w:sz="12" w:space="0"/>
        </w:tcBorders>
      </w:tcPr>
    </w:tblStylePr>
    <w:tblStylePr w:type="lastRow">
      <w:rPr>
        <w:sz w:val="22"/>
      </w:rPr>
      <w:tblPr/>
      <w:tcPr>
        <w:tcBorders>
          <w:top w:val="single" w:color="000000" w:themeColor="text1" w:sz="12" w:space="0"/>
        </w:tcBorders>
      </w:tcPr>
    </w:tblStylePr>
  </w:style>
  <w:style w:type="table" w:styleId="1490">
    <w:name w:val="Bordered - Accent 1"/>
    <w:basedOn w:val="1496"/>
    <w:uiPriority w:val="99"/>
    <w:pPr>
      <w:spacing w:after="0" w:line="240" w:lineRule="auto"/>
    </w:pPr>
    <w:tblPr>
      <w:tblStyleRowBandSize w:val="1"/>
      <w:tblStyleColBandSize w:val="1"/>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blStylePr w:type="band1Horz">
      <w:rPr>
        <w:sz w:val="22"/>
      </w:rPr>
      <w:tblPr/>
      <w:tcPr>
        <w:tcBorders>
          <w:top w:val="single" w:color="000000" w:themeColor="accent1" w:sz="4" w:space="0"/>
          <w:left w:val="single" w:color="000000" w:themeColor="accent1" w:sz="4" w:space="0"/>
          <w:bottom w:val="single" w:color="000000" w:themeColor="accent1" w:sz="4" w:space="0"/>
          <w:right w:val="single" w:color="000000" w:themeColor="accent1" w:sz="4" w:space="0"/>
        </w:tcBorders>
      </w:tcPr>
    </w:tblStylePr>
    <w:tblStylePr w:type="firstCol">
      <w:rPr>
        <w:sz w:val="22"/>
      </w:rPr>
      <w:tblPr/>
    </w:tblStylePr>
    <w:tblStylePr w:type="firstRow">
      <w:rPr>
        <w:sz w:val="22"/>
      </w:rPr>
      <w:tblPr/>
      <w:tcPr>
        <w:tcBorders>
          <w:bottom w:val="single" w:color="000000" w:themeColor="accent1" w:sz="12" w:space="0"/>
        </w:tcBorders>
      </w:tcPr>
    </w:tblStylePr>
    <w:tblStylePr w:type="lastCol">
      <w:rPr>
        <w:sz w:val="22"/>
      </w:rPr>
      <w:tblPr/>
      <w:tcPr>
        <w:tcBorders>
          <w:left w:val="single" w:color="000000" w:themeColor="accent1" w:sz="12" w:space="0"/>
        </w:tcBorders>
      </w:tcPr>
    </w:tblStylePr>
    <w:tblStylePr w:type="lastRow">
      <w:rPr>
        <w:sz w:val="22"/>
      </w:rPr>
      <w:tblPr/>
      <w:tcPr>
        <w:tcBorders>
          <w:top w:val="single" w:color="000000" w:themeColor="accent1" w:sz="12" w:space="0"/>
        </w:tcBorders>
      </w:tcPr>
    </w:tblStylePr>
  </w:style>
  <w:style w:type="table" w:styleId="1491">
    <w:name w:val="Bordered - Accent 2"/>
    <w:basedOn w:val="1496"/>
    <w:uiPriority w:val="99"/>
    <w:pPr>
      <w:spacing w:after="0" w:line="240" w:lineRule="auto"/>
    </w:pPr>
    <w:tblPr>
      <w:tblStyleRowBandSize w:val="1"/>
      <w:tblStyleColBandSize w:val="1"/>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blStylePr w:type="band1Horz">
      <w:rPr>
        <w:sz w:val="22"/>
      </w:rPr>
      <w:tblPr/>
      <w:tcPr>
        <w:tcBorders>
          <w:top w:val="single" w:color="000000" w:themeColor="accent2" w:sz="4" w:space="0"/>
          <w:left w:val="single" w:color="000000" w:themeColor="accent2" w:sz="4" w:space="0"/>
          <w:bottom w:val="single" w:color="000000" w:themeColor="accent2" w:sz="4" w:space="0"/>
          <w:right w:val="single" w:color="000000" w:themeColor="accent2" w:sz="4" w:space="0"/>
        </w:tcBorders>
      </w:tcPr>
    </w:tblStylePr>
    <w:tblStylePr w:type="firstCol">
      <w:rPr>
        <w:sz w:val="22"/>
      </w:rPr>
      <w:tblPr/>
    </w:tblStylePr>
    <w:tblStylePr w:type="firstRow">
      <w:rPr>
        <w:sz w:val="22"/>
      </w:rPr>
      <w:tblPr/>
      <w:tcPr>
        <w:tcBorders>
          <w:bottom w:val="single" w:color="000000" w:themeColor="accent2" w:sz="12" w:space="0"/>
        </w:tcBorders>
      </w:tcPr>
    </w:tblStylePr>
    <w:tblStylePr w:type="lastCol">
      <w:rPr>
        <w:sz w:val="22"/>
      </w:rPr>
      <w:tblPr/>
      <w:tcPr>
        <w:tcBorders>
          <w:left w:val="single" w:color="000000" w:themeColor="accent2" w:sz="12" w:space="0"/>
        </w:tcBorders>
      </w:tcPr>
    </w:tblStylePr>
    <w:tblStylePr w:type="lastRow">
      <w:rPr>
        <w:sz w:val="22"/>
      </w:rPr>
      <w:tblPr/>
      <w:tcPr>
        <w:tcBorders>
          <w:top w:val="single" w:color="000000" w:themeColor="accent2" w:sz="12" w:space="0"/>
        </w:tcBorders>
      </w:tcPr>
    </w:tblStylePr>
  </w:style>
  <w:style w:type="table" w:styleId="1492">
    <w:name w:val="Bordered - Accent 3"/>
    <w:basedOn w:val="1496"/>
    <w:uiPriority w:val="99"/>
    <w:pPr>
      <w:spacing w:after="0" w:line="240" w:lineRule="auto"/>
    </w:pPr>
    <w:tblPr>
      <w:tblStyleRowBandSize w:val="1"/>
      <w:tblStyleColBandSize w:val="1"/>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blStylePr w:type="band1Horz">
      <w:rPr>
        <w:sz w:val="22"/>
      </w:rPr>
      <w:tblPr/>
      <w:tcPr>
        <w:tcBorders>
          <w:top w:val="single" w:color="000000" w:themeColor="accent3" w:sz="4" w:space="0"/>
          <w:left w:val="single" w:color="000000" w:themeColor="accent3" w:sz="4" w:space="0"/>
          <w:bottom w:val="single" w:color="000000" w:themeColor="accent3" w:sz="4" w:space="0"/>
          <w:right w:val="single" w:color="000000" w:themeColor="accent3" w:sz="4" w:space="0"/>
        </w:tcBorders>
      </w:tcPr>
    </w:tblStylePr>
    <w:tblStylePr w:type="firstCol">
      <w:rPr>
        <w:sz w:val="22"/>
      </w:rPr>
      <w:tblPr/>
    </w:tblStylePr>
    <w:tblStylePr w:type="firstRow">
      <w:rPr>
        <w:sz w:val="22"/>
      </w:rPr>
      <w:tblPr/>
      <w:tcPr>
        <w:tcBorders>
          <w:bottom w:val="single" w:color="000000" w:themeColor="accent3" w:sz="12" w:space="0"/>
        </w:tcBorders>
      </w:tcPr>
    </w:tblStylePr>
    <w:tblStylePr w:type="lastCol">
      <w:rPr>
        <w:sz w:val="22"/>
      </w:rPr>
      <w:tblPr/>
      <w:tcPr>
        <w:tcBorders>
          <w:left w:val="single" w:color="000000" w:themeColor="accent3" w:sz="12" w:space="0"/>
        </w:tcBorders>
      </w:tcPr>
    </w:tblStylePr>
    <w:tblStylePr w:type="lastRow">
      <w:rPr>
        <w:sz w:val="22"/>
      </w:rPr>
      <w:tblPr/>
      <w:tcPr>
        <w:tcBorders>
          <w:top w:val="single" w:color="000000" w:themeColor="accent3" w:sz="12" w:space="0"/>
        </w:tcBorders>
      </w:tcPr>
    </w:tblStylePr>
  </w:style>
  <w:style w:type="table" w:styleId="1493">
    <w:name w:val="Bordered - Accent 4"/>
    <w:basedOn w:val="1496"/>
    <w:uiPriority w:val="99"/>
    <w:pPr>
      <w:spacing w:after="0" w:line="240" w:lineRule="auto"/>
    </w:pPr>
    <w:tblPr>
      <w:tblStyleRowBandSize w:val="1"/>
      <w:tblStyleColBandSize w:val="1"/>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blStylePr w:type="band1Horz">
      <w:rPr>
        <w:sz w:val="22"/>
      </w:rPr>
      <w:tblPr/>
      <w:tcPr>
        <w:tcBorders>
          <w:top w:val="single" w:color="000000" w:themeColor="accent4" w:sz="4" w:space="0"/>
          <w:left w:val="single" w:color="000000" w:themeColor="accent4" w:sz="4" w:space="0"/>
          <w:bottom w:val="single" w:color="000000" w:themeColor="accent4" w:sz="4" w:space="0"/>
          <w:right w:val="single" w:color="000000" w:themeColor="accent4" w:sz="4" w:space="0"/>
        </w:tcBorders>
      </w:tcPr>
    </w:tblStylePr>
    <w:tblStylePr w:type="firstCol">
      <w:rPr>
        <w:sz w:val="22"/>
      </w:rPr>
      <w:tblPr/>
    </w:tblStylePr>
    <w:tblStylePr w:type="firstRow">
      <w:rPr>
        <w:sz w:val="22"/>
      </w:rPr>
      <w:tblPr/>
      <w:tcPr>
        <w:tcBorders>
          <w:bottom w:val="single" w:color="000000" w:themeColor="accent4" w:sz="12" w:space="0"/>
        </w:tcBorders>
      </w:tcPr>
    </w:tblStylePr>
    <w:tblStylePr w:type="lastCol">
      <w:rPr>
        <w:sz w:val="22"/>
      </w:rPr>
      <w:tblPr/>
      <w:tcPr>
        <w:tcBorders>
          <w:left w:val="single" w:color="000000" w:themeColor="accent4" w:sz="12" w:space="0"/>
        </w:tcBorders>
      </w:tcPr>
    </w:tblStylePr>
    <w:tblStylePr w:type="lastRow">
      <w:rPr>
        <w:sz w:val="22"/>
      </w:rPr>
      <w:tblPr/>
      <w:tcPr>
        <w:tcBorders>
          <w:top w:val="single" w:color="000000" w:themeColor="accent4" w:sz="12" w:space="0"/>
        </w:tcBorders>
      </w:tcPr>
    </w:tblStylePr>
  </w:style>
  <w:style w:type="table" w:styleId="1494">
    <w:name w:val="Bordered - Accent 5"/>
    <w:basedOn w:val="1496"/>
    <w:uiPriority w:val="99"/>
    <w:pPr>
      <w:spacing w:after="0" w:line="240" w:lineRule="auto"/>
    </w:pPr>
    <w:tblPr>
      <w:tblStyleRowBandSize w:val="1"/>
      <w:tblStyleColBandSize w:val="1"/>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blStylePr w:type="band1Horz">
      <w:rPr>
        <w:sz w:val="22"/>
      </w:rPr>
      <w:tblPr/>
      <w:tcPr>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firstCol">
      <w:rPr>
        <w:sz w:val="22"/>
      </w:rPr>
      <w:tblPr/>
    </w:tblStylePr>
    <w:tblStylePr w:type="firstRow">
      <w:rPr>
        <w:sz w:val="22"/>
      </w:rPr>
      <w:tblPr/>
      <w:tcPr>
        <w:tcBorders>
          <w:bottom w:val="single" w:color="000000" w:themeColor="accent5" w:sz="12" w:space="0"/>
        </w:tcBorders>
      </w:tcPr>
    </w:tblStylePr>
    <w:tblStylePr w:type="lastCol">
      <w:rPr>
        <w:sz w:val="22"/>
      </w:rPr>
      <w:tblPr/>
      <w:tcPr>
        <w:tcBorders>
          <w:left w:val="single" w:color="000000" w:themeColor="accent5" w:sz="12" w:space="0"/>
        </w:tcBorders>
      </w:tcPr>
    </w:tblStylePr>
    <w:tblStylePr w:type="lastRow">
      <w:rPr>
        <w:sz w:val="22"/>
      </w:rPr>
      <w:tblPr/>
      <w:tcPr>
        <w:tcBorders>
          <w:top w:val="single" w:color="000000" w:themeColor="accent5" w:sz="12" w:space="0"/>
        </w:tcBorders>
      </w:tcPr>
    </w:tblStylePr>
  </w:style>
  <w:style w:type="table" w:styleId="1495">
    <w:name w:val="Bordered - Accent 6"/>
    <w:basedOn w:val="1496"/>
    <w:uiPriority w:val="99"/>
    <w:pPr>
      <w:spacing w:after="0" w:line="240" w:lineRule="auto"/>
    </w:pPr>
    <w:tblPr>
      <w:tblStyleRowBandSize w:val="1"/>
      <w:tblStyleColBandSize w:val="1"/>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blStylePr w:type="band1Horz">
      <w:rPr>
        <w:sz w:val="22"/>
      </w:rPr>
      <w:tblPr/>
      <w:tcPr>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firstCol">
      <w:rPr>
        <w:sz w:val="22"/>
      </w:rPr>
      <w:tblPr/>
    </w:tblStylePr>
    <w:tblStylePr w:type="firstRow">
      <w:rPr>
        <w:sz w:val="22"/>
      </w:rPr>
      <w:tblPr/>
      <w:tcPr>
        <w:tcBorders>
          <w:bottom w:val="single" w:color="000000" w:themeColor="accent6" w:sz="12" w:space="0"/>
        </w:tcBorders>
      </w:tcPr>
    </w:tblStylePr>
    <w:tblStylePr w:type="lastCol">
      <w:rPr>
        <w:sz w:val="22"/>
      </w:rPr>
      <w:tblPr/>
      <w:tcPr>
        <w:tcBorders>
          <w:left w:val="single" w:color="000000" w:themeColor="accent6" w:sz="12" w:space="0"/>
        </w:tcBorders>
      </w:tcPr>
    </w:tblStylePr>
    <w:tblStylePr w:type="lastRow">
      <w:rPr>
        <w:sz w:val="22"/>
      </w:rPr>
      <w:tblPr/>
      <w:tcPr>
        <w:tcBorders>
          <w:top w:val="single" w:color="000000" w:themeColor="accent6" w:sz="12" w:space="0"/>
        </w:tcBorders>
      </w:tcPr>
    </w:tblStylePr>
  </w:style>
  <w:style w:type="table" w:default="1" w:styleId="1496">
    <w:name w:val="Normal Table"/>
    <w:uiPriority w:val="99"/>
    <w:semiHidden/>
    <w:unhideWhenUsed/>
    <w:tblPr>
      <w:tblCellMar>
        <w:left w:w="108" w:type="dxa"/>
        <w:top w:w="0" w:type="dxa"/>
        <w:right w:w="108" w:type="dxa"/>
        <w:bottom w:w="0" w:type="dxa"/>
      </w:tblCellMar>
    </w:tblPr>
  </w:style>
  <w:style w:type="table" w:customStyle="1" w:styleId="1497">
    <w:name w:val="[РГ] Таблица"/>
    <w:basedOn w:val="1496"/>
    <w:uiPriority w:val="99"/>
    <w:pPr>
      <w:spacing w:before="60" w:after="60"/>
    </w:pPr>
    <w:tblPr>
      <w:tblBorders>
        <w:top w:val="single" w:color="7F7F7F" w:themeColor="text1" w:themeTint="80" w:sz="4" w:space="0"/>
        <w:left w:val="single" w:color="7F7F7F" w:themeColor="text1" w:themeTint="80" w:sz="4" w:space="0"/>
        <w:bottom w:val="single" w:color="7F7F7F" w:themeColor="text1" w:themeTint="80" w:sz="4" w:space="0"/>
        <w:right w:val="single" w:color="7F7F7F" w:themeColor="text1" w:themeTint="80" w:sz="4" w:space="0"/>
        <w:insideH w:val="single" w:color="7F7F7F" w:themeColor="text1" w:themeTint="80" w:sz="4" w:space="0"/>
        <w:insideV w:val="single" w:color="7F7F7F" w:themeColor="text1" w:themeTint="80" w:sz="4" w:space="0"/>
      </w:tblBorders>
      <w:tblCellMar>
        <w:left w:w="57" w:type="dxa"/>
        <w:right w:w="57" w:type="dxa"/>
      </w:tblCellMar>
    </w:tblPr>
    <w:tblStylePr w:type="firstRow">
      <w:pPr>
        <w:jc w:val="center"/>
      </w:pPr>
      <w:rPr>
        <w:b/>
      </w:rPr>
      <w:tblPr/>
    </w:tblStylePr>
  </w:style>
  <w:style w:type="table" w:styleId="1498">
    <w:name w:val="Table Grid"/>
    <w:basedOn w:val="1496"/>
    <w:uiPriority w:val="39"/>
    <w:pPr>
      <w:spacing w:before="0"/>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customStyle="1" w:styleId="1499">
    <w:name w:val="Сетка таблицы1"/>
    <w:uiPriority w:val="59"/>
    <w:pPr>
      <w:ind w:right="0"/>
      <w:spacing w:before="0" w:after="0" w:line="240" w:lineRule="auto"/>
      <w:jc w:val="left"/>
    </w:pPr>
    <w:rPr>
      <w:lang w:val="ru-RU" w:eastAsia="ru-RU" w:bidi="ar-SA"/>
      <w:b w:val="0"/>
      <w:bCs w:val="0"/>
      <w:i w:val="0"/>
      <w:caps w:val="0"/>
      <w:smallCaps w:val="0"/>
      <w:spacing w:val="0"/>
      <w:sz w:val="20"/>
      <w:szCs w:val="20"/>
    </w:rPr>
    <w:tblPr>
      <w:tblStyleRowBandSize w:val="1"/>
      <w:tblStyleColBandSize w:val="1"/>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108" w:type="dxa"/>
        <w:top w:w="0" w:type="dxa"/>
        <w:right w:w="108" w:type="dxa"/>
        <w:bottom w:w="0" w:type="dxa"/>
      </w:tblCellMar>
    </w:tblPr>
    <w:tcPr>
      <w:vAlign w:val="top"/>
    </w:tc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oter" Target="footer1.xml"/><Relationship Id="rId3" Type="http://schemas.openxmlformats.org/officeDocument/2006/relationships/hyperlink" Target="https://rushydro.roseltorg.ru/" TargetMode="External"/><Relationship Id="rId4" Type="http://schemas.openxmlformats.org/officeDocument/2006/relationships/hyperlink" Target="mailto:dgk@dgk.ru" TargetMode="External"/><Relationship Id="rId5" Type="http://schemas.openxmlformats.org/officeDocument/2006/relationships/header" Target="header1.xml"/><Relationship Id="rId6" Type="http://schemas.openxmlformats.org/officeDocument/2006/relationships/footer" Target="footer2.xml"/><Relationship Id="rId7" Type="http://schemas.openxmlformats.org/officeDocument/2006/relationships/footer" Target="footer3.xml"/><Relationship Id="rId8" Type="http://schemas.openxmlformats.org/officeDocument/2006/relationships/header" Target="header2.xml"/><Relationship Id="rId9" Type="http://schemas.openxmlformats.org/officeDocument/2006/relationships/header" Target="header3.xml"/><Relationship Id="rId10" Type="http://schemas.openxmlformats.org/officeDocument/2006/relationships/footer" Target="footer4.xml"/><Relationship Id="rId11" Type="http://schemas.openxmlformats.org/officeDocument/2006/relationships/footer" Target="footer5.xml"/><Relationship Id="rId12" Type="http://schemas.openxmlformats.org/officeDocument/2006/relationships/package" Target="embeddings/oleObject1.docx"/><Relationship Id="rId13" Type="http://schemas.openxmlformats.org/officeDocument/2006/relationships/image" Target="media/image1.wmf"/><Relationship Id="rId14" Type="http://schemas.openxmlformats.org/officeDocument/2006/relationships/header" Target="header4.xml"/><Relationship Id="rId15" Type="http://schemas.openxmlformats.org/officeDocument/2006/relationships/header" Target="header5.xml"/><Relationship Id="rId16" Type="http://schemas.openxmlformats.org/officeDocument/2006/relationships/footer" Target="footer6.xml"/><Relationship Id="rId17" Type="http://schemas.openxmlformats.org/officeDocument/2006/relationships/footer" Target="footer7.xml"/><Relationship Id="rId18" Type="http://schemas.openxmlformats.org/officeDocument/2006/relationships/header" Target="header6.xml"/><Relationship Id="rId19" Type="http://schemas.openxmlformats.org/officeDocument/2006/relationships/header" Target="header7.xml"/><Relationship Id="rId20" Type="http://schemas.openxmlformats.org/officeDocument/2006/relationships/footer" Target="footer8.xml"/><Relationship Id="rId21" Type="http://schemas.openxmlformats.org/officeDocument/2006/relationships/footer" Target="footer9.xml"/><Relationship Id="rId22" Type="http://schemas.openxmlformats.org/officeDocument/2006/relationships/package" Target="embeddings/oleObject2.docx"/><Relationship Id="rId23" Type="http://schemas.openxmlformats.org/officeDocument/2006/relationships/image" Target="media/image2.wmf"/><Relationship Id="rId24" Type="http://schemas.openxmlformats.org/officeDocument/2006/relationships/package" Target="embeddings/oleObject3.docx"/><Relationship Id="rId25" Type="http://schemas.openxmlformats.org/officeDocument/2006/relationships/image" Target="media/image3.wmf"/><Relationship Id="rId26" Type="http://schemas.openxmlformats.org/officeDocument/2006/relationships/header" Target="header8.xml"/><Relationship Id="rId27" Type="http://schemas.openxmlformats.org/officeDocument/2006/relationships/header" Target="header9.xml"/><Relationship Id="rId28" Type="http://schemas.openxmlformats.org/officeDocument/2006/relationships/footer" Target="footer10.xml"/><Relationship Id="rId29" Type="http://schemas.openxmlformats.org/officeDocument/2006/relationships/footer" Target="footer11.xml"/><Relationship Id="rId30" Type="http://schemas.openxmlformats.org/officeDocument/2006/relationships/header" Target="header10.xml"/><Relationship Id="rId31" Type="http://schemas.openxmlformats.org/officeDocument/2006/relationships/header" Target="header11.xml"/><Relationship Id="rId32" Type="http://schemas.openxmlformats.org/officeDocument/2006/relationships/footer" Target="footer12.xml"/><Relationship Id="rId33" Type="http://schemas.openxmlformats.org/officeDocument/2006/relationships/footer" Target="footer13.xml"/><Relationship Id="rId34" Type="http://schemas.openxmlformats.org/officeDocument/2006/relationships/hyperlink" Target="https://bo.nalog.ru/" TargetMode="External"/><Relationship Id="rId35" Type="http://schemas.openxmlformats.org/officeDocument/2006/relationships/header" Target="header12.xml"/><Relationship Id="rId36" Type="http://schemas.openxmlformats.org/officeDocument/2006/relationships/header" Target="header13.xml"/><Relationship Id="rId37" Type="http://schemas.openxmlformats.org/officeDocument/2006/relationships/footer" Target="footer14.xml"/><Relationship Id="rId38" Type="http://schemas.openxmlformats.org/officeDocument/2006/relationships/footer" Target="footer15.xml"/><Relationship Id="rId39" Type="http://schemas.openxmlformats.org/officeDocument/2006/relationships/package" Target="embeddings/oleObject4.xlsx"/><Relationship Id="rId40" Type="http://schemas.openxmlformats.org/officeDocument/2006/relationships/image" Target="media/image4.wmf"/><Relationship Id="rId41" Type="http://schemas.openxmlformats.org/officeDocument/2006/relationships/package" Target="embeddings/oleObject5.docx"/><Relationship Id="rId42" Type="http://schemas.openxmlformats.org/officeDocument/2006/relationships/image" Target="media/image5.wmf"/><Relationship Id="rId43" Type="http://schemas.openxmlformats.org/officeDocument/2006/relationships/header" Target="header14.xml"/><Relationship Id="rId44" Type="http://schemas.openxmlformats.org/officeDocument/2006/relationships/header" Target="header15.xml"/><Relationship Id="rId45" Type="http://schemas.openxmlformats.org/officeDocument/2006/relationships/footer" Target="footer16.xml"/><Relationship Id="rId46" Type="http://schemas.openxmlformats.org/officeDocument/2006/relationships/footer" Target="footer17.xml"/><Relationship Id="rId47" Type="http://schemas.openxmlformats.org/officeDocument/2006/relationships/footnotes" Target="footnotes.xml"/><Relationship Id="rId48" Type="http://schemas.openxmlformats.org/officeDocument/2006/relationships/numbering" Target="numbering.xml"/><Relationship Id="rId49" Type="http://schemas.openxmlformats.org/officeDocument/2006/relationships/fontTable" Target="fontTable.xml"/><Relationship Id="rId50" Type="http://schemas.openxmlformats.org/officeDocument/2006/relationships/settings" Target="settings.xml"/><Relationship Id="rId51" Type="http://schemas.openxmlformats.org/officeDocument/2006/relationships/theme" Target="theme/theme1.xml"/><Relationship Id="rId52" Type="http://schemas.openxmlformats.org/officeDocument/2006/relationships/customXml" Target="../customXml/item1.xml"/>
</Relationships>
</file>

<file path=word/theme/theme1.xml><?xml version="1.0" encoding="utf-8"?>
<a:theme xmlns:a="http://schemas.openxmlformats.org/drawingml/2006/main" xmlns:r="http://schemas.openxmlformats.org/officeDocument/2006/relationships" xmlns:p="http://schemas.openxmlformats.org/presentationml/2006/main" name="Тема Office">
  <a:themeElements>
    <a:clrScheme name="Стандартная">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Arial"/>
        <a:cs typeface="Arial"/>
      </a:majorFont>
      <a:minorFont>
        <a:latin typeface="Calibri"/>
        <a:ea typeface="Arial"/>
        <a:cs typeface="Arial"/>
      </a:minorFont>
    </a:fontScheme>
    <a:fmtScheme na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gradFill>
      </a:bgFillStyleLst>
    </a:fmtScheme>
  </a:themeElements>
  <a:objectDefaul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FC79D7F-DA38-4440-9D23-59CEA0302F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47</TotalTime>
  <Application>AlterOffice/2026.2.0.0$Linux_X86_64 LibreOffice_project/bc4ef1adf80b36c7a6365f8ed6cbf29021361edd</Application>
  <AppVersion>15.0000</AppVersion>
  <Pages>82</Pages>
  <Words>21572</Words>
  <Characters>150504</Characters>
  <CharactersWithSpaces>170286</CharactersWithSpaces>
  <Paragraphs>1214</Paragraphs>
  <Company>ПАО РусГидро; ИнКонТех</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2025-08-28T11:09:00Z</dcterms:created>
  <dc:creator>Владимир Щербаков</dc:creator>
  <dc:description/>
  <cp:keywords>Типовая форма</cp:keywords>
  <dc:language>ru-RU</dc:language>
  <cp:lastModifiedBy>lutfullina_ee@DGK.RU</cp:lastModifiedBy>
  <dcterms:modified xsi:type="dcterms:W3CDTF">2026-10-16T10:22:51Z</dcterms:modified>
  <cp:revision>67</cp:revision>
  <dc:subject>Альбом типовых форм</dc:subject>
  <dc:title>Документация о закупке</dc:title>
</cp:coreProperties>
</file>

<file path=docProps/custom.xml><?xml version="1.0" encoding="utf-8"?>
<Properties xmlns="http://schemas.openxmlformats.org/officeDocument/2006/custom-properties" xmlns:vt="http://schemas.openxmlformats.org/officeDocument/2006/docPropsVTypes"/>
</file>