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tabs>
          <w:tab w:val="left" w:pos="1755" w:leader="none"/>
        </w:tabs>
      </w:pPr>
      <w:r/>
      <w:r/>
    </w:p>
    <w:p>
      <w:pPr>
        <w:pStyle w:val="8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рекомендуемых мероприятий по улучшению условий труда</w:t>
      </w:r>
      <w:r>
        <w:rPr>
          <w:sz w:val="28"/>
          <w:szCs w:val="28"/>
        </w:rPr>
        <w:t xml:space="preserve"> СП «Комсомольские тепловые сети»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55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2935"/>
        <w:gridCol w:w="1674"/>
      </w:tblGrid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bookmarkStart w:id="0" w:name="undefined"/>
            <w:r/>
            <w:bookmarkEnd w:id="0"/>
            <w:r>
              <w:t xml:space="preserve">Наименование структурного подразделения, рабочего места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Наименование мероприятия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Цель мероприятия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Срок</w:t>
            </w:r>
            <w:r>
              <w:rPr>
                <w:lang w:val="en-US"/>
              </w:rPr>
              <w:br/>
            </w:r>
            <w:r>
              <w:t xml:space="preserve">выполнения</w:t>
            </w:r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Структурные подразделения, привлекаемые для выполнения</w:t>
            </w:r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Отметка о выполнении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1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2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3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4</w:t>
            </w:r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5</w:t>
            </w:r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6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Аварийно-ремонтная служба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vMerge w:val="restart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001. Маляр 4 разряда</w:t>
            </w:r>
            <w:r/>
          </w:p>
          <w:p>
            <w:pPr>
              <w:pStyle w:val="839"/>
              <w:jc w:val="center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Использование эффективных средств индивидуальной защиты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вредного воздействия химического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Постоянно</w:t>
            </w:r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Аварийно-ремонтная служба</w:t>
            </w:r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 на постоянной основе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тяжести трудового процесса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Постоянно</w:t>
            </w:r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Аварийно-ремонтная служба</w:t>
            </w:r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 на постоянной основе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vMerge w:val="restart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015. Маляр 5 разряда</w:t>
            </w:r>
            <w:r/>
          </w:p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Использование эффективных средств индивидуальной защиты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вредного воздействия химического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Постоянно</w:t>
            </w:r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Аварийно-ремонтная служба</w:t>
            </w:r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 на постоянной основе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тяжести трудового процесса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Постоянно</w:t>
            </w:r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Аварийно-ремонтная служба</w:t>
            </w:r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 на постоянной основе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Отдел хозяйственного обеспечения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Группа сервисного ремонта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002. Маляр 4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Использование эффективных средств индивидуальной защиты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вредного воздействия химического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Постоянно</w:t>
            </w:r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Аварийно-ремонтная служба</w:t>
            </w:r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 на постоянной основе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тяжести трудового процесса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Постоянно</w:t>
            </w:r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Аварийно-ремонтная служба</w:t>
            </w:r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 на постоянной основе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Северный эксплуатационный район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Группа по обслуживанию бесхозных тепловых сетей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003. Слесарь по обслуживанию тепловых сетей 4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Постоянно</w:t>
            </w:r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Северный эксплуатационный район</w:t>
            </w:r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 на постоянной основе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Служба механизации и транспорта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004. Водитель автомобиля 5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005. Машинист экскаватора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006. Машинист экскаватора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007. Водитель автомобиля 5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Группа правового сопровождения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008. Главный специалист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009. Ведущий юрисконсульт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010. Ведущий юрисконсульт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011. Юрисконсульт 1 категории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Служба обеспечения производства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012. Специалист 1 категории СОП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подготовки проведения ремонтов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i/>
              </w:rPr>
            </w:pPr>
            <w:r>
              <w:rPr>
                <w:i/>
              </w:rPr>
              <w:t xml:space="preserve">Группа капитального ремонта и реконструкции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013. Ведущий экономист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014. Главный специалист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9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67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</w:tbl>
    <w:p>
      <w:pPr>
        <w:pStyle w:val="826"/>
        <w:jc w:val="center"/>
      </w:pPr>
      <w:r/>
      <w:r/>
    </w:p>
    <w:p>
      <w:pPr>
        <w:pStyle w:val="826"/>
        <w:jc w:val="center"/>
      </w:pPr>
      <w:r/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sectPr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8"/>
    <w:link w:val="827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6"/>
    <w:next w:val="826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28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6"/>
    <w:next w:val="826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8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6"/>
    <w:next w:val="826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28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6"/>
    <w:next w:val="826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28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6"/>
    <w:next w:val="826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8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6"/>
    <w:next w:val="826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6"/>
    <w:next w:val="826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8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6"/>
    <w:next w:val="826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8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6"/>
    <w:uiPriority w:val="34"/>
    <w:qFormat/>
    <w:pPr>
      <w:contextualSpacing/>
      <w:ind w:left="720"/>
    </w:pPr>
  </w:style>
  <w:style w:type="paragraph" w:styleId="672">
    <w:name w:val="Title"/>
    <w:basedOn w:val="826"/>
    <w:next w:val="826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8"/>
    <w:link w:val="672"/>
    <w:uiPriority w:val="10"/>
    <w:rPr>
      <w:sz w:val="48"/>
      <w:szCs w:val="48"/>
    </w:rPr>
  </w:style>
  <w:style w:type="paragraph" w:styleId="674">
    <w:name w:val="Subtitle"/>
    <w:basedOn w:val="826"/>
    <w:next w:val="826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8"/>
    <w:link w:val="674"/>
    <w:uiPriority w:val="11"/>
    <w:rPr>
      <w:sz w:val="24"/>
      <w:szCs w:val="24"/>
    </w:rPr>
  </w:style>
  <w:style w:type="paragraph" w:styleId="676">
    <w:name w:val="Quote"/>
    <w:basedOn w:val="826"/>
    <w:next w:val="826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6"/>
    <w:next w:val="826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8"/>
    <w:link w:val="840"/>
    <w:uiPriority w:val="99"/>
  </w:style>
  <w:style w:type="character" w:styleId="681">
    <w:name w:val="Footer Char"/>
    <w:basedOn w:val="828"/>
    <w:link w:val="842"/>
    <w:uiPriority w:val="99"/>
  </w:style>
  <w:style w:type="paragraph" w:styleId="682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42"/>
    <w:uiPriority w:val="99"/>
  </w:style>
  <w:style w:type="table" w:styleId="684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8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8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rPr>
      <w:sz w:val="24"/>
    </w:rPr>
  </w:style>
  <w:style w:type="paragraph" w:styleId="827">
    <w:name w:val="Heading 1"/>
    <w:basedOn w:val="826"/>
    <w:next w:val="82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table" w:styleId="831">
    <w:name w:val="Table Grid"/>
    <w:basedOn w:val="82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2">
    <w:name w:val="Hyperlink"/>
    <w:basedOn w:val="828"/>
    <w:rPr>
      <w:color w:val="0000ff"/>
      <w:u w:val="single"/>
    </w:rPr>
  </w:style>
  <w:style w:type="paragraph" w:styleId="833" w:customStyle="1">
    <w:name w:val="Готовый"/>
    <w:basedOn w:val="826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83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35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836" w:customStyle="1">
    <w:name w:val="Раздел"/>
    <w:basedOn w:val="826"/>
    <w:link w:val="837"/>
    <w:pPr>
      <w:spacing w:before="60"/>
    </w:pPr>
    <w:rPr>
      <w:b/>
      <w:color w:val="000000"/>
      <w:szCs w:val="24"/>
    </w:rPr>
  </w:style>
  <w:style w:type="character" w:styleId="837" w:customStyle="1">
    <w:name w:val="Раздел Знак"/>
    <w:basedOn w:val="828"/>
    <w:link w:val="836"/>
    <w:rPr>
      <w:b/>
      <w:color w:val="000000"/>
      <w:sz w:val="24"/>
      <w:szCs w:val="24"/>
      <w:lang w:val="ru-RU" w:eastAsia="ru-RU" w:bidi="ar-SA"/>
    </w:rPr>
  </w:style>
  <w:style w:type="character" w:styleId="838" w:customStyle="1">
    <w:name w:val="Поле"/>
    <w:basedOn w:val="828"/>
    <w:rPr>
      <w:rFonts w:ascii="Times New Roman" w:hAnsi="Times New Roman"/>
      <w:sz w:val="24"/>
      <w:u w:val="single"/>
    </w:rPr>
  </w:style>
  <w:style w:type="paragraph" w:styleId="839" w:customStyle="1">
    <w:name w:val="Табличный"/>
    <w:basedOn w:val="826"/>
    <w:pPr>
      <w:jc w:val="center"/>
    </w:pPr>
    <w:rPr>
      <w:sz w:val="20"/>
    </w:rPr>
  </w:style>
  <w:style w:type="paragraph" w:styleId="840">
    <w:name w:val="Header"/>
    <w:basedOn w:val="826"/>
    <w:link w:val="841"/>
    <w:pPr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28"/>
    <w:link w:val="840"/>
    <w:rPr>
      <w:sz w:val="24"/>
    </w:rPr>
  </w:style>
  <w:style w:type="paragraph" w:styleId="842">
    <w:name w:val="Footer"/>
    <w:basedOn w:val="826"/>
    <w:link w:val="843"/>
    <w:pPr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28"/>
    <w:link w:val="842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Анастасия Сергеевна Крутова</dc:creator>
  <cp:keywords/>
  <dc:description/>
  <cp:revision>4</cp:revision>
  <dcterms:created xsi:type="dcterms:W3CDTF">2024-10-14T06:00:00Z</dcterms:created>
  <dcterms:modified xsi:type="dcterms:W3CDTF">2024-10-28T03:01:16Z</dcterms:modified>
</cp:coreProperties>
</file>