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  <w:ind w:left="34" w:hanging="11"/>
        <w:jc w:val="center"/>
        <w:spacing w:before="0" w:beforeAutospacing="0" w:after="0" w:afterAutospacing="0" w:line="276" w:lineRule="auto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Обоснование </w:t>
        <w:br/>
        <w:t xml:space="preserve">начальной (максимальной) цены договора </w:t>
        <w:br/>
        <w:t xml:space="preserve">/ цены единицы товара, работы, услуги</w:t>
      </w:r>
      <w:r>
        <w:rPr>
          <w:rFonts w:ascii="Times New Roman" w:hAnsi="Times New Roman" w:cs="Times New Roman"/>
          <w:b/>
          <w:szCs w:val="28"/>
        </w:rPr>
      </w:r>
    </w:p>
    <w:p>
      <w:pPr>
        <w:pStyle w:val="622"/>
        <w:spacing w:before="0" w:beforeAutospacing="0" w:after="0" w:afterAutospacing="0" w:line="276" w:lineRule="auto"/>
        <w:rPr>
          <w:rFonts w:ascii="Times New Roman" w:hAnsi="Times New Roman" w:cs="Times New Roman"/>
          <w:i/>
          <w:highlight w:val="yellow"/>
        </w:rPr>
      </w:pPr>
      <w:r>
        <w:rPr>
          <w:rFonts w:ascii="Times New Roman" w:hAnsi="Times New Roman" w:cs="Times New Roman"/>
          <w:i/>
          <w:highlight w:val="yellow"/>
        </w:rPr>
      </w:r>
      <w:r>
        <w:rPr>
          <w:rFonts w:ascii="Times New Roman" w:hAnsi="Times New Roman" w:cs="Times New Roman"/>
          <w:i/>
          <w:highlight w:val="yellow"/>
        </w:rPr>
      </w:r>
    </w:p>
    <w:p>
      <w:pPr>
        <w:pStyle w:val="683"/>
        <w:numPr>
          <w:ilvl w:val="0"/>
          <w:numId w:val="1"/>
        </w:numPr>
        <w:contextualSpacing/>
        <w:ind w:left="714" w:hanging="357"/>
        <w:spacing w:before="0" w:beforeAutospacing="0" w:after="0" w:afterAutospacing="0" w:line="276" w:lineRule="auto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Общая информация</w:t>
      </w:r>
      <w:r>
        <w:rPr>
          <w:rFonts w:ascii="Times New Roman" w:hAnsi="Times New Roman" w:cs="Times New Roman"/>
          <w:b/>
          <w:sz w:val="26"/>
        </w:rPr>
      </w:r>
    </w:p>
    <w:tbl>
      <w:tblPr>
        <w:tblStyle w:val="686"/>
        <w:tblW w:w="9210" w:type="dxa"/>
        <w:tblInd w:w="7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38"/>
        <w:gridCol w:w="3315"/>
        <w:gridCol w:w="5257"/>
      </w:tblGrid>
      <w:tr>
        <w:tblPrEx/>
        <w:trPr>
          <w:trHeight w:val="822"/>
        </w:trPr>
        <w:tc>
          <w:tcPr>
            <w:tcW w:w="638" w:type="dxa"/>
            <w:textDirection w:val="lrTb"/>
            <w:noWrap w:val="false"/>
          </w:tcPr>
          <w:p>
            <w:pPr>
              <w:pStyle w:val="683"/>
              <w:contextualSpacing/>
              <w:ind w:left="0" w:firstLine="0"/>
              <w:jc w:val="left"/>
              <w:spacing w:before="0" w:beforeAutospacing="0" w:after="0" w:afterAutospacing="0" w:line="276" w:lineRule="auto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en-US" w:bidi="ar-SA"/>
              </w:rPr>
              <w:t xml:space="preserve">п/п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315" w:type="dxa"/>
            <w:textDirection w:val="lrTb"/>
            <w:noWrap w:val="false"/>
          </w:tcPr>
          <w:p>
            <w:pPr>
              <w:pStyle w:val="683"/>
              <w:contextualSpacing/>
              <w:ind w:left="0" w:firstLine="0"/>
              <w:jc w:val="left"/>
              <w:spacing w:before="0" w:beforeAutospacing="0" w:after="0" w:afterAutospacing="0" w:line="276" w:lineRule="auto"/>
              <w:widowControl/>
              <w:rPr>
                <w:color w:val="000000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en-US" w:bidi="ar-SA"/>
              </w:rPr>
              <w:t xml:space="preserve">Наименование</w:t>
            </w:r>
            <w:r>
              <w:rPr>
                <w:color w:val="000000"/>
                <w:lang w:val="ru-RU" w:eastAsia="en-US" w:bidi="ar-SA"/>
              </w:rPr>
            </w:r>
          </w:p>
        </w:tc>
        <w:tc>
          <w:tcPr>
            <w:tcW w:w="5257" w:type="dxa"/>
            <w:textDirection w:val="lrTb"/>
            <w:noWrap w:val="false"/>
          </w:tcPr>
          <w:p>
            <w:pPr>
              <w:pStyle w:val="683"/>
              <w:contextualSpacing/>
              <w:ind w:left="0" w:firstLine="0"/>
              <w:jc w:val="left"/>
              <w:spacing w:before="0" w:beforeAutospacing="0" w:after="0" w:afterAutospacing="0" w:line="276" w:lineRule="auto"/>
              <w:widowControl/>
              <w:rPr>
                <w:color w:val="000000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en-US" w:bidi="ar-SA"/>
              </w:rPr>
              <w:t xml:space="preserve">Информация по лоту</w:t>
            </w:r>
            <w:r>
              <w:rPr>
                <w:color w:val="000000"/>
                <w:lang w:val="ru-RU" w:eastAsia="en-US" w:bidi="ar-SA"/>
              </w:rPr>
            </w:r>
          </w:p>
        </w:tc>
      </w:tr>
      <w:tr>
        <w:tblPrEx/>
        <w:trPr>
          <w:trHeight w:val="265"/>
        </w:trPr>
        <w:tc>
          <w:tcPr>
            <w:tcW w:w="638" w:type="dxa"/>
            <w:textDirection w:val="lrTb"/>
            <w:noWrap w:val="false"/>
          </w:tcPr>
          <w:p>
            <w:pPr>
              <w:pStyle w:val="683"/>
              <w:numPr>
                <w:ilvl w:val="1"/>
                <w:numId w:val="1"/>
              </w:numPr>
              <w:contextualSpacing/>
              <w:ind w:left="0" w:firstLine="0"/>
              <w:jc w:val="left"/>
              <w:spacing w:before="0" w:beforeAutospacing="0" w:after="0" w:afterAutospacing="0" w:line="276" w:lineRule="auto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Liberation Sans" w:cs="Times New Roman"/>
                <w:sz w:val="22"/>
                <w:szCs w:val="22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315" w:type="dxa"/>
            <w:textDirection w:val="lrTb"/>
            <w:noWrap w:val="false"/>
          </w:tcPr>
          <w:p>
            <w:pPr>
              <w:pStyle w:val="683"/>
              <w:contextualSpacing/>
              <w:ind w:left="0" w:firstLine="0"/>
              <w:jc w:val="left"/>
              <w:spacing w:before="0" w:beforeAutospacing="0" w:after="0" w:afterAutospacing="0" w:line="276" w:lineRule="auto"/>
              <w:widowControl/>
              <w:rPr>
                <w:color w:val="000000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en-US" w:bidi="ar-SA"/>
              </w:rPr>
              <w:t xml:space="preserve">Наименование лота</w:t>
            </w:r>
            <w:r>
              <w:rPr>
                <w:color w:val="000000"/>
                <w:lang w:val="ru-RU" w:eastAsia="en-US" w:bidi="ar-SA"/>
              </w:rPr>
            </w:r>
          </w:p>
        </w:tc>
        <w:tc>
          <w:tcPr>
            <w:tcW w:w="5257" w:type="dxa"/>
            <w:textDirection w:val="lrTb"/>
            <w:noWrap w:val="false"/>
          </w:tcPr>
          <w:p>
            <w:pPr>
              <w:pStyle w:val="622"/>
              <w:ind w:firstLine="0"/>
              <w:jc w:val="left"/>
              <w:spacing w:before="0" w:beforeAutospacing="0" w:after="0" w:afterAutospacing="0" w:line="276" w:lineRule="auto"/>
              <w:widowControl/>
              <w:rPr>
                <w:color w:val="000000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position w:val="0"/>
                <w:sz w:val="24"/>
                <w:szCs w:val="24"/>
                <w:u w:val="none"/>
                <w:vertAlign w:val="baseline"/>
                <w:lang w:val="ru-RU" w:eastAsia="en-US" w:bidi="ar-SA"/>
              </w:rPr>
              <w:t xml:space="preserve">ОКПД2 27.12.32.000 Поставка разъединителей для нужд СП АО ДГК в г. Хабаровск, г. Благовещенск</w:t>
            </w:r>
            <w:r>
              <w:rPr>
                <w:color w:val="000000"/>
                <w:lang w:val="ru-RU" w:eastAsia="en-US" w:bidi="ar-SA"/>
              </w:rPr>
            </w:r>
          </w:p>
        </w:tc>
      </w:tr>
      <w:tr>
        <w:tblPrEx/>
        <w:trPr>
          <w:trHeight w:val="265"/>
        </w:trPr>
        <w:tc>
          <w:tcPr>
            <w:tcW w:w="638" w:type="dxa"/>
            <w:textDirection w:val="lrTb"/>
            <w:noWrap w:val="false"/>
          </w:tcPr>
          <w:p>
            <w:pPr>
              <w:pStyle w:val="683"/>
              <w:numPr>
                <w:ilvl w:val="1"/>
                <w:numId w:val="1"/>
              </w:numPr>
              <w:contextualSpacing/>
              <w:ind w:left="0" w:firstLine="0"/>
              <w:jc w:val="left"/>
              <w:spacing w:before="0" w:beforeAutospacing="0" w:after="0" w:afterAutospacing="0" w:line="276" w:lineRule="auto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Liberation Sans" w:cs="Times New Roman"/>
                <w:sz w:val="22"/>
                <w:szCs w:val="22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315" w:type="dxa"/>
            <w:textDirection w:val="lrTb"/>
            <w:noWrap w:val="false"/>
          </w:tcPr>
          <w:p>
            <w:pPr>
              <w:pStyle w:val="683"/>
              <w:contextualSpacing/>
              <w:ind w:left="0" w:firstLine="0"/>
              <w:jc w:val="left"/>
              <w:spacing w:before="0" w:beforeAutospacing="0" w:after="0" w:afterAutospacing="0" w:line="276" w:lineRule="auto"/>
              <w:widowControl/>
              <w:rPr>
                <w:color w:val="000000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en-US" w:bidi="ar-SA"/>
              </w:rPr>
              <w:t xml:space="preserve">Номер лота</w:t>
            </w:r>
            <w:r>
              <w:rPr>
                <w:color w:val="000000"/>
                <w:lang w:val="ru-RU" w:eastAsia="en-US" w:bidi="ar-SA"/>
              </w:rPr>
            </w:r>
          </w:p>
        </w:tc>
        <w:tc>
          <w:tcPr>
            <w:tcW w:w="5257" w:type="dxa"/>
            <w:textDirection w:val="lrTb"/>
            <w:noWrap w:val="false"/>
          </w:tcPr>
          <w:p>
            <w:pPr>
              <w:pStyle w:val="622"/>
              <w:jc w:val="left"/>
              <w:spacing w:before="0" w:after="0" w:line="240" w:lineRule="auto"/>
              <w:widowControl/>
              <w:rPr>
                <w:color w:val="000000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lang w:val="ru-RU" w:eastAsia="en-US" w:bidi="ar-SA"/>
              </w:rPr>
              <w:t xml:space="preserve">12016079-РЕМ ПРОД-2027-ДГК</w:t>
            </w:r>
            <w:r>
              <w:rPr>
                <w:color w:val="000000"/>
                <w:lang w:val="ru-RU" w:eastAsia="en-US" w:bidi="ar-SA"/>
              </w:rPr>
            </w:r>
          </w:p>
        </w:tc>
      </w:tr>
      <w:tr>
        <w:tblPrEx/>
        <w:trPr>
          <w:trHeight w:val="260"/>
        </w:trPr>
        <w:tc>
          <w:tcPr>
            <w:tcW w:w="638" w:type="dxa"/>
            <w:textDirection w:val="lrTb"/>
            <w:noWrap w:val="false"/>
          </w:tcPr>
          <w:p>
            <w:pPr>
              <w:pStyle w:val="683"/>
              <w:numPr>
                <w:ilvl w:val="1"/>
                <w:numId w:val="1"/>
              </w:numPr>
              <w:contextualSpacing/>
              <w:ind w:left="0" w:firstLine="0"/>
              <w:jc w:val="left"/>
              <w:spacing w:before="0" w:beforeAutospacing="0" w:after="0" w:afterAutospacing="0" w:line="276" w:lineRule="auto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Liberation Sans" w:cs="Times New Roman"/>
                <w:sz w:val="22"/>
                <w:szCs w:val="22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315" w:type="dxa"/>
            <w:textDirection w:val="lrTb"/>
            <w:noWrap w:val="false"/>
          </w:tcPr>
          <w:p>
            <w:pPr>
              <w:pStyle w:val="683"/>
              <w:contextualSpacing/>
              <w:ind w:left="0" w:firstLine="0"/>
              <w:jc w:val="left"/>
              <w:spacing w:before="0" w:beforeAutospacing="0" w:after="0" w:afterAutospacing="0" w:line="276" w:lineRule="auto"/>
              <w:widowControl/>
              <w:rPr>
                <w:color w:val="000000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en-US" w:bidi="ar-SA"/>
              </w:rPr>
              <w:t xml:space="preserve">НМЦ</w:t>
            </w:r>
            <w:r>
              <w:rPr>
                <w:color w:val="000000"/>
                <w:lang w:val="ru-RU" w:eastAsia="en-US" w:bidi="ar-SA"/>
              </w:rPr>
            </w:r>
          </w:p>
        </w:tc>
        <w:tc>
          <w:tcPr>
            <w:tcW w:w="5257" w:type="dxa"/>
            <w:textDirection w:val="lrTb"/>
            <w:noWrap w:val="false"/>
          </w:tcPr>
          <w:p>
            <w:pPr>
              <w:pStyle w:val="622"/>
              <w:ind w:firstLine="0"/>
              <w:jc w:val="left"/>
              <w:spacing w:before="0" w:beforeAutospacing="0" w:after="0" w:afterAutospacing="0" w:line="276" w:lineRule="auto"/>
              <w:widowControl/>
              <w:rPr>
                <w:color w:val="000000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position w:val="0"/>
                <w:sz w:val="24"/>
                <w:szCs w:val="24"/>
                <w:u w:val="none"/>
                <w:vertAlign w:val="baseline"/>
                <w:lang w:val="ru-RU" w:eastAsia="en-US" w:bidi="ar-SA"/>
              </w:rPr>
              <w:t xml:space="preserve">18 617 896,80  рублей</w:t>
            </w:r>
            <w:r>
              <w:rPr>
                <w:color w:val="000000"/>
                <w:lang w:val="ru-RU" w:eastAsia="en-US" w:bidi="ar-SA"/>
              </w:rPr>
            </w:r>
          </w:p>
        </w:tc>
      </w:tr>
    </w:tbl>
    <w:p>
      <w:pPr>
        <w:pStyle w:val="683"/>
        <w:numPr>
          <w:ilvl w:val="0"/>
          <w:numId w:val="1"/>
        </w:numPr>
        <w:contextualSpacing/>
        <w:ind w:left="714" w:hanging="357"/>
        <w:spacing w:before="0" w:beforeAutospacing="0" w:after="0" w:afterAutospacing="0" w:line="276" w:lineRule="auto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Использованный метод (методы) расчета НМЦ / цены единицы товара, работы, услуги:</w:t>
      </w:r>
      <w:r>
        <w:rPr>
          <w:rFonts w:ascii="Times New Roman" w:hAnsi="Times New Roman" w:cs="Times New Roman"/>
          <w:b/>
          <w:sz w:val="26"/>
        </w:rPr>
      </w:r>
    </w:p>
    <w:p>
      <w:pPr>
        <w:pStyle w:val="683"/>
        <w:contextualSpacing/>
        <w:ind w:left="0" w:firstLine="0"/>
        <w:spacing w:before="0" w:after="120"/>
        <w:rPr>
          <w:rFonts w:ascii="Times New Roman" w:hAnsi="Times New Roman" w:cs="Times New Roman"/>
          <w:b/>
          <w:bCs/>
          <w:sz w:val="26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Метод анализа технико-коммерческих предложений</w:t>
      </w:r>
      <w:r>
        <w:rPr>
          <w:rFonts w:ascii="Times New Roman" w:hAnsi="Times New Roman" w:cs="Times New Roman"/>
          <w:b/>
          <w:bCs/>
          <w:sz w:val="26"/>
        </w:rPr>
      </w:r>
    </w:p>
    <w:p>
      <w:pPr>
        <w:pStyle w:val="622"/>
        <w:ind w:firstLine="0"/>
        <w:jc w:val="left"/>
        <w:spacing w:before="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Обоснование расчета НМЦ:</w:t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270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03"/>
        <w:gridCol w:w="1937"/>
        <w:gridCol w:w="1710"/>
        <w:gridCol w:w="1635"/>
        <w:gridCol w:w="2085"/>
      </w:tblGrid>
      <w:tr>
        <w:tblPrEx/>
        <w:trPr>
          <w:trHeight w:val="1101"/>
        </w:trPr>
        <w:tc>
          <w:tcPr>
            <w:shd w:val="clear" w:color="000000" w:fill="e7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03" w:type="dxa"/>
            <w:textDirection w:val="lrTb"/>
            <w:noWrap w:val="false"/>
          </w:tcPr>
          <w:p>
            <w:pPr>
              <w:pStyle w:val="622"/>
              <w:ind w:firstLine="0"/>
              <w:jc w:val="center"/>
              <w:spacing w:before="0" w:after="200" w:line="240" w:lineRule="auto"/>
              <w:widowControl w:val="off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товара/ работы/ услуги в составе лота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r>
          </w:p>
        </w:tc>
        <w:tc>
          <w:tcPr>
            <w:shd w:val="clear" w:color="000000" w:fill="e7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622"/>
              <w:ind w:firstLine="2"/>
              <w:jc w:val="center"/>
              <w:spacing w:before="0" w:after="200" w:line="240" w:lineRule="auto"/>
              <w:widowControl w:val="off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источника ценовой информации (ИЦИ)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r>
          </w:p>
        </w:tc>
        <w:tc>
          <w:tcPr>
            <w:shd w:val="clear" w:color="000000" w:fill="e7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textDirection w:val="lrTb"/>
            <w:noWrap w:val="false"/>
          </w:tcPr>
          <w:p>
            <w:pPr>
              <w:pStyle w:val="622"/>
              <w:ind w:firstLine="0"/>
              <w:jc w:val="center"/>
              <w:spacing w:before="0" w:after="200" w:line="240" w:lineRule="auto"/>
              <w:widowControl w:val="off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Цена из соответствующего ИЦИ, в руб. без НДС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r>
          </w:p>
        </w:tc>
        <w:tc>
          <w:tcPr>
            <w:shd w:val="clear" w:color="000000" w:fill="e7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5" w:type="dxa"/>
            <w:textDirection w:val="lrTb"/>
            <w:noWrap w:val="false"/>
          </w:tcPr>
          <w:p>
            <w:pPr>
              <w:pStyle w:val="622"/>
              <w:ind w:firstLine="0"/>
              <w:jc w:val="center"/>
              <w:spacing w:before="0" w:after="200" w:line="240" w:lineRule="auto"/>
              <w:widowControl w:val="off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Цена итоговая, в руб. без НДС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r>
          </w:p>
        </w:tc>
        <w:tc>
          <w:tcPr>
            <w:shd w:val="clear" w:color="000000" w:fill="e7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85" w:type="dxa"/>
            <w:textDirection w:val="lrTb"/>
            <w:noWrap w:val="false"/>
          </w:tcPr>
          <w:p>
            <w:pPr>
              <w:pStyle w:val="622"/>
              <w:ind w:firstLine="0"/>
              <w:jc w:val="center"/>
              <w:spacing w:before="0" w:after="200" w:line="240" w:lineRule="auto"/>
              <w:widowControl w:val="off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Комментарии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r>
          </w:p>
        </w:tc>
      </w:tr>
      <w:tr>
        <w:tblPrEx/>
        <w:trPr>
          <w:trHeight w:val="7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03" w:type="dxa"/>
            <w:vMerge w:val="restart"/>
            <w:textDirection w:val="lrTb"/>
            <w:noWrap w:val="false"/>
          </w:tcPr>
          <w:p>
            <w:pPr>
              <w:pStyle w:val="622"/>
              <w:ind w:firstLine="0"/>
              <w:jc w:val="left"/>
              <w:spacing w:before="0" w:beforeAutospacing="0" w:after="0" w:afterAutospacing="0" w:line="276" w:lineRule="auto"/>
              <w:widowControl w:val="off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ОКПД2 27.12.32.000 Поставка разъединителей для нужд СП АО ДГК в г. Хабаровск, г. Благовещенск</w:t>
            </w:r>
            <w:r>
              <w:rPr>
                <w:color w:val="000000"/>
              </w:rPr>
            </w:r>
          </w:p>
          <w:p>
            <w:pPr>
              <w:pStyle w:val="622"/>
              <w:ind w:firstLine="0"/>
              <w:jc w:val="left"/>
              <w:spacing w:before="60" w:after="60" w:line="240" w:lineRule="auto"/>
              <w:widowControl w:val="off"/>
              <w:rPr>
                <w:rFonts w:ascii="Times New Roman" w:hAnsi="Times New Roman" w:cs="Times New Roman"/>
                <w:i/>
                <w:color w:val="0070c0"/>
                <w:sz w:val="20"/>
                <w:shd w:val="clear" w:color="auto" w:fill="ffff99"/>
              </w:rPr>
            </w:pPr>
            <w:r>
              <w:rPr>
                <w:rFonts w:ascii="Times New Roman" w:hAnsi="Times New Roman" w:cs="Times New Roman"/>
                <w:i/>
                <w:color w:val="0070c0"/>
                <w:sz w:val="20"/>
                <w:shd w:val="clear" w:color="auto" w:fill="ffff99"/>
              </w:rPr>
            </w:r>
            <w:r>
              <w:rPr>
                <w:rFonts w:ascii="Times New Roman" w:hAnsi="Times New Roman" w:cs="Times New Roman"/>
                <w:i/>
                <w:color w:val="0070c0"/>
                <w:sz w:val="20"/>
                <w:shd w:val="clear" w:color="auto" w:fill="ffff9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Разъединител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 – технико-коммерческое предложение 1</w:t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  <w:rPr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4"/>
                <w:szCs w:val="24"/>
                <w:u w:val="none"/>
                <w:vertAlign w:val="baseline"/>
              </w:rPr>
              <w:t xml:space="preserve">18 617 896,80 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5" w:type="dxa"/>
            <w:vMerge w:val="restart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 xml:space="preserve">18 617 896,80 </w:t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85" w:type="dxa"/>
            <w:vMerge w:val="restart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расчете НМЦ Заказчиком выбрано минимальное значение из полученных ТКП (п.3.3.8 Единой методики формирования плановых цен на закупаемую продукцию для организаций Группы РусГидро)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2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03" w:type="dxa"/>
            <w:vMerge w:val="continue"/>
            <w:textDirection w:val="lrTb"/>
            <w:noWrap w:val="false"/>
          </w:tcPr>
          <w:p>
            <w:pPr>
              <w:pStyle w:val="622"/>
              <w:ind w:firstLine="0"/>
              <w:jc w:val="left"/>
              <w:spacing w:before="60" w:after="60" w:line="240" w:lineRule="auto"/>
              <w:widowControl w:val="off"/>
              <w:rPr>
                <w:rFonts w:ascii="Times New Roman" w:hAnsi="Times New Roman" w:eastAsia="Times New Roman" w:cs="Times New Roman"/>
                <w:i/>
                <w:sz w:val="24"/>
                <w:szCs w:val="24"/>
                <w:shd w:val="clear" w:color="auto" w:fill="ffff99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shd w:val="clear" w:color="auto" w:fill="ffff99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shd w:val="clear" w:color="auto" w:fill="ffff9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 xml:space="preserve">Разъединители – технико-коммерческое предложение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 xml:space="preserve">2</w:t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  <w:rPr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19 100 000,00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5" w:type="dxa"/>
            <w:vMerge w:val="continue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85" w:type="dxa"/>
            <w:vMerge w:val="continue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</w:pPr>
            <w:r/>
            <w:r/>
          </w:p>
        </w:tc>
      </w:tr>
      <w:tr>
        <w:tblPrEx/>
        <w:trPr>
          <w:trHeight w:val="7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03" w:type="dxa"/>
            <w:vMerge w:val="continue"/>
            <w:textDirection w:val="lrTb"/>
            <w:noWrap w:val="false"/>
          </w:tcPr>
          <w:p>
            <w:pPr>
              <w:pStyle w:val="622"/>
              <w:ind w:firstLine="0"/>
              <w:jc w:val="left"/>
              <w:spacing w:before="60" w:after="60" w:line="240" w:lineRule="auto"/>
              <w:widowControl w:val="off"/>
              <w:rPr>
                <w:rFonts w:ascii="Times New Roman" w:hAnsi="Times New Roman" w:eastAsia="Times New Roman" w:cs="Times New Roman"/>
                <w:i/>
                <w:sz w:val="24"/>
                <w:szCs w:val="24"/>
                <w:shd w:val="clear" w:color="auto" w:fill="ffff99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shd w:val="clear" w:color="auto" w:fill="ffff99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shd w:val="clear" w:color="auto" w:fill="ffff99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  <w:rPr>
                <w:color w:val="0070c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азъединители – технико-коммерческое предложение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3</w:t>
            </w:r>
            <w:r>
              <w:rPr>
                <w:color w:val="0070c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  <w:rPr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position w:val="0"/>
                <w:sz w:val="24"/>
                <w:szCs w:val="24"/>
                <w:u w:val="none"/>
                <w:vertAlign w:val="baseline"/>
              </w:rPr>
              <w:t xml:space="preserve">19 650 000,00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5" w:type="dxa"/>
            <w:vMerge w:val="continue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85" w:type="dxa"/>
            <w:vMerge w:val="continue"/>
            <w:textDirection w:val="lrTb"/>
            <w:noWrap w:val="false"/>
          </w:tcPr>
          <w:p>
            <w:pPr>
              <w:pStyle w:val="622"/>
              <w:spacing w:before="0" w:after="200"/>
              <w:widowControl w:val="off"/>
            </w:pPr>
            <w:r/>
            <w:r/>
          </w:p>
        </w:tc>
      </w:tr>
    </w:tbl>
    <w:p>
      <w:pPr>
        <w:pStyle w:val="622"/>
        <w:spacing w:before="0" w:beforeAutospacing="0" w:after="0" w:afterAutospacing="0" w:line="276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/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oto Sans CJK SC">
    <w:panose1 w:val="020B0500000000000000"/>
  </w:font>
  <w:font w:name="Arial">
    <w:panose1 w:val="020B0604020202020204"/>
  </w:font>
  <w:font w:name="Arial Unicode MS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22" w:default="1">
    <w:name w:val="Normal"/>
    <w:qFormat/>
    <w:pPr>
      <w:jc w:val="left"/>
      <w:spacing w:before="0" w:beforeAutospacing="0" w:after="200" w:afterAutospacing="0" w:line="276" w:lineRule="auto"/>
      <w:widowControl/>
    </w:pPr>
    <w:rPr>
      <w:rFonts w:ascii="Liberation Sans" w:hAnsi="Liberation Sans" w:eastAsia="Liberation Sans" w:cs="Liberation Sans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23">
    <w:name w:val="Heading 1"/>
    <w:basedOn w:val="622"/>
    <w:next w:val="622"/>
    <w:link w:val="63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24">
    <w:name w:val="Heading 2"/>
    <w:basedOn w:val="622"/>
    <w:next w:val="622"/>
    <w:link w:val="63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25">
    <w:name w:val="Heading 3"/>
    <w:basedOn w:val="622"/>
    <w:next w:val="622"/>
    <w:link w:val="63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26">
    <w:name w:val="Heading 4"/>
    <w:basedOn w:val="622"/>
    <w:next w:val="622"/>
    <w:link w:val="63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27">
    <w:name w:val="Heading 5"/>
    <w:basedOn w:val="622"/>
    <w:next w:val="622"/>
    <w:link w:val="63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28">
    <w:name w:val="Heading 6"/>
    <w:basedOn w:val="622"/>
    <w:next w:val="622"/>
    <w:link w:val="63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29">
    <w:name w:val="Heading 7"/>
    <w:basedOn w:val="622"/>
    <w:next w:val="622"/>
    <w:link w:val="63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30">
    <w:name w:val="Heading 8"/>
    <w:basedOn w:val="622"/>
    <w:next w:val="622"/>
    <w:link w:val="63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31">
    <w:name w:val="Heading 9"/>
    <w:basedOn w:val="622"/>
    <w:next w:val="622"/>
    <w:link w:val="64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32">
    <w:name w:val="Heading 1 Char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633">
    <w:name w:val="Heading 2 Char"/>
    <w:uiPriority w:val="9"/>
    <w:qFormat/>
    <w:rPr>
      <w:rFonts w:ascii="Liberation Sans" w:hAnsi="Liberation Sans" w:eastAsia="Liberation Sans" w:cs="Liberation Sans"/>
      <w:sz w:val="34"/>
    </w:rPr>
  </w:style>
  <w:style w:type="character" w:styleId="634">
    <w:name w:val="Heading 3 Char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635">
    <w:name w:val="Heading 4 Char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36">
    <w:name w:val="Heading 5 Char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37">
    <w:name w:val="Heading 6 Char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38">
    <w:name w:val="Heading 7 Char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39">
    <w:name w:val="Heading 8 Char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40">
    <w:name w:val="Heading 9 Char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41">
    <w:name w:val="Title Char"/>
    <w:uiPriority w:val="10"/>
    <w:qFormat/>
    <w:rPr>
      <w:sz w:val="48"/>
      <w:szCs w:val="48"/>
    </w:rPr>
  </w:style>
  <w:style w:type="character" w:styleId="642">
    <w:name w:val="Subtitle Char"/>
    <w:uiPriority w:val="11"/>
    <w:qFormat/>
    <w:rPr>
      <w:sz w:val="24"/>
      <w:szCs w:val="24"/>
    </w:rPr>
  </w:style>
  <w:style w:type="character" w:styleId="643">
    <w:name w:val="Quote Char"/>
    <w:link w:val="663"/>
    <w:uiPriority w:val="29"/>
    <w:qFormat/>
    <w:rPr>
      <w:i/>
    </w:rPr>
  </w:style>
  <w:style w:type="character" w:styleId="644">
    <w:name w:val="Intense Quote Char"/>
    <w:link w:val="664"/>
    <w:uiPriority w:val="30"/>
    <w:qFormat/>
    <w:rPr>
      <w:i/>
    </w:rPr>
  </w:style>
  <w:style w:type="character" w:styleId="645">
    <w:name w:val="Header Char"/>
    <w:uiPriority w:val="99"/>
    <w:qFormat/>
  </w:style>
  <w:style w:type="character" w:styleId="646">
    <w:name w:val="Footer Char"/>
    <w:uiPriority w:val="99"/>
    <w:qFormat/>
  </w:style>
  <w:style w:type="character" w:styleId="647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648">
    <w:name w:val="Hyperlink"/>
    <w:uiPriority w:val="99"/>
    <w:unhideWhenUsed/>
    <w:rPr>
      <w:color w:val="0000ff" w:themeColor="hyperlink"/>
      <w:u w:val="single"/>
    </w:rPr>
  </w:style>
  <w:style w:type="character" w:styleId="649">
    <w:name w:val="Footnote Text Char"/>
    <w:uiPriority w:val="99"/>
    <w:qFormat/>
    <w:rPr>
      <w:sz w:val="18"/>
    </w:rPr>
  </w:style>
  <w:style w:type="character" w:styleId="650">
    <w:name w:val="Символ сноски"/>
    <w:uiPriority w:val="99"/>
    <w:unhideWhenUsed/>
    <w:qFormat/>
    <w:rPr>
      <w:vertAlign w:val="superscript"/>
    </w:rPr>
  </w:style>
  <w:style w:type="character" w:styleId="651">
    <w:name w:val="footnote reference"/>
    <w:rPr>
      <w:vertAlign w:val="superscript"/>
    </w:rPr>
  </w:style>
  <w:style w:type="character" w:styleId="652">
    <w:name w:val="Endnote Text Char"/>
    <w:uiPriority w:val="99"/>
    <w:qFormat/>
    <w:rPr>
      <w:sz w:val="20"/>
    </w:rPr>
  </w:style>
  <w:style w:type="character" w:styleId="653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54">
    <w:name w:val="endnote reference"/>
    <w:rPr>
      <w:vertAlign w:val="superscript"/>
    </w:rPr>
  </w:style>
  <w:style w:type="character" w:styleId="655" w:default="1">
    <w:name w:val="Default Paragraph Font"/>
    <w:uiPriority w:val="1"/>
    <w:semiHidden/>
    <w:unhideWhenUsed/>
    <w:qFormat/>
  </w:style>
  <w:style w:type="paragraph" w:styleId="656">
    <w:name w:val="Заголовок"/>
    <w:basedOn w:val="622"/>
    <w:next w:val="657"/>
    <w:qFormat/>
    <w:pPr>
      <w:keepNext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657">
    <w:name w:val="Body Text"/>
    <w:basedOn w:val="622"/>
    <w:pPr>
      <w:spacing w:before="0" w:after="140" w:line="276" w:lineRule="auto"/>
    </w:pPr>
  </w:style>
  <w:style w:type="paragraph" w:styleId="658">
    <w:name w:val="List"/>
    <w:basedOn w:val="657"/>
    <w:rPr>
      <w:rFonts w:cs="Arial Unicode MS"/>
    </w:rPr>
  </w:style>
  <w:style w:type="paragraph" w:styleId="659">
    <w:name w:val="Caption"/>
    <w:basedOn w:val="622"/>
    <w:next w:val="622"/>
    <w:link w:val="6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660">
    <w:name w:val="Указатель"/>
    <w:basedOn w:val="622"/>
    <w:qFormat/>
    <w:pPr>
      <w:suppressLineNumbers/>
    </w:pPr>
    <w:rPr>
      <w:rFonts w:cs="Arial Unicode MS"/>
    </w:rPr>
  </w:style>
  <w:style w:type="paragraph" w:styleId="661">
    <w:name w:val="Title"/>
    <w:basedOn w:val="622"/>
    <w:next w:val="622"/>
    <w:link w:val="641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62">
    <w:name w:val="Subtitle"/>
    <w:basedOn w:val="622"/>
    <w:next w:val="622"/>
    <w:link w:val="642"/>
    <w:uiPriority w:val="11"/>
    <w:qFormat/>
    <w:pPr>
      <w:spacing w:before="200" w:after="200"/>
    </w:pPr>
    <w:rPr>
      <w:sz w:val="24"/>
      <w:szCs w:val="24"/>
    </w:rPr>
  </w:style>
  <w:style w:type="paragraph" w:styleId="663">
    <w:name w:val="Quote"/>
    <w:basedOn w:val="622"/>
    <w:next w:val="622"/>
    <w:link w:val="643"/>
    <w:uiPriority w:val="29"/>
    <w:qFormat/>
    <w:pPr>
      <w:ind w:left="720" w:right="720" w:firstLine="0"/>
    </w:pPr>
    <w:rPr>
      <w:i/>
    </w:rPr>
  </w:style>
  <w:style w:type="paragraph" w:styleId="664">
    <w:name w:val="Intense Quote"/>
    <w:basedOn w:val="622"/>
    <w:next w:val="622"/>
    <w:link w:val="644"/>
    <w:uiPriority w:val="30"/>
    <w:qFormat/>
    <w:pPr>
      <w:ind w:left="720" w:right="720" w:firstLine="0"/>
      <w:spacing w:before="0" w:after="20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65">
    <w:name w:val="Колонтитул"/>
    <w:basedOn w:val="622"/>
    <w:qFormat/>
  </w:style>
  <w:style w:type="paragraph" w:styleId="666">
    <w:name w:val="Header"/>
    <w:basedOn w:val="622"/>
    <w:link w:val="645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67">
    <w:name w:val="Footer"/>
    <w:basedOn w:val="622"/>
    <w:link w:val="646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68">
    <w:name w:val="footnote text"/>
    <w:basedOn w:val="622"/>
    <w:link w:val="649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669">
    <w:name w:val="endnote text"/>
    <w:basedOn w:val="622"/>
    <w:link w:val="652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670">
    <w:name w:val="toc 1"/>
    <w:basedOn w:val="622"/>
    <w:next w:val="622"/>
    <w:uiPriority w:val="39"/>
    <w:unhideWhenUsed/>
    <w:pPr>
      <w:ind w:left="0" w:right="0" w:firstLine="0"/>
      <w:spacing w:before="0" w:after="57"/>
    </w:pPr>
  </w:style>
  <w:style w:type="paragraph" w:styleId="671">
    <w:name w:val="toc 2"/>
    <w:basedOn w:val="622"/>
    <w:next w:val="622"/>
    <w:uiPriority w:val="39"/>
    <w:unhideWhenUsed/>
    <w:pPr>
      <w:ind w:left="283" w:right="0" w:firstLine="0"/>
      <w:spacing w:before="0" w:after="57"/>
    </w:pPr>
  </w:style>
  <w:style w:type="paragraph" w:styleId="672">
    <w:name w:val="toc 3"/>
    <w:basedOn w:val="622"/>
    <w:next w:val="622"/>
    <w:uiPriority w:val="39"/>
    <w:unhideWhenUsed/>
    <w:pPr>
      <w:ind w:left="567" w:right="0" w:firstLine="0"/>
      <w:spacing w:before="0" w:after="57"/>
    </w:pPr>
  </w:style>
  <w:style w:type="paragraph" w:styleId="673">
    <w:name w:val="toc 4"/>
    <w:basedOn w:val="622"/>
    <w:next w:val="622"/>
    <w:uiPriority w:val="39"/>
    <w:unhideWhenUsed/>
    <w:pPr>
      <w:ind w:left="850" w:right="0" w:firstLine="0"/>
      <w:spacing w:before="0" w:after="57"/>
    </w:pPr>
  </w:style>
  <w:style w:type="paragraph" w:styleId="674">
    <w:name w:val="toc 5"/>
    <w:basedOn w:val="622"/>
    <w:next w:val="622"/>
    <w:uiPriority w:val="39"/>
    <w:unhideWhenUsed/>
    <w:pPr>
      <w:ind w:left="1134" w:right="0" w:firstLine="0"/>
      <w:spacing w:before="0" w:after="57"/>
    </w:pPr>
  </w:style>
  <w:style w:type="paragraph" w:styleId="675">
    <w:name w:val="toc 6"/>
    <w:basedOn w:val="622"/>
    <w:next w:val="622"/>
    <w:uiPriority w:val="39"/>
    <w:unhideWhenUsed/>
    <w:pPr>
      <w:ind w:left="1417" w:right="0" w:firstLine="0"/>
      <w:spacing w:before="0" w:after="57"/>
    </w:pPr>
  </w:style>
  <w:style w:type="paragraph" w:styleId="676">
    <w:name w:val="toc 7"/>
    <w:basedOn w:val="622"/>
    <w:next w:val="622"/>
    <w:uiPriority w:val="39"/>
    <w:unhideWhenUsed/>
    <w:pPr>
      <w:ind w:left="1701" w:right="0" w:firstLine="0"/>
      <w:spacing w:before="0" w:after="57"/>
    </w:pPr>
  </w:style>
  <w:style w:type="paragraph" w:styleId="677">
    <w:name w:val="toc 8"/>
    <w:basedOn w:val="622"/>
    <w:next w:val="622"/>
    <w:uiPriority w:val="39"/>
    <w:unhideWhenUsed/>
    <w:pPr>
      <w:ind w:left="1984" w:right="0" w:firstLine="0"/>
      <w:spacing w:before="0" w:after="57"/>
    </w:pPr>
  </w:style>
  <w:style w:type="paragraph" w:styleId="678">
    <w:name w:val="toc 9"/>
    <w:basedOn w:val="622"/>
    <w:next w:val="622"/>
    <w:uiPriority w:val="39"/>
    <w:unhideWhenUsed/>
    <w:pPr>
      <w:ind w:left="2268" w:right="0" w:firstLine="0"/>
      <w:spacing w:before="0" w:after="57"/>
    </w:pPr>
  </w:style>
  <w:style w:type="paragraph" w:styleId="679">
    <w:name w:val="Index Heading"/>
    <w:basedOn w:val="656"/>
  </w:style>
  <w:style w:type="paragraph" w:styleId="680">
    <w:name w:val="TOC Heading"/>
    <w:uiPriority w:val="39"/>
    <w:unhideWhenUsed/>
    <w:qFormat/>
    <w:pPr>
      <w:jc w:val="left"/>
      <w:spacing w:before="0" w:beforeAutospacing="0" w:after="200" w:afterAutospacing="0" w:line="276" w:lineRule="auto"/>
      <w:widowControl/>
    </w:pPr>
    <w:rPr>
      <w:rFonts w:ascii="Liberation Sans" w:hAnsi="Liberation Sans" w:eastAsia="Liberation Sans" w:cs="Liberation Sans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81">
    <w:name w:val="table of figures"/>
    <w:basedOn w:val="622"/>
    <w:next w:val="622"/>
    <w:uiPriority w:val="99"/>
    <w:unhideWhenUsed/>
    <w:qFormat/>
    <w:pPr>
      <w:spacing w:before="0" w:after="0" w:afterAutospacing="0"/>
    </w:pPr>
  </w:style>
  <w:style w:type="paragraph" w:styleId="682">
    <w:name w:val="No Spacing"/>
    <w:basedOn w:val="622"/>
    <w:uiPriority w:val="1"/>
    <w:qFormat/>
    <w:pPr>
      <w:spacing w:before="0" w:after="0" w:line="240" w:lineRule="auto"/>
    </w:pPr>
  </w:style>
  <w:style w:type="paragraph" w:styleId="683">
    <w:name w:val="List Paragraph"/>
    <w:basedOn w:val="622"/>
    <w:uiPriority w:val="34"/>
    <w:qFormat/>
    <w:pPr>
      <w:contextualSpacing/>
      <w:ind w:left="720" w:firstLine="0"/>
      <w:spacing w:before="0" w:after="200"/>
    </w:pPr>
  </w:style>
  <w:style w:type="paragraph" w:styleId="684" w:customStyle="1">
    <w:name w:val="Стиль Заголовок 1 + по ширине"/>
    <w:qFormat/>
    <w:pPr>
      <w:numPr>
        <w:ilvl w:val="0"/>
        <w:numId w:val="0"/>
      </w:numPr>
      <w:ind w:left="567" w:right="0" w:hanging="567"/>
      <w:jc w:val="both"/>
      <w:keepLines/>
      <w:keepNext/>
      <w:pageBreakBefore w:val="0"/>
      <w:spacing w:before="480" w:beforeAutospacing="0" w:after="240" w:afterAutospacing="0" w:line="240" w:lineRule="auto"/>
      <w:shd w:val="nil"/>
      <w:widowControl/>
      <w:tabs>
        <w:tab w:val="left" w:pos="567" w:leader="none"/>
        <w:tab w:val="clear" w:pos="708" w:leader="none"/>
        <w:tab w:val="left" w:pos="1134" w:leader="none"/>
      </w:tabs>
      <w:outlineLvl w:val="0"/>
    </w:pPr>
    <w:rPr>
      <w:rFonts w:ascii="Arial" w:hAnsi="Arial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40"/>
      <w:szCs w:val="20"/>
      <w:u w:val="none"/>
      <w:vertAlign w:val="baseline"/>
      <w:lang w:val="ru-RU" w:eastAsia="ru-RU" w:bidi="ar-SA"/>
      <w14:ligatures w14:val="none"/>
    </w:rPr>
  </w:style>
  <w:style w:type="numbering" w:styleId="685" w:default="1">
    <w:name w:val="No List"/>
    <w:uiPriority w:val="99"/>
    <w:semiHidden/>
    <w:unhideWhenUsed/>
    <w:qFormat/>
  </w:style>
  <w:style w:type="table" w:styleId="686">
    <w:name w:val="Table Grid"/>
    <w:basedOn w:val="8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1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1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689">
    <w:name w:val="Plain Table 2"/>
    <w:basedOn w:val="8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690">
    <w:name w:val="Plain Table 3"/>
    <w:basedOn w:val="8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716">
    <w:name w:val="Grid Table 4 - Accent 2"/>
    <w:basedOn w:val="8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717">
    <w:name w:val="Grid Table 4 - Accent 3"/>
    <w:basedOn w:val="8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718">
    <w:name w:val="Grid Table 4 - Accent 4"/>
    <w:basedOn w:val="8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719">
    <w:name w:val="Grid Table 4 - Accent 5"/>
    <w:basedOn w:val="8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34">
    <w:name w:val="Grid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35">
    <w:name w:val="Grid Table 7 Colorful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56">
    <w:name w:val="List Table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1">
    <w:name w:val="List Table 5 Dark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2">
    <w:name w:val="List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3">
    <w:name w:val="List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4">
    <w:name w:val="List Table 5 Dark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5">
    <w:name w:val="List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6">
    <w:name w:val="List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7">
    <w:name w:val="List Table 6 Colorful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778">
    <w:name w:val="List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780">
    <w:name w:val="List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781">
    <w:name w:val="List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782">
    <w:name w:val="List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783">
    <w:name w:val="List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784">
    <w:name w:val="List Table 7 Colorful"/>
    <w:basedOn w:val="8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786">
    <w:name w:val="List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791">
    <w:name w:val="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792">
    <w:name w:val="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793">
    <w:name w:val="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794">
    <w:name w:val="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795">
    <w:name w:val="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796">
    <w:name w:val="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797">
    <w:name w:val="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798">
    <w:name w:val="Bordered &amp; 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799">
    <w:name w:val="Bordered &amp; 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00">
    <w:name w:val="Bordered &amp; 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01">
    <w:name w:val="Bordered &amp; 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02">
    <w:name w:val="Bordered &amp; 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03">
    <w:name w:val="Bordered &amp; 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04">
    <w:name w:val="Bordered &amp; 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05">
    <w:name w:val="Bordered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06">
    <w:name w:val="Bordered - Accent 1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08">
    <w:name w:val="Bordered - Accent 3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09">
    <w:name w:val="Bordered - Accent 4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10">
    <w:name w:val="Bordered - Accent 5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11">
    <w:name w:val="Bordered - Accent 6"/>
    <w:basedOn w:val="8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12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tsao_vl@DGK.RU</cp:lastModifiedBy>
  <cp:revision>6</cp:revision>
  <dcterms:modified xsi:type="dcterms:W3CDTF">2026-08-31T23:39:29Z</dcterms:modified>
</cp:coreProperties>
</file>