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shd w:fill="FFFFFF" w:val="clear"/>
        </w:rPr>
        <w:t>г. Благовещенск</w:t>
      </w:r>
      <w:r>
        <w:rPr>
          <w:bCs/>
          <w:sz w:val="24"/>
          <w:szCs w:val="24"/>
        </w:rPr>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Spacing"/>
        <w:ind w:left="0" w:right="0" w:firstLine="567"/>
        <w:jc w:val="both"/>
        <w:rPr>
          <w:rFonts w:ascii="Times New Roman" w:hAnsi="Times New Roman"/>
          <w:sz w:val="24"/>
          <w:szCs w:val="24"/>
        </w:rPr>
      </w:pPr>
      <w:r>
        <w:rPr>
          <w:b/>
          <w:sz w:val="24"/>
          <w:szCs w:val="24"/>
        </w:rPr>
        <w:t>Акционерное общество «Дальневосточная генерирующая компания» (АО «ДГК»)</w:t>
      </w:r>
      <w:r>
        <w:rPr>
          <w:sz w:val="24"/>
          <w:szCs w:val="24"/>
        </w:rPr>
        <w:t xml:space="preserve">, именуемое в дальнейшем Покупатель, </w:t>
      </w:r>
      <w:r>
        <w:rPr>
          <w:sz w:val="24"/>
          <w:szCs w:val="24"/>
          <w:lang w:val="ru-RU"/>
        </w:rPr>
        <w:t>в лице директора структурного подразделения «Амурские тепловые сети» Руденко Сергея Михайловича</w:t>
      </w:r>
      <w:r>
        <w:rPr>
          <w:sz w:val="24"/>
          <w:szCs w:val="24"/>
        </w:rPr>
        <w:t>, действующего на основании доверенности от 01.12.2025 года № 51/501, с одной стороны, и</w:t>
      </w:r>
      <w:r>
        <w:rPr>
          <w:b/>
          <w:sz w:val="24"/>
          <w:szCs w:val="24"/>
        </w:rPr>
        <w:t xml:space="preserve"> </w:t>
      </w:r>
      <w:r>
        <w:rPr>
          <w:b w:val="false"/>
          <w:bCs w:val="false"/>
          <w:sz w:val="24"/>
          <w:szCs w:val="24"/>
        </w:rPr>
        <w:t>Полное наименование контрагента (сокращенное наименование Контрагента), именуемое в дальнейшем Поставщик, в лице_______, действующего на основании____</w:t>
      </w:r>
      <w:r>
        <w:rPr>
          <w:b w:val="false"/>
          <w:bCs w:val="false"/>
          <w:spacing w:val="10"/>
          <w:sz w:val="24"/>
          <w:szCs w:val="24"/>
        </w:rPr>
        <w:t>, с</w:t>
      </w:r>
      <w:r>
        <w:rPr>
          <w:spacing w:val="10"/>
          <w:sz w:val="24"/>
          <w:szCs w:val="24"/>
        </w:rPr>
        <w:t xml:space="preserve"> другой стороны, именуемые в дальнейшем Стороны, заключили настоящий Договор о нижеследующем:</w:t>
      </w:r>
    </w:p>
    <w:p>
      <w:pPr>
        <w:pStyle w:val="Normal"/>
        <w:shd w:val="clear" w:color="auto" w:fill="FFFFFF"/>
        <w:rPr>
          <w:bCs/>
          <w:sz w:val="24"/>
          <w:szCs w:val="24"/>
        </w:rPr>
      </w:pPr>
      <w:r>
        <w:rPr>
          <w:bCs/>
          <w:sz w:val="24"/>
          <w:szCs w:val="24"/>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left="0" w:right="0"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right="0" w:firstLine="709"/>
        <w:jc w:val="both"/>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ind w:left="0" w:right="0" w:firstLine="708"/>
        <w:jc w:val="both"/>
        <w:rPr>
          <w:highlight w:val="none"/>
          <w:shd w:fill="FFFFFF" w:val="clear"/>
        </w:rPr>
      </w:pPr>
      <w:r>
        <w:rPr>
          <w:b/>
          <w:sz w:val="24"/>
          <w:szCs w:val="24"/>
          <w:shd w:fill="FFFFFF" w:val="clear"/>
          <w:lang w:eastAsia="en-US"/>
        </w:rPr>
        <w:t>«Банк»</w:t>
      </w:r>
      <w:r>
        <w:rPr>
          <w:sz w:val="24"/>
          <w:szCs w:val="24"/>
          <w:shd w:fill="FFFFFF" w:val="clear"/>
          <w:lang w:eastAsia="en-US"/>
        </w:rPr>
        <w:t xml:space="preserve"> - Газпромбанк» (Акционерное общество), адрес юридического лица: 117420, г.Москва, ул. Наметкина, д. 16, корпус 1, ОГРН </w:t>
      </w:r>
      <w:r>
        <w:rPr>
          <w:rFonts w:eastAsia="Calibri"/>
          <w:sz w:val="24"/>
          <w:szCs w:val="24"/>
          <w:shd w:fill="FFFFFF" w:val="clear"/>
          <w:lang w:eastAsia="en-US"/>
        </w:rPr>
        <w:t>1027700167110, ИНН 7744001497.</w:t>
      </w:r>
    </w:p>
    <w:p>
      <w:pPr>
        <w:pStyle w:val="ListParagraph"/>
        <w:shd w:val="clear" w:color="auto" w:fill="FFFFFF"/>
        <w:tabs>
          <w:tab w:val="clear" w:pos="709"/>
          <w:tab w:val="left" w:pos="0" w:leader="none"/>
        </w:tabs>
        <w:ind w:left="0" w:right="0" w:firstLine="709"/>
        <w:jc w:val="both"/>
        <w:rPr>
          <w:sz w:val="24"/>
          <w:szCs w:val="24"/>
          <w:highlight w:val="none"/>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tabs>
          <w:tab w:val="clear" w:pos="709"/>
          <w:tab w:val="left" w:pos="0" w:leader="none"/>
        </w:tabs>
        <w:ind w:left="0" w:right="0" w:firstLine="709"/>
        <w:jc w:val="both"/>
        <w:rPr>
          <w:rFonts w:ascii="Times New Roman" w:hAnsi="Times New Roman"/>
          <w:color w:val="000000"/>
          <w:sz w:val="24"/>
          <w:szCs w:val="24"/>
          <w:highlight w:val="none"/>
          <w:shd w:fill="auto" w:val="clear"/>
        </w:rPr>
      </w:pPr>
      <w:r>
        <w:rPr>
          <w:b/>
          <w:bCs/>
          <w:color w:val="000000"/>
          <w:sz w:val="24"/>
          <w:szCs w:val="24"/>
          <w:shd w:fill="auto" w:val="clear"/>
          <w:lang w:eastAsia="en-US"/>
        </w:rPr>
        <w:t xml:space="preserve">«Банковское сопровождение» </w:t>
      </w:r>
      <w:r>
        <w:rPr>
          <w:color w:val="000000"/>
          <w:sz w:val="24"/>
          <w:szCs w:val="24"/>
          <w:shd w:fill="auto" w:val="clear"/>
          <w:lang w:eastAsia="en-US"/>
        </w:rPr>
        <w:t xml:space="preserve">– </w:t>
      </w:r>
      <w:r>
        <w:rPr>
          <w:caps w:val="false"/>
          <w:smallCaps w:val="false"/>
          <w:color w:val="000000"/>
          <w:spacing w:val="0"/>
          <w:sz w:val="24"/>
          <w:szCs w:val="24"/>
          <w:shd w:fill="auto" w:val="clear"/>
          <w:lang w:eastAsia="en-US"/>
        </w:rPr>
        <w:t> </w:t>
      </w:r>
      <w:r>
        <w:rPr>
          <w:b w:val="false"/>
          <w:i w:val="false"/>
          <w:caps w:val="false"/>
          <w:smallCaps w:val="false"/>
          <w:color w:val="000000"/>
          <w:spacing w:val="0"/>
          <w:sz w:val="24"/>
          <w:szCs w:val="24"/>
          <w:shd w:fill="auto" w:val="clear"/>
          <w:lang w:eastAsia="en-US"/>
        </w:rPr>
        <w:t>это комплекс услуг, которые предоставляет банк для контроля целевого расходования денежных средств в рамках исполнения сопровождаемого договора. В том числе это мониторинг расчётов и контроль заявок на перевод, а также доведение результатов сопровождения до сведения заказчика и организатора закупок.</w:t>
      </w:r>
    </w:p>
    <w:p>
      <w:pPr>
        <w:pStyle w:val="ListParagraph"/>
        <w:tabs>
          <w:tab w:val="clear" w:pos="709"/>
          <w:tab w:val="left" w:pos="567" w:leader="none"/>
          <w:tab w:val="left" w:pos="1134" w:leader="none"/>
        </w:tabs>
        <w:ind w:left="0" w:right="0" w:firstLine="708"/>
        <w:jc w:val="both"/>
        <w:rPr>
          <w:sz w:val="24"/>
          <w:szCs w:val="24"/>
          <w:lang w:eastAsia="en-US"/>
        </w:rPr>
      </w:pPr>
      <w:r>
        <w:rPr>
          <w:b/>
          <w:color w:val="000000"/>
          <w:sz w:val="24"/>
          <w:szCs w:val="24"/>
          <w:shd w:fill="auto" w:val="clear"/>
          <w:lang w:eastAsia="en-US"/>
        </w:rPr>
        <w:t>«Гарантийный срок»</w:t>
      </w:r>
      <w:r>
        <w:rPr>
          <w:color w:val="000000"/>
          <w:sz w:val="24"/>
          <w:szCs w:val="24"/>
          <w:shd w:fill="auto" w:val="clear"/>
        </w:rPr>
        <w:t xml:space="preserve"> </w:t>
      </w:r>
      <w:r>
        <w:rPr>
          <w:color w:val="000000"/>
          <w:sz w:val="24"/>
          <w:szCs w:val="24"/>
          <w:shd w:fill="auto" w:val="clear"/>
          <w:lang w:eastAsia="en-US"/>
        </w:rPr>
        <w:t>– пе</w:t>
      </w:r>
      <w:r>
        <w:rPr>
          <w:sz w:val="24"/>
          <w:szCs w:val="24"/>
          <w:lang w:eastAsia="en-US"/>
        </w:rPr>
        <w:t>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right="0" w:firstLine="709"/>
        <w:jc w:val="both"/>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right="0" w:firstLine="709"/>
        <w:jc w:val="both"/>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или получить иную коммерческую выгоду.</w:t>
      </w:r>
    </w:p>
    <w:p>
      <w:pPr>
        <w:pStyle w:val="ListParagraph"/>
        <w:shd w:val="clear" w:color="auto" w:fill="FFFFFF"/>
        <w:tabs>
          <w:tab w:val="clear" w:pos="709"/>
          <w:tab w:val="left" w:pos="0" w:leader="none"/>
        </w:tabs>
        <w:ind w:left="0" w:right="0" w:firstLine="709"/>
        <w:jc w:val="both"/>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shd w:val="clear" w:color="auto" w:fill="FFFFFF"/>
        <w:tabs>
          <w:tab w:val="clear" w:pos="709"/>
          <w:tab w:val="left" w:pos="0" w:leader="none"/>
        </w:tabs>
        <w:ind w:left="0" w:right="0" w:firstLine="709"/>
        <w:jc w:val="both"/>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numPr>
          <w:ilvl w:val="0"/>
        </w:numPr>
        <w:tabs>
          <w:tab w:val="clear" w:pos="709"/>
          <w:tab w:val="left" w:pos="0" w:leader="none"/>
        </w:tabs>
        <w:spacing w:before="0" w:after="0"/>
        <w:ind w:left="0" w:right="0" w:firstLine="709"/>
        <w:jc w:val="both"/>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left="0" w:right="0"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Normal"/>
        <w:ind w:left="0" w:right="0" w:firstLine="708"/>
        <w:jc w:val="both"/>
        <w:rPr/>
      </w:pPr>
      <w:r>
        <w:rPr>
          <w:rStyle w:val="Strong"/>
          <w:b/>
          <w:bCs/>
          <w:i w:val="false"/>
          <w:caps w:val="false"/>
          <w:smallCaps w:val="false"/>
          <w:color w:val="333333"/>
          <w:spacing w:val="0"/>
          <w:sz w:val="24"/>
          <w:szCs w:val="24"/>
          <w:lang w:eastAsia="en-US"/>
        </w:rPr>
        <w:t>«Универсальный передаточный документ (УПД)»</w:t>
      </w:r>
      <w:r>
        <w:rPr>
          <w:caps w:val="false"/>
          <w:smallCaps w:val="false"/>
          <w:color w:val="333333"/>
          <w:spacing w:val="0"/>
          <w:sz w:val="24"/>
          <w:szCs w:val="24"/>
          <w:lang w:eastAsia="en-US"/>
        </w:rPr>
        <w:t xml:space="preserve"> — </w:t>
      </w:r>
      <w:r>
        <w:rPr>
          <w:b w:val="false"/>
          <w:i w:val="false"/>
          <w:caps w:val="false"/>
          <w:smallCaps w:val="false"/>
          <w:color w:val="333333"/>
          <w:spacing w:val="0"/>
          <w:sz w:val="24"/>
          <w:szCs w:val="24"/>
          <w:lang w:eastAsia="en-US"/>
        </w:rPr>
        <w:t>это бухгалтерская форма, которая объединяет функции первичного учётного документа и счёта-фактуры. </w:t>
      </w:r>
    </w:p>
    <w:p>
      <w:pPr>
        <w:pStyle w:val="Heading3"/>
        <w:keepNext w:val="false"/>
        <w:numPr>
          <w:ilvl w:val="0"/>
        </w:numPr>
        <w:tabs>
          <w:tab w:val="clear" w:pos="709"/>
          <w:tab w:val="left" w:pos="0" w:leader="none"/>
        </w:tabs>
        <w:spacing w:before="0" w:after="0"/>
        <w:ind w:left="0" w:right="0" w:firstLine="708"/>
        <w:jc w:val="both"/>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left="0" w:right="0" w:firstLine="709"/>
        <w:jc w:val="center"/>
        <w:rPr>
          <w:bCs/>
          <w:sz w:val="24"/>
          <w:szCs w:val="24"/>
        </w:rPr>
      </w:pPr>
      <w:r>
        <w:rPr>
          <w:bCs/>
          <w:sz w:val="24"/>
          <w:szCs w:val="24"/>
        </w:rPr>
      </w:r>
    </w:p>
    <w:p>
      <w:pPr>
        <w:pStyle w:val="Normal"/>
        <w:shd w:val="clear" w:color="auto" w:fill="FFFFFF"/>
        <w:ind w:left="0" w:right="0" w:firstLine="709"/>
        <w:jc w:val="center"/>
        <w:rPr>
          <w:bCs/>
          <w:sz w:val="24"/>
          <w:szCs w:val="24"/>
        </w:rPr>
      </w:pPr>
      <w:r>
        <w:rPr>
          <w:bCs/>
          <w:sz w:val="24"/>
          <w:szCs w:val="24"/>
        </w:rPr>
      </w:r>
    </w:p>
    <w:p>
      <w:pPr>
        <w:pStyle w:val="Normal"/>
        <w:numPr>
          <w:ilvl w:val="0"/>
          <w:numId w:val="1"/>
        </w:numPr>
        <w:shd w:val="clear" w:color="auto" w:fill="FFFFFF"/>
        <w:tabs>
          <w:tab w:val="clear" w:pos="709"/>
          <w:tab w:val="left" w:pos="284" w:leader="none"/>
        </w:tabs>
        <w:ind w:left="0" w:right="0" w:hanging="0"/>
        <w:jc w:val="center"/>
        <w:rPr>
          <w:b/>
          <w:bCs/>
          <w:sz w:val="24"/>
          <w:szCs w:val="24"/>
        </w:rPr>
      </w:pPr>
      <w:r>
        <w:rPr>
          <w:b/>
          <w:bCs/>
          <w:sz w:val="24"/>
          <w:szCs w:val="24"/>
        </w:rPr>
        <w:t>Предмет Договора</w:t>
      </w:r>
    </w:p>
    <w:p>
      <w:pPr>
        <w:pStyle w:val="Norma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котлы </w:t>
      </w:r>
      <w:r>
        <w:rPr>
          <w:b/>
          <w:bCs/>
          <w:sz w:val="24"/>
          <w:szCs w:val="24"/>
          <w:shd w:fill="auto" w:val="clear"/>
        </w:rPr>
        <w:t>(</w:t>
      </w:r>
      <w:r>
        <w:rPr>
          <w:bCs/>
          <w:sz w:val="24"/>
          <w:szCs w:val="24"/>
        </w:rPr>
        <w:t>далее – «Товар») в соответствии со Спецификацией (Приложение № 1 к Договору), Техническими требованиями (Приложение № 2 к Договору)</w:t>
      </w:r>
      <w:r>
        <w:rPr>
          <w:bCs/>
          <w:sz w:val="24"/>
          <w:szCs w:val="24"/>
          <w:shd w:fill="FFFFFF" w:val="clear"/>
        </w:rPr>
        <w:t>, а Покупатель обязуется принять Товар и уплатить Цену Договора.</w:t>
      </w:r>
    </w:p>
    <w:p>
      <w:pPr>
        <w:pStyle w:val="Normal"/>
        <w:numPr>
          <w:ilvl w:val="1"/>
          <w:numId w:val="1"/>
        </w:numPr>
        <w:shd w:val="clear" w:color="auto" w:fill="FFFFFF"/>
        <w:tabs>
          <w:tab w:val="clear" w:pos="709"/>
          <w:tab w:val="left" w:pos="0" w:leader="none"/>
          <w:tab w:val="left" w:pos="1134" w:leader="none"/>
        </w:tabs>
        <w:ind w:left="0" w:right="0" w:firstLine="709"/>
        <w:jc w:val="both"/>
        <w:rPr>
          <w:highlight w:val="none"/>
          <w:shd w:fill="FFFFFF" w:val="clear"/>
        </w:rPr>
      </w:pPr>
      <w:r>
        <w:rPr>
          <w:bCs/>
          <w:sz w:val="24"/>
          <w:szCs w:val="24"/>
          <w:shd w:fill="FFFFFF" w:val="clear"/>
        </w:rPr>
        <w:t>Поставка Товара по Договору осуществляется для нужд СП «Амурские тепловые сети»</w:t>
      </w:r>
    </w:p>
    <w:p>
      <w:pPr>
        <w:pStyle w:val="Normal"/>
        <w:numPr>
          <w:ilvl w:val="1"/>
          <w:numId w:val="1"/>
        </w:numPr>
        <w:shd w:val="clear" w:color="auto" w:fill="FFFFFF"/>
        <w:tabs>
          <w:tab w:val="clear" w:pos="709"/>
          <w:tab w:val="left" w:pos="0" w:leader="none"/>
          <w:tab w:val="left" w:pos="1134" w:leader="none"/>
        </w:tabs>
        <w:ind w:left="0" w:right="0" w:firstLine="709"/>
        <w:jc w:val="both"/>
        <w:rPr>
          <w:highlight w:val="none"/>
          <w:shd w:fill="FFFFFF" w:val="clear"/>
        </w:rPr>
      </w:pPr>
      <w:r>
        <w:rPr>
          <w:bCs/>
          <w:sz w:val="24"/>
          <w:szCs w:val="24"/>
          <w:shd w:fill="FFFFFF" w:val="clear"/>
        </w:rPr>
        <w:t>Место поставки Товара: в соответствии со Спецификацией (Приложение № 1 к Договору)</w:t>
      </w:r>
      <w:r>
        <w:rPr>
          <w:sz w:val="24"/>
          <w:szCs w:val="24"/>
          <w:shd w:fill="FFFFFF" w:val="clear"/>
        </w:rPr>
        <w:t xml:space="preserve"> (далее – «Место поставки»).</w:t>
      </w:r>
    </w:p>
    <w:p>
      <w:pPr>
        <w:pStyle w:val="Normal"/>
        <w:numPr>
          <w:ilvl w:val="1"/>
          <w:numId w:val="1"/>
        </w:numPr>
        <w:shd w:val="clear" w:color="auto" w:fill="FFFFFF"/>
        <w:tabs>
          <w:tab w:val="clear" w:pos="709"/>
          <w:tab w:val="left" w:pos="0" w:leader="none"/>
          <w:tab w:val="left" w:pos="540" w:leader="none"/>
          <w:tab w:val="left" w:pos="1134" w:leader="none"/>
        </w:tabs>
        <w:ind w:left="0" w:right="0" w:firstLine="709"/>
        <w:jc w:val="both"/>
        <w:rPr>
          <w:highlight w:val="none"/>
          <w:shd w:fill="FFFFFF" w:val="clear"/>
        </w:rPr>
      </w:pPr>
      <w:r>
        <w:rPr>
          <w:bCs/>
          <w:sz w:val="24"/>
          <w:szCs w:val="24"/>
          <w:shd w:fill="FFFFFF" w:val="clear"/>
        </w:rPr>
        <w:t>Общий срок поставки Товара:</w:t>
      </w:r>
    </w:p>
    <w:p>
      <w:pPr>
        <w:pStyle w:val="Normal"/>
        <w:numPr>
          <w:ilvl w:val="2"/>
          <w:numId w:val="1"/>
        </w:numPr>
        <w:shd w:val="clear" w:color="auto" w:fill="FFFFFF"/>
        <w:tabs>
          <w:tab w:val="clear" w:pos="709"/>
          <w:tab w:val="left" w:pos="0" w:leader="none"/>
          <w:tab w:val="left" w:pos="1134" w:leader="none"/>
          <w:tab w:val="left" w:pos="1418" w:leader="none"/>
        </w:tabs>
        <w:ind w:left="0" w:right="0" w:firstLine="709"/>
        <w:jc w:val="both"/>
        <w:rPr>
          <w:highlight w:val="none"/>
          <w:shd w:fill="FFFFFF" w:val="clear"/>
        </w:rPr>
      </w:pPr>
      <w:r>
        <w:rPr>
          <w:bCs/>
          <w:sz w:val="24"/>
          <w:szCs w:val="24"/>
          <w:shd w:fill="FFFFFF" w:val="clear"/>
        </w:rPr>
        <w:t>Начало – с даты заключения договора.</w:t>
      </w:r>
    </w:p>
    <w:p>
      <w:pPr>
        <w:pStyle w:val="Normal"/>
        <w:numPr>
          <w:ilvl w:val="2"/>
          <w:numId w:val="1"/>
        </w:numPr>
        <w:shd w:val="clear" w:color="auto" w:fill="FFFFFF"/>
        <w:tabs>
          <w:tab w:val="clear" w:pos="709"/>
          <w:tab w:val="left" w:pos="0" w:leader="none"/>
          <w:tab w:val="left" w:pos="1134" w:leader="none"/>
          <w:tab w:val="left" w:pos="1418" w:leader="none"/>
        </w:tabs>
        <w:ind w:left="0" w:right="0" w:firstLine="709"/>
        <w:jc w:val="both"/>
        <w:rPr>
          <w:highlight w:val="none"/>
          <w:shd w:fill="FFFFFF" w:val="clear"/>
        </w:rPr>
      </w:pPr>
      <w:r>
        <w:rPr>
          <w:bCs/>
          <w:sz w:val="24"/>
          <w:szCs w:val="24"/>
          <w:shd w:fill="FFFFFF" w:val="clear"/>
        </w:rPr>
        <w:t>Окончание – «28» февраля 2029 г.</w:t>
      </w:r>
    </w:p>
    <w:p>
      <w:pPr>
        <w:pStyle w:val="Normal"/>
        <w:numPr>
          <w:ilvl w:val="1"/>
          <w:numId w:val="1"/>
        </w:numPr>
        <w:shd w:val="clear" w:color="auto" w:fill="FFFFFF"/>
        <w:tabs>
          <w:tab w:val="clear" w:pos="709"/>
          <w:tab w:val="left" w:pos="0" w:leader="none"/>
          <w:tab w:val="left" w:pos="1134" w:leader="none"/>
        </w:tabs>
        <w:ind w:left="0" w:right="0" w:firstLine="709"/>
        <w:jc w:val="both"/>
        <w:rPr>
          <w:highlight w:val="none"/>
          <w:shd w:fill="FFFFFF" w:val="clear"/>
        </w:rPr>
      </w:pPr>
      <w:r>
        <w:rPr>
          <w:bCs/>
          <w:sz w:val="24"/>
          <w:szCs w:val="24"/>
          <w:shd w:fill="FFFFFF" w:val="clear"/>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p>
    <w:p>
      <w:pPr>
        <w:pStyle w:val="Normal"/>
        <w:shd w:val="clear" w:color="auto" w:fill="FFFFFF"/>
        <w:tabs>
          <w:tab w:val="clear" w:pos="709"/>
          <w:tab w:val="left" w:pos="540" w:leader="none"/>
        </w:tabs>
        <w:ind w:left="1134" w:right="0" w:hanging="0"/>
        <w:jc w:val="both"/>
        <w:rPr>
          <w:sz w:val="24"/>
          <w:szCs w:val="24"/>
          <w:highlight w:val="none"/>
          <w:shd w:fill="FFFFFF" w:val="clear"/>
        </w:rPr>
      </w:pPr>
      <w:r>
        <w:rPr>
          <w:sz w:val="24"/>
          <w:szCs w:val="24"/>
          <w:shd w:fill="FFFFFF" w:val="clear"/>
        </w:rPr>
      </w:r>
    </w:p>
    <w:p>
      <w:pPr>
        <w:pStyle w:val="Normal"/>
        <w:numPr>
          <w:ilvl w:val="0"/>
          <w:numId w:val="1"/>
        </w:numPr>
        <w:shd w:val="clear" w:color="auto" w:fill="FFFFFF"/>
        <w:tabs>
          <w:tab w:val="clear" w:pos="709"/>
          <w:tab w:val="left" w:pos="284" w:leader="none"/>
        </w:tabs>
        <w:ind w:left="0" w:right="0" w:hanging="0"/>
        <w:jc w:val="center"/>
        <w:rPr>
          <w:highlight w:val="none"/>
          <w:shd w:fill="FFFFFF" w:val="clear"/>
        </w:rPr>
      </w:pPr>
      <w:r>
        <w:rPr>
          <w:b/>
          <w:bCs/>
          <w:sz w:val="24"/>
          <w:szCs w:val="24"/>
          <w:shd w:fill="FFFFFF" w:val="clear"/>
        </w:rPr>
        <w:t>Цена Договора и порядок расчетов</w:t>
      </w:r>
    </w:p>
    <w:p>
      <w:pPr>
        <w:pStyle w:val="Norma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sz w:val="24"/>
          <w:szCs w:val="24"/>
          <w:shd w:fill="FFFFFF" w:val="clear"/>
        </w:rPr>
        <w:t xml:space="preserve">Цена Договора в соответствии со Спецификацией </w:t>
      </w:r>
      <w:r>
        <w:rPr>
          <w:bCs/>
          <w:sz w:val="24"/>
          <w:szCs w:val="24"/>
          <w:shd w:fill="FFFFFF" w:val="clear"/>
        </w:rPr>
        <w:t>(Приложение №1 к Договору)</w:t>
      </w:r>
      <w:r>
        <w:rPr>
          <w:sz w:val="24"/>
          <w:szCs w:val="24"/>
          <w:shd w:fill="FFFFFF" w:val="clear"/>
        </w:rPr>
        <w:t xml:space="preserve"> </w:t>
      </w:r>
      <w:r>
        <w:rPr>
          <w:bCs/>
          <w:sz w:val="24"/>
          <w:szCs w:val="24"/>
          <w:shd w:fill="FFFFFF" w:val="clear"/>
        </w:rPr>
        <w:t>является  твердой</w:t>
      </w:r>
      <w:r>
        <w:rPr>
          <w:rStyle w:val="FootnoteReference"/>
          <w:bCs/>
          <w:sz w:val="24"/>
          <w:szCs w:val="24"/>
          <w:shd w:fill="FFFFFF" w:val="clear"/>
          <w:vertAlign w:val="superscript"/>
        </w:rPr>
        <w:footnoteReference w:id="2"/>
      </w:r>
      <w:r>
        <w:rPr>
          <w:bCs/>
          <w:sz w:val="24"/>
          <w:szCs w:val="24"/>
          <w:shd w:fill="FFFFFF" w:val="clear"/>
        </w:rPr>
        <w:t xml:space="preserve"> и составляет ________________</w:t>
      </w:r>
      <w:r>
        <w:rPr>
          <w:rFonts w:cs="Times New Roman"/>
          <w:bCs/>
          <w:color w:val="000000"/>
          <w:sz w:val="24"/>
          <w:szCs w:val="24"/>
          <w:shd w:fill="FFFFFF" w:val="clear"/>
        </w:rPr>
        <w:t>, в том ч</w:t>
      </w:r>
      <w:r>
        <w:rPr>
          <w:rFonts w:cs="Times New Roman"/>
          <w:bCs/>
          <w:color w:val="000000"/>
          <w:sz w:val="24"/>
          <w:szCs w:val="24"/>
        </w:rPr>
        <w:t>исле НДС (22%) составляет ____________________.</w:t>
      </w:r>
    </w:p>
    <w:p>
      <w:pPr>
        <w:pStyle w:val="Norma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1"/>
        </w:numPr>
        <w:shd w:val="clear" w:color="auto" w:fill="FFFFFF"/>
        <w:tabs>
          <w:tab w:val="clear" w:pos="709"/>
          <w:tab w:val="left" w:pos="1418" w:leader="none"/>
        </w:tabs>
        <w:ind w:left="0" w:right="0" w:firstLine="709"/>
        <w:jc w:val="both"/>
        <w:rPr>
          <w:bCs/>
          <w:sz w:val="24"/>
          <w:szCs w:val="24"/>
        </w:rPr>
      </w:pPr>
      <w:r>
        <w:rPr>
          <w:bCs/>
          <w:sz w:val="24"/>
          <w:szCs w:val="24"/>
        </w:rPr>
        <w:t>производство и / или приобретение Товара;</w:t>
      </w:r>
    </w:p>
    <w:p>
      <w:pPr>
        <w:pStyle w:val="ListParagraph"/>
        <w:shd w:val="clear" w:color="auto" w:fill="FFFFFF"/>
        <w:tabs>
          <w:tab w:val="clear" w:pos="709"/>
          <w:tab w:val="left" w:pos="1418" w:leader="none"/>
        </w:tabs>
        <w:ind w:left="0" w:right="0" w:firstLine="709"/>
        <w:jc w:val="both"/>
        <w:rPr>
          <w:bCs/>
          <w:sz w:val="24"/>
          <w:szCs w:val="24"/>
        </w:rPr>
      </w:pPr>
      <w:r>
        <w:rPr>
          <w:bCs/>
          <w:sz w:val="24"/>
          <w:szCs w:val="24"/>
        </w:rPr>
        <w:t>2.2.2. транспортировку Товара до Места поставки, погрузку</w:t>
      </w:r>
      <w:r>
        <w:rPr>
          <w:bCs/>
          <w:sz w:val="24"/>
          <w:szCs w:val="24"/>
          <w:shd w:fill="FFFFFF" w:val="clear"/>
        </w:rPr>
        <w:t xml:space="preserve">, стоимость тары и упаковки, лицензий, необходимых для использования Товара (если применимо); </w:t>
      </w:r>
    </w:p>
    <w:p>
      <w:pPr>
        <w:pStyle w:val="Normal"/>
        <w:shd w:val="clear" w:color="auto" w:fill="FFFFFF"/>
        <w:tabs>
          <w:tab w:val="clear" w:pos="709"/>
          <w:tab w:val="left" w:pos="1418" w:leader="none"/>
        </w:tabs>
        <w:ind w:left="0" w:right="0" w:firstLine="709"/>
        <w:jc w:val="both"/>
        <w:rPr>
          <w:bCs/>
          <w:sz w:val="24"/>
          <w:szCs w:val="24"/>
        </w:rPr>
      </w:pPr>
      <w:r>
        <w:rPr>
          <w:bCs/>
          <w:sz w:val="24"/>
          <w:szCs w:val="24"/>
        </w:rPr>
        <w:t>2.2.3. 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shd w:val="clear" w:color="auto" w:fill="FFFFFF"/>
        <w:tabs>
          <w:tab w:val="clear" w:pos="709"/>
          <w:tab w:val="left" w:pos="1418" w:leader="none"/>
        </w:tabs>
        <w:ind w:left="0" w:right="0" w:firstLine="709"/>
        <w:jc w:val="both"/>
        <w:rPr>
          <w:bCs/>
          <w:sz w:val="24"/>
          <w:szCs w:val="24"/>
        </w:rPr>
      </w:pPr>
      <w:r>
        <w:rPr>
          <w:bCs/>
          <w:sz w:val="24"/>
          <w:szCs w:val="24"/>
        </w:rPr>
        <w:t xml:space="preserve">2.2.4. заработную плату, накладные и командировочные расходы, перемещение и размещение персонала Поставщика; </w:t>
      </w:r>
    </w:p>
    <w:p>
      <w:pPr>
        <w:pStyle w:val="Normal"/>
        <w:numPr>
          <w:ilvl w:val="0"/>
          <w:numId w:val="0"/>
        </w:numPr>
        <w:shd w:val="clear" w:color="auto" w:fill="FFFFFF"/>
        <w:tabs>
          <w:tab w:val="clear" w:pos="709"/>
          <w:tab w:val="left" w:pos="1418" w:leader="none"/>
        </w:tabs>
        <w:ind w:left="0" w:right="0" w:hanging="0"/>
        <w:jc w:val="both"/>
        <w:rPr>
          <w:bCs/>
          <w:sz w:val="24"/>
          <w:szCs w:val="24"/>
        </w:rPr>
      </w:pPr>
      <w:r>
        <w:rPr>
          <w:bCs/>
          <w:sz w:val="24"/>
          <w:szCs w:val="24"/>
        </w:rPr>
        <w:t xml:space="preserve">      </w:t>
      </w:r>
      <w:r>
        <w:rPr>
          <w:bCs/>
          <w:sz w:val="24"/>
          <w:szCs w:val="24"/>
        </w:rPr>
        <w:t>2.2.5. 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p>
    <w:p>
      <w:pPr>
        <w:pStyle w:val="Normal"/>
        <w:numPr>
          <w:ilvl w:val="1"/>
          <w:numId w:val="1"/>
        </w:numPr>
        <w:shd w:val="clear" w:color="auto" w:fill="FFFFFF"/>
        <w:tabs>
          <w:tab w:val="clear" w:pos="709"/>
          <w:tab w:val="left" w:pos="568" w:leader="none"/>
          <w:tab w:val="left" w:pos="1134" w:leader="none"/>
        </w:tabs>
        <w:ind w:left="0" w:right="0" w:firstLine="709"/>
        <w:jc w:val="both"/>
        <w:rPr>
          <w:sz w:val="24"/>
          <w:szCs w:val="24"/>
        </w:rPr>
      </w:pPr>
      <w:r>
        <w:rPr>
          <w:sz w:val="24"/>
          <w:szCs w:val="24"/>
        </w:rPr>
        <w:t>Изменение цены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1"/>
        </w:numPr>
        <w:shd w:val="clear" w:color="auto" w:fill="FFFFFF"/>
        <w:tabs>
          <w:tab w:val="clear" w:pos="709"/>
          <w:tab w:val="left" w:pos="0" w:leader="none"/>
          <w:tab w:val="left" w:pos="1134" w:leader="none"/>
        </w:tabs>
        <w:ind w:left="0" w:righ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1"/>
        </w:numPr>
        <w:shd w:val="clear" w:color="auto" w:fill="FFFFFF"/>
        <w:tabs>
          <w:tab w:val="clear" w:pos="709"/>
          <w:tab w:val="left" w:pos="0" w:leader="none"/>
          <w:tab w:val="left" w:pos="1418" w:leader="none"/>
        </w:tabs>
        <w:ind w:left="0" w:righ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Normal"/>
        <w:numPr>
          <w:ilvl w:val="0"/>
          <w:numId w:val="0"/>
        </w:numPr>
        <w:tabs>
          <w:tab w:val="clear" w:pos="709"/>
          <w:tab w:val="left" w:pos="1701" w:leader="none"/>
        </w:tabs>
        <w:ind w:left="0" w:hanging="0"/>
        <w:jc w:val="both"/>
        <w:rPr>
          <w:sz w:val="24"/>
          <w:szCs w:val="24"/>
        </w:rPr>
      </w:pPr>
      <w:r>
        <w:rPr>
          <w:b w:val="false"/>
          <w:i w:val="false"/>
          <w:caps w:val="false"/>
          <w:smallCaps w:val="false"/>
          <w:spacing w:val="0"/>
          <w:sz w:val="24"/>
          <w:szCs w:val="24"/>
        </w:rPr>
        <w:t xml:space="preserve">      </w:t>
      </w:r>
      <w:r>
        <w:rPr>
          <w:b w:val="false"/>
          <w:i w:val="false"/>
          <w:caps w:val="false"/>
          <w:smallCaps w:val="false"/>
          <w:spacing w:val="0"/>
          <w:sz w:val="24"/>
          <w:szCs w:val="24"/>
        </w:rPr>
        <w:t>2.4.2. Авансовые платежи за каждую партию Товара в размере 50 (пятьдесят) процентов от</w:t>
      </w:r>
      <w:r>
        <w:rPr>
          <w:caps w:val="false"/>
          <w:smallCaps w:val="false"/>
          <w:spacing w:val="0"/>
          <w:sz w:val="24"/>
          <w:szCs w:val="24"/>
        </w:rPr>
        <w:t xml:space="preserve"> </w:t>
      </w:r>
      <w:r>
        <w:rPr>
          <w:b w:val="false"/>
          <w:i w:val="false"/>
          <w:caps w:val="false"/>
          <w:smallCaps w:val="false"/>
          <w:spacing w:val="0"/>
          <w:sz w:val="24"/>
          <w:szCs w:val="24"/>
        </w:rPr>
        <w:t xml:space="preserve">стоимости соответствующей партии Товара выплачиваются Поставщику  </w:t>
      </w:r>
      <w:r>
        <w:rPr>
          <w:b w:val="false"/>
          <w:bCs w:val="false"/>
          <w:sz w:val="24"/>
          <w:szCs w:val="24"/>
          <w:shd w:fill="auto" w:val="clear"/>
        </w:rPr>
        <w:t>в течение 30 (тридцати) календарных дней с даты получения Покупателем счета, выставленного Поставщиком, при условии получения Покупателем уведомления от Поставщика о начале изготовления соответствующей партии товара и счета, но не ранее 30 (тридцати) календарных дней до даты начала изготовления партии товара (согласно календарному графику авансирования по Договору Приложение № 6.</w:t>
      </w:r>
    </w:p>
    <w:p>
      <w:pPr>
        <w:pStyle w:val="ListParagraph"/>
        <w:numPr>
          <w:ilvl w:val="0"/>
          <w:numId w:val="0"/>
        </w:numPr>
        <w:shd w:val="clear" w:color="auto" w:fill="FFFFFF"/>
        <w:tabs>
          <w:tab w:val="clear" w:pos="709"/>
        </w:tabs>
        <w:ind w:left="0" w:right="0" w:hanging="0"/>
        <w:jc w:val="both"/>
        <w:rPr>
          <w:highlight w:val="none"/>
          <w:shd w:fill="FFFFFF" w:val="clear"/>
        </w:rPr>
      </w:pPr>
      <w:r>
        <w:rPr>
          <w:sz w:val="24"/>
          <w:shd w:fill="FFFFFF" w:val="clear"/>
        </w:rPr>
        <w:t xml:space="preserve">      </w:t>
      </w:r>
      <w:r>
        <w:rPr>
          <w:sz w:val="24"/>
          <w:shd w:fill="FFFFFF" w:val="clear"/>
        </w:rPr>
        <w:t xml:space="preserve">2.4.3.    </w:t>
      </w:r>
      <w:r>
        <w:rPr>
          <w:sz w:val="24"/>
          <w:highlight w:val="white"/>
          <w:shd w:fill="FFFF00" w:val="clear"/>
        </w:rPr>
        <w:t>Последующие платежи в размере 50</w:t>
      </w:r>
      <w:r>
        <w:rPr>
          <w:b w:val="false"/>
          <w:i w:val="false"/>
          <w:caps w:val="false"/>
          <w:smallCaps w:val="false"/>
          <w:spacing w:val="0"/>
          <w:sz w:val="24"/>
          <w:szCs w:val="24"/>
          <w:highlight w:val="white"/>
          <w:shd w:fill="FFFF00" w:val="clear"/>
        </w:rPr>
        <w:t xml:space="preserve"> (пятьдесят) процентов </w:t>
      </w:r>
      <w:r>
        <w:rPr>
          <w:sz w:val="24"/>
          <w:highlight w:val="white"/>
          <w:shd w:fill="FFFF00" w:val="clear"/>
        </w:rPr>
        <w:t>от стоимости партии</w:t>
      </w:r>
      <w:r>
        <w:rPr>
          <w:sz w:val="24"/>
          <w:highlight w:val="white"/>
          <w:shd w:fill="FFFFFF" w:val="clear"/>
        </w:rPr>
        <w:t xml:space="preserve"> </w:t>
      </w:r>
      <w:r>
        <w:rPr>
          <w:sz w:val="24"/>
          <w:highlight w:val="white"/>
          <w:shd w:fill="FFFF00" w:val="clear"/>
        </w:rPr>
        <w:t xml:space="preserve">Товара выплачиваются Поставщику в течение </w:t>
      </w:r>
      <w:r>
        <w:rPr>
          <w:b w:val="false"/>
          <w:bCs w:val="false"/>
          <w:iCs w:val="false"/>
          <w:sz w:val="24"/>
          <w:szCs w:val="24"/>
          <w:highlight w:val="white"/>
          <w:shd w:fill="FFFF00" w:val="clear"/>
        </w:rPr>
        <w:t>45 (сорока пяти) календарных дней/</w:t>
      </w:r>
      <w:r>
        <w:rPr>
          <w:sz w:val="24"/>
          <w:highlight w:val="white"/>
          <w:shd w:fill="FFFF00" w:val="clear"/>
        </w:rPr>
        <w:t xml:space="preserve"> 7 (семи)</w:t>
      </w:r>
      <w:r>
        <w:rPr>
          <w:sz w:val="24"/>
          <w:highlight w:val="white"/>
          <w:shd w:fill="FFFFFF" w:val="clear"/>
        </w:rPr>
        <w:t xml:space="preserve"> </w:t>
      </w:r>
      <w:r>
        <w:rPr>
          <w:sz w:val="24"/>
          <w:highlight w:val="white"/>
          <w:shd w:fill="FFFF00" w:val="clear"/>
        </w:rPr>
        <w:t>рабочих</w:t>
      </w:r>
      <w:r>
        <w:rPr>
          <w:sz w:val="24"/>
          <w:highlight w:val="white"/>
          <w:shd w:fill="FFFFFF" w:val="clear"/>
        </w:rPr>
        <w:t xml:space="preserve"> </w:t>
      </w:r>
      <w:r>
        <w:rPr>
          <w:sz w:val="24"/>
          <w:highlight w:val="white"/>
          <w:shd w:fill="FFFF00" w:val="clear"/>
        </w:rPr>
        <w:t>дней</w:t>
      </w:r>
      <w:r>
        <w:rPr>
          <w:rStyle w:val="FootnoteReference"/>
          <w:sz w:val="24"/>
          <w:highlight w:val="white"/>
          <w:shd w:fill="FFFF00" w:val="clear"/>
        </w:rPr>
        <w:footnoteReference w:id="3"/>
      </w:r>
      <w:r>
        <w:rPr>
          <w:sz w:val="24"/>
          <w:highlight w:val="white"/>
          <w:shd w:fill="FFFF00" w:val="clear"/>
        </w:rPr>
        <w:t xml:space="preserve"> с даты подписания Сторонами УПД, на основании счета, выставленного Поставщиком,</w:t>
      </w:r>
      <w:r>
        <w:rPr>
          <w:sz w:val="24"/>
          <w:highlight w:val="white"/>
          <w:shd w:fill="FFFFFF" w:val="clear"/>
        </w:rPr>
        <w:t xml:space="preserve"> </w:t>
      </w:r>
      <w:r>
        <w:rPr>
          <w:sz w:val="24"/>
          <w:highlight w:val="white"/>
          <w:shd w:fill="FFFF00" w:val="clear"/>
        </w:rPr>
        <w:t>и с учетом пункта 2.4.4 Договора.</w:t>
      </w:r>
      <w:r>
        <w:rPr>
          <w:sz w:val="24"/>
          <w:shd w:fill="FFFFFF" w:val="clear"/>
        </w:rPr>
        <w:t xml:space="preserve"> </w:t>
      </w:r>
    </w:p>
    <w:p>
      <w:pPr>
        <w:pStyle w:val="ListParagraph"/>
        <w:widowControl/>
        <w:numPr>
          <w:ilvl w:val="0"/>
          <w:numId w:val="0"/>
        </w:numPr>
        <w:shd w:val="clear" w:color="auto" w:fill="FFFFFF"/>
        <w:tabs>
          <w:tab w:val="clear" w:pos="709"/>
          <w:tab w:val="left" w:pos="0" w:leader="none"/>
          <w:tab w:val="left" w:pos="1418" w:leader="none"/>
        </w:tabs>
        <w:ind w:left="0" w:right="0" w:hanging="0"/>
        <w:jc w:val="both"/>
        <w:rPr>
          <w:sz w:val="24"/>
          <w:szCs w:val="24"/>
        </w:rPr>
      </w:pPr>
      <w:r>
        <w:rPr>
          <w:sz w:val="24"/>
          <w:szCs w:val="24"/>
          <w:shd w:fill="FFFFFF" w:val="clear"/>
        </w:rPr>
        <w:t xml:space="preserve">    </w:t>
      </w:r>
      <w:r>
        <w:rPr>
          <w:sz w:val="24"/>
          <w:szCs w:val="24"/>
          <w:shd w:fill="FFFFFF" w:val="clear"/>
        </w:rPr>
        <w:t xml:space="preserve">2.4.4. В случае выставления Поставщиком счета на сумму менее размера предусмотренного Договором платежа, оплата осуществляется по сумме </w:t>
      </w:r>
      <w:r>
        <w:rPr>
          <w:sz w:val="24"/>
          <w:szCs w:val="24"/>
        </w:rPr>
        <w:t>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0"/>
          <w:numId w:val="0"/>
        </w:numPr>
        <w:shd w:val="clear" w:color="auto" w:fill="FFFFFF"/>
        <w:tabs>
          <w:tab w:val="clear" w:pos="709"/>
          <w:tab w:val="left" w:pos="0" w:leader="none"/>
          <w:tab w:val="left" w:pos="1418" w:leader="none"/>
        </w:tabs>
        <w:ind w:left="0" w:right="0" w:hanging="0"/>
        <w:jc w:val="both"/>
        <w:rPr>
          <w:highlight w:val="none"/>
          <w:shd w:fill="auto" w:val="clear"/>
        </w:rPr>
      </w:pPr>
      <w:r>
        <w:rPr>
          <w:bCs/>
          <w:sz w:val="24"/>
          <w:szCs w:val="24"/>
          <w:shd w:fill="auto" w:val="clear"/>
        </w:rPr>
        <w:t xml:space="preserve">    </w:t>
      </w:r>
      <w:r>
        <w:rPr>
          <w:bCs/>
          <w:color w:val="000000"/>
          <w:sz w:val="24"/>
          <w:szCs w:val="24"/>
          <w:shd w:fill="auto" w:val="clear"/>
        </w:rPr>
        <w:t xml:space="preserve">2.4.5. </w:t>
      </w:r>
      <w:bookmarkStart w:id="0" w:name="_Ref373242894"/>
      <w:r>
        <w:rPr>
          <w:bCs/>
          <w:color w:val="000000"/>
          <w:sz w:val="24"/>
          <w:szCs w:val="24"/>
          <w:shd w:fill="auto" w:val="clear"/>
        </w:rPr>
        <w:t>Покупатель впр</w:t>
      </w:r>
      <w:r>
        <w:rPr>
          <w:bCs/>
          <w:sz w:val="24"/>
          <w:szCs w:val="24"/>
          <w:shd w:fill="auto" w:val="clear"/>
        </w:rPr>
        <w:t xml:space="preserve">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shd w:fill="auto" w:val="clear"/>
        </w:rPr>
        <w:t>предоставил</w:t>
      </w:r>
      <w:r>
        <w:rPr>
          <w:bCs/>
          <w:sz w:val="24"/>
          <w:szCs w:val="24"/>
          <w:shd w:fill="auto" w:val="clear"/>
        </w:rPr>
        <w:t xml:space="preserve"> финансового обеспечения исполнения обязательств, </w:t>
      </w:r>
      <w:r>
        <w:rPr>
          <w:b w:val="false"/>
          <w:bCs/>
          <w:i w:val="false"/>
          <w:caps w:val="false"/>
          <w:smallCaps w:val="false"/>
          <w:spacing w:val="0"/>
          <w:sz w:val="24"/>
          <w:szCs w:val="24"/>
          <w:shd w:fill="auto" w:val="clear"/>
        </w:rPr>
        <w:t>предусмотренного пунктом 2.4.1 Договора,</w:t>
      </w:r>
      <w:r>
        <w:rPr>
          <w:bCs/>
          <w:sz w:val="24"/>
          <w:szCs w:val="24"/>
          <w:shd w:fill="auto" w:val="clear"/>
        </w:rPr>
        <w:t xml:space="preserve"> в установленный срок и при этом не приступил к исполнению обязательств по Договору.</w:t>
      </w:r>
      <w:bookmarkEnd w:id="0"/>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1"/>
        </w:numPr>
        <w:shd w:val="clear" w:color="auto" w:fill="FFFFFF"/>
        <w:tabs>
          <w:tab w:val="clear" w:pos="709"/>
          <w:tab w:val="left" w:pos="0" w:leader="none"/>
          <w:tab w:val="left" w:pos="567" w:leader="none"/>
          <w:tab w:val="left" w:pos="716" w:leader="none"/>
          <w:tab w:val="left" w:pos="1134" w:leader="none"/>
        </w:tabs>
        <w:ind w:left="0" w:right="0" w:firstLine="709"/>
        <w:jc w:val="both"/>
        <w:rPr>
          <w:sz w:val="24"/>
          <w:szCs w:val="24"/>
        </w:rPr>
      </w:pPr>
      <w:r>
        <w:rPr>
          <w:sz w:val="24"/>
          <w:szCs w:val="24"/>
        </w:rPr>
        <w:t>Индексация Цены Договора не допускается.</w:t>
      </w:r>
    </w:p>
    <w:p>
      <w:pPr>
        <w:pStyle w:val="Normal"/>
        <w:numPr>
          <w:ilvl w:val="1"/>
          <w:numId w:val="1"/>
        </w:numPr>
        <w:shd w:val="clear" w:color="auto" w:fill="FFFFFF"/>
        <w:tabs>
          <w:tab w:val="clear" w:pos="709"/>
          <w:tab w:val="left" w:pos="0" w:leader="none"/>
          <w:tab w:val="left" w:pos="567" w:leader="none"/>
          <w:tab w:val="left" w:pos="716" w:leader="none"/>
          <w:tab w:val="left" w:pos="1134" w:leader="none"/>
        </w:tabs>
        <w:ind w:left="0" w:right="0" w:firstLine="709"/>
        <w:jc w:val="both"/>
        <w:rPr>
          <w:sz w:val="24"/>
          <w:szCs w:val="24"/>
        </w:rPr>
      </w:pPr>
      <w:r>
        <w:rPr>
          <w:sz w:val="24"/>
          <w:szCs w:val="24"/>
        </w:rPr>
        <w:t>Поставщик обязан представить Покупателю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счет-фактуру,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
        </w:numPr>
        <w:tabs>
          <w:tab w:val="clear" w:pos="709"/>
          <w:tab w:val="left" w:pos="1134" w:leader="none"/>
        </w:tabs>
        <w:ind w:left="0" w:righ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1"/>
        </w:numPr>
        <w:shd w:val="clear" w:color="auto" w:fill="FFFFFF"/>
        <w:tabs>
          <w:tab w:val="clear" w:pos="709"/>
          <w:tab w:val="left" w:pos="0" w:leader="none"/>
          <w:tab w:val="left" w:pos="567" w:leader="none"/>
          <w:tab w:val="left" w:pos="716" w:leader="none"/>
          <w:tab w:val="left" w:pos="1134" w:leader="none"/>
          <w:tab w:val="left" w:pos="1276" w:leader="none"/>
        </w:tabs>
        <w:ind w:left="0" w:righ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w:t>
      </w:r>
      <w:bookmarkStart w:id="1" w:name="_GoBack"/>
      <w:bookmarkEnd w:id="1"/>
      <w:r>
        <w:rPr>
          <w:sz w:val="24"/>
        </w:rPr>
        <w:t>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left="0" w:right="0"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1"/>
        </w:numPr>
        <w:shd w:val="clear" w:color="auto" w:fill="FFFFFF"/>
        <w:tabs>
          <w:tab w:val="clear" w:pos="709"/>
          <w:tab w:val="left" w:pos="284" w:leader="none"/>
        </w:tabs>
        <w:ind w:left="0" w:right="0" w:hanging="0"/>
        <w:jc w:val="center"/>
        <w:rPr>
          <w:b/>
          <w:bCs/>
          <w:sz w:val="24"/>
          <w:szCs w:val="24"/>
        </w:rPr>
      </w:pPr>
      <w:r>
        <w:rPr>
          <w:b/>
          <w:bCs/>
          <w:sz w:val="24"/>
          <w:szCs w:val="24"/>
        </w:rPr>
        <w:t>Порядок поставки и приемки Товара</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r>
        <w:rPr>
          <w:sz w:val="24"/>
          <w:szCs w:val="24"/>
        </w:rPr>
        <w:t xml:space="preserve">Поставка Товара осуществляется партиями в Место поставки, указанное в спецификации (Приложение№ 1 к  Договору). </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w:t>
      </w:r>
      <w:r>
        <w:rPr>
          <w:bCs/>
          <w:sz w:val="24"/>
          <w:szCs w:val="24"/>
          <w:shd w:fill="FFFFFF" w:val="clear"/>
        </w:rPr>
        <w:t>ции (Приложение № 1 к Договору), а также Применимого права.</w:t>
      </w:r>
    </w:p>
    <w:p>
      <w:pPr>
        <w:pStyle w:val="Normal"/>
        <w:widowControl/>
        <w:shd w:val="clear" w:color="auto" w:fill="FFFFFF"/>
        <w:tabs>
          <w:tab w:val="clear" w:pos="709"/>
          <w:tab w:val="left" w:pos="1134" w:leader="none"/>
        </w:tabs>
        <w:ind w:left="0" w:right="0" w:firstLine="709"/>
        <w:jc w:val="both"/>
        <w:rPr>
          <w:highlight w:val="none"/>
          <w:shd w:fill="FFFFFF" w:val="clear"/>
        </w:rPr>
      </w:pPr>
      <w:r>
        <w:rPr>
          <w:bCs/>
          <w:sz w:val="24"/>
          <w:szCs w:val="24"/>
          <w:shd w:fill="FFFFFF" w:val="clear"/>
        </w:rPr>
        <w:t xml:space="preserve">Поставщик не вправе производить </w:t>
      </w:r>
      <w:r>
        <w:rPr>
          <w:sz w:val="24"/>
          <w:szCs w:val="24"/>
          <w:shd w:fill="FFFFFF" w:val="clear"/>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r>
        <w:rPr>
          <w:bCs/>
          <w:sz w:val="24"/>
          <w:szCs w:val="24"/>
          <w:shd w:fill="FFFFFF" w:val="clear"/>
        </w:rPr>
        <w:t>Поставляемый Товар должен быть новым, не бывшим в</w:t>
      </w:r>
      <w:r>
        <w:rPr>
          <w:bCs/>
          <w:sz w:val="24"/>
          <w:szCs w:val="24"/>
        </w:rPr>
        <w:t xml:space="preserve">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1"/>
        </w:numPr>
        <w:shd w:val="clear" w:color="auto" w:fill="FFFFFF"/>
        <w:tabs>
          <w:tab w:val="clear" w:pos="709"/>
          <w:tab w:val="left" w:pos="1134" w:leader="none"/>
        </w:tabs>
        <w:ind w:left="0" w:right="0" w:firstLine="709"/>
        <w:jc w:val="both"/>
        <w:rPr>
          <w:highlight w:val="none"/>
          <w:shd w:fill="FFFFFF" w:val="clear"/>
        </w:rPr>
      </w:pPr>
      <w:r>
        <w:rPr>
          <w:bCs/>
          <w:sz w:val="24"/>
          <w:szCs w:val="24"/>
          <w:shd w:fill="FFFFFF" w:val="clear"/>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3"/>
        </w:numPr>
        <w:tabs>
          <w:tab w:val="clear" w:pos="709"/>
          <w:tab w:val="left" w:pos="1418" w:leader="none"/>
        </w:tabs>
        <w:ind w:left="0" w:right="0" w:firstLine="709"/>
        <w:jc w:val="both"/>
        <w:rPr>
          <w:highlight w:val="none"/>
          <w:shd w:fill="FFFFFF" w:val="clear"/>
        </w:rPr>
      </w:pPr>
      <w:r>
        <w:rPr>
          <w:sz w:val="24"/>
          <w:szCs w:val="24"/>
          <w:shd w:fill="FFFFFF" w:val="clear"/>
        </w:rPr>
        <w:t>сертификат качества в _3(трех) экз.;</w:t>
      </w:r>
    </w:p>
    <w:p>
      <w:pPr>
        <w:pStyle w:val="Normal"/>
        <w:numPr>
          <w:ilvl w:val="0"/>
          <w:numId w:val="3"/>
        </w:numPr>
        <w:tabs>
          <w:tab w:val="clear" w:pos="709"/>
          <w:tab w:val="left" w:pos="1418" w:leader="none"/>
        </w:tabs>
        <w:ind w:left="0" w:right="0" w:firstLine="709"/>
        <w:jc w:val="both"/>
        <w:rPr>
          <w:highlight w:val="none"/>
          <w:shd w:fill="FFFFFF" w:val="clear"/>
        </w:rPr>
      </w:pPr>
      <w:r>
        <w:rPr>
          <w:sz w:val="24"/>
          <w:szCs w:val="24"/>
          <w:shd w:fill="FFFFFF" w:val="clear"/>
        </w:rPr>
        <w:t>технический паспорт на русском языке в _3(трех)  экз.;</w:t>
      </w:r>
    </w:p>
    <w:p>
      <w:pPr>
        <w:pStyle w:val="Normal"/>
        <w:numPr>
          <w:ilvl w:val="0"/>
          <w:numId w:val="3"/>
        </w:numPr>
        <w:tabs>
          <w:tab w:val="clear" w:pos="709"/>
          <w:tab w:val="left" w:pos="1418" w:leader="none"/>
        </w:tabs>
        <w:ind w:left="0" w:right="0" w:firstLine="709"/>
        <w:jc w:val="both"/>
        <w:rPr>
          <w:highlight w:val="none"/>
          <w:shd w:fill="FFFFFF" w:val="clear"/>
        </w:rPr>
      </w:pPr>
      <w:r>
        <w:rPr>
          <w:sz w:val="24"/>
          <w:szCs w:val="24"/>
          <w:shd w:fill="FFFFFF" w:val="clear"/>
        </w:rPr>
        <w:t>инструкция по эксплуатации на русском языке в _3(трех) экз.;</w:t>
      </w:r>
    </w:p>
    <w:p>
      <w:pPr>
        <w:pStyle w:val="Normal"/>
        <w:numPr>
          <w:ilvl w:val="0"/>
          <w:numId w:val="3"/>
        </w:numPr>
        <w:tabs>
          <w:tab w:val="clear" w:pos="709"/>
          <w:tab w:val="left" w:pos="1418" w:leader="none"/>
        </w:tabs>
        <w:ind w:left="0" w:right="0" w:firstLine="709"/>
        <w:jc w:val="both"/>
        <w:rPr>
          <w:highlight w:val="none"/>
          <w:shd w:fill="FFFFFF" w:val="clear"/>
        </w:rPr>
      </w:pPr>
      <w:r>
        <w:rPr>
          <w:sz w:val="24"/>
          <w:szCs w:val="24"/>
          <w:shd w:fill="FFFFFF" w:val="clear"/>
        </w:rPr>
        <w:t>упаковочный лист в_3(трех) экз.;</w:t>
      </w:r>
    </w:p>
    <w:p>
      <w:pPr>
        <w:pStyle w:val="Normal"/>
        <w:numPr>
          <w:ilvl w:val="0"/>
          <w:numId w:val="2"/>
        </w:numPr>
        <w:tabs>
          <w:tab w:val="clear" w:pos="709"/>
          <w:tab w:val="left" w:pos="1418" w:leader="none"/>
        </w:tabs>
        <w:ind w:left="0" w:right="0" w:firstLine="709"/>
        <w:jc w:val="both"/>
        <w:rPr>
          <w:highlight w:val="none"/>
          <w:shd w:fill="FFFFFF" w:val="clear"/>
        </w:rPr>
      </w:pPr>
      <w:r>
        <w:rPr>
          <w:sz w:val="24"/>
          <w:szCs w:val="24"/>
          <w:shd w:fill="FFFFFF"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2"/>
        </w:numPr>
        <w:shd w:val="clear" w:color="auto" w:fill="FFFFFF"/>
        <w:tabs>
          <w:tab w:val="clear" w:pos="709"/>
          <w:tab w:val="left" w:pos="1418" w:leader="none"/>
        </w:tabs>
        <w:ind w:left="0" w:right="0" w:firstLine="709"/>
        <w:jc w:val="both"/>
        <w:rPr>
          <w:highlight w:val="none"/>
          <w:shd w:fill="FFFFFF" w:val="clear"/>
        </w:rPr>
      </w:pPr>
      <w:r>
        <w:rPr>
          <w:sz w:val="24"/>
          <w:szCs w:val="24"/>
          <w:shd w:fill="FFFFFF" w:val="clear"/>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_2_(двух) экз. - по одному экземпляру для каждой Стороны;</w:t>
      </w:r>
    </w:p>
    <w:p>
      <w:pPr>
        <w:pStyle w:val="Normal"/>
        <w:numPr>
          <w:ilvl w:val="0"/>
          <w:numId w:val="2"/>
        </w:numPr>
        <w:shd w:val="clear" w:color="auto" w:fill="FFFFFF"/>
        <w:tabs>
          <w:tab w:val="clear" w:pos="709"/>
          <w:tab w:val="left" w:pos="1418" w:leader="none"/>
        </w:tabs>
        <w:ind w:left="0" w:right="0" w:firstLine="709"/>
        <w:jc w:val="both"/>
        <w:rPr>
          <w:highlight w:val="none"/>
          <w:shd w:fill="FFFFFF" w:val="clear"/>
        </w:rPr>
      </w:pPr>
      <w:r>
        <w:rPr>
          <w:sz w:val="24"/>
          <w:szCs w:val="24"/>
          <w:shd w:fill="FFFFFF" w:val="clear"/>
        </w:rPr>
        <w:t xml:space="preserve"> </w:t>
      </w:r>
      <w:r>
        <w:rPr>
          <w:sz w:val="24"/>
          <w:szCs w:val="24"/>
          <w:shd w:fill="FFFFFF" w:val="clear"/>
        </w:rPr>
        <w:t>УПД  в  _2_(двух) экз. - по одному экземпляру для каждой Стороны.</w:t>
      </w:r>
    </w:p>
    <w:p>
      <w:pPr>
        <w:pStyle w:val="ListParagraph"/>
        <w:widowControl/>
        <w:numPr>
          <w:ilvl w:val="1"/>
          <w:numId w:val="1"/>
        </w:numPr>
        <w:shd w:val="clear" w:color="auto" w:fill="FFFFFF"/>
        <w:tabs>
          <w:tab w:val="clear" w:pos="709"/>
          <w:tab w:val="left" w:pos="1134" w:leader="none"/>
          <w:tab w:val="left" w:pos="1418" w:leader="none"/>
        </w:tabs>
        <w:ind w:left="0" w:right="0" w:firstLine="709"/>
        <w:jc w:val="both"/>
        <w:rPr>
          <w:bCs/>
          <w:sz w:val="24"/>
          <w:szCs w:val="24"/>
        </w:rPr>
      </w:pPr>
      <w:r>
        <w:rPr>
          <w:bCs/>
          <w:sz w:val="24"/>
          <w:szCs w:val="24"/>
          <w:shd w:fill="FFFFFF" w:val="clear"/>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w:t>
      </w:r>
      <w:r>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righ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1"/>
        </w:numPr>
        <w:shd w:val="clear" w:color="auto" w:fill="FFFFFF"/>
        <w:tabs>
          <w:tab w:val="clear" w:pos="709"/>
          <w:tab w:val="left" w:pos="1134" w:leader="none"/>
          <w:tab w:val="left" w:pos="1418" w:leader="none"/>
        </w:tabs>
        <w:ind w:left="0" w:righ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1"/>
        </w:numPr>
        <w:shd w:val="clear" w:color="auto" w:fill="FFFFFF"/>
        <w:tabs>
          <w:tab w:val="clear" w:pos="709"/>
          <w:tab w:val="left" w:pos="1134" w:leader="none"/>
          <w:tab w:val="left" w:pos="1418" w:leader="none"/>
        </w:tabs>
        <w:ind w:left="0" w:righ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right="0" w:firstLine="709"/>
        <w:jc w:val="both"/>
        <w:rPr>
          <w:bCs/>
          <w:sz w:val="24"/>
          <w:szCs w:val="24"/>
        </w:rPr>
      </w:pPr>
      <w:r>
        <w:rPr>
          <w:bCs/>
          <w:sz w:val="24"/>
          <w:szCs w:val="24"/>
        </w:rPr>
        <w:t xml:space="preserve">Отдельные требования к упаковке и маркировке негабаритного Товара, </w:t>
        <w:br/>
        <w:t>а также любые другие специальные требования, помимо установленных в настоящем пункте Договора, указываются Сторонами в Спецификации</w:t>
      </w:r>
      <w:r>
        <w:rPr>
          <w:bCs/>
          <w:sz w:val="24"/>
          <w:szCs w:val="24"/>
          <w:shd w:fill="FFFFFF" w:val="clear"/>
        </w:rPr>
        <w:t xml:space="preserve"> (Приложение № 1 к Договору). </w:t>
      </w:r>
    </w:p>
    <w:p>
      <w:pPr>
        <w:pStyle w:val="ListParagraph"/>
        <w:shd w:val="clear" w:color="auto" w:fill="FFFFFF"/>
        <w:tabs>
          <w:tab w:val="clear" w:pos="709"/>
          <w:tab w:val="left" w:pos="1418" w:leader="none"/>
        </w:tabs>
        <w:ind w:left="0" w:right="0" w:firstLine="709"/>
        <w:jc w:val="both"/>
        <w:rPr>
          <w:highlight w:val="none"/>
          <w:shd w:fill="FFFFFF" w:val="clear"/>
        </w:rPr>
      </w:pPr>
      <w:r>
        <w:rPr>
          <w:bCs/>
          <w:sz w:val="24"/>
          <w:szCs w:val="24"/>
          <w:shd w:fill="FFFFFF" w:val="clear"/>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1"/>
        </w:numPr>
        <w:shd w:val="clear" w:color="auto" w:fill="FFFFFF"/>
        <w:tabs>
          <w:tab w:val="clear" w:pos="709"/>
          <w:tab w:val="left" w:pos="1134" w:leader="none"/>
          <w:tab w:val="left" w:pos="1418" w:leader="none"/>
        </w:tabs>
        <w:ind w:left="0" w:right="0" w:firstLine="709"/>
        <w:jc w:val="both"/>
        <w:rPr>
          <w:highlight w:val="none"/>
          <w:shd w:fill="FFFFFF" w:val="clear"/>
        </w:rPr>
      </w:pPr>
      <w:r>
        <w:rPr>
          <w:sz w:val="24"/>
          <w:szCs w:val="24"/>
          <w:shd w:fill="FFFFFF" w:val="clear"/>
        </w:rPr>
        <w:t xml:space="preserve">Погрузка, доставка, разгрузка и перемещение Товара (в том числе </w:t>
        <w:br/>
        <w:t>по территории Покупателя)</w:t>
      </w:r>
      <w:r>
        <w:rPr>
          <w:rStyle w:val="FootnoteReference"/>
          <w:sz w:val="24"/>
          <w:szCs w:val="24"/>
          <w:shd w:fill="FFFFFF" w:val="clear"/>
          <w:vertAlign w:val="superscript"/>
        </w:rPr>
        <w:footnoteReference w:id="4"/>
      </w:r>
      <w:r>
        <w:rPr>
          <w:sz w:val="24"/>
          <w:szCs w:val="24"/>
          <w:shd w:fill="FFFFFF" w:val="clear"/>
        </w:rPr>
        <w:t xml:space="preserve"> </w:t>
      </w:r>
      <w:r>
        <w:rPr>
          <w:bCs/>
          <w:sz w:val="24"/>
          <w:szCs w:val="24"/>
          <w:shd w:fill="FFFFFF" w:val="clear"/>
        </w:rPr>
        <w:t>осуществляется</w:t>
      </w:r>
      <w:r>
        <w:rPr>
          <w:sz w:val="24"/>
          <w:szCs w:val="24"/>
          <w:shd w:fill="FFFFFF" w:val="clear"/>
        </w:rPr>
        <w:t xml:space="preserve"> Поставщиком. Стоимость погрузки, доставки, разгрузки и перемещения Товара включена в стоимость Товара.</w:t>
      </w:r>
    </w:p>
    <w:p>
      <w:pPr>
        <w:pStyle w:val="ListParagraph"/>
        <w:widowControl/>
        <w:numPr>
          <w:ilvl w:val="1"/>
          <w:numId w:val="1"/>
        </w:numPr>
        <w:shd w:val="clear" w:color="auto" w:fill="FFFFFF"/>
        <w:tabs>
          <w:tab w:val="clear" w:pos="709"/>
          <w:tab w:val="left" w:pos="1134" w:leader="none"/>
        </w:tabs>
        <w:ind w:left="0" w:right="0" w:firstLine="709"/>
        <w:jc w:val="both"/>
        <w:rPr>
          <w:sz w:val="24"/>
          <w:szCs w:val="24"/>
        </w:rPr>
      </w:pPr>
      <w:r>
        <w:rPr>
          <w:sz w:val="24"/>
          <w:szCs w:val="24"/>
          <w:shd w:fill="FFFFFF" w:val="clear"/>
        </w:rPr>
        <w:t>Досрочная поставка Товара допускается только при условии получ</w:t>
      </w:r>
      <w:r>
        <w:rPr>
          <w:sz w:val="24"/>
          <w:szCs w:val="24"/>
        </w:rPr>
        <w:t xml:space="preserve">ения Поставщиком письменного согласия Покупателя. </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bookmarkStart w:id="3" w:name="_Ref361396594"/>
      <w:r>
        <w:rPr>
          <w:sz w:val="24"/>
          <w:szCs w:val="24"/>
        </w:rPr>
        <w:t>Датой поставки партии Товара является дата подписания Сторонами УПД.</w:t>
      </w:r>
      <w:bookmarkEnd w:id="3"/>
      <w:r>
        <w:rPr>
          <w:sz w:val="24"/>
          <w:szCs w:val="24"/>
        </w:rPr>
        <w:t xml:space="preserve"> </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w:t>
      </w:r>
      <w:r>
        <w:rPr>
          <w:sz w:val="24"/>
          <w:szCs w:val="24"/>
          <w:shd w:fill="FFFFFF" w:val="clear"/>
        </w:rPr>
        <w:t xml:space="preserve">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right="0" w:firstLine="709"/>
        <w:jc w:val="both"/>
        <w:rPr>
          <w:highlight w:val="none"/>
          <w:shd w:fill="FFFFFF" w:val="clear"/>
        </w:rPr>
      </w:pPr>
      <w:bookmarkStart w:id="4" w:name="_Ref361408232"/>
      <w:r>
        <w:rPr>
          <w:sz w:val="24"/>
          <w:szCs w:val="24"/>
          <w:shd w:fill="FFFFFF" w:val="clear"/>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shd w:fill="FFFFFF" w:val="clear"/>
        </w:rPr>
        <w:t xml:space="preserve"> </w:t>
      </w:r>
    </w:p>
    <w:p>
      <w:pPr>
        <w:pStyle w:val="ListParagraph"/>
        <w:widowControl/>
        <w:numPr>
          <w:ilvl w:val="1"/>
          <w:numId w:val="1"/>
        </w:numPr>
        <w:shd w:val="clear" w:color="auto" w:fill="FFFFFF"/>
        <w:tabs>
          <w:tab w:val="clear" w:pos="709"/>
          <w:tab w:val="left" w:pos="1418" w:leader="none"/>
        </w:tabs>
        <w:ind w:left="0" w:right="0" w:firstLine="709"/>
        <w:jc w:val="both"/>
        <w:rPr>
          <w:highlight w:val="none"/>
          <w:shd w:fill="FFFFFF" w:val="clear"/>
        </w:rPr>
      </w:pPr>
      <w:r>
        <w:rPr>
          <w:sz w:val="24"/>
          <w:szCs w:val="24"/>
          <w:shd w:fill="FFFFFF" w:val="clear"/>
        </w:rPr>
        <w:t xml:space="preserve">Приемка партии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УПД.</w:t>
      </w:r>
    </w:p>
    <w:p>
      <w:pPr>
        <w:pStyle w:val="Normal"/>
        <w:numPr>
          <w:ilvl w:val="1"/>
          <w:numId w:val="1"/>
        </w:numPr>
        <w:shd w:val="clear" w:color="auto" w:fill="FFFFFF"/>
        <w:tabs>
          <w:tab w:val="clear" w:pos="709"/>
          <w:tab w:val="left" w:pos="568" w:leader="none"/>
          <w:tab w:val="left" w:pos="1134" w:leader="none"/>
          <w:tab w:val="left" w:pos="1418" w:leader="none"/>
        </w:tabs>
        <w:ind w:left="0" w:right="0" w:firstLine="709"/>
        <w:jc w:val="both"/>
        <w:rPr>
          <w:sz w:val="24"/>
          <w:szCs w:val="24"/>
        </w:rPr>
      </w:pPr>
      <w:r>
        <w:rPr>
          <w:sz w:val="24"/>
          <w:szCs w:val="24"/>
          <w:shd w:fill="FFFFFF" w:val="clear"/>
        </w:rPr>
        <w:t>В случае обнаружения внутри тары и упаковки н</w:t>
      </w:r>
      <w:r>
        <w:rPr>
          <w:sz w:val="24"/>
          <w:szCs w:val="24"/>
        </w:rPr>
        <w:t xml:space="preserve">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left="0" w:right="0"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left="0" w:right="0"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1"/>
        </w:numPr>
        <w:shd w:val="clear" w:color="auto" w:fill="FFFFFF"/>
        <w:tabs>
          <w:tab w:val="clear" w:pos="709"/>
          <w:tab w:val="left" w:pos="1418" w:leader="none"/>
        </w:tabs>
        <w:ind w:left="0" w:righ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left="0" w:right="0" w:firstLine="709"/>
        <w:jc w:val="both"/>
        <w:rPr>
          <w:sz w:val="24"/>
          <w:szCs w:val="24"/>
        </w:rPr>
      </w:pPr>
      <w:r>
        <w:rPr>
          <w:sz w:val="24"/>
          <w:szCs w:val="24"/>
        </w:rPr>
        <w:t>Если Поставщик не вывезет партию Товара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1"/>
        </w:numPr>
        <w:shd w:val="clear" w:color="auto" w:fill="FFFFFF"/>
        <w:tabs>
          <w:tab w:val="clear" w:pos="709"/>
          <w:tab w:val="left" w:pos="1134" w:leader="none"/>
          <w:tab w:val="left" w:pos="1418" w:leader="none"/>
        </w:tabs>
        <w:ind w:left="0" w:righ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1"/>
        </w:numPr>
        <w:shd w:val="clear" w:color="auto" w:fill="FFFFFF"/>
        <w:tabs>
          <w:tab w:val="clear" w:pos="709"/>
          <w:tab w:val="left" w:pos="1134" w:leader="none"/>
          <w:tab w:val="left" w:pos="1418" w:leader="none"/>
        </w:tabs>
        <w:ind w:left="0" w:righ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Normal"/>
        <w:shd w:val="clear" w:color="auto" w:fill="FFFFFF"/>
        <w:jc w:val="both"/>
        <w:rPr>
          <w:sz w:val="24"/>
          <w:szCs w:val="24"/>
        </w:rPr>
      </w:pPr>
      <w:r>
        <w:rPr>
          <w:sz w:val="24"/>
          <w:szCs w:val="24"/>
        </w:rPr>
      </w:r>
    </w:p>
    <w:p>
      <w:pPr>
        <w:pStyle w:val="ListParagraph"/>
        <w:numPr>
          <w:ilvl w:val="0"/>
          <w:numId w:val="1"/>
        </w:numPr>
        <w:shd w:val="clear" w:color="auto" w:fill="FFFFFF"/>
        <w:tabs>
          <w:tab w:val="clear" w:pos="709"/>
          <w:tab w:val="left" w:pos="284" w:leader="none"/>
        </w:tabs>
        <w:ind w:left="0" w:right="0" w:hanging="0"/>
        <w:jc w:val="center"/>
        <w:rPr>
          <w:highlight w:val="none"/>
          <w:shd w:fill="FFFFFF" w:val="clear"/>
        </w:rPr>
      </w:pPr>
      <w:r>
        <w:rPr>
          <w:b/>
          <w:sz w:val="24"/>
          <w:szCs w:val="24"/>
          <w:shd w:fill="FFFFFF" w:val="clear"/>
        </w:rPr>
        <w:t>Гарантийный срок</w:t>
      </w:r>
    </w:p>
    <w:p>
      <w:pPr>
        <w:pStyle w:val="ListParagraph"/>
        <w:numPr>
          <w:ilvl w:val="1"/>
          <w:numId w:val="1"/>
        </w:numPr>
        <w:tabs>
          <w:tab w:val="left" w:pos="709" w:leader="none"/>
          <w:tab w:val="left" w:pos="1134" w:leader="none"/>
        </w:tabs>
        <w:ind w:left="0" w:right="0" w:firstLine="709"/>
        <w:jc w:val="both"/>
        <w:rPr/>
      </w:pPr>
      <w:r>
        <w:rPr>
          <w:sz w:val="24"/>
          <w:szCs w:val="24"/>
          <w:shd w:fill="FFFFFF" w:val="clear"/>
        </w:rPr>
        <w:t>Гарантийный срок на Товар, поставленный по Договору, составляет 60 (шестьдесят) месяцев и начинает</w:t>
      </w:r>
      <w:r>
        <w:rPr>
          <w:sz w:val="24"/>
          <w:szCs w:val="24"/>
          <w:shd w:fill="FFFFFF" w:val="clear"/>
        </w:rPr>
        <w:t>ся со дня ввода  в эксплуатацию</w:t>
      </w:r>
      <w:r>
        <w:rPr>
          <w:sz w:val="24"/>
          <w:szCs w:val="24"/>
          <w:shd w:fill="FFFFFF" w:val="clear"/>
        </w:rPr>
        <w:t>.</w:t>
      </w:r>
      <w:r>
        <w:rPr>
          <w:shd w:fill="FFFFFF" w:val="clear"/>
        </w:rPr>
        <w:t xml:space="preserve"> </w:t>
      </w:r>
      <w:r>
        <w:rPr>
          <w:sz w:val="24"/>
          <w:szCs w:val="24"/>
          <w:shd w:fill="FFFFFF" w:val="clear"/>
        </w:rPr>
        <w:t>Гарантийный срок может быть продлен в соответствии с условиями Договора.</w:t>
      </w:r>
      <w:r>
        <w:rPr>
          <w:color w:val="FFFFFF"/>
          <w:sz w:val="24"/>
          <w:szCs w:val="24"/>
          <w:shd w:fill="FFFFFF" w:val="clear"/>
        </w:rPr>
        <w:t xml:space="preserve"> </w:t>
      </w:r>
    </w:p>
    <w:p>
      <w:pPr>
        <w:pStyle w:val="ListParagraph"/>
        <w:tabs>
          <w:tab w:val="clear" w:pos="709"/>
          <w:tab w:val="left" w:pos="1134" w:leader="none"/>
          <w:tab w:val="left" w:pos="1851" w:leader="none"/>
        </w:tabs>
        <w:ind w:left="0" w:right="0" w:firstLine="709"/>
        <w:jc w:val="both"/>
        <w:rPr/>
      </w:pPr>
      <w:r>
        <w:rPr>
          <w:sz w:val="24"/>
          <w:szCs w:val="24"/>
          <w:shd w:fill="FFFFFF" w:val="clear"/>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1"/>
        </w:numPr>
        <w:tabs>
          <w:tab w:val="clear" w:pos="709"/>
          <w:tab w:val="left" w:pos="1134" w:leader="none"/>
        </w:tabs>
        <w:ind w:left="0" w:right="0" w:firstLine="709"/>
        <w:jc w:val="both"/>
        <w:rPr>
          <w:sz w:val="24"/>
          <w:szCs w:val="24"/>
        </w:rPr>
      </w:pPr>
      <w:r>
        <w:rPr>
          <w:sz w:val="24"/>
          <w:szCs w:val="24"/>
          <w:shd w:fill="FFFFFF" w:val="clear"/>
        </w:rPr>
        <w:t>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w:t>
      </w:r>
      <w:r>
        <w:rPr>
          <w:sz w:val="24"/>
          <w:szCs w:val="24"/>
        </w:rPr>
        <w:t xml:space="preserve">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1"/>
        </w:numPr>
        <w:shd w:val="clear" w:color="auto" w:fill="FFFFFF"/>
        <w:tabs>
          <w:tab w:val="clear" w:pos="709"/>
          <w:tab w:val="left" w:pos="1134" w:leader="none"/>
        </w:tabs>
        <w:ind w:left="0" w:righ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1"/>
        </w:numPr>
        <w:shd w:val="clear" w:color="auto" w:fill="FFFFFF"/>
        <w:tabs>
          <w:tab w:val="clear" w:pos="709"/>
          <w:tab w:val="left" w:pos="1134" w:leader="none"/>
        </w:tabs>
        <w:ind w:left="0" w:righ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r>
        <w:rPr>
          <w:sz w:val="24"/>
          <w:szCs w:val="24"/>
          <w:shd w:fill="FFFFFF" w:val="clear"/>
        </w:rPr>
        <w:t xml:space="preserve">включая стоимость необходимых при этом деталей, оборудования, принадлежностей. </w:t>
      </w:r>
    </w:p>
    <w:p>
      <w:pPr>
        <w:pStyle w:val="Normal"/>
        <w:shd w:val="clear" w:color="auto" w:fill="FFFFFF"/>
        <w:ind w:left="0" w:right="0" w:firstLine="709"/>
        <w:jc w:val="both"/>
        <w:rPr>
          <w:sz w:val="24"/>
          <w:szCs w:val="24"/>
        </w:rPr>
      </w:pPr>
      <w:r>
        <w:rPr>
          <w:sz w:val="24"/>
          <w:szCs w:val="24"/>
          <w:shd w:fill="FFFFFF" w:val="clear"/>
        </w:rPr>
        <w:t xml:space="preserve">Устранение недостатков (дефектов) путем ремонта Товара может осуществляться только по письменному согласованию с </w:t>
      </w:r>
      <w:r>
        <w:rPr>
          <w:sz w:val="24"/>
          <w:szCs w:val="24"/>
        </w:rPr>
        <w:t xml:space="preserve">Покупателем. Поставщик вправе по согласованию с Покупателем вместо замены или ремонта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Normal"/>
        <w:numPr>
          <w:ilvl w:val="1"/>
          <w:numId w:val="1"/>
        </w:numPr>
        <w:shd w:val="clear" w:color="auto" w:fill="FFFFFF"/>
        <w:tabs>
          <w:tab w:val="clear" w:pos="709"/>
          <w:tab w:val="left" w:pos="1134" w:leader="none"/>
        </w:tabs>
        <w:ind w:left="0" w:righ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1"/>
        </w:numPr>
        <w:shd w:val="clear" w:color="auto" w:fill="FFFFFF"/>
        <w:tabs>
          <w:tab w:val="clear" w:pos="709"/>
          <w:tab w:val="left" w:pos="1134" w:leader="none"/>
        </w:tabs>
        <w:ind w:left="0" w:righ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1"/>
        </w:numPr>
        <w:shd w:val="clear" w:color="auto" w:fill="FFFFFF"/>
        <w:tabs>
          <w:tab w:val="clear" w:pos="709"/>
          <w:tab w:val="left" w:pos="1134" w:leader="none"/>
        </w:tabs>
        <w:ind w:left="0" w:righ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1"/>
        </w:numPr>
        <w:shd w:val="clear" w:color="auto" w:fill="FFFFFF"/>
        <w:tabs>
          <w:tab w:val="clear" w:pos="709"/>
          <w:tab w:val="left" w:pos="284" w:leader="none"/>
        </w:tabs>
        <w:ind w:left="0" w:right="0" w:hanging="0"/>
        <w:jc w:val="center"/>
        <w:rPr>
          <w:b/>
          <w:bCs/>
          <w:sz w:val="24"/>
          <w:szCs w:val="24"/>
        </w:rPr>
      </w:pPr>
      <w:r>
        <w:rPr>
          <w:b/>
          <w:bCs/>
          <w:sz w:val="24"/>
          <w:szCs w:val="24"/>
        </w:rPr>
        <w:t>Банковские гарантии</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 xml:space="preserve">Сумма Банковской гарантии возврата авансового платежа – не менее 100 </w:t>
        <w:br/>
        <w:t xml:space="preserve">(ста)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4"/>
        </w:numPr>
        <w:tabs>
          <w:tab w:val="clear" w:pos="709"/>
          <w:tab w:val="left" w:pos="0" w:leader="none"/>
          <w:tab w:val="left" w:pos="1134" w:leader="none"/>
        </w:tabs>
        <w:ind w:left="0" w:righ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4"/>
        </w:numPr>
        <w:tabs>
          <w:tab w:val="clear" w:pos="709"/>
          <w:tab w:val="left" w:pos="0" w:leader="none"/>
          <w:tab w:val="left" w:pos="1134" w:leader="none"/>
        </w:tabs>
        <w:ind w:left="0" w:right="0" w:firstLine="709"/>
        <w:jc w:val="both"/>
        <w:rPr>
          <w:bCs/>
          <w:sz w:val="24"/>
          <w:szCs w:val="24"/>
        </w:rPr>
      </w:pPr>
      <w:r>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pPr>
        <w:pStyle w:val="Normal"/>
        <w:widowControl/>
        <w:numPr>
          <w:ilvl w:val="0"/>
          <w:numId w:val="4"/>
        </w:numPr>
        <w:tabs>
          <w:tab w:val="clear" w:pos="709"/>
          <w:tab w:val="left" w:pos="0" w:leader="none"/>
          <w:tab w:val="left" w:pos="1134" w:leader="none"/>
        </w:tabs>
        <w:ind w:left="0" w:right="0" w:firstLine="709"/>
        <w:jc w:val="both"/>
        <w:rPr>
          <w:bCs/>
          <w:sz w:val="24"/>
          <w:szCs w:val="24"/>
        </w:rPr>
      </w:pPr>
      <w:r>
        <w:rPr>
          <w:bCs/>
          <w:sz w:val="24"/>
          <w:szCs w:val="24"/>
        </w:rPr>
        <w:t>нарушения Поставщиком сроков</w:t>
      </w:r>
      <w:r>
        <w:rPr>
          <w:sz w:val="24"/>
          <w:szCs w:val="24"/>
        </w:rPr>
        <w:t xml:space="preserve"> </w:t>
      </w:r>
      <w:r>
        <w:rPr>
          <w:bCs/>
          <w:sz w:val="24"/>
          <w:szCs w:val="24"/>
        </w:rPr>
        <w:t>поставки Товара, установленных Календарным графиком поставки Товара (Приложение № 3 к Договору) более, чем на 60 (шестьдесят) календарных дней;</w:t>
      </w:r>
    </w:p>
    <w:p>
      <w:pPr>
        <w:pStyle w:val="Normal"/>
        <w:widowControl/>
        <w:numPr>
          <w:ilvl w:val="0"/>
          <w:numId w:val="4"/>
        </w:numPr>
        <w:tabs>
          <w:tab w:val="clear" w:pos="709"/>
          <w:tab w:val="left" w:pos="0" w:leader="none"/>
          <w:tab w:val="left" w:pos="1134" w:leader="none"/>
        </w:tabs>
        <w:ind w:left="0" w:righ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4"/>
        </w:numPr>
        <w:tabs>
          <w:tab w:val="clear" w:pos="709"/>
          <w:tab w:val="left" w:pos="0" w:leader="none"/>
          <w:tab w:val="left" w:pos="1134" w:leader="none"/>
        </w:tabs>
        <w:ind w:left="0" w:righ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4"/>
        </w:numPr>
        <w:tabs>
          <w:tab w:val="clear" w:pos="709"/>
          <w:tab w:val="left" w:pos="0" w:leader="none"/>
          <w:tab w:val="left" w:pos="1134" w:leader="none"/>
        </w:tabs>
        <w:ind w:left="0" w:righ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4"/>
        </w:numPr>
        <w:tabs>
          <w:tab w:val="clear" w:pos="709"/>
          <w:tab w:val="left" w:pos="0" w:leader="none"/>
          <w:tab w:val="left" w:pos="1134" w:leader="none"/>
        </w:tabs>
        <w:ind w:left="0" w:righ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righ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left="0" w:right="0"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2"/>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pPr>
        <w:pStyle w:val="ListParagraph"/>
        <w:widowControl/>
        <w:numPr>
          <w:ilvl w:val="2"/>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Хабаровского края в качестве органа, компетентного разрешать споры из Банковской гарантии.</w:t>
      </w:r>
    </w:p>
    <w:p>
      <w:pPr>
        <w:pStyle w:val="ListParagraph"/>
        <w:widowControl/>
        <w:numPr>
          <w:ilvl w:val="2"/>
          <w:numId w:val="1"/>
        </w:numPr>
        <w:shd w:val="clear" w:color="auto" w:fill="FFFFFF"/>
        <w:tabs>
          <w:tab w:val="clear" w:pos="709"/>
          <w:tab w:val="left" w:pos="0" w:leader="none"/>
          <w:tab w:val="left" w:pos="1418" w:leader="none"/>
          <w:tab w:val="left" w:pos="1701" w:leader="none"/>
        </w:tabs>
        <w:ind w:left="0" w:righ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1"/>
        </w:numPr>
        <w:tabs>
          <w:tab w:val="clear" w:pos="709"/>
          <w:tab w:val="left" w:pos="0" w:leader="none"/>
          <w:tab w:val="left" w:pos="1134" w:leader="none"/>
        </w:tabs>
        <w:ind w:left="0" w:righ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4 к Договору.</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6"/>
        </w:numPr>
        <w:shd w:val="clear" w:color="auto" w:fill="FFFFFF"/>
        <w:tabs>
          <w:tab w:val="clear" w:pos="709"/>
          <w:tab w:val="left" w:pos="0" w:leader="none"/>
        </w:tabs>
        <w:ind w:left="0" w:righ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6"/>
        </w:numPr>
        <w:shd w:val="clear" w:color="auto" w:fill="FFFFFF"/>
        <w:tabs>
          <w:tab w:val="clear" w:pos="709"/>
          <w:tab w:val="left" w:pos="0" w:leader="none"/>
        </w:tabs>
        <w:ind w:left="0" w:righ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righ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righ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5"/>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0"/>
          <w:numId w:val="0"/>
        </w:numPr>
        <w:shd w:val="clear" w:color="auto" w:fill="FFFFFF"/>
        <w:tabs>
          <w:tab w:val="clear" w:pos="709"/>
          <w:tab w:val="left" w:pos="1134" w:leader="none"/>
          <w:tab w:val="left" w:pos="1985" w:leader="none"/>
        </w:tabs>
        <w:ind w:left="0" w:right="0" w:hanging="0"/>
        <w:jc w:val="both"/>
        <w:rPr>
          <w:highlight w:val="none"/>
          <w:shd w:fill="FFFFFF" w:val="clear"/>
        </w:rPr>
      </w:pPr>
      <w:r>
        <w:rPr>
          <w:sz w:val="24"/>
          <w:szCs w:val="24"/>
          <w:shd w:fill="FFFFFF" w:val="clear"/>
        </w:rPr>
        <w:t xml:space="preserve">       </w:t>
      </w:r>
      <w:r>
        <w:rPr>
          <w:sz w:val="24"/>
          <w:szCs w:val="24"/>
          <w:shd w:fill="FFFFFF" w:val="clear"/>
        </w:rPr>
        <w:t>5.8. 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sz w:val="24"/>
          <w:szCs w:val="24"/>
          <w:shd w:fill="FFFFFF" w:val="clear"/>
        </w:rPr>
        <w:footnoteReference w:id="6"/>
      </w:r>
      <w:r>
        <w:rPr>
          <w:sz w:val="24"/>
          <w:szCs w:val="24"/>
          <w:shd w:fill="FFFFFF" w:val="clear"/>
        </w:rPr>
        <w:t>.</w:t>
      </w:r>
    </w:p>
    <w:p>
      <w:pPr>
        <w:pStyle w:val="ListParagraph"/>
        <w:widowControl/>
        <w:numPr>
          <w:ilvl w:val="0"/>
          <w:numId w:val="0"/>
        </w:numPr>
        <w:shd w:val="clear" w:color="auto" w:fill="FFFFFF"/>
        <w:tabs>
          <w:tab w:val="clear" w:pos="709"/>
        </w:tabs>
        <w:ind w:left="0" w:right="0" w:hanging="0"/>
        <w:jc w:val="both"/>
        <w:rPr>
          <w:highlight w:val="none"/>
          <w:shd w:fill="FFFFFF" w:val="clear"/>
        </w:rPr>
      </w:pPr>
      <w:r>
        <w:rPr>
          <w:sz w:val="24"/>
          <w:shd w:fill="FFFFFF" w:val="clear"/>
        </w:rPr>
        <w:t xml:space="preserve">     </w:t>
      </w:r>
      <w:r>
        <w:rPr>
          <w:sz w:val="24"/>
          <w:shd w:fill="FFFFFF" w:val="clear"/>
        </w:rPr>
        <w:t>5.9. 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right="0" w:hanging="0"/>
        <w:jc w:val="both"/>
        <w:rPr>
          <w:bCs/>
          <w:sz w:val="24"/>
          <w:szCs w:val="24"/>
        </w:rPr>
      </w:pPr>
      <w:r>
        <w:rPr>
          <w:bCs/>
          <w:sz w:val="24"/>
          <w:szCs w:val="24"/>
        </w:rPr>
      </w:r>
    </w:p>
    <w:p>
      <w:pPr>
        <w:pStyle w:val="Normal"/>
        <w:numPr>
          <w:ilvl w:val="0"/>
          <w:numId w:val="1"/>
        </w:numPr>
        <w:shd w:val="clear" w:color="auto" w:fill="FFFFFF"/>
        <w:tabs>
          <w:tab w:val="clear" w:pos="709"/>
          <w:tab w:val="left" w:pos="284" w:leader="none"/>
        </w:tabs>
        <w:ind w:left="0" w:right="0" w:hanging="0"/>
        <w:jc w:val="center"/>
        <w:rPr>
          <w:b/>
          <w:bCs/>
          <w:sz w:val="24"/>
          <w:szCs w:val="24"/>
        </w:rPr>
      </w:pPr>
      <w:r>
        <w:rPr>
          <w:b/>
          <w:bCs/>
          <w:sz w:val="24"/>
          <w:szCs w:val="24"/>
        </w:rPr>
        <w:t>Ответственность Сторон</w:t>
      </w:r>
    </w:p>
    <w:p>
      <w:pPr>
        <w:pStyle w:val="ListParagraph"/>
        <w:numPr>
          <w:ilvl w:val="1"/>
          <w:numId w:val="1"/>
        </w:numPr>
        <w:tabs>
          <w:tab w:val="clear" w:pos="709"/>
          <w:tab w:val="left" w:pos="1276" w:leader="none"/>
        </w:tabs>
        <w:ind w:left="0" w:righ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1"/>
        </w:numPr>
        <w:shd w:val="clear" w:color="auto" w:fill="FFFFFF"/>
        <w:tabs>
          <w:tab w:val="clear" w:pos="709"/>
          <w:tab w:val="left" w:pos="1276" w:leader="none"/>
        </w:tabs>
        <w:ind w:left="0" w:right="0" w:firstLine="709"/>
        <w:jc w:val="both"/>
        <w:rPr>
          <w:bCs/>
          <w:sz w:val="24"/>
          <w:szCs w:val="24"/>
        </w:rPr>
      </w:pPr>
      <w:r>
        <w:rPr>
          <w:bCs/>
          <w:sz w:val="24"/>
          <w:szCs w:val="24"/>
        </w:rPr>
        <w:t>Покупатель не несет ответственности за ненадлежащее исполнение обязательств</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1"/>
        </w:numPr>
        <w:tabs>
          <w:tab w:val="clear" w:pos="709"/>
          <w:tab w:val="left" w:pos="1276" w:leader="none"/>
        </w:tabs>
        <w:ind w:left="0" w:right="0" w:firstLine="709"/>
        <w:jc w:val="both"/>
        <w:rPr>
          <w:bCs/>
          <w:sz w:val="24"/>
          <w:szCs w:val="24"/>
        </w:rPr>
      </w:pPr>
      <w:r>
        <w:rPr>
          <w:bCs/>
          <w:sz w:val="24"/>
          <w:szCs w:val="24"/>
        </w:rPr>
        <w:t xml:space="preserve">  </w:t>
      </w:r>
      <w:r>
        <w:rPr>
          <w:bCs/>
          <w:sz w:val="24"/>
          <w:szCs w:val="24"/>
        </w:rPr>
        <w:t>В случае нарушения Покупателем сроков оплаты поставленного товара,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Pr>
          <w:bCs/>
          <w:sz w:val="28"/>
          <w:szCs w:val="28"/>
        </w:rPr>
        <w:t xml:space="preserve"> </w:t>
      </w:r>
    </w:p>
    <w:p>
      <w:pPr>
        <w:pStyle w:val="Normal"/>
        <w:widowControl/>
        <w:numPr>
          <w:ilvl w:val="1"/>
          <w:numId w:val="1"/>
        </w:numPr>
        <w:tabs>
          <w:tab w:val="clear" w:pos="709"/>
          <w:tab w:val="left" w:pos="1276" w:leader="none"/>
        </w:tabs>
        <w:ind w:left="0" w:righ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1"/>
        </w:numPr>
        <w:tabs>
          <w:tab w:val="clear" w:pos="709"/>
          <w:tab w:val="left" w:pos="1276" w:leader="none"/>
        </w:tabs>
        <w:ind w:left="0" w:righ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w:t>
      </w:r>
    </w:p>
    <w:p>
      <w:pPr>
        <w:pStyle w:val="ListParagraph"/>
        <w:widowControl/>
        <w:numPr>
          <w:ilvl w:val="2"/>
          <w:numId w:val="1"/>
        </w:numPr>
        <w:tabs>
          <w:tab w:val="clear" w:pos="709"/>
          <w:tab w:val="left" w:pos="1276" w:leader="none"/>
        </w:tabs>
        <w:ind w:left="0" w:righ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1"/>
        </w:numPr>
        <w:tabs>
          <w:tab w:val="clear" w:pos="709"/>
          <w:tab w:val="left" w:pos="1276" w:leader="none"/>
        </w:tabs>
        <w:ind w:left="0" w:righ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1"/>
        </w:numPr>
        <w:tabs>
          <w:tab w:val="clear" w:pos="709"/>
          <w:tab w:val="left" w:pos="1276" w:leader="none"/>
          <w:tab w:val="left" w:pos="1701" w:leader="none"/>
        </w:tabs>
        <w:ind w:left="0" w:righ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1"/>
        </w:numPr>
        <w:shd w:val="clear" w:color="auto" w:fill="FFFFFF"/>
        <w:tabs>
          <w:tab w:val="clear" w:pos="709"/>
          <w:tab w:val="left" w:pos="1276" w:leader="none"/>
        </w:tabs>
        <w:ind w:left="0" w:righ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5 к Договору. </w:t>
      </w:r>
    </w:p>
    <w:p>
      <w:pPr>
        <w:pStyle w:val="ListParagraph"/>
        <w:widowControl/>
        <w:numPr>
          <w:ilvl w:val="1"/>
          <w:numId w:val="1"/>
        </w:numPr>
        <w:shd w:val="clear" w:color="auto" w:fill="FFFFFF"/>
        <w:tabs>
          <w:tab w:val="clear" w:pos="709"/>
          <w:tab w:val="left" w:pos="1276" w:leader="none"/>
        </w:tabs>
        <w:ind w:left="0" w:right="0" w:firstLine="709"/>
        <w:jc w:val="both"/>
        <w:rPr>
          <w:bCs/>
          <w:sz w:val="24"/>
          <w:szCs w:val="24"/>
          <w:highlight w:val="white"/>
        </w:rPr>
      </w:pPr>
      <w:r>
        <w:rPr>
          <w:bCs/>
          <w:sz w:val="24"/>
          <w:szCs w:val="24"/>
          <w:highlight w:val="white"/>
        </w:rPr>
        <w:t xml:space="preserve">Если в результате составления и выставления Поставщиком 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right="0" w:firstLine="709"/>
        <w:jc w:val="both"/>
        <w:rPr>
          <w:bCs/>
          <w:sz w:val="24"/>
          <w:szCs w:val="24"/>
          <w:highlight w:val="white"/>
        </w:rPr>
      </w:pPr>
      <w:r>
        <w:rPr>
          <w:bCs/>
          <w:sz w:val="24"/>
          <w:szCs w:val="24"/>
          <w:highlight w:val="white"/>
        </w:rPr>
        <w:t>В случае нарушения Поставщиком сроков предоставления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
        </w:numPr>
        <w:shd w:val="clear" w:color="auto" w:fill="FFFFFF"/>
        <w:tabs>
          <w:tab w:val="clear" w:pos="709"/>
        </w:tabs>
        <w:ind w:left="0" w:right="0" w:firstLine="709"/>
        <w:jc w:val="both"/>
        <w:rPr>
          <w:bCs/>
          <w:sz w:val="24"/>
          <w:szCs w:val="24"/>
        </w:rPr>
      </w:pPr>
      <w:r>
        <w:rPr>
          <w:bCs/>
          <w:sz w:val="24"/>
          <w:szCs w:val="24"/>
        </w:rPr>
        <w:t>За непредставление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три сотых) процента от Цены Договора за каждый день проср</w:t>
      </w:r>
      <w:r>
        <w:rPr>
          <w:bCs/>
          <w:sz w:val="24"/>
          <w:szCs w:val="24"/>
          <w:shd w:fill="FFFFFF" w:val="clear"/>
        </w:rPr>
        <w:t>очки.</w:t>
      </w:r>
    </w:p>
    <w:p>
      <w:pPr>
        <w:pStyle w:val="ListParagraph"/>
        <w:widowControl/>
        <w:numPr>
          <w:ilvl w:val="1"/>
          <w:numId w:val="1"/>
        </w:numPr>
        <w:shd w:val="clear" w:color="auto" w:fill="FFFFFF"/>
        <w:tabs>
          <w:tab w:val="clear" w:pos="709"/>
        </w:tabs>
        <w:ind w:left="0" w:right="0" w:firstLine="709"/>
        <w:jc w:val="both"/>
        <w:rPr>
          <w:highlight w:val="none"/>
          <w:shd w:fill="FFFFFF" w:val="clear"/>
        </w:rPr>
      </w:pPr>
      <w:r>
        <w:rPr>
          <w:bCs/>
          <w:sz w:val="24"/>
          <w:szCs w:val="24"/>
          <w:shd w:fill="FFFFFF" w:val="clear"/>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
        </w:numPr>
        <w:shd w:val="clear" w:color="auto" w:fill="FFFFFF"/>
        <w:tabs>
          <w:tab w:val="clear" w:pos="709"/>
        </w:tabs>
        <w:ind w:left="0" w:right="0" w:firstLine="709"/>
        <w:jc w:val="both"/>
        <w:rPr>
          <w:highlight w:val="none"/>
          <w:shd w:fill="FFFFFF" w:val="clear"/>
        </w:rPr>
      </w:pPr>
      <w:r>
        <w:rPr>
          <w:bCs/>
          <w:sz w:val="24"/>
          <w:szCs w:val="24"/>
          <w:shd w:fill="FFFFFF"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
        </w:numPr>
        <w:shd w:val="clear" w:color="auto" w:fill="FFFFFF"/>
        <w:tabs>
          <w:tab w:val="clear" w:pos="709"/>
        </w:tabs>
        <w:ind w:left="0" w:righ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
        </w:numPr>
        <w:shd w:val="clear" w:color="auto" w:fill="FFFFFF"/>
        <w:tabs>
          <w:tab w:val="clear" w:pos="709"/>
        </w:tabs>
        <w:ind w:left="0" w:righ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
        </w:numPr>
        <w:shd w:val="clear" w:color="auto" w:fill="FFFFFF"/>
        <w:tabs>
          <w:tab w:val="clear" w:pos="709"/>
        </w:tabs>
        <w:ind w:left="0" w:righ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1"/>
        </w:numPr>
        <w:shd w:val="clear" w:color="auto" w:fill="FFFFFF"/>
        <w:tabs>
          <w:tab w:val="clear" w:pos="709"/>
          <w:tab w:val="left" w:pos="0" w:leader="none"/>
        </w:tabs>
        <w:ind w:left="0" w:right="0" w:hanging="0"/>
        <w:jc w:val="center"/>
        <w:rPr>
          <w:b/>
          <w:bCs/>
          <w:sz w:val="24"/>
          <w:szCs w:val="24"/>
        </w:rPr>
      </w:pPr>
      <w:r>
        <w:rPr>
          <w:b/>
          <w:bCs/>
          <w:sz w:val="24"/>
          <w:szCs w:val="24"/>
        </w:rPr>
        <w:t>Конфиденциальность</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righ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righ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righ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righ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righ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righ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righ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righ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righ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righ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righ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1"/>
        </w:numPr>
        <w:shd w:val="clear" w:color="auto" w:fill="FFFFFF"/>
        <w:tabs>
          <w:tab w:val="clear" w:pos="709"/>
          <w:tab w:val="left" w:pos="0" w:leader="none"/>
          <w:tab w:val="left" w:pos="1134" w:leader="none"/>
        </w:tabs>
        <w:ind w:left="0" w:righ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1"/>
        </w:numPr>
        <w:shd w:val="clear" w:color="auto" w:fill="FFFFFF"/>
        <w:tabs>
          <w:tab w:val="clear" w:pos="709"/>
          <w:tab w:val="left" w:pos="1418" w:leader="none"/>
        </w:tabs>
        <w:ind w:left="0" w:righ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1"/>
        </w:numPr>
        <w:shd w:val="clear" w:color="auto" w:fill="FFFFFF"/>
        <w:tabs>
          <w:tab w:val="clear" w:pos="709"/>
          <w:tab w:val="left" w:pos="1418" w:leader="none"/>
        </w:tabs>
        <w:ind w:left="0" w:righ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1"/>
        </w:numPr>
        <w:shd w:val="clear" w:color="auto" w:fill="FFFFFF"/>
        <w:tabs>
          <w:tab w:val="clear" w:pos="709"/>
          <w:tab w:val="left" w:pos="1418" w:leader="none"/>
        </w:tabs>
        <w:ind w:left="0" w:righ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1"/>
        </w:numPr>
        <w:shd w:val="clear" w:color="auto" w:fill="FFFFFF"/>
        <w:tabs>
          <w:tab w:val="clear" w:pos="709"/>
          <w:tab w:val="left" w:pos="1418" w:leader="none"/>
        </w:tabs>
        <w:ind w:left="0" w:righ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1"/>
        </w:numPr>
        <w:shd w:val="clear" w:color="auto" w:fill="FFFFFF"/>
        <w:tabs>
          <w:tab w:val="clear" w:pos="709"/>
          <w:tab w:val="left" w:pos="1418" w:leader="none"/>
        </w:tabs>
        <w:ind w:left="0" w:righ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1"/>
        </w:numPr>
        <w:shd w:val="clear" w:color="auto" w:fill="FFFFFF"/>
        <w:tabs>
          <w:tab w:val="clear" w:pos="709"/>
          <w:tab w:val="left" w:pos="1418" w:leader="none"/>
        </w:tabs>
        <w:ind w:left="0" w:righ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1"/>
        </w:numPr>
        <w:shd w:val="clear" w:color="auto" w:fill="FFFFFF"/>
        <w:tabs>
          <w:tab w:val="clear" w:pos="709"/>
          <w:tab w:val="left" w:pos="1418" w:leader="none"/>
        </w:tabs>
        <w:ind w:left="0" w:righ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1"/>
        </w:numPr>
        <w:shd w:val="clear" w:color="auto" w:fill="FFFFFF"/>
        <w:tabs>
          <w:tab w:val="clear" w:pos="709"/>
          <w:tab w:val="left" w:pos="1418" w:leader="none"/>
        </w:tabs>
        <w:ind w:left="0" w:righ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right="0" w:hanging="0"/>
        <w:jc w:val="both"/>
        <w:rPr>
          <w:sz w:val="24"/>
          <w:szCs w:val="24"/>
        </w:rPr>
      </w:pPr>
      <w:r>
        <w:rPr>
          <w:sz w:val="24"/>
          <w:szCs w:val="24"/>
        </w:rPr>
      </w:r>
    </w:p>
    <w:p>
      <w:pPr>
        <w:pStyle w:val="ListParagraph"/>
        <w:widowControl/>
        <w:numPr>
          <w:ilvl w:val="0"/>
          <w:numId w:val="1"/>
        </w:numPr>
        <w:shd w:val="clear" w:color="auto" w:fill="FFFFFF"/>
        <w:ind w:left="0" w:right="0" w:hanging="0"/>
        <w:jc w:val="center"/>
        <w:rPr>
          <w:b/>
          <w:bCs/>
          <w:sz w:val="24"/>
          <w:szCs w:val="24"/>
        </w:rPr>
      </w:pPr>
      <w:r>
        <w:rPr>
          <w:b/>
          <w:bCs/>
          <w:sz w:val="24"/>
          <w:szCs w:val="24"/>
        </w:rPr>
        <w:t>Разрешение споров</w:t>
      </w:r>
    </w:p>
    <w:p>
      <w:pPr>
        <w:pStyle w:val="ListParagraph"/>
        <w:widowControl/>
        <w:numPr>
          <w:ilvl w:val="1"/>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1"/>
        </w:numPr>
        <w:shd w:val="clear" w:color="auto" w:fill="FFFFFF"/>
        <w:tabs>
          <w:tab w:val="clear" w:pos="709"/>
          <w:tab w:val="left" w:pos="0" w:leader="none"/>
        </w:tabs>
        <w:ind w:left="0" w:righ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shd w:fill="FFFFFF" w:val="clear"/>
        </w:rPr>
        <w:t>Амурской области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1"/>
        </w:numPr>
        <w:shd w:val="clear" w:color="auto" w:fill="FFFFFF"/>
        <w:tabs>
          <w:tab w:val="clear" w:pos="709"/>
          <w:tab w:val="left" w:pos="0" w:leader="none"/>
          <w:tab w:val="left" w:pos="1418" w:leader="none"/>
        </w:tabs>
        <w:ind w:left="0" w:right="0" w:firstLine="709"/>
        <w:jc w:val="both"/>
        <w:rPr>
          <w:highlight w:val="none"/>
          <w:shd w:fill="FFFFFF" w:val="clear"/>
        </w:rPr>
      </w:pPr>
      <w:r>
        <w:rPr>
          <w:bCs/>
          <w:sz w:val="24"/>
          <w:szCs w:val="24"/>
          <w:shd w:fill="FFFFFF"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widowControl/>
        <w:numPr>
          <w:ilvl w:val="1"/>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shd w:fill="FFFFFF" w:val="clear"/>
        </w:rPr>
        <w:t>Срок для рассмотрения претензии – 15 (пятнадцать) рабочих дне</w:t>
      </w:r>
      <w:r>
        <w:rPr>
          <w:bCs/>
          <w:sz w:val="24"/>
          <w:szCs w:val="24"/>
        </w:rPr>
        <w:t xml:space="preserve">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Условия настоящего раздела сохраняют свою силу в случае признания Договора не заключенным и / или недействительным.</w:t>
      </w:r>
    </w:p>
    <w:p>
      <w:pPr>
        <w:pStyle w:val="ListParagraph"/>
        <w:widowControl/>
        <w:shd w:val="clear" w:color="auto" w:fill="FFFFFF"/>
        <w:tabs>
          <w:tab w:val="clear" w:pos="709"/>
          <w:tab w:val="left" w:pos="0" w:leader="none"/>
          <w:tab w:val="left" w:pos="1418" w:leader="none"/>
        </w:tabs>
        <w:ind w:left="0" w:right="0" w:firstLine="709"/>
        <w:jc w:val="both"/>
        <w:rPr>
          <w:bCs/>
          <w:sz w:val="24"/>
          <w:szCs w:val="24"/>
        </w:rPr>
      </w:pPr>
      <w:r>
        <w:rPr>
          <w:bCs/>
          <w:sz w:val="24"/>
          <w:szCs w:val="24"/>
        </w:rPr>
      </w:r>
    </w:p>
    <w:p>
      <w:pPr>
        <w:pStyle w:val="Normal"/>
        <w:shd w:val="clear" w:color="auto" w:fill="FFFFFF"/>
        <w:jc w:val="both"/>
        <w:rPr>
          <w:bCs/>
          <w:sz w:val="24"/>
          <w:szCs w:val="24"/>
        </w:rPr>
      </w:pPr>
      <w:r>
        <w:rPr>
          <w:bCs/>
          <w:sz w:val="24"/>
          <w:szCs w:val="24"/>
        </w:rPr>
      </w:r>
    </w:p>
    <w:p>
      <w:pPr>
        <w:pStyle w:val="ListParagraph"/>
        <w:widowControl/>
        <w:numPr>
          <w:ilvl w:val="0"/>
          <w:numId w:val="1"/>
        </w:numPr>
        <w:shd w:val="clear" w:color="auto" w:fill="FFFFFF"/>
        <w:ind w:left="0" w:right="0" w:hanging="0"/>
        <w:jc w:val="center"/>
        <w:rPr>
          <w:b/>
          <w:bCs/>
          <w:sz w:val="24"/>
          <w:szCs w:val="24"/>
        </w:rPr>
      </w:pPr>
      <w:r>
        <w:rPr>
          <w:b/>
          <w:bCs/>
          <w:sz w:val="24"/>
          <w:szCs w:val="24"/>
        </w:rPr>
        <w:t>Антикоррупционная оговорка</w:t>
      </w:r>
    </w:p>
    <w:p>
      <w:pPr>
        <w:pStyle w:val="ListParagraph"/>
        <w:numPr>
          <w:ilvl w:val="1"/>
          <w:numId w:val="1"/>
        </w:numPr>
        <w:shd w:val="clear" w:color="auto" w:fill="FFFFFF"/>
        <w:tabs>
          <w:tab w:val="clear" w:pos="709"/>
          <w:tab w:val="left" w:pos="1134" w:leader="none"/>
        </w:tabs>
        <w:ind w:left="0" w:righ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left="0" w:right="0"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left="0" w:right="0"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left="0" w:right="0"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left="0" w:right="0"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left="0" w:right="0"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left="0" w:right="0"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left="0" w:right="0"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left="0" w:right="0" w:firstLine="709"/>
        <w:jc w:val="both"/>
        <w:rPr>
          <w:sz w:val="24"/>
          <w:szCs w:val="24"/>
        </w:rPr>
      </w:pPr>
      <w:r>
        <w:rPr>
          <w:sz w:val="24"/>
          <w:szCs w:val="24"/>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left="0" w:right="0"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right="0" w:firstLine="709"/>
        <w:jc w:val="both"/>
        <w:rPr>
          <w:b/>
          <w:bCs/>
          <w:sz w:val="24"/>
          <w:szCs w:val="24"/>
        </w:rPr>
      </w:pPr>
      <w:r>
        <w:rPr>
          <w:b/>
          <w:bCs/>
          <w:sz w:val="24"/>
          <w:szCs w:val="24"/>
        </w:rPr>
      </w:r>
    </w:p>
    <w:p>
      <w:pPr>
        <w:pStyle w:val="ListParagraph"/>
        <w:widowControl/>
        <w:numPr>
          <w:ilvl w:val="0"/>
          <w:numId w:val="1"/>
        </w:numPr>
        <w:shd w:val="clear" w:color="auto" w:fill="FFFFFF"/>
        <w:ind w:left="0" w:righ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
        </w:numPr>
        <w:shd w:val="clear" w:color="auto" w:fill="FFFFFF"/>
        <w:tabs>
          <w:tab w:val="clear" w:pos="709"/>
          <w:tab w:val="left" w:pos="0" w:leader="none"/>
          <w:tab w:val="left" w:pos="1418" w:leader="none"/>
        </w:tabs>
        <w:ind w:left="0" w:righ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
        </w:numPr>
        <w:shd w:val="clear" w:color="auto" w:fill="FFFFFF"/>
        <w:tabs>
          <w:tab w:val="clear" w:pos="709"/>
          <w:tab w:val="left" w:pos="0" w:leader="none"/>
          <w:tab w:val="left" w:pos="1418" w:leader="none"/>
        </w:tabs>
        <w:ind w:left="0" w:righ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
        </w:numPr>
        <w:shd w:val="clear" w:color="auto" w:fill="FFFFFF"/>
        <w:tabs>
          <w:tab w:val="clear" w:pos="709"/>
          <w:tab w:val="left" w:pos="0" w:leader="none"/>
          <w:tab w:val="left" w:pos="568" w:leader="none"/>
          <w:tab w:val="left" w:pos="1418" w:leader="none"/>
        </w:tabs>
        <w:ind w:left="0" w:righ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righ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1"/>
        </w:numPr>
        <w:shd w:val="clear" w:color="auto" w:fill="FFFFFF"/>
        <w:spacing w:lineRule="auto" w:line="259" w:before="0" w:after="0"/>
        <w:ind w:left="0" w:right="0" w:hanging="0"/>
        <w:contextualSpacing/>
        <w:jc w:val="center"/>
        <w:rPr>
          <w:b/>
          <w:bCs/>
          <w:sz w:val="24"/>
          <w:szCs w:val="24"/>
        </w:rPr>
      </w:pPr>
      <w:r>
        <w:rPr>
          <w:b/>
          <w:bCs/>
          <w:sz w:val="24"/>
          <w:szCs w:val="24"/>
        </w:rPr>
        <w:t>Особые положения</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tgtFrame="consultantplus://offline/ref=94D5CE8889791A29DE57299515463A9D6134D8237B999C803E6F853513x2A2P">
        <w:r>
          <w:rPr>
            <w:bCs/>
            <w:sz w:val="24"/>
            <w:szCs w:val="24"/>
          </w:rPr>
          <w:t>№ 18162/09</w:t>
        </w:r>
      </w:hyperlink>
      <w:r>
        <w:rPr>
          <w:bCs/>
          <w:sz w:val="24"/>
          <w:szCs w:val="24"/>
        </w:rPr>
        <w:t xml:space="preserve"> и от 25.05.2010 </w:t>
      </w:r>
      <w:hyperlink r:id="rId3" w:tgtFrame="consultantplus://offline/ref=94D5CE8889791A29DE57299515463A9D6135D2287D929C803E6F853513x2A2P">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tgtFrame="consultantplus://offline/ref=79440D5123ABA6A25F43346AB59DBAAC7032C8E1556DA64FAED62E167F76889C2B7C475C32EFC59BJ8rDH">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не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1"/>
        </w:numPr>
        <w:shd w:val="clear" w:color="auto" w:fill="FFFFFF"/>
        <w:tabs>
          <w:tab w:val="clear" w:pos="709"/>
          <w:tab w:val="left" w:pos="1134" w:leader="none"/>
        </w:tabs>
        <w:ind w:left="0" w:righ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Normal"/>
        <w:shd w:val="clear" w:color="auto" w:fill="FFFFFF"/>
        <w:jc w:val="both"/>
        <w:rPr>
          <w:sz w:val="24"/>
          <w:szCs w:val="24"/>
        </w:rPr>
      </w:pPr>
      <w:r>
        <w:rPr>
          <w:sz w:val="24"/>
          <w:szCs w:val="24"/>
        </w:rPr>
      </w:r>
    </w:p>
    <w:p>
      <w:pPr>
        <w:pStyle w:val="ListParagraph"/>
        <w:widowControl/>
        <w:numPr>
          <w:ilvl w:val="0"/>
          <w:numId w:val="1"/>
        </w:numPr>
        <w:shd w:val="clear" w:color="auto" w:fill="FFFFFF"/>
        <w:tabs>
          <w:tab w:val="clear" w:pos="709"/>
          <w:tab w:val="left" w:pos="426" w:leader="none"/>
        </w:tabs>
        <w:ind w:left="0" w:righ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1"/>
        </w:numPr>
        <w:shd w:val="clear" w:color="auto" w:fill="FFFFFF"/>
        <w:tabs>
          <w:tab w:val="clear" w:pos="709"/>
          <w:tab w:val="left" w:pos="1134" w:leader="none"/>
          <w:tab w:val="left" w:pos="1418" w:leader="none"/>
        </w:tabs>
        <w:ind w:left="0" w:righ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8"/>
        </w:numPr>
        <w:shd w:val="clear" w:color="auto" w:fill="FFFFFF"/>
        <w:tabs>
          <w:tab w:val="left" w:pos="0" w:leader="none"/>
          <w:tab w:val="left" w:pos="709" w:leader="none"/>
          <w:tab w:val="left" w:pos="1418" w:leader="none"/>
        </w:tabs>
        <w:ind w:left="0" w:righ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8"/>
        </w:numPr>
        <w:shd w:val="clear" w:color="auto" w:fill="FFFFFF"/>
        <w:tabs>
          <w:tab w:val="left" w:pos="0" w:leader="none"/>
          <w:tab w:val="left" w:pos="709" w:leader="none"/>
          <w:tab w:val="left" w:pos="1418" w:leader="none"/>
        </w:tabs>
        <w:ind w:left="0" w:righ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8"/>
        </w:numPr>
        <w:shd w:val="clear" w:color="auto" w:fill="FFFFFF"/>
        <w:tabs>
          <w:tab w:val="left" w:pos="0" w:leader="none"/>
          <w:tab w:val="left" w:pos="709" w:leader="none"/>
          <w:tab w:val="left" w:pos="1418" w:leader="none"/>
        </w:tabs>
        <w:ind w:left="0" w:righ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8"/>
        </w:numPr>
        <w:shd w:val="clear" w:color="auto" w:fill="FFFFFF"/>
        <w:tabs>
          <w:tab w:val="left" w:pos="0" w:leader="none"/>
          <w:tab w:val="left" w:pos="709" w:leader="none"/>
          <w:tab w:val="left" w:pos="1418" w:leader="none"/>
        </w:tabs>
        <w:ind w:left="0" w:righ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8"/>
        </w:numPr>
        <w:shd w:val="clear" w:color="auto" w:fill="FFFFFF"/>
        <w:tabs>
          <w:tab w:val="left" w:pos="0" w:leader="none"/>
          <w:tab w:val="left" w:pos="709" w:leader="none"/>
          <w:tab w:val="left" w:pos="1418" w:leader="none"/>
        </w:tabs>
        <w:ind w:left="0" w:righ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0"/>
        </w:numPr>
        <w:shd w:val="clear" w:color="auto" w:fill="FFFFFF"/>
        <w:tabs>
          <w:tab w:val="left" w:pos="0" w:leader="none"/>
          <w:tab w:val="left" w:pos="709" w:leader="none"/>
        </w:tabs>
        <w:ind w:left="0" w:righ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0"/>
        </w:numPr>
        <w:shd w:val="clear" w:color="auto" w:fill="FFFFFF"/>
        <w:tabs>
          <w:tab w:val="left" w:pos="0" w:leader="none"/>
          <w:tab w:val="left" w:pos="709" w:leader="none"/>
        </w:tabs>
        <w:ind w:left="0" w:righ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0"/>
        </w:numPr>
        <w:shd w:val="clear" w:color="auto" w:fill="FFFFFF"/>
        <w:tabs>
          <w:tab w:val="left" w:pos="0" w:leader="none"/>
          <w:tab w:val="left" w:pos="709" w:leader="none"/>
        </w:tabs>
        <w:ind w:left="0" w:righ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0"/>
        </w:numPr>
        <w:shd w:val="clear" w:color="auto" w:fill="FFFFFF"/>
        <w:tabs>
          <w:tab w:val="left" w:pos="0" w:leader="none"/>
          <w:tab w:val="left" w:pos="709" w:leader="none"/>
        </w:tabs>
        <w:ind w:left="0" w:righ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9"/>
        </w:numPr>
        <w:shd w:val="clear" w:color="auto" w:fill="FFFFFF"/>
        <w:tabs>
          <w:tab w:val="clear" w:pos="709"/>
          <w:tab w:val="left" w:pos="0" w:leader="none"/>
          <w:tab w:val="left" w:pos="567" w:leader="none"/>
        </w:tabs>
        <w:ind w:left="0" w:righ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9"/>
        </w:numPr>
        <w:shd w:val="clear" w:color="auto" w:fill="FFFFFF"/>
        <w:tabs>
          <w:tab w:val="clear" w:pos="709"/>
          <w:tab w:val="left" w:pos="0" w:leader="none"/>
          <w:tab w:val="left" w:pos="567" w:leader="none"/>
        </w:tabs>
        <w:ind w:left="0" w:righ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9"/>
        </w:numPr>
        <w:shd w:val="clear" w:color="auto" w:fill="FFFFFF"/>
        <w:tabs>
          <w:tab w:val="clear" w:pos="709"/>
          <w:tab w:val="left" w:pos="0" w:leader="none"/>
          <w:tab w:val="left" w:pos="567" w:leader="none"/>
        </w:tabs>
        <w:ind w:left="0" w:righ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9"/>
        </w:numPr>
        <w:shd w:val="clear" w:color="auto" w:fill="FFFFFF"/>
        <w:tabs>
          <w:tab w:val="clear" w:pos="709"/>
          <w:tab w:val="left" w:pos="0" w:leader="none"/>
          <w:tab w:val="left" w:pos="567" w:leader="none"/>
        </w:tabs>
        <w:ind w:left="0" w:righ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1"/>
        </w:numPr>
        <w:tabs>
          <w:tab w:val="clear" w:pos="709"/>
          <w:tab w:val="left" w:pos="1418" w:leader="none"/>
        </w:tabs>
        <w:ind w:left="0" w:righ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right="0" w:hanging="0"/>
        <w:jc w:val="both"/>
        <w:rPr>
          <w:sz w:val="24"/>
          <w:szCs w:val="24"/>
        </w:rPr>
      </w:pPr>
      <w:r>
        <w:rPr>
          <w:sz w:val="24"/>
          <w:szCs w:val="24"/>
        </w:rPr>
      </w:r>
    </w:p>
    <w:p>
      <w:pPr>
        <w:pStyle w:val="ListParagraph"/>
        <w:widowControl/>
        <w:numPr>
          <w:ilvl w:val="0"/>
          <w:numId w:val="1"/>
        </w:numPr>
        <w:shd w:val="clear" w:color="auto" w:fill="FFFFFF"/>
        <w:ind w:left="0" w:righ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w:t>
      </w:r>
      <w:r>
        <w:rPr>
          <w:sz w:val="24"/>
          <w:szCs w:val="24"/>
          <w:shd w:fill="FFFFFF" w:val="clear"/>
        </w:rPr>
        <w:t>м 15.6 Д</w:t>
      </w:r>
      <w:r>
        <w:rPr>
          <w:sz w:val="24"/>
          <w:szCs w:val="24"/>
        </w:rPr>
        <w:t>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righ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7"/>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7"/>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7"/>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7"/>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7"/>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1"/>
        </w:numPr>
        <w:shd w:val="clear" w:color="auto" w:fill="FFFFFF"/>
        <w:tabs>
          <w:tab w:val="clear" w:pos="709"/>
          <w:tab w:val="left" w:pos="1418" w:leader="none"/>
        </w:tabs>
        <w:ind w:left="0" w:righ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right="0" w:hanging="0"/>
        <w:jc w:val="both"/>
        <w:rPr>
          <w:bCs/>
          <w:sz w:val="24"/>
          <w:szCs w:val="24"/>
        </w:rPr>
      </w:pPr>
      <w:r>
        <w:rPr>
          <w:bCs/>
          <w:sz w:val="24"/>
          <w:szCs w:val="24"/>
        </w:rPr>
      </w:r>
    </w:p>
    <w:p>
      <w:pPr>
        <w:pStyle w:val="ListParagraph"/>
        <w:widowControl/>
        <w:shd w:val="clear" w:color="auto" w:fill="FFFFFF"/>
        <w:tabs>
          <w:tab w:val="clear" w:pos="709"/>
          <w:tab w:val="left" w:pos="0" w:leader="none"/>
        </w:tabs>
        <w:ind w:left="709" w:right="0" w:hanging="0"/>
        <w:jc w:val="both"/>
        <w:rPr>
          <w:bCs/>
          <w:sz w:val="24"/>
          <w:szCs w:val="24"/>
        </w:rPr>
      </w:pPr>
      <w:r>
        <w:rPr>
          <w:bCs/>
          <w:sz w:val="24"/>
          <w:szCs w:val="24"/>
        </w:rPr>
      </w:r>
    </w:p>
    <w:p>
      <w:pPr>
        <w:pStyle w:val="ListParagraph"/>
        <w:numPr>
          <w:ilvl w:val="0"/>
          <w:numId w:val="0"/>
        </w:numPr>
        <w:tabs>
          <w:tab w:val="clear" w:pos="709"/>
          <w:tab w:val="left" w:pos="426" w:leader="none"/>
        </w:tabs>
        <w:ind w:left="0" w:right="0" w:hanging="0"/>
        <w:jc w:val="center"/>
        <w:rPr>
          <w:highlight w:val="none"/>
          <w:shd w:fill="auto" w:val="clear"/>
        </w:rPr>
      </w:pPr>
      <w:r>
        <w:rPr>
          <w:b/>
          <w:bCs/>
          <w:sz w:val="24"/>
          <w:szCs w:val="24"/>
          <w:shd w:fill="auto" w:val="clear"/>
        </w:rPr>
        <w:t>14. Банковское сопровождение</w:t>
      </w:r>
    </w:p>
    <w:p>
      <w:pPr>
        <w:pStyle w:val="ListParagraph"/>
        <w:numPr>
          <w:ilvl w:val="0"/>
          <w:numId w:val="0"/>
        </w:numPr>
        <w:tabs>
          <w:tab w:val="clear" w:pos="709"/>
          <w:tab w:val="left" w:pos="1134" w:leader="none"/>
          <w:tab w:val="left" w:pos="1418" w:leader="none"/>
        </w:tabs>
        <w:ind w:left="0" w:right="0" w:hanging="0"/>
        <w:jc w:val="both"/>
        <w:rPr>
          <w:highlight w:val="none"/>
          <w:shd w:fill="auto" w:val="clear"/>
        </w:rPr>
      </w:pPr>
      <w:r>
        <w:rPr>
          <w:shd w:fill="auto" w:val="clear"/>
        </w:rPr>
        <w:t xml:space="preserve">              </w:t>
      </w:r>
      <w:r>
        <w:rPr>
          <w:sz w:val="24"/>
          <w:szCs w:val="24"/>
          <w:shd w:fill="auto" w:val="clear"/>
        </w:rPr>
        <w:t>14.1 Покупателем установлено банковское сопровождение Договора.</w:t>
      </w:r>
    </w:p>
    <w:p>
      <w:pPr>
        <w:pStyle w:val="ListParagraph"/>
        <w:numPr>
          <w:ilvl w:val="0"/>
          <w:numId w:val="0"/>
        </w:numPr>
        <w:tabs>
          <w:tab w:val="clear" w:pos="709"/>
          <w:tab w:val="left" w:pos="1134" w:leader="none"/>
          <w:tab w:val="left" w:pos="1418" w:leader="none"/>
        </w:tabs>
        <w:ind w:left="0" w:right="0" w:hanging="0"/>
        <w:jc w:val="both"/>
        <w:rPr>
          <w:highlight w:val="none"/>
          <w:shd w:fill="auto" w:val="clear"/>
        </w:rPr>
      </w:pPr>
      <w:r>
        <w:rPr>
          <w:sz w:val="24"/>
          <w:szCs w:val="24"/>
          <w:shd w:fill="auto" w:val="clear"/>
        </w:rPr>
        <w:t xml:space="preserve">         </w:t>
      </w:r>
      <w:r>
        <w:rPr>
          <w:sz w:val="24"/>
          <w:szCs w:val="24"/>
          <w:shd w:fill="auto" w:val="clear"/>
        </w:rPr>
        <w:t>14.2 Привлекаемый Покупателем банк в целях банковского сопровождения Договора – «Газпромбанк» (Акционерное общество) (сокращенное наименование Банк ГПБ (АО)) (далее – Банк).</w:t>
      </w:r>
    </w:p>
    <w:p>
      <w:pPr>
        <w:pStyle w:val="Normal"/>
        <w:widowControl w:val="false"/>
        <w:tabs>
          <w:tab w:val="left" w:pos="709" w:leader="none"/>
        </w:tabs>
        <w:spacing w:lineRule="auto" w:line="240"/>
        <w:ind w:firstLine="709"/>
        <w:jc w:val="both"/>
        <w:rPr>
          <w:highlight w:val="none"/>
          <w:shd w:fill="auto" w:val="clear"/>
        </w:rPr>
      </w:pPr>
      <w:r>
        <w:rPr>
          <w:b/>
          <w:sz w:val="24"/>
          <w:szCs w:val="24"/>
          <w:shd w:fill="auto" w:val="clear"/>
        </w:rPr>
        <w:t>14.3. Обязанность Поставщика:</w:t>
      </w:r>
    </w:p>
    <w:p>
      <w:pPr>
        <w:pStyle w:val="Normal"/>
        <w:spacing w:lineRule="auto" w:line="240"/>
        <w:ind w:firstLine="709"/>
        <w:jc w:val="both"/>
        <w:rPr>
          <w:highlight w:val="none"/>
          <w:shd w:fill="auto" w:val="clear"/>
        </w:rPr>
      </w:pPr>
      <w:r>
        <w:rPr>
          <w:sz w:val="24"/>
          <w:szCs w:val="24"/>
          <w:shd w:fill="auto" w:val="clear"/>
        </w:rPr>
        <w:t>14.3.1. Открыть в Банке, определенном Покупателем, отдельный счет в рамках исполнения Договора в срок не более 5 рабочих дней со дня заключения  Договора.</w:t>
      </w:r>
    </w:p>
    <w:p>
      <w:pPr>
        <w:pStyle w:val="Normal"/>
        <w:spacing w:lineRule="auto" w:line="240"/>
        <w:ind w:firstLine="709"/>
        <w:jc w:val="both"/>
        <w:rPr>
          <w:highlight w:val="none"/>
          <w:shd w:fill="auto" w:val="clear"/>
        </w:rPr>
      </w:pPr>
      <w:r>
        <w:rPr>
          <w:sz w:val="24"/>
          <w:szCs w:val="24"/>
          <w:shd w:fill="auto" w:val="clear"/>
        </w:rPr>
        <w:t xml:space="preserve">14.3.2. </w:t>
      </w:r>
      <w:r>
        <w:rPr>
          <w:shd w:fill="auto" w:val="clear"/>
        </w:rPr>
        <w:t xml:space="preserve"> </w:t>
      </w:r>
      <w:r>
        <w:rPr>
          <w:sz w:val="24"/>
          <w:szCs w:val="24"/>
          <w:shd w:fill="auto" w:val="clear"/>
        </w:rPr>
        <w:t xml:space="preserve">Не позднее 3 (трех) рабочих дней после  открытия счета в Банке, уведомить Покупателя с приложением реквизитов из Банка, согласно пункта 15.6 Договора . Дополнительное соглашение на изменение открытого отдельного счета не заключается. </w:t>
      </w:r>
    </w:p>
    <w:p>
      <w:pPr>
        <w:pStyle w:val="Normal"/>
        <w:spacing w:lineRule="auto" w:line="240"/>
        <w:ind w:firstLine="709"/>
        <w:jc w:val="both"/>
        <w:rPr>
          <w:highlight w:val="none"/>
          <w:shd w:fill="auto" w:val="clear"/>
        </w:rPr>
      </w:pPr>
      <w:r>
        <w:rPr>
          <w:sz w:val="24"/>
          <w:szCs w:val="24"/>
          <w:shd w:fill="auto" w:val="clear"/>
        </w:rPr>
        <w:t>14.3.3. Осуществлять расчеты, связанные с исполнением обязательств по сопровождаемому Договору, на отдельном счете, открытом в Банке, осуществляющем банковское сопровождение Договора.</w:t>
      </w:r>
    </w:p>
    <w:p>
      <w:pPr>
        <w:pStyle w:val="Normal"/>
        <w:spacing w:lineRule="auto" w:line="240"/>
        <w:ind w:firstLine="709"/>
        <w:jc w:val="both"/>
        <w:rPr>
          <w:highlight w:val="none"/>
          <w:shd w:fill="auto" w:val="clear"/>
        </w:rPr>
      </w:pPr>
      <w:r>
        <w:rPr>
          <w:sz w:val="24"/>
          <w:szCs w:val="24"/>
          <w:shd w:fill="auto" w:val="clear"/>
        </w:rPr>
        <w:t>14.3.4. До получения аванса направить Покупателю копию соглашения к договору банковского счета о предоставлении Банку согласия (заранее данный акцепт) без его дополнительного распоряжения списывать со отдельного счета денежные средства по платежным требованиям с акцептом, предъявленным Покупателем.</w:t>
      </w:r>
    </w:p>
    <w:p>
      <w:pPr>
        <w:pStyle w:val="Normal"/>
        <w:spacing w:lineRule="auto" w:line="240"/>
        <w:ind w:firstLine="709"/>
        <w:jc w:val="both"/>
        <w:rPr>
          <w:sz w:val="24"/>
          <w:szCs w:val="24"/>
          <w:highlight w:val="none"/>
          <w:shd w:fill="auto" w:val="clear"/>
        </w:rPr>
      </w:pPr>
      <w:r>
        <w:rPr>
          <w:sz w:val="24"/>
          <w:szCs w:val="24"/>
          <w:shd w:fill="auto" w:val="clear"/>
        </w:rPr>
      </w:r>
    </w:p>
    <w:p>
      <w:pPr>
        <w:pStyle w:val="Normal"/>
        <w:spacing w:lineRule="auto" w:line="240"/>
        <w:ind w:firstLine="709"/>
        <w:jc w:val="both"/>
        <w:rPr>
          <w:highlight w:val="none"/>
          <w:shd w:fill="auto" w:val="clear"/>
        </w:rPr>
      </w:pPr>
      <w:r>
        <w:rPr>
          <w:b/>
          <w:sz w:val="24"/>
          <w:szCs w:val="24"/>
          <w:shd w:fill="auto" w:val="clear"/>
        </w:rPr>
        <w:t>14.4. Обязанность Покупателя</w:t>
      </w:r>
    </w:p>
    <w:p>
      <w:pPr>
        <w:pStyle w:val="Normal"/>
        <w:spacing w:lineRule="auto" w:line="240"/>
        <w:ind w:firstLine="709"/>
        <w:jc w:val="both"/>
        <w:rPr>
          <w:highlight w:val="none"/>
          <w:shd w:fill="auto" w:val="clear"/>
        </w:rPr>
      </w:pPr>
      <w:r>
        <w:rPr>
          <w:sz w:val="24"/>
          <w:szCs w:val="24"/>
          <w:shd w:fill="auto" w:val="clear"/>
        </w:rPr>
        <w:t>14.4.1. Оплачивать поставленный Товар по сопровождаемому Договору на отдельный счет.</w:t>
      </w:r>
    </w:p>
    <w:p>
      <w:pPr>
        <w:pStyle w:val="Normal"/>
        <w:spacing w:lineRule="auto" w:line="240"/>
        <w:ind w:firstLine="709"/>
        <w:jc w:val="both"/>
        <w:rPr>
          <w:highlight w:val="none"/>
          <w:shd w:fill="auto" w:val="clear"/>
        </w:rPr>
      </w:pPr>
      <w:r>
        <w:rPr>
          <w:sz w:val="24"/>
          <w:szCs w:val="24"/>
          <w:shd w:fill="auto" w:val="clear"/>
        </w:rPr>
        <w:t>14.4.2. Определять документы, которые проверяются Банком на соответствие содержанию Договора и (или) фактически поставленный Товар (их результатам) (далее - документы, подтверждающие основание платежа).</w:t>
      </w:r>
    </w:p>
    <w:p>
      <w:pPr>
        <w:pStyle w:val="Normal"/>
        <w:spacing w:lineRule="auto" w:line="240"/>
        <w:ind w:firstLine="709"/>
        <w:jc w:val="both"/>
        <w:rPr>
          <w:highlight w:val="none"/>
          <w:shd w:fill="auto" w:val="clear"/>
        </w:rPr>
      </w:pPr>
      <w:r>
        <w:rPr>
          <w:sz w:val="24"/>
          <w:szCs w:val="24"/>
          <w:shd w:fill="auto" w:val="clear"/>
        </w:rPr>
        <w:t>14.4.3. Согласовывать Банку порядок осуществления Банком проверки платежных документов на соответствие документам, подтверждающим основание платежа, и содержанию Договора, а также документов, подтверждающих основание платежа, на соответствие фактически поставленному Товару.</w:t>
      </w:r>
    </w:p>
    <w:p>
      <w:pPr>
        <w:pStyle w:val="Normal"/>
        <w:spacing w:lineRule="auto" w:line="240"/>
        <w:ind w:firstLine="709"/>
        <w:jc w:val="both"/>
        <w:rPr>
          <w:highlight w:val="none"/>
          <w:shd w:fill="auto" w:val="clear"/>
        </w:rPr>
      </w:pPr>
      <w:r>
        <w:rPr>
          <w:sz w:val="24"/>
          <w:szCs w:val="24"/>
          <w:shd w:fill="auto" w:val="clear"/>
        </w:rPr>
        <w:t>14.4.4. Определять случаи, при которых Банк согласовывает с Покупателем отказ в осуществлении платежа по платежным документам.</w:t>
      </w:r>
    </w:p>
    <w:p>
      <w:pPr>
        <w:pStyle w:val="Normal"/>
        <w:spacing w:lineRule="auto" w:line="240"/>
        <w:ind w:firstLine="709"/>
        <w:jc w:val="both"/>
        <w:rPr>
          <w:highlight w:val="none"/>
          <w:shd w:fill="auto" w:val="clear"/>
        </w:rPr>
      </w:pPr>
      <w:r>
        <w:rPr>
          <w:sz w:val="24"/>
          <w:szCs w:val="24"/>
          <w:shd w:fill="auto" w:val="clear"/>
        </w:rPr>
        <w:t>14.4.5. Рассмотреть в течение 5 дней запрос Банка о проведении платежей Поставщика.</w:t>
      </w:r>
    </w:p>
    <w:p>
      <w:pPr>
        <w:pStyle w:val="Normal"/>
        <w:spacing w:lineRule="auto" w:line="240"/>
        <w:ind w:firstLine="709"/>
        <w:jc w:val="both"/>
        <w:rPr>
          <w:highlight w:val="none"/>
          <w:shd w:fill="auto" w:val="clear"/>
        </w:rPr>
      </w:pPr>
      <w:bookmarkStart w:id="10" w:name="undefined_Копия_1"/>
      <w:r>
        <w:rPr>
          <w:sz w:val="24"/>
          <w:szCs w:val="24"/>
          <w:shd w:fill="auto" w:val="clear"/>
        </w:rPr>
        <w:t>14.4.6. Рассмотреть в течение 5 дней запрос Поставщика о несогласии с отказом Банка в проведении платежа.</w:t>
      </w:r>
      <w:bookmarkEnd w:id="10"/>
    </w:p>
    <w:p>
      <w:pPr>
        <w:pStyle w:val="ListParagraph"/>
        <w:shd w:val="clear" w:color="auto" w:fill="FFFFFF"/>
        <w:tabs>
          <w:tab w:val="clear" w:pos="709"/>
          <w:tab w:val="left" w:pos="1134" w:leader="none"/>
          <w:tab w:val="left" w:pos="1418" w:leader="none"/>
        </w:tabs>
        <w:ind w:left="709" w:right="0" w:hanging="0"/>
        <w:jc w:val="both"/>
        <w:rPr>
          <w:highlight w:val="none"/>
          <w:shd w:fill="FFFF00" w:val="clear"/>
        </w:rPr>
      </w:pPr>
      <w:r>
        <w:rPr>
          <w:shd w:fill="FFFF00" w:val="clear"/>
        </w:rPr>
      </w:r>
    </w:p>
    <w:p>
      <w:pPr>
        <w:pStyle w:val="ListParagraph"/>
        <w:widowControl/>
        <w:shd w:val="clear" w:color="auto" w:fill="FFFFFF"/>
        <w:tabs>
          <w:tab w:val="clear" w:pos="709"/>
          <w:tab w:val="left" w:pos="0" w:leader="none"/>
        </w:tabs>
        <w:ind w:left="709" w:right="0" w:hanging="0"/>
        <w:jc w:val="both"/>
        <w:rPr>
          <w:bCs/>
          <w:sz w:val="24"/>
          <w:szCs w:val="24"/>
          <w:highlight w:val="none"/>
          <w:shd w:fill="auto" w:val="clear"/>
        </w:rPr>
      </w:pPr>
      <w:r>
        <w:rPr>
          <w:bCs/>
          <w:sz w:val="24"/>
          <w:szCs w:val="24"/>
          <w:shd w:fill="auto" w:val="clear"/>
        </w:rPr>
      </w:r>
    </w:p>
    <w:p>
      <w:pPr>
        <w:pStyle w:val="ListParagraph"/>
        <w:widowControl/>
        <w:numPr>
          <w:ilvl w:val="0"/>
          <w:numId w:val="0"/>
        </w:numPr>
        <w:shd w:val="clear" w:color="auto" w:fill="FFFFFF"/>
        <w:ind w:left="0" w:right="0" w:hanging="0"/>
        <w:jc w:val="center"/>
        <w:rPr>
          <w:b/>
          <w:bCs/>
          <w:sz w:val="24"/>
          <w:szCs w:val="24"/>
        </w:rPr>
      </w:pPr>
      <w:r>
        <w:rPr>
          <w:b/>
          <w:bCs/>
          <w:sz w:val="24"/>
          <w:szCs w:val="24"/>
        </w:rPr>
        <w:t>15. Заключительные положения</w:t>
      </w:r>
    </w:p>
    <w:p>
      <w:pPr>
        <w:pStyle w:val="ListParagraph"/>
        <w:widowControl/>
        <w:numPr>
          <w:ilvl w:val="0"/>
          <w:numId w:val="0"/>
        </w:numPr>
        <w:shd w:val="clear" w:color="auto" w:fill="FFFFFF"/>
        <w:tabs>
          <w:tab w:val="clear" w:pos="709"/>
          <w:tab w:val="left" w:pos="142" w:leader="none"/>
          <w:tab w:val="left" w:pos="1418" w:leader="none"/>
        </w:tabs>
        <w:ind w:left="0" w:right="0" w:hanging="0"/>
        <w:jc w:val="both"/>
        <w:rPr>
          <w:sz w:val="24"/>
          <w:szCs w:val="24"/>
        </w:rPr>
      </w:pPr>
      <w:r>
        <w:rPr>
          <w:sz w:val="24"/>
          <w:szCs w:val="24"/>
        </w:rPr>
        <w:t xml:space="preserve">     </w:t>
      </w:r>
      <w:r>
        <w:rPr>
          <w:sz w:val="24"/>
          <w:szCs w:val="24"/>
        </w:rPr>
        <w:t xml:space="preserve">15.1 Договор вступает в силу с даты его подписания Сторонами и действует до 31.05. 2029 года, до полного исполнения ими принятых на себя обязательств. </w:t>
      </w:r>
    </w:p>
    <w:p>
      <w:pPr>
        <w:pStyle w:val="Normal"/>
        <w:widowControl/>
        <w:numPr>
          <w:ilvl w:val="0"/>
          <w:numId w:val="0"/>
        </w:numPr>
        <w:tabs>
          <w:tab w:val="clear" w:pos="709"/>
          <w:tab w:val="left" w:pos="142" w:leader="none"/>
        </w:tabs>
        <w:ind w:left="0" w:right="0" w:hanging="0"/>
        <w:jc w:val="both"/>
        <w:rPr>
          <w:highlight w:val="none"/>
          <w:shd w:fill="FFFFFF" w:val="clear"/>
        </w:rPr>
      </w:pPr>
      <w:r>
        <w:rPr>
          <w:sz w:val="24"/>
          <w:szCs w:val="24"/>
          <w:shd w:fill="FFFFFF" w:val="clear"/>
          <w:lang w:eastAsia="en-US"/>
        </w:rPr>
        <w:t xml:space="preserve">     </w:t>
      </w:r>
      <w:r>
        <w:rPr>
          <w:sz w:val="24"/>
          <w:szCs w:val="24"/>
          <w:shd w:fill="FFFFFF" w:val="clear"/>
          <w:lang w:eastAsia="en-US"/>
        </w:rPr>
        <w:t>15.2 Договор  составлен в 2 (двух) экземплярах, имеющих равную юридическую силу, по 1 (одному) для каждой из Сторон. При согласовании сторон и наличии технической возможности Договор заключается в электронной форме посредством Системы ЭДО-Контур. Диадок система электронного юридически значимого документооборота (https://diadoc.kontur.ru)).</w:t>
      </w:r>
    </w:p>
    <w:p>
      <w:pPr>
        <w:pStyle w:val="ListParagraph"/>
        <w:widowControl/>
        <w:numPr>
          <w:ilvl w:val="0"/>
          <w:numId w:val="0"/>
        </w:numPr>
        <w:shd w:val="clear" w:color="auto" w:fill="FFFFFF"/>
        <w:tabs>
          <w:tab w:val="clear" w:pos="709"/>
          <w:tab w:val="left" w:pos="0" w:leader="none"/>
          <w:tab w:val="left" w:pos="1418" w:leader="none"/>
        </w:tabs>
        <w:ind w:left="0" w:right="0" w:hanging="0"/>
        <w:jc w:val="both"/>
        <w:rPr>
          <w:highlight w:val="none"/>
          <w:shd w:fill="FFFFFF" w:val="clear"/>
        </w:rPr>
      </w:pPr>
      <w:r>
        <w:rPr>
          <w:sz w:val="24"/>
          <w:szCs w:val="24"/>
          <w:shd w:fill="FFFFFF" w:val="clear"/>
        </w:rPr>
        <w:t xml:space="preserve">       </w:t>
      </w:r>
      <w:r>
        <w:rPr>
          <w:sz w:val="24"/>
          <w:szCs w:val="24"/>
          <w:shd w:fill="FFFFFF" w:val="clear"/>
        </w:rPr>
        <w:t xml:space="preserve">15.3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15.5 Договора. </w:t>
      </w:r>
    </w:p>
    <w:p>
      <w:pPr>
        <w:pStyle w:val="ListParagraph"/>
        <w:widowControl/>
        <w:numPr>
          <w:ilvl w:val="0"/>
          <w:numId w:val="0"/>
        </w:numPr>
        <w:shd w:val="clear" w:color="auto" w:fill="FFFFFF"/>
        <w:tabs>
          <w:tab w:val="clear" w:pos="709"/>
          <w:tab w:val="left" w:pos="0" w:leader="none"/>
          <w:tab w:val="left" w:pos="1418" w:leader="none"/>
        </w:tabs>
        <w:ind w:left="0" w:right="0" w:hanging="0"/>
        <w:jc w:val="both"/>
        <w:rPr>
          <w:highlight w:val="none"/>
          <w:shd w:fill="FFFFFF" w:val="clear"/>
        </w:rPr>
      </w:pPr>
      <w:r>
        <w:rPr>
          <w:sz w:val="24"/>
          <w:szCs w:val="24"/>
          <w:shd w:fill="FFFFFF" w:val="clear"/>
        </w:rPr>
        <w:t xml:space="preserve">       </w:t>
      </w:r>
      <w:r>
        <w:rPr>
          <w:sz w:val="24"/>
          <w:szCs w:val="24"/>
          <w:shd w:fill="FFFFFF" w:val="clear"/>
        </w:rPr>
        <w:t xml:space="preserve">15.4 Все приложения к Договору, а также любые изменения и дополнения, оформленные надлежащим образом, являются неотъемлемой частью Договора.                                                        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0"/>
          <w:numId w:val="0"/>
        </w:numPr>
        <w:shd w:val="clear" w:color="auto" w:fill="FFFFFF"/>
        <w:tabs>
          <w:tab w:val="clear" w:pos="709"/>
          <w:tab w:val="left" w:pos="0" w:leader="none"/>
          <w:tab w:val="left" w:pos="1418" w:leader="none"/>
        </w:tabs>
        <w:ind w:left="0" w:right="0" w:hanging="0"/>
        <w:jc w:val="both"/>
        <w:rPr>
          <w:highlight w:val="none"/>
          <w:shd w:fill="FFFFFF" w:val="clear"/>
        </w:rPr>
      </w:pPr>
      <w:r>
        <w:rPr>
          <w:sz w:val="24"/>
          <w:szCs w:val="24"/>
          <w:shd w:fill="FFFFFF" w:val="clear"/>
        </w:rPr>
        <w:t xml:space="preserve">  </w:t>
      </w:r>
      <w:r>
        <w:rPr>
          <w:sz w:val="24"/>
          <w:szCs w:val="24"/>
          <w:shd w:fill="FFFFFF" w:val="clear"/>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15.6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0"/>
          <w:numId w:val="0"/>
        </w:numPr>
        <w:shd w:val="clear" w:color="auto" w:fill="FFFFFF"/>
        <w:tabs>
          <w:tab w:val="clear" w:pos="709"/>
          <w:tab w:val="left" w:pos="0" w:leader="none"/>
          <w:tab w:val="left" w:pos="1418" w:leader="none"/>
        </w:tabs>
        <w:ind w:left="0" w:right="0" w:hanging="0"/>
        <w:jc w:val="both"/>
        <w:rPr>
          <w:highlight w:val="none"/>
          <w:shd w:fill="FFFFFF" w:val="clear"/>
        </w:rPr>
      </w:pPr>
      <w:r>
        <w:rPr>
          <w:sz w:val="24"/>
          <w:szCs w:val="24"/>
          <w:shd w:fill="FFFFFF" w:val="clear"/>
        </w:rPr>
        <w:t xml:space="preserve">       </w:t>
      </w:r>
      <w:r>
        <w:rPr>
          <w:sz w:val="24"/>
          <w:szCs w:val="24"/>
          <w:shd w:fill="FFFFFF" w:val="clear"/>
        </w:rPr>
        <w:t xml:space="preserve">15.5 </w:t>
      </w:r>
      <w:bookmarkStart w:id="11" w:name="_Ref361338004"/>
      <w:r>
        <w:rPr>
          <w:sz w:val="24"/>
          <w:szCs w:val="24"/>
          <w:shd w:fill="FFFFFF" w:val="clear"/>
        </w:rPr>
        <w:t>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w:t>
      </w:r>
      <w:bookmarkEnd w:id="11"/>
      <w:r>
        <w:rPr>
          <w:sz w:val="24"/>
          <w:szCs w:val="24"/>
          <w:shd w:fill="FFFFFF" w:val="clear"/>
        </w:rPr>
        <w:t>.</w:t>
      </w:r>
    </w:p>
    <w:p>
      <w:pPr>
        <w:pStyle w:val="ListParagraph"/>
        <w:widowControl/>
        <w:numPr>
          <w:ilvl w:val="0"/>
          <w:numId w:val="0"/>
        </w:numPr>
        <w:shd w:val="clear" w:color="auto" w:fill="FFFFFF"/>
        <w:tabs>
          <w:tab w:val="clear" w:pos="709"/>
          <w:tab w:val="left" w:pos="0" w:leader="none"/>
          <w:tab w:val="left" w:pos="1134" w:leader="none"/>
          <w:tab w:val="left" w:pos="1418" w:leader="none"/>
        </w:tabs>
        <w:ind w:left="0" w:right="0" w:hanging="0"/>
        <w:jc w:val="both"/>
        <w:rPr>
          <w:bCs/>
          <w:sz w:val="24"/>
          <w:szCs w:val="24"/>
        </w:rPr>
      </w:pPr>
      <w:r>
        <w:rPr>
          <w:sz w:val="24"/>
          <w:szCs w:val="24"/>
        </w:rPr>
        <w:t xml:space="preserve">    </w:t>
      </w:r>
      <w:r>
        <w:rPr>
          <w:sz w:val="24"/>
          <w:szCs w:val="24"/>
        </w:rPr>
        <w:t>15.6 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0"/>
          <w:numId w:val="0"/>
        </w:numPr>
        <w:ind w:left="0" w:right="0" w:hanging="0"/>
        <w:jc w:val="both"/>
        <w:rPr>
          <w:sz w:val="24"/>
          <w:szCs w:val="24"/>
        </w:rPr>
      </w:pPr>
      <w:r>
        <w:rPr>
          <w:bCs/>
          <w:sz w:val="24"/>
          <w:szCs w:val="24"/>
        </w:rPr>
        <w:t xml:space="preserve">   </w:t>
      </w:r>
      <w:r>
        <w:rPr>
          <w:bCs/>
          <w:sz w:val="24"/>
          <w:szCs w:val="24"/>
        </w:rPr>
        <w:t xml:space="preserve">15.6.1 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0"/>
          <w:numId w:val="0"/>
        </w:numPr>
        <w:ind w:left="0" w:right="0" w:hanging="0"/>
        <w:jc w:val="both"/>
        <w:rPr>
          <w:sz w:val="24"/>
          <w:szCs w:val="24"/>
        </w:rPr>
      </w:pPr>
      <w:r>
        <w:rPr>
          <w:bCs/>
          <w:sz w:val="24"/>
          <w:szCs w:val="24"/>
        </w:rPr>
        <w:t xml:space="preserve">     </w:t>
      </w:r>
      <w:r>
        <w:rPr>
          <w:bCs/>
          <w:sz w:val="24"/>
          <w:szCs w:val="24"/>
        </w:rPr>
        <w:t>15.6.2 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0"/>
          <w:numId w:val="0"/>
        </w:numPr>
        <w:ind w:left="0" w:right="0" w:hanging="0"/>
        <w:jc w:val="both"/>
        <w:rPr>
          <w:bCs/>
          <w:sz w:val="24"/>
          <w:szCs w:val="24"/>
        </w:rPr>
      </w:pPr>
      <w:r>
        <w:rPr>
          <w:bCs/>
          <w:sz w:val="24"/>
          <w:szCs w:val="24"/>
        </w:rPr>
        <w:t xml:space="preserve">     </w:t>
      </w:r>
      <w:r>
        <w:rPr>
          <w:bCs/>
          <w:sz w:val="24"/>
          <w:szCs w:val="24"/>
        </w:rPr>
        <w:t>15.6.3 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right="0" w:firstLine="709"/>
        <w:jc w:val="both"/>
        <w:rPr>
          <w:bCs/>
          <w:sz w:val="24"/>
          <w:szCs w:val="24"/>
        </w:rPr>
      </w:pPr>
      <w:r>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w:t>
      </w:r>
      <w:r>
        <w:rPr>
          <w:bCs/>
          <w:sz w:val="24"/>
          <w:szCs w:val="24"/>
          <w:shd w:fill="FFFFFF" w:val="clear"/>
        </w:rPr>
        <w:t>ах 15.4 – 15.6 До</w:t>
      </w:r>
      <w:r>
        <w:rPr>
          <w:bCs/>
          <w:sz w:val="24"/>
          <w:szCs w:val="24"/>
        </w:rPr>
        <w:t xml:space="preserve">говора. </w:t>
      </w:r>
    </w:p>
    <w:p>
      <w:pPr>
        <w:pStyle w:val="Normal"/>
        <w:widowControl/>
        <w:numPr>
          <w:ilvl w:val="0"/>
          <w:numId w:val="0"/>
        </w:numPr>
        <w:tabs>
          <w:tab w:val="clear" w:pos="709"/>
          <w:tab w:val="left" w:pos="0" w:leader="none"/>
          <w:tab w:val="left" w:pos="1418" w:leader="none"/>
        </w:tabs>
        <w:ind w:left="0" w:right="0" w:hanging="0"/>
        <w:jc w:val="both"/>
        <w:rPr>
          <w:bCs/>
          <w:sz w:val="24"/>
          <w:szCs w:val="24"/>
        </w:rPr>
      </w:pPr>
      <w:r>
        <w:rPr>
          <w:bCs/>
          <w:sz w:val="24"/>
          <w:szCs w:val="24"/>
        </w:rPr>
        <w:t xml:space="preserve">     </w:t>
      </w:r>
      <w:r>
        <w:rPr>
          <w:bCs/>
          <w:sz w:val="24"/>
          <w:szCs w:val="24"/>
        </w:rPr>
        <w:t xml:space="preserve">15.7 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0"/>
          <w:numId w:val="0"/>
        </w:numPr>
        <w:shd w:val="clear" w:color="auto" w:fill="FFFFFF"/>
        <w:tabs>
          <w:tab w:val="clear" w:pos="709"/>
          <w:tab w:val="left" w:pos="0" w:leader="none"/>
          <w:tab w:val="left" w:pos="1418" w:leader="none"/>
        </w:tabs>
        <w:ind w:left="0" w:right="0" w:hanging="0"/>
        <w:jc w:val="both"/>
        <w:rPr>
          <w:bCs/>
          <w:sz w:val="24"/>
          <w:szCs w:val="24"/>
        </w:rPr>
      </w:pPr>
      <w:r>
        <w:rPr>
          <w:sz w:val="24"/>
          <w:szCs w:val="24"/>
        </w:rPr>
        <w:t xml:space="preserve">  </w:t>
      </w:r>
      <w:r>
        <w:rPr>
          <w:sz w:val="24"/>
          <w:szCs w:val="24"/>
        </w:rPr>
        <w:t xml:space="preserve">15.8 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7"/>
      </w:r>
      <w:r>
        <w:rPr>
          <w:bCs/>
          <w:sz w:val="24"/>
          <w:szCs w:val="24"/>
        </w:rPr>
        <w:t>.</w:t>
      </w:r>
      <w:r>
        <w:rPr>
          <w:sz w:val="24"/>
          <w:szCs w:val="24"/>
        </w:rPr>
        <w:t xml:space="preserve"> </w:t>
      </w:r>
    </w:p>
    <w:p>
      <w:pPr>
        <w:pStyle w:val="ListParagraph"/>
        <w:widowControl/>
        <w:numPr>
          <w:ilvl w:val="0"/>
          <w:numId w:val="0"/>
        </w:numPr>
        <w:shd w:val="clear" w:color="auto" w:fill="FFFFFF"/>
        <w:tabs>
          <w:tab w:val="clear" w:pos="709"/>
          <w:tab w:val="left" w:pos="0" w:leader="none"/>
          <w:tab w:val="left" w:pos="1418" w:leader="none"/>
        </w:tabs>
        <w:ind w:left="0" w:right="0" w:hanging="0"/>
        <w:jc w:val="both"/>
        <w:rPr>
          <w:sz w:val="24"/>
          <w:szCs w:val="24"/>
        </w:rPr>
      </w:pPr>
      <w:r>
        <w:rPr>
          <w:sz w:val="24"/>
          <w:szCs w:val="24"/>
        </w:rPr>
        <w:t xml:space="preserve">          </w:t>
      </w:r>
      <w:r>
        <w:rPr>
          <w:sz w:val="24"/>
          <w:szCs w:val="24"/>
        </w:rPr>
        <w:t xml:space="preserve">15.9 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0"/>
          <w:numId w:val="0"/>
        </w:numPr>
        <w:shd w:val="clear" w:color="auto" w:fill="FFFFFF"/>
        <w:tabs>
          <w:tab w:val="clear" w:pos="709"/>
          <w:tab w:val="left" w:pos="0" w:leader="none"/>
          <w:tab w:val="left" w:pos="1418" w:leader="none"/>
        </w:tabs>
        <w:ind w:left="0" w:right="0" w:hanging="0"/>
        <w:jc w:val="both"/>
        <w:rPr>
          <w:sz w:val="24"/>
          <w:szCs w:val="24"/>
        </w:rPr>
      </w:pPr>
      <w:r>
        <w:rPr>
          <w:sz w:val="24"/>
          <w:szCs w:val="24"/>
        </w:rPr>
        <w:t xml:space="preserve">   </w:t>
      </w:r>
    </w:p>
    <w:p>
      <w:pPr>
        <w:pStyle w:val="Normal"/>
        <w:shd w:val="clear" w:color="auto" w:fill="FFFFFF"/>
        <w:ind w:left="0" w:right="0" w:firstLine="567"/>
        <w:jc w:val="both"/>
        <w:rPr>
          <w:sz w:val="24"/>
          <w:szCs w:val="24"/>
        </w:rPr>
      </w:pPr>
      <w:r>
        <w:rPr>
          <w:sz w:val="24"/>
          <w:szCs w:val="24"/>
        </w:rPr>
      </w:r>
    </w:p>
    <w:p>
      <w:pPr>
        <w:pStyle w:val="Normal"/>
        <w:widowControl/>
        <w:numPr>
          <w:ilvl w:val="0"/>
          <w:numId w:val="0"/>
        </w:numPr>
        <w:shd w:val="clear" w:color="auto" w:fill="FFFFFF"/>
        <w:tabs>
          <w:tab w:val="clear" w:pos="709"/>
          <w:tab w:val="left" w:pos="284" w:leader="none"/>
        </w:tabs>
        <w:spacing w:lineRule="auto" w:line="259" w:before="0" w:after="0"/>
        <w:ind w:left="360" w:hanging="0"/>
        <w:contextualSpacing/>
        <w:jc w:val="center"/>
        <w:rPr>
          <w:b/>
          <w:bCs/>
          <w:sz w:val="24"/>
          <w:szCs w:val="24"/>
        </w:rPr>
      </w:pPr>
      <w:r>
        <w:rPr>
          <w:b/>
          <w:bCs/>
          <w:sz w:val="24"/>
          <w:szCs w:val="24"/>
        </w:rPr>
        <w:t xml:space="preserve">16. Список приложений </w:t>
      </w:r>
    </w:p>
    <w:p>
      <w:pPr>
        <w:pStyle w:val="Normal"/>
        <w:widowControl/>
        <w:shd w:val="clear" w:color="auto" w:fill="FFFFFF"/>
        <w:tabs>
          <w:tab w:val="clear" w:pos="709"/>
          <w:tab w:val="left" w:pos="0" w:leader="none"/>
        </w:tabs>
        <w:ind w:left="0" w:right="0"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left="0" w:right="0" w:firstLine="709"/>
        <w:jc w:val="both"/>
        <w:rPr>
          <w:rFonts w:eastAsia="Calibri"/>
          <w:sz w:val="24"/>
          <w:szCs w:val="24"/>
          <w:lang w:eastAsia="en-US"/>
        </w:rPr>
      </w:pPr>
      <w:r>
        <w:rPr>
          <w:rFonts w:eastAsia="Calibri"/>
          <w:sz w:val="24"/>
          <w:szCs w:val="24"/>
          <w:lang w:eastAsia="en-US"/>
        </w:rPr>
        <w:t xml:space="preserve">Приложение № 2 – </w:t>
      </w:r>
      <w:r>
        <w:rPr>
          <w:sz w:val="24"/>
          <w:szCs w:val="24"/>
        </w:rPr>
        <w:t>Технические характеристики.</w:t>
      </w:r>
    </w:p>
    <w:p>
      <w:pPr>
        <w:pStyle w:val="Normal"/>
        <w:widowControl/>
        <w:shd w:val="clear" w:color="auto" w:fill="FFFFFF"/>
        <w:tabs>
          <w:tab w:val="clear" w:pos="709"/>
          <w:tab w:val="left" w:pos="0" w:leader="none"/>
          <w:tab w:val="left" w:pos="2694" w:leader="none"/>
        </w:tabs>
        <w:ind w:left="0" w:right="0" w:firstLine="709"/>
        <w:jc w:val="both"/>
        <w:rPr>
          <w:sz w:val="24"/>
          <w:szCs w:val="24"/>
        </w:rPr>
      </w:pPr>
      <w:r>
        <w:rPr>
          <w:sz w:val="24"/>
          <w:szCs w:val="24"/>
        </w:rPr>
        <w:t>Приложение № 3 –</w:t>
      </w:r>
      <w:r>
        <w:rPr>
          <w:rFonts w:eastAsia="Calibri"/>
          <w:sz w:val="24"/>
          <w:szCs w:val="24"/>
          <w:lang w:eastAsia="en-US"/>
        </w:rPr>
        <w:t xml:space="preserve"> Календарный график поставки Товара.</w:t>
      </w:r>
    </w:p>
    <w:p>
      <w:pPr>
        <w:pStyle w:val="Normal"/>
        <w:widowControl/>
        <w:shd w:val="clear" w:color="auto" w:fill="FFFFFF"/>
        <w:tabs>
          <w:tab w:val="clear" w:pos="709"/>
          <w:tab w:val="left" w:pos="0" w:leader="none"/>
          <w:tab w:val="left" w:pos="2694" w:leader="none"/>
        </w:tabs>
        <w:ind w:left="0" w:right="0" w:firstLine="709"/>
        <w:jc w:val="both"/>
        <w:rPr>
          <w:sz w:val="24"/>
          <w:szCs w:val="24"/>
        </w:rPr>
      </w:pPr>
      <w:bookmarkStart w:id="12" w:name="sub_1"/>
      <w:r>
        <w:rPr>
          <w:rFonts w:eastAsia="Calibri"/>
          <w:sz w:val="24"/>
          <w:szCs w:val="24"/>
          <w:lang w:eastAsia="en-US"/>
        </w:rPr>
        <w:t>Приложение № 4 – Критерии отбора Банков-Гарантов.</w:t>
      </w:r>
      <w:bookmarkEnd w:id="12"/>
    </w:p>
    <w:p>
      <w:pPr>
        <w:pStyle w:val="Normal"/>
        <w:ind w:left="0" w:right="0" w:firstLine="709"/>
        <w:jc w:val="both"/>
        <w:rPr>
          <w:bCs/>
          <w:sz w:val="24"/>
          <w:szCs w:val="24"/>
        </w:rPr>
      </w:pPr>
      <w:r>
        <w:rPr>
          <w:bCs/>
          <w:sz w:val="24"/>
          <w:szCs w:val="24"/>
        </w:rPr>
        <w:t xml:space="preserve">Приложение № 5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w:t>
      </w:r>
      <w:r>
        <w:rPr>
          <w:bCs/>
          <w:sz w:val="24"/>
          <w:szCs w:val="24"/>
          <w:shd w:fill="FFFFFF" w:val="clear"/>
        </w:rPr>
        <w:t>зопасности.</w:t>
      </w:r>
    </w:p>
    <w:p>
      <w:pPr>
        <w:pStyle w:val="Normal"/>
        <w:ind w:left="0" w:right="0" w:firstLine="709"/>
        <w:jc w:val="both"/>
        <w:rPr>
          <w:bCs/>
          <w:sz w:val="24"/>
          <w:szCs w:val="24"/>
        </w:rPr>
      </w:pPr>
      <w:r>
        <w:rPr>
          <w:bCs/>
          <w:sz w:val="24"/>
          <w:szCs w:val="24"/>
          <w:shd w:fill="FFFFFF" w:val="clear"/>
        </w:rPr>
        <w:t>Приложение №6 — Календарный график авансирования.</w:t>
      </w:r>
    </w:p>
    <w:p>
      <w:pPr>
        <w:pStyle w:val="Normal"/>
        <w:ind w:left="0" w:right="0" w:firstLine="709"/>
        <w:jc w:val="both"/>
        <w:rPr>
          <w:highlight w:val="none"/>
          <w:shd w:fill="FFFFFF" w:val="clear"/>
        </w:rPr>
      </w:pPr>
      <w:r>
        <w:rPr>
          <w:shd w:fill="FFFFFF" w:val="clear"/>
        </w:rPr>
      </w:r>
    </w:p>
    <w:p>
      <w:pPr>
        <w:pStyle w:val="Normal"/>
        <w:ind w:left="0" w:right="0" w:firstLine="709"/>
        <w:jc w:val="both"/>
        <w:rPr>
          <w:sz w:val="24"/>
          <w:szCs w:val="24"/>
        </w:rPr>
      </w:pPr>
      <w:r>
        <w:rPr>
          <w:sz w:val="24"/>
          <w:szCs w:val="24"/>
        </w:rPr>
      </w:r>
    </w:p>
    <w:p>
      <w:pPr>
        <w:pStyle w:val="ListParagraph"/>
        <w:widowControl/>
        <w:numPr>
          <w:ilvl w:val="0"/>
          <w:numId w:val="0"/>
        </w:numPr>
        <w:shd w:val="clear" w:color="auto" w:fill="FFFFFF"/>
        <w:tabs>
          <w:tab w:val="clear" w:pos="709"/>
          <w:tab w:val="left" w:pos="426" w:leader="none"/>
        </w:tabs>
        <w:ind w:left="0" w:right="0" w:hanging="0"/>
        <w:jc w:val="center"/>
        <w:rPr>
          <w:b/>
          <w:bCs/>
          <w:sz w:val="24"/>
          <w:szCs w:val="24"/>
        </w:rPr>
      </w:pPr>
      <w:r>
        <w:rPr>
          <w:b/>
          <w:bCs/>
          <w:sz w:val="24"/>
          <w:szCs w:val="24"/>
        </w:rPr>
        <w:t>17. Адреса и платежные реквизиты Сторон</w:t>
      </w:r>
    </w:p>
    <w:p>
      <w:pPr>
        <w:pStyle w:val="ListParagraph"/>
        <w:widowControl/>
        <w:shd w:val="clear" w:color="auto" w:fill="FFFFFF"/>
        <w:tabs>
          <w:tab w:val="clear" w:pos="709"/>
          <w:tab w:val="left" w:pos="426" w:leader="none"/>
        </w:tabs>
        <w:ind w:left="360" w:right="0" w:hanging="0"/>
        <w:rPr>
          <w:b/>
          <w:bCs/>
          <w:sz w:val="24"/>
          <w:szCs w:val="24"/>
        </w:rPr>
      </w:pPr>
      <w:r>
        <w:rPr>
          <w:b/>
          <w:bCs/>
          <w:sz w:val="24"/>
          <w:szCs w:val="24"/>
        </w:rPr>
      </w:r>
    </w:p>
    <w:tbl>
      <w:tblPr>
        <w:tblW w:w="989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765"/>
        <w:gridCol w:w="163"/>
        <w:gridCol w:w="4602"/>
        <w:gridCol w:w="360"/>
      </w:tblGrid>
      <w:tr>
        <w:trPr/>
        <w:tc>
          <w:tcPr>
            <w:tcW w:w="4928" w:type="dxa"/>
            <w:gridSpan w:val="2"/>
            <w:tcBorders/>
          </w:tcPr>
          <w:p>
            <w:pPr>
              <w:pStyle w:val="Normal"/>
              <w:widowControl w:val="false"/>
              <w:rPr>
                <w:sz w:val="24"/>
                <w:szCs w:val="24"/>
              </w:rPr>
            </w:pPr>
            <w:r>
              <w:rPr>
                <w:sz w:val="24"/>
                <w:szCs w:val="24"/>
              </w:rPr>
              <w:t>ПОКУПАТЕЛЬ:</w:t>
            </w:r>
          </w:p>
          <w:p>
            <w:pPr>
              <w:pStyle w:val="Normal"/>
              <w:widowControl w:val="false"/>
              <w:rPr>
                <w:sz w:val="24"/>
                <w:szCs w:val="24"/>
              </w:rPr>
            </w:pPr>
            <w:r>
              <w:rPr>
                <w:sz w:val="24"/>
                <w:szCs w:val="24"/>
              </w:rPr>
              <w:t>АО «ДГК»</w:t>
            </w:r>
          </w:p>
        </w:tc>
        <w:tc>
          <w:tcPr>
            <w:tcW w:w="4962" w:type="dxa"/>
            <w:gridSpan w:val="2"/>
            <w:tcBorders/>
          </w:tcPr>
          <w:p>
            <w:pPr>
              <w:pStyle w:val="Normal"/>
              <w:widowControl w:val="false"/>
              <w:rPr>
                <w:sz w:val="24"/>
                <w:szCs w:val="24"/>
              </w:rPr>
            </w:pPr>
            <w:r>
              <w:rPr>
                <w:sz w:val="24"/>
                <w:szCs w:val="24"/>
              </w:rPr>
              <w:t>ПОСТАВЩИК:</w:t>
            </w:r>
          </w:p>
          <w:p>
            <w:pPr>
              <w:pStyle w:val="Normal"/>
              <w:widowControl w:val="false"/>
              <w:rPr>
                <w:sz w:val="24"/>
                <w:szCs w:val="24"/>
              </w:rPr>
            </w:pPr>
            <w:r>
              <w:rPr>
                <w:sz w:val="24"/>
                <w:szCs w:val="24"/>
              </w:rPr>
            </w:r>
          </w:p>
        </w:tc>
      </w:tr>
      <w:tr>
        <w:trPr/>
        <w:tc>
          <w:tcPr>
            <w:tcW w:w="4928" w:type="dxa"/>
            <w:gridSpan w:val="2"/>
            <w:tcBorders/>
          </w:tcPr>
          <w:p>
            <w:pPr>
              <w:pStyle w:val="Normal"/>
              <w:widowControl w:val="false"/>
              <w:shd w:val="clear" w:color="auto" w:fill="FFFFFF"/>
              <w:ind w:left="0" w:right="77" w:hanging="0"/>
              <w:rPr>
                <w:sz w:val="24"/>
                <w:szCs w:val="24"/>
                <w:shd w:fill="auto" w:val="clear"/>
              </w:rPr>
            </w:pPr>
            <w:r>
              <w:rPr>
                <w:sz w:val="24"/>
                <w:szCs w:val="24"/>
                <w:shd w:fill="auto" w:val="clear"/>
              </w:rPr>
            </w:r>
          </w:p>
          <w:p>
            <w:pPr>
              <w:pStyle w:val="Normal"/>
              <w:widowControl w:val="false"/>
              <w:shd w:val="clear" w:color="auto" w:fill="FFFFFF"/>
              <w:rPr>
                <w:b/>
                <w:bCs/>
                <w:sz w:val="24"/>
                <w:szCs w:val="24"/>
                <w:shd w:fill="auto" w:val="clear"/>
                <w:lang w:val="en-US"/>
              </w:rPr>
            </w:pPr>
            <w:r>
              <w:rPr>
                <w:b/>
                <w:bCs/>
                <w:sz w:val="24"/>
                <w:szCs w:val="24"/>
                <w:shd w:fill="auto" w:val="clear"/>
                <w:lang w:val="en-US"/>
              </w:rPr>
            </w:r>
          </w:p>
          <w:p>
            <w:pPr>
              <w:pStyle w:val="Normal"/>
              <w:widowControl w:val="false"/>
              <w:shd w:val="clear" w:color="auto" w:fill="FFFFFF"/>
              <w:rPr>
                <w:b w:val="false"/>
                <w:bCs w:val="false"/>
                <w:sz w:val="24"/>
                <w:szCs w:val="24"/>
                <w:shd w:fill="auto" w:val="clear"/>
                <w:lang w:val="en-US"/>
              </w:rPr>
            </w:pPr>
            <w:r>
              <w:rPr>
                <w:b w:val="false"/>
                <w:bCs w:val="false"/>
                <w:sz w:val="24"/>
                <w:szCs w:val="24"/>
                <w:shd w:fill="auto" w:val="clear"/>
                <w:lang w:val="en-US"/>
              </w:rPr>
            </w:r>
          </w:p>
          <w:p>
            <w:pPr>
              <w:pStyle w:val="ConsNormal"/>
              <w:widowControl w:val="false"/>
              <w:ind w:left="0" w:right="19772" w:hanging="0"/>
              <w:rPr>
                <w:rFonts w:ascii="Times New Roman" w:hAnsi="Times New Roman" w:cs="Times New Roman"/>
                <w:sz w:val="24"/>
                <w:szCs w:val="24"/>
                <w:shd w:fill="auto" w:val="clear"/>
              </w:rPr>
            </w:pPr>
            <w:r>
              <w:rPr>
                <w:rFonts w:cs="Times New Roman" w:ascii="Times New Roman" w:hAnsi="Times New Roman"/>
                <w:sz w:val="24"/>
                <w:szCs w:val="24"/>
                <w:shd w:fill="auto" w:val="clear"/>
              </w:rPr>
            </w:r>
          </w:p>
          <w:tbl>
            <w:tblPr>
              <w:tblW w:w="989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266"/>
              <w:gridCol w:w="623"/>
            </w:tblGrid>
            <w:tr>
              <w:trPr/>
              <w:tc>
                <w:tcPr>
                  <w:tcW w:w="9266" w:type="dxa"/>
                  <w:tcBorders/>
                </w:tcPr>
                <w:p>
                  <w:pPr>
                    <w:pStyle w:val="Normal"/>
                    <w:widowControl w:val="false"/>
                    <w:rPr>
                      <w:shd w:fill="auto" w:val="clear"/>
                    </w:rPr>
                  </w:pPr>
                  <w:r>
                    <w:rPr>
                      <w:sz w:val="24"/>
                      <w:szCs w:val="24"/>
                      <w:shd w:fill="auto" w:val="clear"/>
                    </w:rPr>
                    <w:t>____________________</w:t>
                  </w:r>
                </w:p>
              </w:tc>
              <w:tc>
                <w:tcPr>
                  <w:tcW w:w="623" w:type="dxa"/>
                  <w:tcBorders/>
                </w:tcPr>
                <w:p>
                  <w:pPr>
                    <w:pStyle w:val="Normal"/>
                    <w:widowControl w:val="false"/>
                    <w:rPr>
                      <w:shd w:fill="auto" w:val="clear"/>
                    </w:rPr>
                  </w:pPr>
                  <w:r>
                    <w:rPr>
                      <w:shd w:fill="auto" w:val="clear"/>
                    </w:rPr>
                  </w:r>
                </w:p>
              </w:tc>
            </w:tr>
          </w:tbl>
          <w:p>
            <w:pPr>
              <w:pStyle w:val="Normal"/>
              <w:widowControl w:val="false"/>
              <w:rPr/>
            </w:pPr>
            <w:r>
              <w:rPr/>
            </w:r>
          </w:p>
        </w:tc>
        <w:tc>
          <w:tcPr>
            <w:tcW w:w="4962" w:type="dxa"/>
            <w:gridSpan w:val="2"/>
            <w:tcBorders/>
          </w:tcPr>
          <w:p>
            <w:pPr>
              <w:pStyle w:val="Normal"/>
              <w:widowControl w:val="false"/>
              <w:shd w:val="clear" w:color="auto" w:fill="FFFFFF"/>
              <w:ind w:left="0" w:right="77" w:hanging="0"/>
              <w:rPr>
                <w:sz w:val="24"/>
                <w:szCs w:val="24"/>
                <w:shd w:fill="auto" w:val="clear"/>
              </w:rPr>
            </w:pPr>
            <w:r>
              <w:rPr>
                <w:sz w:val="24"/>
                <w:szCs w:val="24"/>
                <w:shd w:fill="auto" w:val="clear"/>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p>
            <w:pPr>
              <w:pStyle w:val="Normal"/>
              <w:widowControl w:val="false"/>
              <w:rPr>
                <w:color w:val="000000"/>
                <w:spacing w:val="-6"/>
                <w:lang w:val="en-US"/>
              </w:rPr>
            </w:pPr>
            <w:r>
              <w:rPr>
                <w:color w:val="000000"/>
                <w:spacing w:val="-6"/>
                <w:lang w:val="en-US"/>
              </w:rPr>
            </w:r>
          </w:p>
          <w:tbl>
            <w:tblPr>
              <w:tblW w:w="989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266"/>
              <w:gridCol w:w="623"/>
            </w:tblGrid>
            <w:tr>
              <w:trPr/>
              <w:tc>
                <w:tcPr>
                  <w:tcW w:w="9266" w:type="dxa"/>
                  <w:tcBorders/>
                </w:tcPr>
                <w:p>
                  <w:pPr>
                    <w:pStyle w:val="Normal"/>
                    <w:widowControl w:val="false"/>
                    <w:rPr>
                      <w:shd w:fill="auto" w:val="clear"/>
                    </w:rPr>
                  </w:pPr>
                  <w:r>
                    <w:rPr>
                      <w:shd w:fill="auto" w:val="clear"/>
                    </w:rPr>
                  </w:r>
                </w:p>
                <w:p>
                  <w:pPr>
                    <w:pStyle w:val="Normal"/>
                    <w:widowControl w:val="false"/>
                    <w:rPr>
                      <w:shd w:fill="auto" w:val="clear"/>
                    </w:rPr>
                  </w:pPr>
                  <w:r>
                    <w:rPr>
                      <w:shd w:fill="auto" w:val="clear"/>
                    </w:rPr>
                  </w:r>
                </w:p>
                <w:p>
                  <w:pPr>
                    <w:pStyle w:val="Normal"/>
                    <w:widowControl w:val="false"/>
                    <w:rPr>
                      <w:shd w:fill="auto" w:val="clear"/>
                    </w:rPr>
                  </w:pPr>
                  <w:r>
                    <w:rPr>
                      <w:shd w:fill="auto" w:val="clear"/>
                    </w:rPr>
                  </w:r>
                </w:p>
                <w:p>
                  <w:pPr>
                    <w:pStyle w:val="Normal"/>
                    <w:widowControl w:val="false"/>
                    <w:rPr>
                      <w:shd w:fill="auto" w:val="clear"/>
                    </w:rPr>
                  </w:pPr>
                  <w:r>
                    <w:rPr>
                      <w:sz w:val="24"/>
                      <w:szCs w:val="24"/>
                      <w:shd w:fill="auto" w:val="clear"/>
                    </w:rPr>
                    <w:t>________________________</w:t>
                  </w:r>
                </w:p>
              </w:tc>
              <w:tc>
                <w:tcPr>
                  <w:tcW w:w="623" w:type="dxa"/>
                  <w:tcBorders/>
                </w:tcPr>
                <w:p>
                  <w:pPr>
                    <w:pStyle w:val="Normal"/>
                    <w:widowControl w:val="false"/>
                    <w:rPr>
                      <w:shd w:fill="auto" w:val="clear"/>
                    </w:rPr>
                  </w:pPr>
                  <w:r>
                    <w:rPr>
                      <w:shd w:fill="auto" w:val="clear"/>
                    </w:rPr>
                  </w:r>
                </w:p>
              </w:tc>
            </w:tr>
          </w:tbl>
          <w:p>
            <w:pPr>
              <w:pStyle w:val="Normal"/>
              <w:widowControl w:val="false"/>
              <w:rPr/>
            </w:pPr>
            <w:r>
              <w:rPr/>
            </w:r>
          </w:p>
        </w:tc>
      </w:tr>
      <w:tr>
        <w:trPr/>
        <w:tc>
          <w:tcPr>
            <w:tcW w:w="4765" w:type="dxa"/>
            <w:tcBorders/>
          </w:tcPr>
          <w:p>
            <w:pPr>
              <w:pStyle w:val="Normal"/>
              <w:widowControl w:val="false"/>
              <w:rPr>
                <w:sz w:val="24"/>
                <w:szCs w:val="24"/>
                <w:shd w:fill="auto" w:val="clear"/>
              </w:rPr>
            </w:pPr>
            <w:r>
              <w:rPr>
                <w:sz w:val="24"/>
                <w:szCs w:val="24"/>
                <w:shd w:fill="auto" w:val="clear"/>
              </w:rPr>
            </w:r>
          </w:p>
          <w:p>
            <w:pPr>
              <w:pStyle w:val="Normal"/>
              <w:widowControl w:val="false"/>
              <w:rPr>
                <w:sz w:val="24"/>
                <w:szCs w:val="24"/>
                <w:shd w:fill="auto" w:val="clear"/>
              </w:rPr>
            </w:pPr>
            <w:r>
              <w:rPr>
                <w:sz w:val="24"/>
                <w:szCs w:val="24"/>
                <w:shd w:fill="auto" w:val="clear"/>
              </w:rPr>
            </w:r>
          </w:p>
          <w:p>
            <w:pPr>
              <w:pStyle w:val="Normal"/>
              <w:widowControl w:val="false"/>
              <w:rPr>
                <w:sz w:val="24"/>
                <w:szCs w:val="24"/>
                <w:shd w:fill="auto" w:val="clear"/>
              </w:rPr>
            </w:pPr>
            <w:r>
              <w:rPr>
                <w:sz w:val="24"/>
                <w:szCs w:val="24"/>
                <w:shd w:fill="auto" w:val="clear"/>
              </w:rPr>
            </w:r>
          </w:p>
          <w:p>
            <w:pPr>
              <w:pStyle w:val="Normal"/>
              <w:widowControl w:val="false"/>
              <w:rPr>
                <w:sz w:val="24"/>
                <w:szCs w:val="24"/>
                <w:shd w:fill="auto" w:val="clear"/>
              </w:rPr>
            </w:pPr>
            <w:r>
              <w:rPr>
                <w:sz w:val="24"/>
                <w:szCs w:val="24"/>
                <w:shd w:fill="auto" w:val="clear"/>
              </w:rPr>
            </w:r>
          </w:p>
          <w:p>
            <w:pPr>
              <w:pStyle w:val="Normal"/>
              <w:widowControl w:val="false"/>
              <w:rPr>
                <w:sz w:val="24"/>
                <w:szCs w:val="24"/>
                <w:shd w:fill="auto" w:val="clear"/>
              </w:rPr>
            </w:pPr>
            <w:r>
              <w:rPr>
                <w:sz w:val="24"/>
                <w:szCs w:val="24"/>
                <w:shd w:fill="auto" w:val="clear"/>
              </w:rPr>
              <w:t>М.П.</w:t>
            </w:r>
          </w:p>
        </w:tc>
        <w:tc>
          <w:tcPr>
            <w:tcW w:w="4765" w:type="dxa"/>
            <w:gridSpan w:val="2"/>
            <w:tcBorders/>
          </w:tcPr>
          <w:p>
            <w:pPr>
              <w:pStyle w:val="Normal"/>
              <w:widowControl w:val="false"/>
              <w:rPr>
                <w:sz w:val="24"/>
                <w:szCs w:val="24"/>
                <w:shd w:fill="auto" w:val="clear"/>
              </w:rPr>
            </w:pPr>
            <w:r>
              <w:rPr>
                <w:sz w:val="24"/>
                <w:szCs w:val="24"/>
                <w:shd w:fill="auto" w:val="clear"/>
              </w:rPr>
            </w:r>
          </w:p>
          <w:p>
            <w:pPr>
              <w:pStyle w:val="Normal"/>
              <w:widowControl w:val="false"/>
              <w:rPr>
                <w:sz w:val="24"/>
                <w:szCs w:val="24"/>
                <w:shd w:fill="auto" w:val="clear"/>
              </w:rPr>
            </w:pPr>
            <w:r>
              <w:rPr>
                <w:sz w:val="24"/>
                <w:szCs w:val="24"/>
                <w:shd w:fill="auto" w:val="clear"/>
              </w:rPr>
            </w:r>
          </w:p>
          <w:p>
            <w:pPr>
              <w:pStyle w:val="Normal"/>
              <w:widowControl w:val="false"/>
              <w:rPr>
                <w:sz w:val="24"/>
                <w:szCs w:val="24"/>
                <w:shd w:fill="auto" w:val="clear"/>
              </w:rPr>
            </w:pPr>
            <w:r>
              <w:rPr>
                <w:sz w:val="24"/>
                <w:szCs w:val="24"/>
                <w:shd w:fill="auto" w:val="clear"/>
              </w:rPr>
            </w:r>
          </w:p>
          <w:p>
            <w:pPr>
              <w:pStyle w:val="Normal"/>
              <w:widowControl w:val="false"/>
              <w:rPr>
                <w:sz w:val="24"/>
                <w:szCs w:val="24"/>
                <w:shd w:fill="auto" w:val="clear"/>
              </w:rPr>
            </w:pPr>
            <w:r>
              <w:rPr>
                <w:sz w:val="24"/>
                <w:szCs w:val="24"/>
                <w:shd w:fill="auto" w:val="clear"/>
              </w:rPr>
            </w:r>
          </w:p>
          <w:p>
            <w:pPr>
              <w:pStyle w:val="Normal"/>
              <w:widowControl w:val="false"/>
              <w:rPr>
                <w:sz w:val="24"/>
                <w:szCs w:val="24"/>
                <w:shd w:fill="auto" w:val="clear"/>
              </w:rPr>
            </w:pPr>
            <w:r>
              <w:rPr>
                <w:sz w:val="24"/>
                <w:szCs w:val="24"/>
                <w:shd w:fill="auto" w:val="clear"/>
              </w:rPr>
              <w:t>М.П.</w:t>
            </w:r>
          </w:p>
        </w:tc>
        <w:tc>
          <w:tcPr>
            <w:tcW w:w="360" w:type="dxa"/>
            <w:tcBorders/>
          </w:tcPr>
          <w:p>
            <w:pPr>
              <w:pStyle w:val="Normal"/>
              <w:widowControl w:val="false"/>
              <w:rPr>
                <w:shd w:fill="auto" w:val="clear"/>
              </w:rPr>
            </w:pPr>
            <w:r>
              <w:rPr>
                <w:shd w:fill="auto" w:val="clear"/>
              </w:rPr>
            </w:r>
          </w:p>
        </w:tc>
      </w:tr>
    </w:tbl>
    <w:p>
      <w:pPr>
        <w:sectPr>
          <w:headerReference w:type="default" r:id="rId5"/>
          <w:footnotePr>
            <w:numFmt w:val="decimal"/>
          </w:footnotePr>
          <w:type w:val="nextPage"/>
          <w:pgSz w:w="11906" w:h="16838"/>
          <w:pgMar w:left="1418" w:right="851" w:gutter="0" w:header="709" w:top="1134" w:footer="0" w:bottom="1134"/>
          <w:pgNumType w:fmt="decimal"/>
          <w:formProt w:val="false"/>
          <w:textDirection w:val="lrTb"/>
          <w:docGrid w:type="default" w:linePitch="360" w:charSpace="0"/>
        </w:sectPr>
      </w:pPr>
    </w:p>
    <w:p>
      <w:pPr>
        <w:pStyle w:val="Normal"/>
        <w:rPr>
          <w:rFonts w:eastAsia="Calibri"/>
          <w:b/>
          <w:sz w:val="24"/>
          <w:szCs w:val="24"/>
          <w:lang w:eastAsia="en-US"/>
        </w:rPr>
      </w:pPr>
      <w:r>
        <w:rPr>
          <w:rFonts w:eastAsia="Calibri"/>
          <w:b/>
          <w:sz w:val="24"/>
          <w:szCs w:val="24"/>
          <w:lang w:eastAsia="en-US"/>
        </w:rPr>
      </w:r>
    </w:p>
    <w:tbl>
      <w:tblPr>
        <w:tblW w:w="9620" w:type="dxa"/>
        <w:jc w:val="left"/>
        <w:tblInd w:w="12" w:type="dxa"/>
        <w:tblLayout w:type="fixed"/>
        <w:tblCellMar>
          <w:top w:w="0" w:type="dxa"/>
          <w:left w:w="30" w:type="dxa"/>
          <w:bottom w:w="0" w:type="dxa"/>
          <w:right w:w="30" w:type="dxa"/>
        </w:tblCellMar>
        <w:tblLook w:val="04a0" w:noHBand="0" w:noVBand="1" w:firstColumn="1" w:lastRow="0" w:lastColumn="0" w:firstRow="1"/>
      </w:tblPr>
      <w:tblGrid>
        <w:gridCol w:w="399"/>
        <w:gridCol w:w="3941"/>
        <w:gridCol w:w="769"/>
        <w:gridCol w:w="916"/>
        <w:gridCol w:w="1671"/>
        <w:gridCol w:w="1923"/>
      </w:tblGrid>
      <w:tr>
        <w:trPr>
          <w:trHeight w:val="289" w:hRule="atLeast"/>
        </w:trPr>
        <w:tc>
          <w:tcPr>
            <w:tcW w:w="399"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3941"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769"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916"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3594" w:type="dxa"/>
            <w:gridSpan w:val="2"/>
            <w:tcBorders/>
            <w:vAlign w:val="center"/>
          </w:tcPr>
          <w:p>
            <w:pPr>
              <w:pStyle w:val="Normal"/>
              <w:widowControl w:val="false"/>
              <w:tabs>
                <w:tab w:val="clear" w:pos="709"/>
              </w:tabs>
              <w:jc w:val="right"/>
              <w:rPr>
                <w:rFonts w:ascii="Times New Roman" w:hAnsi="Times New Roman"/>
                <w:sz w:val="24"/>
                <w:szCs w:val="24"/>
              </w:rPr>
            </w:pPr>
            <w:r>
              <w:rPr>
                <w:bCs w:val="false"/>
                <w:iCs w:val="false"/>
                <w:sz w:val="24"/>
                <w:szCs w:val="24"/>
              </w:rPr>
              <w:t>Приложение № 1</w:t>
            </w:r>
          </w:p>
        </w:tc>
      </w:tr>
      <w:tr>
        <w:trPr>
          <w:trHeight w:val="289" w:hRule="atLeast"/>
        </w:trPr>
        <w:tc>
          <w:tcPr>
            <w:tcW w:w="399"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9220" w:type="dxa"/>
            <w:gridSpan w:val="5"/>
            <w:tcBorders/>
            <w:vAlign w:val="bottom"/>
          </w:tcPr>
          <w:p>
            <w:pPr>
              <w:pStyle w:val="Normal"/>
              <w:widowControl w:val="false"/>
              <w:tabs>
                <w:tab w:val="clear" w:pos="709"/>
              </w:tabs>
              <w:jc w:val="right"/>
              <w:rPr>
                <w:rFonts w:ascii="Times New Roman" w:hAnsi="Times New Roman"/>
                <w:sz w:val="24"/>
                <w:szCs w:val="24"/>
              </w:rPr>
            </w:pPr>
            <w:r>
              <w:rPr>
                <w:bCs w:val="false"/>
                <w:iCs w:val="false"/>
                <w:sz w:val="24"/>
                <w:szCs w:val="24"/>
              </w:rPr>
              <w:t>к договору поставки № ______/__ от __________20__ г</w:t>
            </w:r>
          </w:p>
        </w:tc>
      </w:tr>
      <w:tr>
        <w:trPr>
          <w:trHeight w:val="289" w:hRule="atLeast"/>
        </w:trPr>
        <w:tc>
          <w:tcPr>
            <w:tcW w:w="399"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3941"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769"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916"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1671" w:type="dxa"/>
            <w:tcBorders/>
            <w:vAlign w:val="bottom"/>
          </w:tcPr>
          <w:p>
            <w:pPr>
              <w:pStyle w:val="Normal"/>
              <w:widowControl w:val="false"/>
              <w:tabs>
                <w:tab w:val="clear" w:pos="709"/>
              </w:tabs>
              <w:jc w:val="left"/>
              <w:rPr>
                <w:rFonts w:ascii="Times New Roman" w:hAnsi="Times New Roman" w:eastAsia="Calibri"/>
                <w:b/>
                <w:sz w:val="24"/>
                <w:szCs w:val="24"/>
                <w:lang w:eastAsia="en-US"/>
              </w:rPr>
            </w:pPr>
            <w:r>
              <w:rPr>
                <w:rFonts w:eastAsia="Calibri"/>
                <w:b/>
                <w:sz w:val="24"/>
                <w:szCs w:val="24"/>
                <w:lang w:eastAsia="en-US"/>
              </w:rPr>
            </w:r>
          </w:p>
        </w:tc>
        <w:tc>
          <w:tcPr>
            <w:tcW w:w="1923" w:type="dxa"/>
            <w:tcBorders/>
            <w:vAlign w:val="bottom"/>
          </w:tcPr>
          <w:p>
            <w:pPr>
              <w:pStyle w:val="Normal"/>
              <w:widowControl w:val="false"/>
              <w:tabs>
                <w:tab w:val="clear" w:pos="709"/>
              </w:tabs>
              <w:jc w:val="left"/>
              <w:rPr>
                <w:rFonts w:ascii="Times New Roman" w:hAnsi="Times New Roman" w:eastAsia="Calibri"/>
                <w:b/>
                <w:sz w:val="24"/>
                <w:szCs w:val="24"/>
                <w:lang w:eastAsia="en-US"/>
              </w:rPr>
            </w:pPr>
            <w:r>
              <w:rPr>
                <w:rFonts w:eastAsia="Calibri"/>
                <w:b/>
                <w:sz w:val="24"/>
                <w:szCs w:val="24"/>
                <w:lang w:eastAsia="en-US"/>
              </w:rPr>
            </w:r>
          </w:p>
        </w:tc>
      </w:tr>
      <w:tr>
        <w:trPr>
          <w:trHeight w:val="289" w:hRule="atLeast"/>
        </w:trPr>
        <w:tc>
          <w:tcPr>
            <w:tcW w:w="399"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3941"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769"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916"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1671"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1923"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r>
      <w:tr>
        <w:trPr>
          <w:trHeight w:val="289" w:hRule="atLeast"/>
        </w:trPr>
        <w:tc>
          <w:tcPr>
            <w:tcW w:w="9619" w:type="dxa"/>
            <w:gridSpan w:val="6"/>
            <w:tcBorders/>
            <w:vAlign w:val="center"/>
          </w:tcPr>
          <w:p>
            <w:pPr>
              <w:pStyle w:val="Normal"/>
              <w:widowControl w:val="false"/>
              <w:tabs>
                <w:tab w:val="clear" w:pos="709"/>
              </w:tabs>
              <w:jc w:val="center"/>
              <w:rPr>
                <w:sz w:val="24"/>
                <w:szCs w:val="24"/>
              </w:rPr>
            </w:pPr>
            <w:r>
              <w:rPr>
                <w:b/>
                <w:bCs w:val="false"/>
                <w:iCs w:val="false"/>
                <w:sz w:val="24"/>
                <w:szCs w:val="24"/>
              </w:rPr>
              <w:t>СПЕЦИФИКАЦИЯ  №1</w:t>
            </w:r>
          </w:p>
        </w:tc>
      </w:tr>
      <w:tr>
        <w:trPr>
          <w:trHeight w:val="289" w:hRule="atLeast"/>
        </w:trPr>
        <w:tc>
          <w:tcPr>
            <w:tcW w:w="399"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3941"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769"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916"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1671"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1923"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r>
      <w:tr>
        <w:trPr>
          <w:trHeight w:val="480" w:hRule="atLeast"/>
        </w:trPr>
        <w:tc>
          <w:tcPr>
            <w:tcW w:w="399"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sz w:val="22"/>
                <w:szCs w:val="22"/>
              </w:rPr>
            </w:pPr>
            <w:r>
              <w:rPr>
                <w:b/>
                <w:bCs w:val="false"/>
                <w:i w:val="false"/>
                <w:iCs w:val="false"/>
                <w:strike w:val="false"/>
                <w:dstrike w:val="false"/>
                <w:color w:val="000000"/>
                <w:sz w:val="22"/>
                <w:szCs w:val="22"/>
                <w:u w:val="none"/>
              </w:rPr>
              <w:t xml:space="preserve">№ </w:t>
            </w:r>
            <w:r>
              <w:rPr>
                <w:b/>
                <w:bCs w:val="false"/>
                <w:i w:val="false"/>
                <w:iCs w:val="false"/>
                <w:strike w:val="false"/>
                <w:dstrike w:val="false"/>
                <w:color w:val="000000"/>
                <w:sz w:val="22"/>
                <w:szCs w:val="22"/>
                <w:u w:val="none"/>
              </w:rPr>
              <w:t>п/п</w:t>
            </w:r>
          </w:p>
        </w:tc>
        <w:tc>
          <w:tcPr>
            <w:tcW w:w="3941"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sz w:val="22"/>
                <w:szCs w:val="22"/>
              </w:rPr>
            </w:pPr>
            <w:r>
              <w:rPr>
                <w:b/>
                <w:bCs w:val="false"/>
                <w:i w:val="false"/>
                <w:iCs w:val="false"/>
                <w:strike w:val="false"/>
                <w:dstrike w:val="false"/>
                <w:color w:val="000000"/>
                <w:sz w:val="22"/>
                <w:szCs w:val="22"/>
                <w:u w:val="none"/>
              </w:rPr>
              <w:t>Наименование Товара</w:t>
            </w:r>
          </w:p>
        </w:tc>
        <w:tc>
          <w:tcPr>
            <w:tcW w:w="769"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sz w:val="22"/>
                <w:szCs w:val="22"/>
              </w:rPr>
            </w:pPr>
            <w:r>
              <w:rPr>
                <w:b/>
                <w:bCs w:val="false"/>
                <w:i w:val="false"/>
                <w:iCs w:val="false"/>
                <w:strike w:val="false"/>
                <w:dstrike w:val="false"/>
                <w:color w:val="000000"/>
                <w:sz w:val="22"/>
                <w:szCs w:val="22"/>
                <w:u w:val="none"/>
              </w:rPr>
              <w:t>Ед. изм.</w:t>
            </w:r>
          </w:p>
        </w:tc>
        <w:tc>
          <w:tcPr>
            <w:tcW w:w="916"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sz w:val="22"/>
                <w:szCs w:val="22"/>
              </w:rPr>
            </w:pPr>
            <w:r>
              <w:rPr>
                <w:b/>
                <w:bCs w:val="false"/>
                <w:i w:val="false"/>
                <w:iCs w:val="false"/>
                <w:strike w:val="false"/>
                <w:dstrike w:val="false"/>
                <w:color w:val="000000"/>
                <w:sz w:val="22"/>
                <w:szCs w:val="22"/>
                <w:u w:val="none"/>
              </w:rPr>
              <w:t>кол-во</w:t>
            </w:r>
          </w:p>
        </w:tc>
        <w:tc>
          <w:tcPr>
            <w:tcW w:w="1671"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sz w:val="22"/>
                <w:szCs w:val="22"/>
              </w:rPr>
            </w:pPr>
            <w:r>
              <w:rPr>
                <w:b/>
                <w:bCs w:val="false"/>
                <w:i w:val="false"/>
                <w:iCs w:val="false"/>
                <w:strike w:val="false"/>
                <w:dstrike w:val="false"/>
                <w:color w:val="000000"/>
                <w:sz w:val="22"/>
                <w:szCs w:val="22"/>
                <w:u w:val="none"/>
              </w:rPr>
              <w:t>Цена (руб. ) с учетом НДС</w:t>
            </w:r>
          </w:p>
        </w:tc>
        <w:tc>
          <w:tcPr>
            <w:tcW w:w="192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sz w:val="22"/>
                <w:szCs w:val="22"/>
              </w:rPr>
            </w:pPr>
            <w:r>
              <w:rPr>
                <w:b/>
                <w:bCs w:val="false"/>
                <w:i w:val="false"/>
                <w:iCs w:val="false"/>
                <w:strike w:val="false"/>
                <w:dstrike w:val="false"/>
                <w:color w:val="000000"/>
                <w:sz w:val="22"/>
                <w:szCs w:val="22"/>
                <w:u w:val="none"/>
              </w:rPr>
              <w:t>Сумма (руб.) с учетом НДС</w:t>
            </w:r>
          </w:p>
        </w:tc>
      </w:tr>
      <w:tr>
        <w:trPr>
          <w:trHeight w:val="229" w:hRule="atLeast"/>
        </w:trPr>
        <w:tc>
          <w:tcPr>
            <w:tcW w:w="399"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rPr/>
            </w:pPr>
            <w:r>
              <w:rPr/>
            </w:r>
          </w:p>
        </w:tc>
        <w:tc>
          <w:tcPr>
            <w:tcW w:w="3941"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rPr/>
            </w:pPr>
            <w:r>
              <w:rPr/>
            </w:r>
          </w:p>
        </w:tc>
        <w:tc>
          <w:tcPr>
            <w:tcW w:w="769"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rPr/>
            </w:pPr>
            <w:r>
              <w:rPr/>
            </w:r>
          </w:p>
        </w:tc>
        <w:tc>
          <w:tcPr>
            <w:tcW w:w="916"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rPr/>
            </w:pPr>
            <w:r>
              <w:rPr/>
            </w:r>
          </w:p>
        </w:tc>
        <w:tc>
          <w:tcPr>
            <w:tcW w:w="1671"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rPr/>
            </w:pPr>
            <w:r>
              <w:rPr/>
            </w:r>
          </w:p>
        </w:tc>
        <w:tc>
          <w:tcPr>
            <w:tcW w:w="1923" w:type="dxa"/>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rPr/>
            </w:pPr>
            <w:r>
              <w:rPr/>
            </w:r>
          </w:p>
        </w:tc>
      </w:tr>
      <w:tr>
        <w:trPr>
          <w:trHeight w:val="289" w:hRule="atLeast"/>
        </w:trPr>
        <w:tc>
          <w:tcPr>
            <w:tcW w:w="399"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rPr/>
            </w:pPr>
            <w:r>
              <w:rPr/>
            </w:r>
          </w:p>
        </w:tc>
        <w:tc>
          <w:tcPr>
            <w:tcW w:w="3941"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rPr/>
            </w:pPr>
            <w:r>
              <w:rPr/>
            </w:r>
          </w:p>
        </w:tc>
        <w:tc>
          <w:tcPr>
            <w:tcW w:w="769"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rPr/>
            </w:pPr>
            <w:r>
              <w:rPr/>
            </w:r>
          </w:p>
        </w:tc>
        <w:tc>
          <w:tcPr>
            <w:tcW w:w="916"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rPr/>
            </w:pPr>
            <w:r>
              <w:rPr/>
            </w:r>
          </w:p>
        </w:tc>
        <w:tc>
          <w:tcPr>
            <w:tcW w:w="1671"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rPr/>
            </w:pPr>
            <w:r>
              <w:rPr/>
            </w:r>
          </w:p>
        </w:tc>
        <w:tc>
          <w:tcPr>
            <w:tcW w:w="1923" w:type="dxa"/>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rPr/>
            </w:pPr>
            <w:r>
              <w:rPr/>
            </w:r>
          </w:p>
        </w:tc>
      </w:tr>
      <w:tr>
        <w:trPr>
          <w:trHeight w:val="480" w:hRule="atLeast"/>
        </w:trPr>
        <w:tc>
          <w:tcPr>
            <w:tcW w:w="399" w:type="dxa"/>
            <w:tcBorders/>
            <w:vAlign w:val="bottom"/>
          </w:tcPr>
          <w:p>
            <w:pPr>
              <w:pStyle w:val="Normal"/>
              <w:widowControl w:val="false"/>
              <w:tabs>
                <w:tab w:val="clear" w:pos="709"/>
              </w:tabs>
              <w:jc w:val="left"/>
              <w:rPr>
                <w:rFonts w:eastAsia="Calibri"/>
                <w:b/>
                <w:sz w:val="24"/>
                <w:szCs w:val="24"/>
                <w:lang w:eastAsia="en-US"/>
              </w:rPr>
            </w:pPr>
            <w:r>
              <w:rPr>
                <w:rFonts w:eastAsia="Calibri"/>
                <w:b/>
                <w:sz w:val="24"/>
                <w:szCs w:val="24"/>
                <w:lang w:eastAsia="en-US"/>
              </w:rPr>
            </w:r>
          </w:p>
        </w:tc>
        <w:tc>
          <w:tcPr>
            <w:tcW w:w="3941" w:type="dxa"/>
            <w:tcBorders/>
          </w:tcPr>
          <w:p>
            <w:pPr>
              <w:pStyle w:val="Normal"/>
              <w:widowControl w:val="false"/>
              <w:tabs>
                <w:tab w:val="clear" w:pos="709"/>
              </w:tabs>
              <w:jc w:val="right"/>
              <w:rPr>
                <w:rFonts w:ascii="Times New Roman" w:hAnsi="Times New Roman"/>
                <w:sz w:val="22"/>
                <w:szCs w:val="22"/>
              </w:rPr>
            </w:pPr>
            <w:r>
              <w:rPr>
                <w:bCs w:val="false"/>
                <w:iCs w:val="false"/>
                <w:sz w:val="22"/>
                <w:szCs w:val="22"/>
                <w:u w:val="single"/>
              </w:rPr>
              <w:t>Адрес* поставки оборудования:</w:t>
            </w:r>
          </w:p>
        </w:tc>
        <w:tc>
          <w:tcPr>
            <w:tcW w:w="5279" w:type="dxa"/>
            <w:gridSpan w:val="4"/>
            <w:tcBorders/>
            <w:vAlign w:val="center"/>
          </w:tcPr>
          <w:p>
            <w:pPr>
              <w:pStyle w:val="Normal"/>
              <w:widowControl w:val="false"/>
              <w:tabs>
                <w:tab w:val="clear" w:pos="709"/>
              </w:tabs>
              <w:jc w:val="left"/>
              <w:rPr>
                <w:rFonts w:ascii="Times New Roman" w:hAnsi="Times New Roman"/>
                <w:sz w:val="22"/>
                <w:szCs w:val="22"/>
              </w:rPr>
            </w:pPr>
            <w:r>
              <w:rPr>
                <w:bCs w:val="false"/>
                <w:iCs w:val="false"/>
                <w:sz w:val="22"/>
                <w:szCs w:val="22"/>
              </w:rPr>
              <w:t>Амурская область, г. Благовещенск, строительная площадка газовой котельной в 607 квартале.</w:t>
            </w:r>
          </w:p>
        </w:tc>
      </w:tr>
      <w:tr>
        <w:trPr>
          <w:trHeight w:val="480" w:hRule="atLeast"/>
        </w:trPr>
        <w:tc>
          <w:tcPr>
            <w:tcW w:w="399" w:type="dxa"/>
            <w:tcBorders/>
          </w:tcPr>
          <w:p>
            <w:pPr>
              <w:pStyle w:val="Normal"/>
              <w:widowControl w:val="false"/>
              <w:tabs>
                <w:tab w:val="clear" w:pos="709"/>
              </w:tabs>
              <w:jc w:val="right"/>
              <w:rPr>
                <w:rFonts w:eastAsia="Calibri"/>
                <w:b/>
                <w:sz w:val="24"/>
                <w:szCs w:val="24"/>
                <w:lang w:eastAsia="en-US"/>
              </w:rPr>
            </w:pPr>
            <w:r>
              <w:rPr>
                <w:bCs w:val="false"/>
                <w:iCs w:val="false"/>
                <w:szCs w:val="24"/>
              </w:rPr>
              <w:t>*-</w:t>
            </w:r>
          </w:p>
        </w:tc>
        <w:tc>
          <w:tcPr>
            <w:tcW w:w="9220" w:type="dxa"/>
            <w:gridSpan w:val="5"/>
            <w:tcBorders/>
            <w:vAlign w:val="center"/>
          </w:tcPr>
          <w:p>
            <w:pPr>
              <w:pStyle w:val="Normal"/>
              <w:widowControl w:val="false"/>
              <w:tabs>
                <w:tab w:val="clear" w:pos="709"/>
              </w:tabs>
              <w:jc w:val="left"/>
              <w:rPr>
                <w:rFonts w:ascii="Times New Roman" w:hAnsi="Times New Roman"/>
                <w:sz w:val="22"/>
                <w:szCs w:val="22"/>
              </w:rPr>
            </w:pPr>
            <w:r>
              <w:rPr>
                <w:bCs w:val="false"/>
                <w:iCs w:val="false"/>
                <w:sz w:val="22"/>
                <w:szCs w:val="22"/>
              </w:rPr>
              <w:t>Поставщик в срок не позднее 15 дней до отправки оборудования по каждому этапу письменно согласовывает адрес поставки с Покупателем</w:t>
            </w:r>
          </w:p>
        </w:tc>
      </w:tr>
    </w:tbl>
    <w:p>
      <w:pPr>
        <w:pStyle w:val="Normal"/>
        <w:rPr>
          <w:i/>
          <w:i/>
          <w:strike/>
          <w:sz w:val="22"/>
          <w:szCs w:val="22"/>
          <w:shd w:fill="C0C0C0" w:val="clear"/>
        </w:rPr>
      </w:pPr>
      <w:r>
        <w:rPr>
          <w:i/>
          <w:strike/>
          <w:sz w:val="22"/>
          <w:szCs w:val="22"/>
          <w:shd w:fill="C0C0C0" w:val="clear"/>
        </w:rPr>
      </w:r>
    </w:p>
    <w:p>
      <w:pPr>
        <w:pStyle w:val="Normal"/>
        <w:rPr>
          <w:i/>
          <w:i/>
          <w:sz w:val="22"/>
          <w:szCs w:val="22"/>
        </w:rPr>
      </w:pPr>
      <w:r>
        <w:rPr>
          <w:i/>
          <w:sz w:val="22"/>
          <w:szCs w:val="22"/>
        </w:rPr>
      </w:r>
    </w:p>
    <w:tbl>
      <w:tblPr>
        <w:tblW w:w="9632"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825"/>
        <w:gridCol w:w="4806"/>
      </w:tblGrid>
      <w:tr>
        <w:trPr>
          <w:trHeight w:val="269" w:hRule="atLeast"/>
        </w:trPr>
        <w:tc>
          <w:tcPr>
            <w:tcW w:w="4825" w:type="dxa"/>
            <w:tcBorders/>
          </w:tcPr>
          <w:p>
            <w:pPr>
              <w:pStyle w:val="Normal"/>
              <w:widowControl w:val="false"/>
              <w:rPr>
                <w:b/>
                <w:sz w:val="24"/>
              </w:rPr>
            </w:pPr>
            <w:r>
              <w:rPr>
                <w:b/>
                <w:sz w:val="24"/>
              </w:rPr>
              <w:t>Покупатель:</w:t>
            </w:r>
          </w:p>
        </w:tc>
        <w:tc>
          <w:tcPr>
            <w:tcW w:w="4806" w:type="dxa"/>
            <w:tcBorders/>
          </w:tcPr>
          <w:p>
            <w:pPr>
              <w:pStyle w:val="Normal"/>
              <w:widowControl w:val="false"/>
              <w:rPr>
                <w:b/>
                <w:sz w:val="24"/>
              </w:rPr>
            </w:pPr>
            <w:r>
              <w:rPr>
                <w:b/>
                <w:sz w:val="24"/>
              </w:rPr>
              <w:t>Поставщик:</w:t>
            </w:r>
          </w:p>
        </w:tc>
      </w:tr>
    </w:tbl>
    <w:p>
      <w:pPr>
        <w:pStyle w:val="Normal"/>
        <w:rPr/>
      </w:pPr>
      <w:r>
        <w:rPr/>
      </w:r>
    </w:p>
    <w:p>
      <w:pPr>
        <w:pStyle w:val="Normal"/>
        <w:rPr/>
      </w:pPr>
      <w:r>
        <w:rPr/>
        <w:tab/>
        <w:t xml:space="preserve">                                                                       </w:t>
      </w:r>
    </w:p>
    <w:p>
      <w:pPr>
        <w:pStyle w:val="Normal"/>
        <w:widowControl w:val="false"/>
        <w:rPr>
          <w:shd w:fill="auto" w:val="clear"/>
        </w:rPr>
      </w:pPr>
      <w:r>
        <w:rPr>
          <w:shd w:fill="auto" w:val="clear"/>
        </w:rPr>
      </w:r>
    </w:p>
    <w:p>
      <w:pPr>
        <w:pStyle w:val="Normal"/>
        <w:widowControl w:val="false"/>
        <w:rPr>
          <w:shd w:fill="auto" w:val="clear"/>
        </w:rPr>
      </w:pPr>
      <w:r>
        <w:rPr>
          <w:sz w:val="24"/>
          <w:szCs w:val="24"/>
          <w:shd w:fill="auto" w:val="clear"/>
        </w:rPr>
        <w:t xml:space="preserve">  </w:t>
      </w:r>
      <w:r>
        <w:rPr>
          <w:sz w:val="24"/>
          <w:szCs w:val="24"/>
          <w:shd w:fill="auto" w:val="clear"/>
        </w:rPr>
        <w:t>____________________                       ____________________</w:t>
      </w:r>
    </w:p>
    <w:p>
      <w:pPr>
        <w:pStyle w:val="Normal"/>
        <w:rPr>
          <w:i/>
          <w:i/>
          <w:sz w:val="24"/>
          <w:szCs w:val="24"/>
          <w:shd w:fill="FFFF00" w:val="clear"/>
        </w:rPr>
      </w:pPr>
      <w:r>
        <w:rPr>
          <w:i/>
          <w:sz w:val="24"/>
          <w:szCs w:val="24"/>
          <w:shd w:fill="FFFF00" w:val="clear"/>
        </w:rPr>
      </w:r>
    </w:p>
    <w:p>
      <w:pPr>
        <w:pStyle w:val="Normal"/>
        <w:widowControl/>
        <w:spacing w:lineRule="auto" w:line="259"/>
        <w:rPr>
          <w:rFonts w:eastAsia="Calibri"/>
          <w:b/>
          <w:sz w:val="24"/>
          <w:szCs w:val="24"/>
          <w:lang w:eastAsia="en-US"/>
        </w:rPr>
      </w:pPr>
      <w:r>
        <w:rPr>
          <w:rFonts w:eastAsia="Calibri"/>
          <w:b/>
          <w:sz w:val="24"/>
          <w:szCs w:val="24"/>
          <w:lang w:eastAsia="en-US"/>
        </w:rPr>
      </w:r>
    </w:p>
    <w:p>
      <w:pPr>
        <w:pStyle w:val="Normal"/>
        <w:widowControl/>
        <w:spacing w:lineRule="auto" w:line="259"/>
        <w:rPr>
          <w:rFonts w:eastAsia="Calibri"/>
          <w:b/>
          <w:sz w:val="24"/>
          <w:szCs w:val="24"/>
          <w:lang w:eastAsia="en-US"/>
        </w:rPr>
      </w:pPr>
      <w:r>
        <w:rPr>
          <w:rFonts w:eastAsia="Calibri"/>
          <w:b/>
          <w:sz w:val="24"/>
          <w:szCs w:val="24"/>
          <w:lang w:eastAsia="en-US"/>
        </w:rPr>
      </w:r>
    </w:p>
    <w:p>
      <w:pPr>
        <w:sectPr>
          <w:headerReference w:type="default" r:id="rId6"/>
          <w:headerReference w:type="first" r:id="rId7"/>
          <w:footerReference w:type="default" r:id="rId8"/>
          <w:footnotePr>
            <w:numFmt w:val="decimal"/>
          </w:footnotePr>
          <w:type w:val="nextPage"/>
          <w:pgSz w:w="11906" w:h="16838"/>
          <w:pgMar w:left="1418" w:right="851" w:gutter="0" w:header="567" w:top="1134" w:footer="0" w:bottom="709"/>
          <w:pgNumType w:fmt="decimal"/>
          <w:formProt w:val="false"/>
          <w:textDirection w:val="lrTb"/>
          <w:docGrid w:type="default" w:linePitch="360" w:charSpace="0"/>
        </w:sectPr>
        <w:pStyle w:val="Normal"/>
        <w:widowControl/>
        <w:spacing w:lineRule="auto" w:line="259"/>
        <w:jc w:val="both"/>
        <w:rPr>
          <w:rFonts w:eastAsia="Calibri"/>
          <w:b w:val="false"/>
          <w:bCs w:val="false"/>
          <w:sz w:val="24"/>
          <w:szCs w:val="24"/>
          <w:lang w:eastAsia="en-US"/>
        </w:rPr>
      </w:pPr>
      <w:r>
        <w:rPr>
          <w:rFonts w:eastAsia="Calibri"/>
          <w:b w:val="false"/>
          <w:bCs w:val="false"/>
          <w:sz w:val="24"/>
          <w:szCs w:val="24"/>
          <w:lang w:eastAsia="en-US"/>
        </w:rPr>
        <w:t>М.П.                                                                                         М.П.</w:t>
      </w:r>
    </w:p>
    <w:p>
      <w:pPr>
        <w:pStyle w:val="Normal"/>
        <w:ind w:left="0" w:right="96" w:hanging="0"/>
        <w:rPr>
          <w:sz w:val="22"/>
          <w:szCs w:val="22"/>
        </w:rPr>
      </w:pPr>
      <w:r>
        <w:rPr>
          <w:sz w:val="22"/>
          <w:szCs w:val="22"/>
        </w:rPr>
        <w:t xml:space="preserve"> </w:t>
      </w:r>
    </w:p>
    <w:p>
      <w:pPr>
        <w:pStyle w:val="Normal"/>
        <w:ind w:right="96" w:hanging="0"/>
        <w:rPr>
          <w:sz w:val="22"/>
          <w:szCs w:val="22"/>
        </w:rPr>
      </w:pPr>
      <w:r>
        <w:rPr>
          <w:sz w:val="22"/>
          <w:szCs w:val="22"/>
        </w:rPr>
        <w:t xml:space="preserve">                                                                                                                                        </w:t>
      </w:r>
      <w:r>
        <w:rPr>
          <w:sz w:val="22"/>
          <w:szCs w:val="22"/>
        </w:rPr>
        <w:t>Приложение №2.</w:t>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t xml:space="preserve">                                                   </w:t>
      </w:r>
      <w:r>
        <w:rPr>
          <w:sz w:val="24"/>
          <w:szCs w:val="24"/>
        </w:rPr>
        <w:t xml:space="preserve">  </w:t>
      </w:r>
      <w:r>
        <w:rPr>
          <w:sz w:val="24"/>
          <w:szCs w:val="24"/>
        </w:rPr>
        <w:t>Технические характеристики.</w:t>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right="96" w:hanging="0"/>
        <w:rPr>
          <w:sz w:val="22"/>
          <w:szCs w:val="22"/>
        </w:rPr>
      </w:pPr>
      <w:r>
        <w:rPr>
          <w:sz w:val="22"/>
          <w:szCs w:val="22"/>
        </w:rPr>
      </w:r>
    </w:p>
    <w:p>
      <w:pPr>
        <w:pStyle w:val="Normal"/>
        <w:ind w:left="5103" w:right="96" w:hanging="0"/>
        <w:jc w:val="right"/>
        <w:rPr>
          <w:sz w:val="22"/>
          <w:szCs w:val="22"/>
        </w:rPr>
      </w:pPr>
      <w:r>
        <w:rPr>
          <w:sz w:val="22"/>
          <w:szCs w:val="22"/>
        </w:rPr>
        <w:t>Приложение № 3</w:t>
      </w:r>
    </w:p>
    <w:p>
      <w:pPr>
        <w:pStyle w:val="Normal"/>
        <w:ind w:left="0" w:right="96" w:firstLine="5103"/>
        <w:jc w:val="right"/>
        <w:rPr>
          <w:sz w:val="22"/>
          <w:szCs w:val="22"/>
        </w:rPr>
      </w:pPr>
      <w:r>
        <w:rPr>
          <w:sz w:val="22"/>
          <w:szCs w:val="22"/>
        </w:rPr>
        <w:t>к Договору поставки</w:t>
      </w:r>
    </w:p>
    <w:p>
      <w:pPr>
        <w:pStyle w:val="Normal"/>
        <w:ind w:left="0" w:right="96" w:firstLine="5103"/>
        <w:jc w:val="right"/>
        <w:rPr>
          <w:sz w:val="22"/>
          <w:szCs w:val="22"/>
        </w:rPr>
      </w:pPr>
      <w:r>
        <w:rPr>
          <w:sz w:val="22"/>
          <w:szCs w:val="22"/>
        </w:rPr>
        <w:t>от «____» __________ 20 _ г. № 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Календарный график поставки Товара </w:t>
      </w:r>
    </w:p>
    <w:p>
      <w:pPr>
        <w:pStyle w:val="Normal"/>
        <w:rPr>
          <w:sz w:val="24"/>
          <w:szCs w:val="24"/>
        </w:rPr>
      </w:pPr>
      <w:r>
        <w:rPr>
          <w:sz w:val="24"/>
          <w:szCs w:val="24"/>
        </w:rPr>
      </w:r>
    </w:p>
    <w:p>
      <w:pPr>
        <w:pStyle w:val="Normal"/>
        <w:rPr>
          <w:sz w:val="24"/>
          <w:szCs w:val="24"/>
        </w:rPr>
      </w:pPr>
      <w:r>
        <w:rPr>
          <w:sz w:val="24"/>
          <w:szCs w:val="24"/>
        </w:rPr>
        <w:t>Таблица 1. Календарный график поставки Товара</w:t>
      </w:r>
    </w:p>
    <w:p>
      <w:pPr>
        <w:pStyle w:val="Normal"/>
        <w:rPr>
          <w:sz w:val="24"/>
          <w:szCs w:val="24"/>
        </w:rPr>
      </w:pPr>
      <w:r>
        <w:rPr>
          <w:sz w:val="24"/>
          <w:szCs w:val="24"/>
        </w:rPr>
      </w:r>
    </w:p>
    <w:tbl>
      <w:tblPr>
        <w:tblW w:w="10369" w:type="dxa"/>
        <w:jc w:val="left"/>
        <w:tblInd w:w="-374" w:type="dxa"/>
        <w:tblLayout w:type="fixed"/>
        <w:tblCellMar>
          <w:top w:w="0" w:type="dxa"/>
          <w:left w:w="108" w:type="dxa"/>
          <w:bottom w:w="0" w:type="dxa"/>
          <w:right w:w="108" w:type="dxa"/>
        </w:tblCellMar>
        <w:tblLook w:val="04a0" w:noHBand="0" w:noVBand="1" w:firstColumn="1" w:lastRow="0" w:lastColumn="0" w:firstRow="1"/>
      </w:tblPr>
      <w:tblGrid>
        <w:gridCol w:w="437"/>
        <w:gridCol w:w="29"/>
        <w:gridCol w:w="1804"/>
        <w:gridCol w:w="1530"/>
        <w:gridCol w:w="1582"/>
        <w:gridCol w:w="1323"/>
        <w:gridCol w:w="1089"/>
        <w:gridCol w:w="1353"/>
        <w:gridCol w:w="1220"/>
      </w:tblGrid>
      <w:tr>
        <w:trPr>
          <w:trHeight w:val="1150" w:hRule="atLeast"/>
        </w:trPr>
        <w:tc>
          <w:tcPr>
            <w:tcW w:w="46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rPr>
              <w:t xml:space="preserve">№ </w:t>
            </w:r>
            <w:r>
              <w:rPr>
                <w:b/>
                <w:bCs/>
              </w:rPr>
              <w:t>партии</w:t>
            </w:r>
          </w:p>
        </w:tc>
        <w:tc>
          <w:tcPr>
            <w:tcW w:w="1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rPr>
              <w:t>Наименование Товара (партии Товара)</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rPr>
              <w:t>Обоснование стоимости, пункт Спецификации</w:t>
            </w:r>
          </w:p>
        </w:tc>
        <w:tc>
          <w:tcPr>
            <w:tcW w:w="1582" w:type="dxa"/>
            <w:tcBorders>
              <w:top w:val="single" w:sz="4" w:space="0" w:color="000000"/>
              <w:left w:val="single" w:sz="4" w:space="0" w:color="000000"/>
              <w:bottom w:val="single" w:sz="4" w:space="0" w:color="000000"/>
            </w:tcBorders>
            <w:vAlign w:val="center"/>
          </w:tcPr>
          <w:p>
            <w:pPr>
              <w:pStyle w:val="Normal"/>
              <w:widowControl w:val="false"/>
              <w:jc w:val="center"/>
              <w:rPr>
                <w:b/>
                <w:bCs/>
              </w:rPr>
            </w:pPr>
            <w:r>
              <w:rPr>
                <w:b/>
                <w:bCs/>
              </w:rPr>
              <w:t>Дата начала изготовления Товара</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rPr>
              <w:t>Дата поставки Товара</w:t>
            </w:r>
          </w:p>
          <w:p>
            <w:pPr>
              <w:pStyle w:val="Normal"/>
              <w:widowControl w:val="false"/>
              <w:jc w:val="center"/>
              <w:rPr>
                <w:b/>
                <w:bCs/>
              </w:rPr>
            </w:pPr>
            <w:r>
              <w:rPr>
                <w:b/>
                <w:bCs/>
              </w:rPr>
            </w:r>
          </w:p>
        </w:tc>
        <w:tc>
          <w:tcPr>
            <w:tcW w:w="10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rPr>
              <w:t>Цена, руб. без НДС</w:t>
            </w:r>
          </w:p>
        </w:tc>
        <w:tc>
          <w:tcPr>
            <w:tcW w:w="13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rPr>
              <w:t>Сумма НДС (22%), руб.</w:t>
            </w:r>
          </w:p>
        </w:tc>
        <w:tc>
          <w:tcPr>
            <w:tcW w:w="12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rPr>
              <w:t>Стоимость партии, руб. с НДС</w:t>
            </w:r>
          </w:p>
        </w:tc>
      </w:tr>
      <w:tr>
        <w:trPr>
          <w:trHeight w:val="1330" w:hRule="exact"/>
        </w:trPr>
        <w:tc>
          <w:tcPr>
            <w:tcW w:w="46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left"/>
              <w:rPr>
                <w:b w:val="false"/>
                <w:bCs w:val="false"/>
                <w:i w:val="false"/>
                <w:i w:val="false"/>
                <w:iCs w:val="false"/>
                <w:strike w:val="false"/>
                <w:dstrike w:val="false"/>
                <w:color w:val="000000"/>
                <w:sz w:val="20"/>
                <w:szCs w:val="20"/>
                <w:u w:val="none"/>
              </w:rPr>
            </w:pPr>
            <w:r>
              <w:rPr>
                <w:b w:val="false"/>
                <w:bCs w:val="false"/>
                <w:i w:val="false"/>
                <w:iCs w:val="false"/>
                <w:strike w:val="false"/>
                <w:dstrike w:val="false"/>
                <w:color w:val="000000"/>
                <w:sz w:val="20"/>
                <w:szCs w:val="20"/>
                <w:u w:val="none"/>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val="false"/>
                <w:bCs w:val="false"/>
              </w:rPr>
            </w:pPr>
            <w:r>
              <w:rPr>
                <w:b w:val="false"/>
                <w:bCs w:val="false"/>
              </w:rPr>
            </w:r>
          </w:p>
        </w:tc>
        <w:tc>
          <w:tcPr>
            <w:tcW w:w="1582" w:type="dxa"/>
            <w:tcBorders>
              <w:top w:val="single" w:sz="4" w:space="0" w:color="000000"/>
              <w:left w:val="single" w:sz="4" w:space="0" w:color="000000"/>
              <w:bottom w:val="single" w:sz="4" w:space="0" w:color="000000"/>
            </w:tcBorders>
            <w:vAlign w:val="center"/>
          </w:tcPr>
          <w:p>
            <w:pPr>
              <w:pStyle w:val="Normal"/>
              <w:widowControl w:val="false"/>
              <w:jc w:val="center"/>
              <w:rPr>
                <w:sz w:val="20"/>
                <w:szCs w:val="20"/>
              </w:rPr>
            </w:pPr>
            <w:r>
              <w:rPr>
                <w:sz w:val="20"/>
                <w:szCs w:val="20"/>
              </w:rPr>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0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sz w:val="20"/>
                <w:szCs w:val="20"/>
              </w:rPr>
            </w:pPr>
            <w:r>
              <w:rPr>
                <w:sz w:val="20"/>
                <w:szCs w:val="20"/>
              </w:rPr>
            </w:r>
          </w:p>
        </w:tc>
        <w:tc>
          <w:tcPr>
            <w:tcW w:w="1353"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rPr>
                <w:b w:val="false"/>
                <w:bCs w:val="false"/>
                <w:color w:val="000000"/>
                <w:sz w:val="20"/>
                <w:szCs w:val="20"/>
              </w:rPr>
            </w:pPr>
            <w:r>
              <w:rPr>
                <w:b w:val="false"/>
                <w:bCs w:val="false"/>
                <w:color w:val="000000"/>
                <w:sz w:val="20"/>
                <w:szCs w:val="20"/>
              </w:rPr>
            </w:r>
          </w:p>
        </w:tc>
        <w:tc>
          <w:tcPr>
            <w:tcW w:w="12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sz w:val="20"/>
                <w:szCs w:val="20"/>
              </w:rPr>
            </w:pPr>
            <w:r>
              <w:rPr>
                <w:sz w:val="20"/>
                <w:szCs w:val="20"/>
              </w:rPr>
            </w:r>
          </w:p>
        </w:tc>
      </w:tr>
      <w:tr>
        <w:trPr>
          <w:trHeight w:val="1136" w:hRule="exact"/>
        </w:trPr>
        <w:tc>
          <w:tcPr>
            <w:tcW w:w="46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left"/>
              <w:rPr>
                <w:b w:val="false"/>
                <w:bCs w:val="false"/>
                <w:i w:val="false"/>
                <w:i w:val="false"/>
                <w:iCs w:val="false"/>
                <w:strike w:val="false"/>
                <w:dstrike w:val="false"/>
                <w:color w:val="000000"/>
                <w:sz w:val="20"/>
                <w:szCs w:val="20"/>
                <w:u w:val="none"/>
              </w:rPr>
            </w:pPr>
            <w:r>
              <w:rPr>
                <w:b w:val="false"/>
                <w:bCs w:val="false"/>
                <w:i w:val="false"/>
                <w:iCs w:val="false"/>
                <w:strike w:val="false"/>
                <w:dstrike w:val="false"/>
                <w:color w:val="000000"/>
                <w:sz w:val="20"/>
                <w:szCs w:val="20"/>
                <w:u w:val="none"/>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val="false"/>
                <w:bCs w:val="false"/>
              </w:rPr>
            </w:pPr>
            <w:r>
              <w:rPr>
                <w:b w:val="false"/>
                <w:bCs w:val="false"/>
              </w:rPr>
            </w:r>
          </w:p>
        </w:tc>
        <w:tc>
          <w:tcPr>
            <w:tcW w:w="1582" w:type="dxa"/>
            <w:tcBorders>
              <w:top w:val="single" w:sz="4" w:space="0" w:color="000000"/>
              <w:left w:val="single" w:sz="4" w:space="0" w:color="000000"/>
              <w:bottom w:val="single" w:sz="4" w:space="0" w:color="000000"/>
            </w:tcBorders>
            <w:vAlign w:val="center"/>
          </w:tcPr>
          <w:p>
            <w:pPr>
              <w:pStyle w:val="Normal"/>
              <w:widowControl w:val="false"/>
              <w:jc w:val="center"/>
              <w:rPr>
                <w:sz w:val="20"/>
                <w:szCs w:val="20"/>
              </w:rPr>
            </w:pPr>
            <w:r>
              <w:rPr>
                <w:sz w:val="20"/>
                <w:szCs w:val="20"/>
              </w:rPr>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0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3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2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sz w:val="20"/>
                <w:szCs w:val="20"/>
              </w:rPr>
            </w:pPr>
            <w:r>
              <w:rPr>
                <w:sz w:val="20"/>
                <w:szCs w:val="20"/>
              </w:rPr>
            </w:r>
          </w:p>
        </w:tc>
      </w:tr>
      <w:tr>
        <w:trPr>
          <w:trHeight w:val="794" w:hRule="exact"/>
        </w:trPr>
        <w:tc>
          <w:tcPr>
            <w:tcW w:w="466"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left"/>
              <w:rPr>
                <w:b w:val="false"/>
                <w:bCs w:val="false"/>
                <w:i w:val="false"/>
                <w:i w:val="false"/>
                <w:iCs w:val="false"/>
                <w:strike w:val="false"/>
                <w:dstrike w:val="false"/>
                <w:color w:val="000000"/>
                <w:sz w:val="20"/>
                <w:szCs w:val="20"/>
                <w:u w:val="none"/>
              </w:rPr>
            </w:pPr>
            <w:r>
              <w:rPr>
                <w:b w:val="false"/>
                <w:bCs w:val="false"/>
                <w:i w:val="false"/>
                <w:iCs w:val="false"/>
                <w:strike w:val="false"/>
                <w:dstrike w:val="false"/>
                <w:color w:val="000000"/>
                <w:sz w:val="20"/>
                <w:szCs w:val="20"/>
                <w:u w:val="none"/>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val="false"/>
                <w:bCs w:val="false"/>
              </w:rPr>
            </w:pPr>
            <w:r>
              <w:rPr>
                <w:b w:val="false"/>
                <w:bCs w:val="false"/>
              </w:rPr>
            </w:r>
          </w:p>
        </w:tc>
        <w:tc>
          <w:tcPr>
            <w:tcW w:w="1582" w:type="dxa"/>
            <w:vMerge w:val="restart"/>
            <w:tcBorders>
              <w:top w:val="single" w:sz="4" w:space="0" w:color="000000"/>
              <w:left w:val="single" w:sz="4" w:space="0" w:color="000000"/>
              <w:bottom w:val="single" w:sz="4" w:space="0" w:color="000000"/>
            </w:tcBorders>
            <w:vAlign w:val="center"/>
          </w:tcPr>
          <w:p>
            <w:pPr>
              <w:pStyle w:val="Normal"/>
              <w:widowControl w:val="false"/>
              <w:jc w:val="center"/>
              <w:rPr>
                <w:sz w:val="20"/>
                <w:szCs w:val="20"/>
              </w:rPr>
            </w:pPr>
            <w:r>
              <w:rPr>
                <w:sz w:val="20"/>
                <w:szCs w:val="20"/>
              </w:rPr>
            </w:r>
          </w:p>
        </w:tc>
        <w:tc>
          <w:tcPr>
            <w:tcW w:w="13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089" w:type="dxa"/>
            <w:vMerge w:val="restart"/>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pPr>
              <w:pStyle w:val="Normal"/>
              <w:widowControl w:val="false"/>
              <w:jc w:val="center"/>
              <w:rPr>
                <w:sz w:val="20"/>
                <w:szCs w:val="20"/>
              </w:rPr>
            </w:pPr>
            <w:r>
              <w:rPr>
                <w:sz w:val="20"/>
                <w:szCs w:val="20"/>
              </w:rPr>
            </w:r>
          </w:p>
        </w:tc>
        <w:tc>
          <w:tcPr>
            <w:tcW w:w="13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2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b w:val="false"/>
                <w:bCs w:val="false"/>
                <w:i w:val="false"/>
                <w:i w:val="false"/>
                <w:iCs w:val="false"/>
                <w:strike w:val="false"/>
                <w:dstrike w:val="false"/>
                <w:color w:val="000000"/>
                <w:sz w:val="20"/>
                <w:szCs w:val="20"/>
                <w:u w:val="none"/>
              </w:rPr>
            </w:pPr>
            <w:r>
              <w:rPr>
                <w:b w:val="false"/>
                <w:bCs w:val="false"/>
                <w:i w:val="false"/>
                <w:iCs w:val="false"/>
                <w:strike w:val="false"/>
                <w:dstrike w:val="false"/>
                <w:color w:val="000000"/>
                <w:sz w:val="20"/>
                <w:szCs w:val="20"/>
                <w:u w:val="none"/>
              </w:rPr>
            </w:r>
          </w:p>
        </w:tc>
      </w:tr>
      <w:tr>
        <w:trPr>
          <w:trHeight w:val="794" w:hRule="exact"/>
        </w:trPr>
        <w:tc>
          <w:tcPr>
            <w:tcW w:w="466"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left"/>
              <w:rPr>
                <w:b w:val="false"/>
                <w:bCs w:val="false"/>
                <w:i w:val="false"/>
                <w:i w:val="false"/>
                <w:iCs w:val="false"/>
                <w:strike w:val="false"/>
                <w:dstrike w:val="false"/>
                <w:color w:val="000000"/>
                <w:sz w:val="20"/>
                <w:szCs w:val="20"/>
                <w:u w:val="none"/>
              </w:rPr>
            </w:pPr>
            <w:r>
              <w:rPr>
                <w:b w:val="false"/>
                <w:bCs w:val="false"/>
                <w:i w:val="false"/>
                <w:iCs w:val="false"/>
                <w:strike w:val="false"/>
                <w:dstrike w:val="false"/>
                <w:color w:val="000000"/>
                <w:sz w:val="20"/>
                <w:szCs w:val="20"/>
                <w:u w:val="none"/>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val="false"/>
                <w:bCs w:val="false"/>
              </w:rPr>
            </w:pPr>
            <w:r>
              <w:rPr>
                <w:b w:val="false"/>
                <w:bCs w:val="false"/>
              </w:rPr>
            </w:r>
          </w:p>
        </w:tc>
        <w:tc>
          <w:tcPr>
            <w:tcW w:w="1582"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sz w:val="20"/>
                <w:szCs w:val="20"/>
              </w:rPr>
            </w:pPr>
            <w:r>
              <w:rPr>
                <w:sz w:val="20"/>
                <w:szCs w:val="20"/>
              </w:rPr>
            </w:r>
          </w:p>
        </w:tc>
        <w:tc>
          <w:tcPr>
            <w:tcW w:w="13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089" w:type="dxa"/>
            <w:vMerge w:val="continue"/>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pPr>
              <w:pStyle w:val="Normal"/>
              <w:widowControl w:val="false"/>
              <w:jc w:val="center"/>
              <w:rPr>
                <w:sz w:val="20"/>
                <w:szCs w:val="20"/>
              </w:rPr>
            </w:pPr>
            <w:r>
              <w:rPr>
                <w:sz w:val="20"/>
                <w:szCs w:val="20"/>
              </w:rPr>
            </w:r>
          </w:p>
        </w:tc>
        <w:tc>
          <w:tcPr>
            <w:tcW w:w="13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2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sz w:val="20"/>
                <w:szCs w:val="20"/>
              </w:rPr>
            </w:pPr>
            <w:r>
              <w:rPr>
                <w:sz w:val="20"/>
                <w:szCs w:val="20"/>
              </w:rPr>
            </w:r>
          </w:p>
        </w:tc>
      </w:tr>
      <w:tr>
        <w:trPr>
          <w:trHeight w:val="1019" w:hRule="exact"/>
        </w:trPr>
        <w:tc>
          <w:tcPr>
            <w:tcW w:w="466" w:type="dxa"/>
            <w:gridSpan w:val="2"/>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804" w:type="dxa"/>
            <w:tcBorders>
              <w:left w:val="single" w:sz="4" w:space="0" w:color="000000"/>
              <w:bottom w:val="single" w:sz="4" w:space="0" w:color="000000"/>
              <w:right w:val="single" w:sz="4" w:space="0" w:color="000000"/>
            </w:tcBorders>
            <w:vAlign w:val="center"/>
          </w:tcPr>
          <w:p>
            <w:pPr>
              <w:pStyle w:val="Normal"/>
              <w:widowControl w:val="false"/>
              <w:tabs>
                <w:tab w:val="clear" w:pos="709"/>
              </w:tabs>
              <w:jc w:val="left"/>
              <w:rPr>
                <w:b w:val="false"/>
                <w:bCs w:val="false"/>
                <w:i w:val="false"/>
                <w:i w:val="false"/>
                <w:iCs w:val="false"/>
                <w:strike w:val="false"/>
                <w:dstrike w:val="false"/>
                <w:color w:val="000000"/>
                <w:sz w:val="20"/>
                <w:szCs w:val="20"/>
                <w:u w:val="none"/>
              </w:rPr>
            </w:pPr>
            <w:r>
              <w:rPr>
                <w:b w:val="false"/>
                <w:bCs w:val="false"/>
                <w:i w:val="false"/>
                <w:iCs w:val="false"/>
                <w:strike w:val="false"/>
                <w:dstrike w:val="false"/>
                <w:color w:val="000000"/>
                <w:sz w:val="20"/>
                <w:szCs w:val="20"/>
                <w:u w:val="none"/>
              </w:rPr>
            </w:r>
          </w:p>
        </w:tc>
        <w:tc>
          <w:tcPr>
            <w:tcW w:w="1530" w:type="dxa"/>
            <w:tcBorders>
              <w:left w:val="single" w:sz="4" w:space="0" w:color="000000"/>
              <w:bottom w:val="single" w:sz="4" w:space="0" w:color="000000"/>
              <w:right w:val="single" w:sz="4" w:space="0" w:color="000000"/>
            </w:tcBorders>
            <w:vAlign w:val="center"/>
          </w:tcPr>
          <w:p>
            <w:pPr>
              <w:pStyle w:val="Normal"/>
              <w:widowControl w:val="false"/>
              <w:jc w:val="center"/>
              <w:rPr>
                <w:b w:val="false"/>
                <w:bCs w:val="false"/>
              </w:rPr>
            </w:pPr>
            <w:r>
              <w:rPr>
                <w:b w:val="false"/>
                <w:bCs w:val="false"/>
              </w:rPr>
            </w:r>
          </w:p>
        </w:tc>
        <w:tc>
          <w:tcPr>
            <w:tcW w:w="1582" w:type="dxa"/>
            <w:tcBorders>
              <w:left w:val="single" w:sz="4" w:space="0" w:color="000000"/>
              <w:bottom w:val="single" w:sz="4" w:space="0" w:color="000000"/>
            </w:tcBorders>
            <w:vAlign w:val="center"/>
          </w:tcPr>
          <w:p>
            <w:pPr>
              <w:pStyle w:val="Normal"/>
              <w:widowControl w:val="false"/>
              <w:jc w:val="center"/>
              <w:rPr>
                <w:sz w:val="20"/>
                <w:szCs w:val="20"/>
              </w:rPr>
            </w:pPr>
            <w:r>
              <w:rPr>
                <w:sz w:val="20"/>
                <w:szCs w:val="20"/>
              </w:rPr>
            </w:r>
          </w:p>
        </w:tc>
        <w:tc>
          <w:tcPr>
            <w:tcW w:w="1323"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089"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353"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220" w:type="dxa"/>
            <w:tcBorders>
              <w:left w:val="single" w:sz="4" w:space="0" w:color="000000"/>
              <w:bottom w:val="single" w:sz="4" w:space="0" w:color="000000"/>
              <w:right w:val="single" w:sz="4" w:space="0" w:color="000000"/>
            </w:tcBorders>
            <w:vAlign w:val="center"/>
          </w:tcPr>
          <w:p>
            <w:pPr>
              <w:pStyle w:val="Normal"/>
              <w:widowControl w:val="false"/>
              <w:tabs>
                <w:tab w:val="clear" w:pos="709"/>
              </w:tabs>
              <w:jc w:val="center"/>
              <w:rPr>
                <w:sz w:val="20"/>
                <w:szCs w:val="20"/>
              </w:rPr>
            </w:pPr>
            <w:r>
              <w:rPr>
                <w:sz w:val="20"/>
                <w:szCs w:val="20"/>
              </w:rPr>
            </w:r>
          </w:p>
        </w:tc>
      </w:tr>
      <w:tr>
        <w:trPr>
          <w:trHeight w:val="1136" w:hRule="exact"/>
        </w:trPr>
        <w:tc>
          <w:tcPr>
            <w:tcW w:w="466" w:type="dxa"/>
            <w:gridSpan w:val="2"/>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804" w:type="dxa"/>
            <w:tcBorders>
              <w:left w:val="single" w:sz="4" w:space="0" w:color="000000"/>
              <w:bottom w:val="single" w:sz="4" w:space="0" w:color="000000"/>
              <w:right w:val="single" w:sz="4" w:space="0" w:color="000000"/>
            </w:tcBorders>
            <w:vAlign w:val="center"/>
          </w:tcPr>
          <w:p>
            <w:pPr>
              <w:pStyle w:val="Normal"/>
              <w:widowControl w:val="false"/>
              <w:tabs>
                <w:tab w:val="clear" w:pos="709"/>
              </w:tabs>
              <w:jc w:val="left"/>
              <w:rPr>
                <w:b w:val="false"/>
                <w:bCs w:val="false"/>
                <w:i w:val="false"/>
                <w:i w:val="false"/>
                <w:iCs w:val="false"/>
                <w:strike w:val="false"/>
                <w:dstrike w:val="false"/>
                <w:color w:val="000000"/>
                <w:sz w:val="20"/>
                <w:szCs w:val="20"/>
                <w:u w:val="none"/>
              </w:rPr>
            </w:pPr>
            <w:r>
              <w:rPr>
                <w:b w:val="false"/>
                <w:bCs w:val="false"/>
                <w:i w:val="false"/>
                <w:iCs w:val="false"/>
                <w:strike w:val="false"/>
                <w:dstrike w:val="false"/>
                <w:color w:val="000000"/>
                <w:sz w:val="20"/>
                <w:szCs w:val="20"/>
                <w:u w:val="none"/>
              </w:rPr>
            </w:r>
          </w:p>
        </w:tc>
        <w:tc>
          <w:tcPr>
            <w:tcW w:w="1530" w:type="dxa"/>
            <w:tcBorders>
              <w:left w:val="single" w:sz="4" w:space="0" w:color="000000"/>
              <w:bottom w:val="single" w:sz="4" w:space="0" w:color="000000"/>
              <w:right w:val="single" w:sz="4" w:space="0" w:color="000000"/>
            </w:tcBorders>
            <w:vAlign w:val="center"/>
          </w:tcPr>
          <w:p>
            <w:pPr>
              <w:pStyle w:val="Normal"/>
              <w:widowControl w:val="false"/>
              <w:jc w:val="center"/>
              <w:rPr>
                <w:b w:val="false"/>
                <w:bCs w:val="false"/>
                <w:sz w:val="20"/>
                <w:szCs w:val="20"/>
              </w:rPr>
            </w:pPr>
            <w:r>
              <w:rPr>
                <w:b w:val="false"/>
                <w:bCs w:val="false"/>
                <w:sz w:val="20"/>
                <w:szCs w:val="20"/>
              </w:rPr>
            </w:r>
          </w:p>
        </w:tc>
        <w:tc>
          <w:tcPr>
            <w:tcW w:w="1582" w:type="dxa"/>
            <w:tcBorders>
              <w:left w:val="single" w:sz="4" w:space="0" w:color="000000"/>
              <w:bottom w:val="single" w:sz="4" w:space="0" w:color="000000"/>
            </w:tcBorders>
            <w:vAlign w:val="center"/>
          </w:tcPr>
          <w:p>
            <w:pPr>
              <w:pStyle w:val="Normal"/>
              <w:widowControl w:val="false"/>
              <w:jc w:val="center"/>
              <w:rPr>
                <w:sz w:val="20"/>
                <w:szCs w:val="20"/>
              </w:rPr>
            </w:pPr>
            <w:r>
              <w:rPr>
                <w:sz w:val="20"/>
                <w:szCs w:val="20"/>
              </w:rPr>
            </w:r>
          </w:p>
        </w:tc>
        <w:tc>
          <w:tcPr>
            <w:tcW w:w="1323"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089"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353"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220" w:type="dxa"/>
            <w:tcBorders>
              <w:left w:val="single" w:sz="4" w:space="0" w:color="000000"/>
              <w:bottom w:val="single" w:sz="4" w:space="0" w:color="000000"/>
              <w:right w:val="single" w:sz="4" w:space="0" w:color="000000"/>
            </w:tcBorders>
            <w:vAlign w:val="center"/>
          </w:tcPr>
          <w:p>
            <w:pPr>
              <w:pStyle w:val="Normal"/>
              <w:widowControl w:val="false"/>
              <w:tabs>
                <w:tab w:val="clear" w:pos="709"/>
              </w:tabs>
              <w:jc w:val="center"/>
              <w:rPr>
                <w:sz w:val="20"/>
                <w:szCs w:val="20"/>
              </w:rPr>
            </w:pPr>
            <w:r>
              <w:rPr>
                <w:sz w:val="20"/>
                <w:szCs w:val="20"/>
              </w:rPr>
            </w:r>
          </w:p>
        </w:tc>
      </w:tr>
      <w:tr>
        <w:trPr>
          <w:trHeight w:val="1065" w:hRule="exact"/>
        </w:trPr>
        <w:tc>
          <w:tcPr>
            <w:tcW w:w="437" w:type="dxa"/>
            <w:tcBorders>
              <w:left w:val="single" w:sz="4" w:space="0" w:color="000000"/>
              <w:bottom w:val="single" w:sz="4" w:space="0" w:color="000000"/>
            </w:tcBorders>
            <w:vAlign w:val="center"/>
          </w:tcPr>
          <w:p>
            <w:pPr>
              <w:pStyle w:val="Normal"/>
              <w:widowControl w:val="false"/>
              <w:jc w:val="right"/>
              <w:rPr/>
            </w:pPr>
            <w:r>
              <w:rPr/>
            </w:r>
          </w:p>
        </w:tc>
        <w:tc>
          <w:tcPr>
            <w:tcW w:w="6268" w:type="dxa"/>
            <w:gridSpan w:val="5"/>
            <w:tcBorders>
              <w:left w:val="single" w:sz="4" w:space="0" w:color="000000"/>
              <w:bottom w:val="single" w:sz="4" w:space="0" w:color="000000"/>
              <w:right w:val="single" w:sz="4" w:space="0" w:color="000000"/>
            </w:tcBorders>
            <w:vAlign w:val="center"/>
          </w:tcPr>
          <w:p>
            <w:pPr>
              <w:pStyle w:val="Normal"/>
              <w:widowControl w:val="false"/>
              <w:jc w:val="right"/>
              <w:rPr/>
            </w:pPr>
            <w:r>
              <w:rPr>
                <w:b/>
              </w:rPr>
              <w:t>Финансирование:</w:t>
            </w:r>
          </w:p>
        </w:tc>
        <w:tc>
          <w:tcPr>
            <w:tcW w:w="1089"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353"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220"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r>
    </w:tbl>
    <w:p>
      <w:pPr>
        <w:pStyle w:val="Normal"/>
        <w:rPr>
          <w:sz w:val="24"/>
          <w:szCs w:val="24"/>
        </w:rPr>
      </w:pPr>
      <w:r>
        <w:rPr>
          <w:sz w:val="24"/>
          <w:szCs w:val="24"/>
        </w:rPr>
      </w:r>
    </w:p>
    <w:p>
      <w:pPr>
        <w:pStyle w:val="Normal"/>
        <w:ind w:left="5103" w:right="0" w:hanging="0"/>
        <w:rPr>
          <w:sz w:val="24"/>
          <w:szCs w:val="24"/>
        </w:rPr>
      </w:pPr>
      <w:r>
        <w:rPr>
          <w:sz w:val="24"/>
          <w:szCs w:val="24"/>
        </w:rPr>
      </w:r>
    </w:p>
    <w:p>
      <w:pPr>
        <w:pStyle w:val="Normal"/>
        <w:numPr>
          <w:ilvl w:val="0"/>
          <w:numId w:val="0"/>
        </w:numPr>
        <w:ind w:left="0" w:right="0" w:hanging="0"/>
        <w:jc w:val="center"/>
        <w:outlineLvl w:val="0"/>
        <w:rPr>
          <w:b/>
          <w:bCs/>
          <w:sz w:val="24"/>
          <w:szCs w:val="24"/>
        </w:rPr>
      </w:pPr>
      <w:r>
        <w:rPr>
          <w:b/>
          <w:bCs/>
          <w:sz w:val="24"/>
          <w:szCs w:val="24"/>
        </w:rPr>
        <w:t>ПОДПИСИ СТОРОН:</w:t>
      </w:r>
    </w:p>
    <w:p>
      <w:pPr>
        <w:pStyle w:val="Normal"/>
        <w:numPr>
          <w:ilvl w:val="0"/>
          <w:numId w:val="0"/>
        </w:numPr>
        <w:ind w:left="0" w:right="0" w:hanging="0"/>
        <w:jc w:val="center"/>
        <w:outlineLvl w:val="0"/>
        <w:rPr>
          <w:bCs/>
          <w:sz w:val="24"/>
          <w:szCs w:val="24"/>
        </w:rPr>
      </w:pPr>
      <w:r>
        <w:rPr>
          <w:bCs/>
          <w:sz w:val="24"/>
          <w:szCs w:val="24"/>
        </w:rPr>
      </w:r>
    </w:p>
    <w:tbl>
      <w:tblPr>
        <w:tblW w:w="10099"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4"/>
        <w:gridCol w:w="5104"/>
      </w:tblGrid>
      <w:tr>
        <w:trPr/>
        <w:tc>
          <w:tcPr>
            <w:tcW w:w="4994" w:type="dxa"/>
            <w:tcBorders/>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rPr>
                <w:sz w:val="24"/>
                <w:szCs w:val="24"/>
              </w:rPr>
            </w:pPr>
            <w:r>
              <w:rPr>
                <w:sz w:val="24"/>
                <w:szCs w:val="24"/>
              </w:rPr>
            </w:r>
          </w:p>
          <w:p>
            <w:pPr>
              <w:pStyle w:val="Normal"/>
              <w:widowControl w:val="false"/>
              <w:rPr>
                <w:shd w:fill="auto" w:val="clear"/>
              </w:rPr>
            </w:pPr>
            <w:r>
              <w:rPr>
                <w:shd w:fill="auto" w:val="clear"/>
              </w:rPr>
            </w:r>
          </w:p>
          <w:p>
            <w:pPr>
              <w:pStyle w:val="Normal"/>
              <w:widowControl w:val="false"/>
              <w:rPr>
                <w:shd w:fill="auto" w:val="clear"/>
              </w:rPr>
            </w:pPr>
            <w:r>
              <w:rPr>
                <w:sz w:val="24"/>
                <w:szCs w:val="24"/>
                <w:shd w:fill="auto" w:val="clear"/>
              </w:rPr>
              <w:t xml:space="preserve">  </w:t>
            </w:r>
            <w:r>
              <w:rPr>
                <w:sz w:val="24"/>
                <w:szCs w:val="24"/>
                <w:shd w:fill="auto" w:val="clear"/>
              </w:rPr>
              <w:t>____________________</w:t>
            </w:r>
          </w:p>
          <w:p>
            <w:pPr>
              <w:pStyle w:val="Normal"/>
              <w:widowControl w:val="false"/>
              <w:rPr>
                <w:shd w:fill="auto" w:val="clear"/>
              </w:rPr>
            </w:pPr>
            <w:r>
              <w:rPr>
                <w:shd w:fill="auto" w:val="clear"/>
              </w:rPr>
            </w:r>
          </w:p>
          <w:p>
            <w:pPr>
              <w:pStyle w:val="Normal"/>
              <w:widowControl w:val="false"/>
              <w:rPr>
                <w:shd w:fill="auto" w:val="clear"/>
              </w:rPr>
            </w:pPr>
            <w:r>
              <w:rPr>
                <w:shd w:fill="auto" w:val="clear"/>
              </w:rPr>
            </w:r>
          </w:p>
          <w:p>
            <w:pPr>
              <w:pStyle w:val="Normal"/>
              <w:widowControl w:val="false"/>
              <w:rPr>
                <w:shd w:fill="auto" w:val="clear"/>
              </w:rPr>
            </w:pPr>
            <w:r>
              <w:rPr>
                <w:sz w:val="24"/>
                <w:szCs w:val="24"/>
                <w:shd w:fill="auto" w:val="clear"/>
              </w:rPr>
              <w:t>М.П.</w:t>
            </w:r>
          </w:p>
        </w:tc>
        <w:tc>
          <w:tcPr>
            <w:tcW w:w="5104" w:type="dxa"/>
            <w:tcBorders/>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shd w:fill="auto" w:val="clear"/>
              </w:rPr>
              <w:t>________________________</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М.П.</w:t>
            </w:r>
          </w:p>
        </w:tc>
      </w:tr>
    </w:tbl>
    <w:p>
      <w:pPr>
        <w:pStyle w:val="Normal"/>
        <w:ind w:left="0" w:right="96" w:firstLine="6237"/>
        <w:rPr>
          <w:sz w:val="24"/>
          <w:szCs w:val="24"/>
        </w:rPr>
      </w:pPr>
      <w:r>
        <w:rPr>
          <w:sz w:val="24"/>
          <w:szCs w:val="24"/>
        </w:rPr>
      </w:r>
    </w:p>
    <w:p>
      <w:pPr>
        <w:pStyle w:val="Normal"/>
        <w:ind w:left="0" w:right="96" w:firstLine="5103"/>
        <w:jc w:val="right"/>
        <w:rPr/>
      </w:pPr>
      <w:r>
        <w:rPr>
          <w:sz w:val="22"/>
          <w:szCs w:val="22"/>
        </w:rPr>
        <w:t>Приложение № 4</w:t>
      </w:r>
    </w:p>
    <w:p>
      <w:pPr>
        <w:pStyle w:val="Normal"/>
        <w:ind w:left="0" w:right="96" w:firstLine="5103"/>
        <w:jc w:val="right"/>
        <w:rPr/>
      </w:pPr>
      <w:r>
        <w:rPr>
          <w:sz w:val="22"/>
          <w:szCs w:val="22"/>
        </w:rPr>
        <w:t>к Договору поставки</w:t>
      </w:r>
    </w:p>
    <w:p>
      <w:pPr>
        <w:pStyle w:val="Normal"/>
        <w:ind w:left="0" w:right="0" w:firstLine="5103"/>
        <w:jc w:val="right"/>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right"/>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left="0" w:right="0"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8"/>
      </w:r>
      <w:r>
        <w:rPr>
          <w:sz w:val="24"/>
          <w:szCs w:val="24"/>
        </w:rPr>
        <w:t>, а также соответствовать следующим критериям:</w:t>
      </w:r>
    </w:p>
    <w:p>
      <w:pPr>
        <w:pStyle w:val="Normal"/>
        <w:widowControl/>
        <w:numPr>
          <w:ilvl w:val="1"/>
          <w:numId w:val="11"/>
        </w:numPr>
        <w:tabs>
          <w:tab w:val="clear" w:pos="709"/>
          <w:tab w:val="left" w:pos="1134" w:leader="none"/>
        </w:tabs>
        <w:ind w:left="0" w:righ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1"/>
        </w:numPr>
        <w:tabs>
          <w:tab w:val="clear" w:pos="709"/>
          <w:tab w:val="left" w:pos="1134" w:leader="none"/>
        </w:tabs>
        <w:ind w:left="0" w:righ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1"/>
          <w:numId w:val="11"/>
        </w:numPr>
        <w:tabs>
          <w:tab w:val="clear" w:pos="709"/>
          <w:tab w:val="left" w:pos="1134" w:leader="none"/>
        </w:tabs>
        <w:ind w:left="0" w:right="0" w:firstLine="710"/>
        <w:jc w:val="both"/>
        <w:rPr>
          <w:sz w:val="24"/>
          <w:szCs w:val="24"/>
        </w:rPr>
      </w:pPr>
      <w:r>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Pr>
          <w:sz w:val="24"/>
          <w:szCs w:val="24"/>
          <w:lang w:val="en-GB"/>
        </w:rPr>
        <w:t>www</w:t>
      </w:r>
      <w:r>
        <w:rPr>
          <w:sz w:val="24"/>
          <w:szCs w:val="24"/>
        </w:rPr>
        <w:t>.</w:t>
      </w:r>
      <w:r>
        <w:rPr>
          <w:sz w:val="24"/>
          <w:szCs w:val="24"/>
          <w:lang w:val="en-GB"/>
        </w:rPr>
        <w:t>cbr</w:t>
      </w:r>
      <w:r>
        <w:rPr>
          <w:sz w:val="24"/>
          <w:szCs w:val="24"/>
        </w:rPr>
        <w:t>.</w:t>
      </w:r>
      <w:r>
        <w:rPr>
          <w:sz w:val="24"/>
          <w:szCs w:val="24"/>
          <w:lang w:val="en-GB"/>
        </w:rPr>
        <w:t>ru</w:t>
      </w:r>
      <w:r>
        <w:rPr>
          <w:sz w:val="24"/>
          <w:szCs w:val="24"/>
        </w:rPr>
        <w:t xml:space="preserve">) по строке 000 «Расчет собственных средств (капитала) («Базель </w:t>
      </w:r>
      <w:r>
        <w:rPr>
          <w:sz w:val="24"/>
          <w:szCs w:val="24"/>
          <w:lang w:val="en-GB"/>
        </w:rPr>
        <w:t>III</w:t>
      </w:r>
      <w:r>
        <w:rPr>
          <w:sz w:val="24"/>
          <w:szCs w:val="24"/>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sz w:val="24"/>
          <w:szCs w:val="24"/>
          <w:lang w:val="en-GB"/>
        </w:rPr>
        <w:t>III</w:t>
      </w:r>
      <w:r>
        <w:rPr>
          <w:sz w:val="24"/>
          <w:szCs w:val="24"/>
        </w:rPr>
        <w:t>»)» (далее – Методика ЦБ РФ) или иным документом, его заменяющим (в случае изменения или отмены указанного Положения).</w:t>
      </w:r>
    </w:p>
    <w:p>
      <w:pPr>
        <w:pStyle w:val="Normal"/>
        <w:widowControl/>
        <w:numPr>
          <w:ilvl w:val="1"/>
          <w:numId w:val="11"/>
        </w:numPr>
        <w:tabs>
          <w:tab w:val="clear" w:pos="709"/>
          <w:tab w:val="left" w:pos="1134" w:leader="none"/>
        </w:tabs>
        <w:ind w:left="0" w:righ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9"/>
      </w:r>
      <w:r>
        <w:rPr>
          <w:sz w:val="24"/>
          <w:szCs w:val="24"/>
        </w:rPr>
        <w:t xml:space="preserve">. </w:t>
      </w:r>
    </w:p>
    <w:p>
      <w:pPr>
        <w:pStyle w:val="Normal"/>
        <w:widowControl/>
        <w:numPr>
          <w:ilvl w:val="1"/>
          <w:numId w:val="11"/>
        </w:numPr>
        <w:tabs>
          <w:tab w:val="clear" w:pos="709"/>
          <w:tab w:val="left" w:pos="1134" w:leader="none"/>
        </w:tabs>
        <w:ind w:left="0" w:righ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10"/>
      </w:r>
      <w:r>
        <w:rPr>
          <w:sz w:val="24"/>
          <w:szCs w:val="24"/>
        </w:rPr>
        <w:t>.</w:t>
      </w:r>
    </w:p>
    <w:p>
      <w:pPr>
        <w:pStyle w:val="Normal"/>
        <w:widowControl/>
        <w:numPr>
          <w:ilvl w:val="1"/>
          <w:numId w:val="11"/>
        </w:numPr>
        <w:tabs>
          <w:tab w:val="clear" w:pos="709"/>
          <w:tab w:val="left" w:pos="1134" w:leader="none"/>
        </w:tabs>
        <w:ind w:left="0" w:righ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1"/>
        </w:numPr>
        <w:tabs>
          <w:tab w:val="clear" w:pos="709"/>
          <w:tab w:val="left" w:pos="1134" w:leader="none"/>
        </w:tabs>
        <w:ind w:left="0" w:right="0" w:firstLine="710"/>
        <w:jc w:val="both"/>
        <w:rPr>
          <w:sz w:val="24"/>
          <w:szCs w:val="24"/>
        </w:rPr>
      </w:pPr>
      <w:r>
        <w:rPr>
          <w:sz w:val="24"/>
          <w:szCs w:val="24"/>
        </w:rPr>
        <w:t>Не иметь просроченную задолженность перед Обществом и компаниями Группы РусГидро.</w:t>
      </w:r>
    </w:p>
    <w:p>
      <w:pPr>
        <w:pStyle w:val="Normal"/>
        <w:widowControl/>
        <w:numPr>
          <w:ilvl w:val="1"/>
          <w:numId w:val="11"/>
        </w:numPr>
        <w:tabs>
          <w:tab w:val="clear" w:pos="709"/>
          <w:tab w:val="left" w:pos="1134" w:leader="none"/>
        </w:tabs>
        <w:ind w:left="0" w:right="0" w:firstLine="710"/>
        <w:jc w:val="both"/>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11"/>
      </w:r>
      <w:r>
        <w:rPr>
          <w:sz w:val="24"/>
          <w:szCs w:val="24"/>
        </w:rPr>
        <w:t>.</w:t>
      </w:r>
    </w:p>
    <w:p>
      <w:pPr>
        <w:pStyle w:val="Normal"/>
        <w:widowControl/>
        <w:numPr>
          <w:ilvl w:val="1"/>
          <w:numId w:val="11"/>
        </w:numPr>
        <w:tabs>
          <w:tab w:val="clear" w:pos="709"/>
          <w:tab w:val="left" w:pos="1134" w:leader="none"/>
        </w:tabs>
        <w:ind w:left="0" w:righ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2"/>
        </w:numPr>
        <w:tabs>
          <w:tab w:val="clear" w:pos="709"/>
          <w:tab w:val="left" w:pos="1134" w:leader="none"/>
        </w:tabs>
        <w:ind w:left="0" w:righ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2"/>
        </w:numPr>
        <w:tabs>
          <w:tab w:val="clear" w:pos="709"/>
          <w:tab w:val="left" w:pos="1134" w:leader="none"/>
        </w:tabs>
        <w:ind w:left="0" w:righ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2"/>
        </w:numPr>
        <w:tabs>
          <w:tab w:val="clear" w:pos="709"/>
          <w:tab w:val="left" w:pos="1134" w:leader="none"/>
        </w:tabs>
        <w:ind w:left="0" w:righ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2"/>
        </w:numPr>
        <w:tabs>
          <w:tab w:val="clear" w:pos="709"/>
          <w:tab w:val="left" w:pos="1134" w:leader="none"/>
        </w:tabs>
        <w:ind w:left="0" w:right="0" w:firstLine="709"/>
        <w:jc w:val="both"/>
        <w:rPr>
          <w:sz w:val="24"/>
          <w:szCs w:val="24"/>
          <w:lang w:val="en-GB"/>
        </w:rPr>
      </w:pPr>
      <w:r>
        <w:rPr>
          <w:sz w:val="24"/>
          <w:szCs w:val="24"/>
        </w:rPr>
        <w:t xml:space="preserve"> </w:t>
      </w:r>
      <w:r>
        <w:rPr>
          <w:sz w:val="24"/>
          <w:szCs w:val="24"/>
          <w:lang w:val="en-GB"/>
        </w:rPr>
        <w:t>ВЭБ.РФ.</w:t>
      </w:r>
    </w:p>
    <w:p>
      <w:pPr>
        <w:pStyle w:val="Normal"/>
        <w:widowControl/>
        <w:numPr>
          <w:ilvl w:val="1"/>
          <w:numId w:val="11"/>
        </w:numPr>
        <w:tabs>
          <w:tab w:val="clear" w:pos="709"/>
          <w:tab w:val="left" w:pos="1134" w:leader="none"/>
        </w:tabs>
        <w:ind w:left="0" w:righ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left="0" w:right="0"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tbl>
      <w:tblPr>
        <w:tblW w:w="960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17"/>
        <w:gridCol w:w="280"/>
        <w:gridCol w:w="8509"/>
      </w:tblGrid>
      <w:tr>
        <w:trPr>
          <w:trHeight w:val="426" w:hRule="atLeast"/>
        </w:trPr>
        <w:tc>
          <w:tcPr>
            <w:tcW w:w="817" w:type="dxa"/>
            <w:tcBorders/>
          </w:tcPr>
          <w:p>
            <w:pPr>
              <w:pStyle w:val="Normal"/>
              <w:widowControl w:val="false"/>
              <w:ind w:left="0" w:right="-108" w:hanging="0"/>
              <w:jc w:val="both"/>
              <w:rPr>
                <w:color w:val="000000"/>
                <w:sz w:val="24"/>
                <w:szCs w:val="24"/>
                <w:lang w:val="en-GB"/>
              </w:rPr>
            </w:pPr>
            <w:r>
              <w:rPr>
                <w:b/>
                <w:i/>
                <w:color w:val="000000"/>
                <w:sz w:val="24"/>
                <w:szCs w:val="24"/>
                <w:lang w:val="en-GB"/>
              </w:rPr>
              <w:t>Lim</w:t>
            </w:r>
            <w:r>
              <w:rPr>
                <w:b/>
                <w:i/>
                <w:color w:val="000000"/>
                <w:sz w:val="24"/>
                <w:szCs w:val="24"/>
                <w:vertAlign w:val="subscript"/>
                <w:lang w:val="en-US"/>
              </w:rPr>
              <w:t>Ai</w:t>
            </w:r>
          </w:p>
        </w:tc>
        <w:tc>
          <w:tcPr>
            <w:tcW w:w="280" w:type="dxa"/>
            <w:tcBorders/>
          </w:tcPr>
          <w:p>
            <w:pPr>
              <w:pStyle w:val="Normal"/>
              <w:widowControl w:val="false"/>
              <w:ind w:left="317" w:right="-108" w:hanging="317"/>
              <w:jc w:val="both"/>
              <w:rPr>
                <w:color w:val="000000"/>
                <w:sz w:val="24"/>
                <w:szCs w:val="24"/>
                <w:lang w:val="en-GB"/>
              </w:rPr>
            </w:pPr>
            <w:r>
              <w:rPr>
                <w:sz w:val="24"/>
                <w:szCs w:val="24"/>
                <w:lang w:val="en-GB"/>
              </w:rPr>
              <w:t>-</w:t>
            </w:r>
          </w:p>
        </w:tc>
        <w:tc>
          <w:tcPr>
            <w:tcW w:w="8509" w:type="dxa"/>
            <w:tcBorders/>
          </w:tcPr>
          <w:p>
            <w:pPr>
              <w:pStyle w:val="Normal"/>
              <w:widowControl w:val="false"/>
              <w:ind w:left="-75" w:right="-108" w:hanging="0"/>
              <w:jc w:val="both"/>
              <w:rPr>
                <w:color w:val="000000"/>
                <w:sz w:val="24"/>
                <w:szCs w:val="24"/>
              </w:rPr>
            </w:pPr>
            <w:r>
              <w:rPr>
                <w:sz w:val="24"/>
                <w:szCs w:val="24"/>
              </w:rPr>
              <w:t xml:space="preserve">Лимит риска для </w:t>
            </w:r>
            <w:r>
              <w:rPr>
                <w:sz w:val="24"/>
                <w:szCs w:val="24"/>
                <w:lang w:val="en-GB"/>
              </w:rPr>
              <w:t>i</w:t>
            </w:r>
            <w:r>
              <w:rPr>
                <w:sz w:val="24"/>
                <w:szCs w:val="24"/>
              </w:rPr>
              <w:t>-ой кредитной организации</w:t>
            </w:r>
            <w:r>
              <w:rPr>
                <w:rStyle w:val="FootnoteReference"/>
                <w:sz w:val="24"/>
                <w:szCs w:val="24"/>
                <w:vertAlign w:val="superscript"/>
                <w:lang w:val="en-GB"/>
              </w:rPr>
              <w:footnoteReference w:id="12"/>
            </w:r>
            <w:r>
              <w:rPr>
                <w:sz w:val="24"/>
                <w:szCs w:val="24"/>
                <w:vertAlign w:val="superscript"/>
              </w:rPr>
              <w:t>.</w:t>
            </w:r>
          </w:p>
        </w:tc>
      </w:tr>
      <w:tr>
        <w:trPr>
          <w:trHeight w:val="280" w:hRule="atLeast"/>
        </w:trPr>
        <w:tc>
          <w:tcPr>
            <w:tcW w:w="817" w:type="dxa"/>
            <w:tcBorders/>
          </w:tcPr>
          <w:p>
            <w:pPr>
              <w:pStyle w:val="Normal"/>
              <w:widowControl w:val="false"/>
              <w:ind w:left="0" w:right="-108" w:hanging="0"/>
              <w:jc w:val="both"/>
              <w:rPr>
                <w:b/>
                <w:i/>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p>
            <w:pPr>
              <w:pStyle w:val="Normal"/>
              <w:widowControl w:val="false"/>
              <w:ind w:left="0" w:right="-108" w:hanging="0"/>
              <w:jc w:val="both"/>
              <w:rPr>
                <w:color w:val="000000"/>
                <w:sz w:val="24"/>
                <w:szCs w:val="24"/>
                <w:lang w:val="en-GB"/>
              </w:rPr>
            </w:pPr>
            <w:r>
              <w:rPr>
                <w:color w:val="000000"/>
                <w:sz w:val="24"/>
                <w:szCs w:val="24"/>
                <w:lang w:val="en-GB"/>
              </w:rPr>
            </w:r>
          </w:p>
        </w:tc>
        <w:tc>
          <w:tcPr>
            <w:tcW w:w="280" w:type="dxa"/>
            <w:tcBorders/>
          </w:tcPr>
          <w:p>
            <w:pPr>
              <w:pStyle w:val="Normal"/>
              <w:widowControl w:val="false"/>
              <w:ind w:left="0" w:right="-108" w:hanging="0"/>
              <w:jc w:val="both"/>
              <w:rPr>
                <w:color w:val="000000"/>
                <w:sz w:val="24"/>
                <w:szCs w:val="24"/>
                <w:lang w:val="en-GB"/>
              </w:rPr>
            </w:pPr>
            <w:r>
              <w:rPr>
                <w:sz w:val="24"/>
                <w:szCs w:val="24"/>
                <w:lang w:val="en-GB"/>
              </w:rPr>
              <w:t>-</w:t>
            </w:r>
          </w:p>
        </w:tc>
        <w:tc>
          <w:tcPr>
            <w:tcW w:w="8509" w:type="dxa"/>
            <w:tcBorders/>
          </w:tcPr>
          <w:p>
            <w:pPr>
              <w:pStyle w:val="Normal"/>
              <w:widowControl w:val="false"/>
              <w:ind w:left="-75" w:right="-108" w:hanging="0"/>
              <w:jc w:val="both"/>
              <w:rPr>
                <w:color w:val="000000"/>
                <w:sz w:val="24"/>
                <w:szCs w:val="24"/>
              </w:rPr>
            </w:pPr>
            <w:r>
              <w:rPr>
                <w:sz w:val="24"/>
                <w:szCs w:val="24"/>
              </w:rPr>
              <w:t xml:space="preserve">размер собственных средств (капитала) </w:t>
            </w:r>
            <w:r>
              <w:rPr>
                <w:sz w:val="24"/>
                <w:szCs w:val="24"/>
                <w:lang w:val="en-GB"/>
              </w:rPr>
              <w:t>i</w:t>
            </w:r>
            <w:r>
              <w:rPr>
                <w:sz w:val="24"/>
                <w:szCs w:val="24"/>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9" w:tgtFrame="http://www.cbr.ru/">
              <w:r>
                <w:rPr>
                  <w:sz w:val="24"/>
                  <w:szCs w:val="24"/>
                  <w:u w:val="single"/>
                  <w:lang w:val="en-GB"/>
                </w:rPr>
                <w:t>www</w:t>
              </w:r>
              <w:r>
                <w:rPr>
                  <w:sz w:val="24"/>
                  <w:szCs w:val="24"/>
                  <w:u w:val="single"/>
                </w:rPr>
                <w:t>.</w:t>
              </w:r>
              <w:r>
                <w:rPr>
                  <w:sz w:val="24"/>
                  <w:szCs w:val="24"/>
                  <w:u w:val="single"/>
                  <w:lang w:val="en-GB"/>
                </w:rPr>
                <w:t>cbr</w:t>
              </w:r>
              <w:r>
                <w:rPr>
                  <w:sz w:val="24"/>
                  <w:szCs w:val="24"/>
                  <w:u w:val="single"/>
                </w:rPr>
                <w:t>.</w:t>
              </w:r>
              <w:r>
                <w:rPr>
                  <w:sz w:val="24"/>
                  <w:szCs w:val="24"/>
                  <w:u w:val="single"/>
                  <w:lang w:val="en-GB"/>
                </w:rPr>
                <w:t>ru</w:t>
              </w:r>
            </w:hyperlink>
            <w:r>
              <w:rPr>
                <w:sz w:val="24"/>
                <w:szCs w:val="24"/>
              </w:rPr>
              <w:t>) по строке 000 «Расчет собственных средств (капитала) («Базель</w:t>
            </w:r>
            <w:r>
              <w:rPr>
                <w:sz w:val="24"/>
                <w:szCs w:val="24"/>
                <w:lang w:val="en-GB"/>
              </w:rPr>
              <w:t> III</w:t>
            </w:r>
            <w:r>
              <w:rPr>
                <w:sz w:val="24"/>
                <w:szCs w:val="24"/>
              </w:rPr>
              <w:t>»)», код формы 0409123;</w:t>
            </w:r>
          </w:p>
        </w:tc>
      </w:tr>
      <w:tr>
        <w:trPr>
          <w:trHeight w:val="993" w:hRule="atLeast"/>
        </w:trPr>
        <w:tc>
          <w:tcPr>
            <w:tcW w:w="817" w:type="dxa"/>
            <w:tcBorders/>
          </w:tcPr>
          <w:p>
            <w:pPr>
              <w:pStyle w:val="Normal"/>
              <w:widowControl w:val="false"/>
              <w:ind w:left="0" w:right="-108" w:hanging="0"/>
              <w:jc w:val="both"/>
              <w:rPr>
                <w:b/>
                <w:i/>
                <w:i/>
                <w:color w:val="000000"/>
                <w:sz w:val="24"/>
                <w:szCs w:val="24"/>
                <w:lang w:val="en-GB"/>
              </w:rPr>
            </w:pPr>
            <w:r>
              <w:rPr>
                <w:b/>
                <w:i/>
                <w:color w:val="000000"/>
                <w:sz w:val="24"/>
                <w:szCs w:val="24"/>
                <w:lang w:val="en-GB"/>
              </w:rPr>
              <w:t>r</w:t>
            </w:r>
            <w:r>
              <w:rPr>
                <w:b/>
                <w:i/>
                <w:color w:val="000000"/>
                <w:sz w:val="24"/>
                <w:szCs w:val="24"/>
                <w:vertAlign w:val="subscript"/>
                <w:lang w:val="en-GB"/>
              </w:rPr>
              <w:t>i</w:t>
            </w:r>
          </w:p>
        </w:tc>
        <w:tc>
          <w:tcPr>
            <w:tcW w:w="280" w:type="dxa"/>
            <w:tcBorders/>
          </w:tcPr>
          <w:p>
            <w:pPr>
              <w:pStyle w:val="Normal"/>
              <w:widowControl w:val="false"/>
              <w:ind w:left="0" w:right="-108" w:hanging="0"/>
              <w:jc w:val="both"/>
              <w:rPr>
                <w:sz w:val="24"/>
                <w:szCs w:val="24"/>
                <w:lang w:val="en-GB"/>
              </w:rPr>
            </w:pPr>
            <w:r>
              <w:rPr>
                <w:sz w:val="24"/>
                <w:szCs w:val="24"/>
                <w:lang w:val="en-GB"/>
              </w:rPr>
              <w:t>-</w:t>
            </w:r>
          </w:p>
        </w:tc>
        <w:tc>
          <w:tcPr>
            <w:tcW w:w="8509" w:type="dxa"/>
            <w:tcBorders/>
          </w:tcPr>
          <w:p>
            <w:pPr>
              <w:pStyle w:val="Normal"/>
              <w:widowControl w:val="false"/>
              <w:tabs>
                <w:tab w:val="clear" w:pos="709"/>
                <w:tab w:val="left" w:pos="7130" w:leader="none"/>
              </w:tabs>
              <w:ind w:left="0" w:right="-108" w:hanging="0"/>
              <w:jc w:val="both"/>
              <w:rPr>
                <w:sz w:val="24"/>
                <w:szCs w:val="24"/>
              </w:rPr>
            </w:pPr>
            <w:r>
              <w:rPr>
                <w:sz w:val="24"/>
                <w:szCs w:val="24"/>
              </w:rPr>
              <w:t>рейтинговый коэффициент</w:t>
            </w:r>
            <w:r>
              <w:rPr>
                <w:rStyle w:val="FootnoteReference"/>
                <w:sz w:val="24"/>
                <w:szCs w:val="24"/>
                <w:vertAlign w:val="superscript"/>
                <w:lang w:val="en-GB"/>
              </w:rPr>
              <w:footnoteReference w:id="13"/>
            </w:r>
            <w:r>
              <w:rPr>
                <w:sz w:val="24"/>
                <w:szCs w:val="24"/>
              </w:rPr>
              <w:t xml:space="preserve"> для </w:t>
            </w:r>
            <w:r>
              <w:rPr>
                <w:sz w:val="24"/>
                <w:szCs w:val="24"/>
                <w:lang w:val="en-GB"/>
              </w:rPr>
              <w:t>i</w:t>
            </w:r>
            <w:r>
              <w:rPr>
                <w:sz w:val="24"/>
                <w:szCs w:val="24"/>
              </w:rPr>
              <w:t>-ой кредитной организации, равный:</w:t>
            </w:r>
          </w:p>
          <w:p>
            <w:pPr>
              <w:pStyle w:val="Normal"/>
              <w:widowControl w:val="false"/>
              <w:ind w:left="0" w:right="0" w:firstLine="492"/>
              <w:jc w:val="both"/>
              <w:rPr>
                <w:sz w:val="24"/>
                <w:szCs w:val="24"/>
              </w:rPr>
            </w:pPr>
            <w:r>
              <w:rPr>
                <w:b/>
                <w:sz w:val="24"/>
                <w:szCs w:val="24"/>
              </w:rPr>
              <w:t>0,05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right="0" w:firstLine="425"/>
              <w:jc w:val="both"/>
              <w:rPr>
                <w:sz w:val="24"/>
                <w:szCs w:val="24"/>
              </w:rPr>
            </w:pPr>
            <w:r>
              <w:rPr>
                <w:b/>
                <w:sz w:val="24"/>
                <w:szCs w:val="24"/>
              </w:rPr>
              <w:t>0,025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GB"/>
              </w:rPr>
              <w:t>ruA</w:t>
            </w:r>
            <w:r>
              <w:rPr>
                <w:b/>
                <w:sz w:val="24"/>
                <w:szCs w:val="24"/>
              </w:rPr>
              <w:t>-»</w:t>
            </w:r>
            <w:r>
              <w:rPr>
                <w:sz w:val="24"/>
                <w:szCs w:val="24"/>
              </w:rPr>
              <w:t xml:space="preserve"> по классификации рейтингового агентства Эксперт РА;</w:t>
            </w:r>
          </w:p>
          <w:p>
            <w:pPr>
              <w:pStyle w:val="Normal"/>
              <w:widowControl w:val="false"/>
              <w:ind w:left="0" w:right="0" w:firstLine="492"/>
              <w:jc w:val="both"/>
              <w:rPr>
                <w:sz w:val="24"/>
                <w:szCs w:val="24"/>
              </w:rPr>
            </w:pPr>
            <w:r>
              <w:rPr>
                <w:b/>
                <w:sz w:val="24"/>
                <w:szCs w:val="24"/>
              </w:rPr>
              <w:t>0,015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425" w:leader="none"/>
        </w:tabs>
        <w:rPr>
          <w:sz w:val="24"/>
          <w:szCs w:val="24"/>
        </w:rPr>
      </w:pPr>
      <w:r>
        <w:rPr>
          <w:sz w:val="24"/>
          <w:szCs w:val="24"/>
        </w:rPr>
      </w:r>
    </w:p>
    <w:tbl>
      <w:tblPr>
        <w:tblW w:w="1375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61"/>
        <w:gridCol w:w="8789"/>
      </w:tblGrid>
      <w:tr>
        <w:trPr/>
        <w:tc>
          <w:tcPr>
            <w:tcW w:w="4961" w:type="dxa"/>
            <w:tcBorders/>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rPr>
                <w:sz w:val="24"/>
                <w:szCs w:val="24"/>
              </w:rPr>
            </w:pPr>
            <w:r>
              <w:rPr>
                <w:sz w:val="24"/>
                <w:szCs w:val="24"/>
              </w:rPr>
            </w:r>
          </w:p>
          <w:p>
            <w:pPr>
              <w:pStyle w:val="Normal"/>
              <w:widowControl w:val="false"/>
              <w:rPr>
                <w:shd w:fill="auto" w:val="clear"/>
              </w:rPr>
            </w:pPr>
            <w:r>
              <w:rPr>
                <w:shd w:fill="auto" w:val="clear"/>
              </w:rPr>
            </w:r>
          </w:p>
          <w:p>
            <w:pPr>
              <w:pStyle w:val="Normal"/>
              <w:widowControl w:val="false"/>
              <w:rPr>
                <w:shd w:fill="auto" w:val="clear"/>
              </w:rPr>
            </w:pPr>
            <w:r>
              <w:rPr>
                <w:sz w:val="24"/>
                <w:szCs w:val="24"/>
                <w:shd w:fill="auto" w:val="clear"/>
              </w:rPr>
              <w:t xml:space="preserve">  </w:t>
            </w:r>
            <w:r>
              <w:rPr>
                <w:sz w:val="24"/>
                <w:szCs w:val="24"/>
                <w:shd w:fill="auto" w:val="clear"/>
              </w:rPr>
              <w:t>____________________</w:t>
            </w:r>
          </w:p>
        </w:tc>
        <w:tc>
          <w:tcPr>
            <w:tcW w:w="8789" w:type="dxa"/>
            <w:tcBorders/>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shd w:fill="auto" w:val="clear"/>
              </w:rPr>
              <w:t xml:space="preserve"> </w:t>
            </w:r>
            <w:r>
              <w:rPr>
                <w:sz w:val="24"/>
                <w:szCs w:val="24"/>
                <w:shd w:fill="auto" w:val="clear"/>
              </w:rPr>
              <w:t>_____________________</w:t>
            </w:r>
          </w:p>
          <w:p>
            <w:pPr>
              <w:pStyle w:val="Normal"/>
              <w:widowControl w:val="false"/>
              <w:spacing w:lineRule="auto" w:line="360"/>
              <w:rPr>
                <w:sz w:val="24"/>
                <w:szCs w:val="24"/>
              </w:rPr>
            </w:pPr>
            <w:r>
              <w:rPr>
                <w:sz w:val="24"/>
                <w:szCs w:val="24"/>
              </w:rPr>
            </w:r>
          </w:p>
        </w:tc>
      </w:tr>
      <w:tr>
        <w:trPr/>
        <w:tc>
          <w:tcPr>
            <w:tcW w:w="4961" w:type="dxa"/>
            <w:tcBorders/>
          </w:tcPr>
          <w:p>
            <w:pPr>
              <w:pStyle w:val="Normal"/>
              <w:widowControl w:val="false"/>
              <w:rPr>
                <w:b w:val="false"/>
                <w:bCs w:val="false"/>
                <w:sz w:val="24"/>
                <w:szCs w:val="24"/>
              </w:rPr>
            </w:pPr>
            <w:r>
              <w:rPr>
                <w:b w:val="false"/>
                <w:bCs w:val="false"/>
                <w:sz w:val="24"/>
                <w:szCs w:val="24"/>
              </w:rPr>
              <w:t>М.П.</w:t>
            </w:r>
          </w:p>
        </w:tc>
        <w:tc>
          <w:tcPr>
            <w:tcW w:w="8789" w:type="dxa"/>
            <w:tcBorders/>
          </w:tcPr>
          <w:p>
            <w:pPr>
              <w:pStyle w:val="Normal"/>
              <w:widowControl w:val="false"/>
              <w:rPr>
                <w:b w:val="false"/>
                <w:bCs w:val="false"/>
                <w:sz w:val="24"/>
                <w:szCs w:val="24"/>
              </w:rPr>
            </w:pPr>
            <w:r>
              <w:rPr>
                <w:b w:val="false"/>
                <w:bCs w:val="false"/>
                <w:sz w:val="24"/>
                <w:szCs w:val="24"/>
              </w:rPr>
              <w:t>М.П.</w:t>
            </w:r>
          </w:p>
        </w:tc>
      </w:tr>
    </w:tbl>
    <w:p>
      <w:pPr>
        <w:pStyle w:val="Normal"/>
        <w:ind w:left="0"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left="0" w:right="96" w:firstLine="5103"/>
        <w:jc w:val="right"/>
        <w:rPr>
          <w:sz w:val="22"/>
          <w:szCs w:val="22"/>
        </w:rPr>
      </w:pPr>
      <w:r>
        <w:rPr>
          <w:sz w:val="22"/>
          <w:szCs w:val="22"/>
        </w:rPr>
        <w:t>Приложение № 5</w:t>
      </w:r>
    </w:p>
    <w:p>
      <w:pPr>
        <w:pStyle w:val="Normal"/>
        <w:ind w:left="0" w:right="96" w:firstLine="5103"/>
        <w:jc w:val="right"/>
        <w:rPr>
          <w:sz w:val="22"/>
          <w:szCs w:val="22"/>
        </w:rPr>
      </w:pPr>
      <w:r>
        <w:rPr>
          <w:sz w:val="22"/>
          <w:szCs w:val="22"/>
        </w:rPr>
        <w:t>к Договору поставки</w:t>
      </w:r>
    </w:p>
    <w:p>
      <w:pPr>
        <w:pStyle w:val="Normal"/>
        <w:ind w:left="0" w:right="0" w:firstLine="5103"/>
        <w:jc w:val="right"/>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3669"/>
        <w:gridCol w:w="5967"/>
      </w:tblGrid>
      <w:tr>
        <w:trPr/>
        <w:tc>
          <w:tcPr>
            <w:tcW w:w="366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6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6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6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6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6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9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right="0" w:hanging="0"/>
        <w:rPr>
          <w:sz w:val="24"/>
          <w:szCs w:val="24"/>
        </w:rPr>
      </w:pPr>
      <w:r>
        <w:rPr>
          <w:sz w:val="24"/>
          <w:szCs w:val="24"/>
        </w:rPr>
      </w:r>
    </w:p>
    <w:p>
      <w:pPr>
        <w:pStyle w:val="Normal"/>
        <w:ind w:left="5103" w:right="0" w:hanging="0"/>
        <w:rPr>
          <w:sz w:val="24"/>
          <w:szCs w:val="24"/>
        </w:rPr>
      </w:pPr>
      <w:r>
        <w:rPr>
          <w:sz w:val="24"/>
          <w:szCs w:val="24"/>
        </w:rPr>
      </w:r>
    </w:p>
    <w:p>
      <w:pPr>
        <w:pStyle w:val="Normal"/>
        <w:numPr>
          <w:ilvl w:val="0"/>
          <w:numId w:val="0"/>
        </w:numPr>
        <w:ind w:left="0" w:right="0" w:hanging="0"/>
        <w:jc w:val="center"/>
        <w:outlineLvl w:val="0"/>
        <w:rPr>
          <w:b/>
          <w:bCs/>
          <w:sz w:val="24"/>
          <w:szCs w:val="24"/>
        </w:rPr>
      </w:pPr>
      <w:r>
        <w:rPr>
          <w:b/>
          <w:bCs/>
          <w:sz w:val="24"/>
          <w:szCs w:val="24"/>
        </w:rPr>
        <w:t>ПОДПИСИ СТОРОН:</w:t>
      </w:r>
    </w:p>
    <w:p>
      <w:pPr>
        <w:pStyle w:val="Normal"/>
        <w:numPr>
          <w:ilvl w:val="0"/>
          <w:numId w:val="0"/>
        </w:numPr>
        <w:ind w:left="0" w:right="0" w:hanging="0"/>
        <w:jc w:val="center"/>
        <w:outlineLvl w:val="0"/>
        <w:rPr>
          <w:bCs/>
          <w:sz w:val="24"/>
          <w:szCs w:val="24"/>
        </w:rPr>
      </w:pPr>
      <w:r>
        <w:rPr>
          <w:bCs/>
          <w:sz w:val="24"/>
          <w:szCs w:val="24"/>
        </w:rPr>
      </w:r>
    </w:p>
    <w:tbl>
      <w:tblPr>
        <w:tblW w:w="9815"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4"/>
        <w:gridCol w:w="4820"/>
      </w:tblGrid>
      <w:tr>
        <w:trPr/>
        <w:tc>
          <w:tcPr>
            <w:tcW w:w="4994" w:type="dxa"/>
            <w:tcBorders/>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rPr>
                <w:sz w:val="24"/>
                <w:szCs w:val="24"/>
              </w:rPr>
            </w:pPr>
            <w:r>
              <w:rPr>
                <w:sz w:val="24"/>
                <w:szCs w:val="24"/>
              </w:rPr>
            </w:r>
          </w:p>
          <w:p>
            <w:pPr>
              <w:pStyle w:val="Normal"/>
              <w:widowControl w:val="false"/>
              <w:rPr>
                <w:shd w:fill="auto" w:val="clear"/>
              </w:rPr>
            </w:pPr>
            <w:r>
              <w:rPr>
                <w:shd w:fill="auto" w:val="clear"/>
              </w:rPr>
            </w:r>
          </w:p>
          <w:p>
            <w:pPr>
              <w:pStyle w:val="Normal"/>
              <w:widowControl w:val="false"/>
              <w:rPr>
                <w:shd w:fill="auto" w:val="clear"/>
              </w:rPr>
            </w:pPr>
            <w:r>
              <w:rPr>
                <w:sz w:val="24"/>
                <w:szCs w:val="24"/>
                <w:shd w:fill="auto" w:val="clear"/>
              </w:rPr>
              <w:t xml:space="preserve">  </w:t>
            </w:r>
            <w:r>
              <w:rPr>
                <w:sz w:val="24"/>
                <w:szCs w:val="24"/>
                <w:shd w:fill="auto" w:val="clear"/>
              </w:rPr>
              <w:t>____________________</w:t>
            </w:r>
          </w:p>
        </w:tc>
        <w:tc>
          <w:tcPr>
            <w:tcW w:w="4820" w:type="dxa"/>
            <w:tcBorders/>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shd w:fill="auto" w:val="clear"/>
              </w:rPr>
              <w:t xml:space="preserve"> </w:t>
            </w:r>
            <w:r>
              <w:rPr>
                <w:sz w:val="24"/>
                <w:szCs w:val="24"/>
                <w:shd w:fill="auto" w:val="clear"/>
              </w:rPr>
              <w:t>______________________</w:t>
            </w:r>
          </w:p>
        </w:tc>
      </w:tr>
    </w:tbl>
    <w:p>
      <w:pPr>
        <w:pStyle w:val="Normal"/>
        <w:ind w:left="0" w:right="0" w:hanging="0"/>
        <w:rPr>
          <w:b w:val="false"/>
          <w:bCs w:val="false"/>
          <w:sz w:val="24"/>
          <w:szCs w:val="24"/>
        </w:rPr>
      </w:pPr>
      <w:r>
        <w:rPr>
          <w:b w:val="false"/>
          <w:bCs w:val="false"/>
          <w:sz w:val="24"/>
          <w:szCs w:val="24"/>
        </w:rPr>
        <w:t>М.П.                                                                          М.П.</w:t>
      </w:r>
    </w:p>
    <w:p>
      <w:pPr>
        <w:pStyle w:val="Normal"/>
        <w:ind w:left="5103" w:right="0" w:hanging="0"/>
        <w:rPr>
          <w:b/>
          <w:bCs/>
          <w:sz w:val="24"/>
          <w:szCs w:val="24"/>
        </w:rPr>
      </w:pPr>
      <w:r>
        <w:rPr>
          <w:b/>
          <w:bCs/>
          <w:sz w:val="24"/>
          <w:szCs w:val="24"/>
        </w:rPr>
      </w:r>
    </w:p>
    <w:p>
      <w:pPr>
        <w:pStyle w:val="Normal"/>
        <w:ind w:left="5103" w:right="0" w:hanging="0"/>
        <w:rPr>
          <w:b/>
          <w:bCs/>
          <w:sz w:val="24"/>
          <w:szCs w:val="24"/>
        </w:rPr>
      </w:pPr>
      <w:r>
        <w:rPr>
          <w:b/>
          <w:bCs/>
          <w:sz w:val="24"/>
          <w:szCs w:val="24"/>
        </w:rPr>
      </w:r>
    </w:p>
    <w:p>
      <w:pPr>
        <w:pStyle w:val="Normal"/>
        <w:ind w:left="5103" w:right="96" w:hanging="0"/>
        <w:jc w:val="right"/>
        <w:rPr>
          <w:sz w:val="22"/>
          <w:szCs w:val="22"/>
        </w:rPr>
      </w:pPr>
      <w:r>
        <w:rPr>
          <w:sz w:val="22"/>
          <w:szCs w:val="22"/>
        </w:rPr>
      </w:r>
    </w:p>
    <w:p>
      <w:pPr>
        <w:pStyle w:val="Normal"/>
        <w:ind w:left="5103" w:right="96" w:hanging="0"/>
        <w:jc w:val="right"/>
        <w:rPr>
          <w:sz w:val="22"/>
          <w:szCs w:val="22"/>
        </w:rPr>
      </w:pPr>
      <w:r>
        <w:rPr>
          <w:sz w:val="22"/>
          <w:szCs w:val="22"/>
        </w:rPr>
      </w:r>
    </w:p>
    <w:p>
      <w:pPr>
        <w:pStyle w:val="Normal"/>
        <w:ind w:left="5103" w:right="96" w:hanging="0"/>
        <w:jc w:val="right"/>
        <w:rPr>
          <w:highlight w:val="none"/>
          <w:shd w:fill="FFFF00" w:val="clear"/>
        </w:rPr>
      </w:pPr>
      <w:r>
        <w:rPr>
          <w:sz w:val="22"/>
          <w:szCs w:val="22"/>
          <w:shd w:fill="FFFF00" w:val="clear"/>
        </w:rPr>
        <w:t xml:space="preserve">      </w:t>
      </w:r>
    </w:p>
    <w:p>
      <w:pPr>
        <w:pStyle w:val="Normal"/>
        <w:ind w:left="5103" w:right="96" w:hanging="0"/>
        <w:jc w:val="right"/>
        <w:rPr>
          <w:highlight w:val="none"/>
          <w:shd w:fill="FFFFFF" w:val="clear"/>
        </w:rPr>
      </w:pPr>
      <w:r>
        <w:rPr>
          <w:sz w:val="22"/>
          <w:szCs w:val="22"/>
          <w:shd w:fill="FFFFFF" w:val="clear"/>
        </w:rPr>
        <w:t>Приложение № 6</w:t>
      </w:r>
    </w:p>
    <w:p>
      <w:pPr>
        <w:pStyle w:val="Normal"/>
        <w:ind w:left="0" w:right="96" w:firstLine="5103"/>
        <w:jc w:val="right"/>
        <w:rPr>
          <w:highlight w:val="none"/>
          <w:shd w:fill="FFFFFF" w:val="clear"/>
        </w:rPr>
      </w:pPr>
      <w:r>
        <w:rPr>
          <w:sz w:val="22"/>
          <w:szCs w:val="22"/>
          <w:shd w:fill="FFFFFF" w:val="clear"/>
        </w:rPr>
        <w:t>к Договору поставки</w:t>
      </w:r>
    </w:p>
    <w:p>
      <w:pPr>
        <w:pStyle w:val="Normal"/>
        <w:ind w:left="0" w:right="96" w:firstLine="5103"/>
        <w:jc w:val="right"/>
        <w:rPr>
          <w:highlight w:val="none"/>
          <w:shd w:fill="FFFFFF" w:val="clear"/>
        </w:rPr>
      </w:pPr>
      <w:r>
        <w:rPr>
          <w:sz w:val="22"/>
          <w:szCs w:val="22"/>
          <w:shd w:fill="FFFFFF" w:val="clear"/>
        </w:rPr>
        <w:t>от «____» __________ 20 _ г. № ____</w:t>
      </w:r>
    </w:p>
    <w:p>
      <w:pPr>
        <w:pStyle w:val="Normal"/>
        <w:jc w:val="center"/>
        <w:rPr>
          <w:b/>
          <w:sz w:val="24"/>
          <w:szCs w:val="24"/>
          <w:highlight w:val="none"/>
          <w:shd w:fill="FFFFFF" w:val="clear"/>
        </w:rPr>
      </w:pPr>
      <w:r>
        <w:rPr>
          <w:b/>
          <w:sz w:val="24"/>
          <w:szCs w:val="24"/>
          <w:shd w:fill="FFFFFF" w:val="clear"/>
        </w:rPr>
      </w:r>
    </w:p>
    <w:p>
      <w:pPr>
        <w:pStyle w:val="Normal"/>
        <w:jc w:val="center"/>
        <w:rPr>
          <w:highlight w:val="none"/>
          <w:shd w:fill="FFFFFF" w:val="clear"/>
        </w:rPr>
      </w:pPr>
      <w:r>
        <w:rPr>
          <w:b/>
          <w:sz w:val="24"/>
          <w:szCs w:val="24"/>
          <w:shd w:fill="FFFFFF" w:val="clear"/>
        </w:rPr>
        <w:t>Календарный график авансирования.</w:t>
      </w:r>
    </w:p>
    <w:p>
      <w:pPr>
        <w:pStyle w:val="Normal"/>
        <w:rPr>
          <w:sz w:val="24"/>
          <w:szCs w:val="24"/>
          <w:highlight w:val="none"/>
          <w:shd w:fill="FFFFFF" w:val="clear"/>
        </w:rPr>
      </w:pPr>
      <w:r>
        <w:rPr>
          <w:sz w:val="24"/>
          <w:szCs w:val="24"/>
          <w:shd w:fill="FFFFFF" w:val="clear"/>
        </w:rPr>
      </w:r>
    </w:p>
    <w:p>
      <w:pPr>
        <w:pStyle w:val="Normal"/>
        <w:rPr>
          <w:highlight w:val="none"/>
          <w:shd w:fill="FFFFFF" w:val="clear"/>
        </w:rPr>
      </w:pPr>
      <w:r>
        <w:rPr>
          <w:sz w:val="24"/>
          <w:szCs w:val="24"/>
          <w:shd w:fill="FFFFFF" w:val="clear"/>
        </w:rPr>
        <w:t>Таблица 1. Календарный график авансирования.</w:t>
      </w:r>
    </w:p>
    <w:p>
      <w:pPr>
        <w:pStyle w:val="Normal"/>
        <w:rPr>
          <w:sz w:val="24"/>
          <w:szCs w:val="24"/>
          <w:highlight w:val="none"/>
          <w:shd w:fill="FFFFFF" w:val="clear"/>
        </w:rPr>
      </w:pPr>
      <w:r>
        <w:rPr>
          <w:sz w:val="24"/>
          <w:szCs w:val="24"/>
          <w:shd w:fill="FFFFFF" w:val="clear"/>
        </w:rPr>
      </w:r>
    </w:p>
    <w:tbl>
      <w:tblPr>
        <w:tblW w:w="10420" w:type="dxa"/>
        <w:jc w:val="left"/>
        <w:tblInd w:w="-316" w:type="dxa"/>
        <w:tblLayout w:type="fixed"/>
        <w:tblCellMar>
          <w:top w:w="0" w:type="dxa"/>
          <w:left w:w="108" w:type="dxa"/>
          <w:bottom w:w="0" w:type="dxa"/>
          <w:right w:w="108" w:type="dxa"/>
        </w:tblCellMar>
        <w:tblLook w:val="04a0" w:noHBand="0" w:noVBand="1" w:firstColumn="1" w:lastRow="0" w:lastColumn="0" w:firstRow="1"/>
      </w:tblPr>
      <w:tblGrid>
        <w:gridCol w:w="448"/>
        <w:gridCol w:w="1989"/>
        <w:gridCol w:w="1693"/>
        <w:gridCol w:w="1819"/>
        <w:gridCol w:w="1474"/>
        <w:gridCol w:w="1526"/>
        <w:gridCol w:w="1470"/>
      </w:tblGrid>
      <w:tr>
        <w:trPr>
          <w:trHeight w:val="1150" w:hRule="atLeast"/>
        </w:trPr>
        <w:tc>
          <w:tcPr>
            <w:tcW w:w="4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right" w:pos="0" w:leader="none"/>
              </w:tabs>
              <w:jc w:val="center"/>
              <w:rPr>
                <w:b/>
                <w:bCs/>
              </w:rPr>
            </w:pPr>
            <w:r>
              <w:rPr>
                <w:b/>
                <w:bCs/>
                <w:shd w:fill="FFFFFF" w:val="clear"/>
              </w:rPr>
              <w:t xml:space="preserve">№ </w:t>
            </w:r>
            <w:r>
              <w:rPr>
                <w:b/>
                <w:bCs/>
                <w:shd w:fill="FFFFFF" w:val="clear"/>
              </w:rPr>
              <w:t>партии</w:t>
            </w:r>
          </w:p>
        </w:tc>
        <w:tc>
          <w:tcPr>
            <w:tcW w:w="1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hd w:fill="FFFFFF" w:val="clear"/>
              </w:rPr>
              <w:t>Наименование Товара (партии Товара)</w:t>
            </w:r>
          </w:p>
        </w:tc>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hd w:fill="FFFFFF" w:val="clear"/>
              </w:rPr>
              <w:t>Обоснование стоимости, пункт Спецификации</w:t>
            </w:r>
          </w:p>
        </w:tc>
        <w:tc>
          <w:tcPr>
            <w:tcW w:w="18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hd w:fill="FFFFFF" w:val="clear"/>
              </w:rPr>
              <w:t>Дата и условия оплаты аванса</w:t>
            </w:r>
          </w:p>
          <w:p>
            <w:pPr>
              <w:pStyle w:val="Normal"/>
              <w:widowControl w:val="false"/>
              <w:jc w:val="center"/>
              <w:rPr>
                <w:b/>
                <w:bCs/>
                <w:highlight w:val="none"/>
                <w:shd w:fill="FFFFFF" w:val="clear"/>
              </w:rPr>
            </w:pPr>
            <w:r>
              <w:rPr>
                <w:b/>
                <w:bCs/>
                <w:shd w:fill="FFFFFF" w:val="clear"/>
              </w:rPr>
            </w:r>
          </w:p>
        </w:tc>
        <w:tc>
          <w:tcPr>
            <w:tcW w:w="14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hd w:fill="FFFFFF" w:val="clear"/>
              </w:rPr>
              <w:t>Аванс, руб. без НДС</w:t>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hd w:fill="FFFFFF" w:val="clear"/>
              </w:rPr>
              <w:t>Сумма НДС (22%), руб.</w:t>
            </w:r>
          </w:p>
        </w:tc>
        <w:tc>
          <w:tcPr>
            <w:tcW w:w="14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hd w:fill="FFFFFF" w:val="clear"/>
              </w:rPr>
              <w:t xml:space="preserve"> </w:t>
            </w:r>
            <w:r>
              <w:rPr>
                <w:b/>
                <w:bCs/>
                <w:shd w:fill="FFFFFF" w:val="clear"/>
              </w:rPr>
              <w:t>Аванс на  партию, руб. с НДС</w:t>
            </w:r>
          </w:p>
        </w:tc>
      </w:tr>
      <w:tr>
        <w:trPr/>
        <w:tc>
          <w:tcPr>
            <w:tcW w:w="4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shd w:fill="FFFFFF" w:val="clear"/>
              </w:rPr>
            </w:r>
          </w:p>
        </w:tc>
        <w:tc>
          <w:tcPr>
            <w:tcW w:w="1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left"/>
              <w:rPr>
                <w:highlight w:val="none"/>
                <w:shd w:fill="FFFFFF" w:val="clear"/>
              </w:rPr>
            </w:pPr>
            <w:r>
              <w:rPr>
                <w:shd w:fill="FFFFFF" w:val="clear"/>
              </w:rPr>
            </w:r>
          </w:p>
        </w:tc>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FFFFFF" w:val="clear"/>
              </w:rPr>
            </w:pPr>
            <w:r>
              <w:rPr>
                <w:shd w:fill="FFFFFF" w:val="clear"/>
              </w:rPr>
            </w:r>
          </w:p>
        </w:tc>
        <w:tc>
          <w:tcPr>
            <w:tcW w:w="18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highlight w:val="none"/>
                <w:shd w:fill="FFFFFF" w:val="clear"/>
              </w:rPr>
            </w:pPr>
            <w:r>
              <w:rPr>
                <w:shd w:fill="FFFFFF" w:val="clear"/>
              </w:rPr>
            </w:r>
          </w:p>
        </w:tc>
        <w:tc>
          <w:tcPr>
            <w:tcW w:w="14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highlight w:val="none"/>
                <w:shd w:fill="FFFFFF" w:val="clear"/>
              </w:rPr>
            </w:pPr>
            <w:r>
              <w:rPr>
                <w:shd w:fill="FFFFFF" w:val="clear"/>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highlight w:val="none"/>
                <w:shd w:fill="FFFFFF" w:val="clear"/>
              </w:rPr>
            </w:pPr>
            <w:r>
              <w:rPr>
                <w:shd w:fill="FFFFFF" w:val="clear"/>
              </w:rPr>
            </w:r>
          </w:p>
        </w:tc>
        <w:tc>
          <w:tcPr>
            <w:tcW w:w="14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highlight w:val="none"/>
                <w:shd w:fill="FFFFFF" w:val="clear"/>
              </w:rPr>
            </w:pPr>
            <w:r>
              <w:rPr>
                <w:shd w:fill="FFFFFF" w:val="clear"/>
              </w:rPr>
            </w:r>
          </w:p>
        </w:tc>
      </w:tr>
      <w:tr>
        <w:trPr/>
        <w:tc>
          <w:tcPr>
            <w:tcW w:w="4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shd w:fill="FFFFFF" w:val="clear"/>
              </w:rPr>
            </w:r>
          </w:p>
        </w:tc>
        <w:tc>
          <w:tcPr>
            <w:tcW w:w="1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left"/>
              <w:rPr>
                <w:highlight w:val="none"/>
                <w:shd w:fill="FFFFFF" w:val="clear"/>
              </w:rPr>
            </w:pPr>
            <w:r>
              <w:rPr>
                <w:shd w:fill="FFFFFF" w:val="clear"/>
              </w:rPr>
            </w:r>
          </w:p>
        </w:tc>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FFFFFF" w:val="clear"/>
              </w:rPr>
            </w:pPr>
            <w:r>
              <w:rPr>
                <w:shd w:fill="FFFFFF" w:val="clear"/>
              </w:rPr>
            </w:r>
          </w:p>
        </w:tc>
        <w:tc>
          <w:tcPr>
            <w:tcW w:w="18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FFFFFF" w:val="clear"/>
              </w:rPr>
            </w:pPr>
            <w:r>
              <w:rPr>
                <w:shd w:fill="FFFFFF" w:val="clear"/>
              </w:rPr>
            </w:r>
          </w:p>
        </w:tc>
        <w:tc>
          <w:tcPr>
            <w:tcW w:w="14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shd w:fill="FFFFFF" w:val="clear"/>
              </w:rPr>
            </w:r>
          </w:p>
        </w:tc>
        <w:tc>
          <w:tcPr>
            <w:tcW w:w="15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shd w:fill="FFFFFF" w:val="clear"/>
              </w:rPr>
            </w:r>
          </w:p>
        </w:tc>
        <w:tc>
          <w:tcPr>
            <w:tcW w:w="14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highlight w:val="none"/>
                <w:shd w:fill="FFFFFF" w:val="clear"/>
              </w:rPr>
            </w:pPr>
            <w:r>
              <w:rPr>
                <w:shd w:fill="FFFFFF" w:val="clear"/>
              </w:rPr>
            </w:r>
          </w:p>
        </w:tc>
      </w:tr>
      <w:tr>
        <w:trPr/>
        <w:tc>
          <w:tcPr>
            <w:tcW w:w="44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shd w:fill="FFFFFF" w:val="clear"/>
              </w:rPr>
            </w:r>
          </w:p>
        </w:tc>
        <w:tc>
          <w:tcPr>
            <w:tcW w:w="1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left"/>
              <w:rPr>
                <w:highlight w:val="none"/>
                <w:shd w:fill="FFFFFF" w:val="clear"/>
              </w:rPr>
            </w:pPr>
            <w:r>
              <w:rPr>
                <w:shd w:fill="FFFFFF" w:val="clear"/>
              </w:rPr>
            </w:r>
          </w:p>
        </w:tc>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FFFFFF" w:val="clear"/>
              </w:rPr>
            </w:pPr>
            <w:r>
              <w:rPr>
                <w:shd w:fill="FFFFFF" w:val="clear"/>
              </w:rPr>
            </w:r>
          </w:p>
        </w:tc>
        <w:tc>
          <w:tcPr>
            <w:tcW w:w="18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highlight w:val="none"/>
                <w:shd w:fill="FFFFFF" w:val="clear"/>
              </w:rPr>
            </w:pPr>
            <w:r>
              <w:rPr>
                <w:shd w:fill="FFFFFF" w:val="clear"/>
              </w:rPr>
            </w:r>
          </w:p>
        </w:tc>
        <w:tc>
          <w:tcPr>
            <w:tcW w:w="1474" w:type="dxa"/>
            <w:vMerge w:val="restart"/>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pPr>
              <w:pStyle w:val="Normal"/>
              <w:widowControl w:val="false"/>
              <w:jc w:val="center"/>
              <w:rPr>
                <w:sz w:val="20"/>
                <w:szCs w:val="20"/>
                <w:highlight w:val="none"/>
                <w:shd w:fill="FFFFFF" w:val="clear"/>
              </w:rPr>
            </w:pPr>
            <w:r>
              <w:rPr>
                <w:sz w:val="20"/>
                <w:szCs w:val="20"/>
                <w:shd w:fill="FFFFFF" w:val="clear"/>
              </w:rPr>
            </w:r>
          </w:p>
        </w:tc>
        <w:tc>
          <w:tcPr>
            <w:tcW w:w="15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highlight w:val="none"/>
                <w:shd w:fill="FFFFFF" w:val="clear"/>
              </w:rPr>
            </w:pPr>
            <w:r>
              <w:rPr>
                <w:sz w:val="20"/>
                <w:szCs w:val="20"/>
                <w:shd w:fill="FFFFFF" w:val="clear"/>
              </w:rPr>
            </w:r>
          </w:p>
        </w:tc>
        <w:tc>
          <w:tcPr>
            <w:tcW w:w="147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b w:val="false"/>
                <w:bCs w:val="false"/>
                <w:i w:val="false"/>
                <w:i w:val="false"/>
                <w:iCs w:val="false"/>
                <w:strike w:val="false"/>
                <w:dstrike w:val="false"/>
                <w:color w:val="000000"/>
                <w:sz w:val="20"/>
                <w:szCs w:val="20"/>
                <w:highlight w:val="none"/>
                <w:u w:val="none"/>
                <w:shd w:fill="FFFFFF" w:val="clear"/>
              </w:rPr>
            </w:pPr>
            <w:r>
              <w:rPr>
                <w:b w:val="false"/>
                <w:bCs w:val="false"/>
                <w:i w:val="false"/>
                <w:iCs w:val="false"/>
                <w:strike w:val="false"/>
                <w:dstrike w:val="false"/>
                <w:color w:val="000000"/>
                <w:sz w:val="20"/>
                <w:szCs w:val="20"/>
                <w:u w:val="none"/>
                <w:shd w:fill="FFFFFF" w:val="clear"/>
              </w:rPr>
            </w:r>
          </w:p>
        </w:tc>
      </w:tr>
      <w:tr>
        <w:trPr/>
        <w:tc>
          <w:tcPr>
            <w:tcW w:w="4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FFFFFF" w:val="clear"/>
              </w:rPr>
            </w:pPr>
            <w:r>
              <w:rPr>
                <w:shd w:fill="FFFFFF" w:val="clear"/>
              </w:rPr>
            </w:r>
          </w:p>
        </w:tc>
        <w:tc>
          <w:tcPr>
            <w:tcW w:w="1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left"/>
              <w:rPr>
                <w:highlight w:val="none"/>
                <w:shd w:fill="FFFFFF" w:val="clear"/>
              </w:rPr>
            </w:pPr>
            <w:r>
              <w:rPr>
                <w:shd w:fill="FFFFFF" w:val="clear"/>
              </w:rPr>
            </w:r>
          </w:p>
        </w:tc>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FFFFFF" w:val="clear"/>
              </w:rPr>
            </w:pPr>
            <w:r>
              <w:rPr>
                <w:shd w:fill="FFFFFF" w:val="clear"/>
              </w:rPr>
            </w:r>
          </w:p>
        </w:tc>
        <w:tc>
          <w:tcPr>
            <w:tcW w:w="18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FFFFFF" w:val="clear"/>
              </w:rPr>
            </w:pPr>
            <w:r>
              <w:rPr>
                <w:shd w:fill="FFFFFF" w:val="clear"/>
              </w:rPr>
            </w:r>
          </w:p>
        </w:tc>
        <w:tc>
          <w:tcPr>
            <w:tcW w:w="1474" w:type="dxa"/>
            <w:vMerge w:val="continue"/>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pPr>
              <w:pStyle w:val="Normal"/>
              <w:widowControl w:val="false"/>
              <w:jc w:val="center"/>
              <w:rPr>
                <w:highlight w:val="none"/>
                <w:shd w:fill="FFFFFF" w:val="clear"/>
              </w:rPr>
            </w:pPr>
            <w:r>
              <w:rPr>
                <w:shd w:fill="FFFFFF" w:val="clear"/>
              </w:rPr>
            </w:r>
          </w:p>
        </w:tc>
        <w:tc>
          <w:tcPr>
            <w:tcW w:w="15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shd w:fill="FFFFFF" w:val="clear"/>
              </w:rPr>
            </w:r>
          </w:p>
        </w:tc>
        <w:tc>
          <w:tcPr>
            <w:tcW w:w="147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jc w:val="center"/>
              <w:rPr>
                <w:highlight w:val="none"/>
                <w:shd w:fill="FFFFFF" w:val="clear"/>
              </w:rPr>
            </w:pPr>
            <w:r>
              <w:rPr>
                <w:shd w:fill="FFFFFF" w:val="clear"/>
              </w:rPr>
            </w:r>
          </w:p>
        </w:tc>
      </w:tr>
      <w:tr>
        <w:trPr>
          <w:trHeight w:val="1454" w:hRule="atLeast"/>
        </w:trPr>
        <w:tc>
          <w:tcPr>
            <w:tcW w:w="448" w:type="dxa"/>
            <w:tcBorders>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shd w:fill="FFFFFF" w:val="clear"/>
              </w:rPr>
            </w:r>
          </w:p>
        </w:tc>
        <w:tc>
          <w:tcPr>
            <w:tcW w:w="1989" w:type="dxa"/>
            <w:tcBorders>
              <w:left w:val="single" w:sz="4" w:space="0" w:color="000000"/>
              <w:bottom w:val="single" w:sz="4" w:space="0" w:color="000000"/>
              <w:right w:val="single" w:sz="4" w:space="0" w:color="000000"/>
            </w:tcBorders>
            <w:vAlign w:val="center"/>
          </w:tcPr>
          <w:p>
            <w:pPr>
              <w:pStyle w:val="Normal"/>
              <w:widowControl w:val="false"/>
              <w:tabs>
                <w:tab w:val="clear" w:pos="709"/>
              </w:tabs>
              <w:jc w:val="left"/>
              <w:rPr>
                <w:highlight w:val="none"/>
                <w:shd w:fill="FFFFFF" w:val="clear"/>
              </w:rPr>
            </w:pPr>
            <w:r>
              <w:rPr>
                <w:shd w:fill="FFFFFF" w:val="clear"/>
              </w:rPr>
            </w:r>
          </w:p>
        </w:tc>
        <w:tc>
          <w:tcPr>
            <w:tcW w:w="1693" w:type="dxa"/>
            <w:tcBorders>
              <w:left w:val="single" w:sz="4" w:space="0" w:color="000000"/>
              <w:bottom w:val="single" w:sz="4" w:space="0" w:color="000000"/>
              <w:right w:val="single" w:sz="4" w:space="0" w:color="000000"/>
            </w:tcBorders>
            <w:vAlign w:val="center"/>
          </w:tcPr>
          <w:p>
            <w:pPr>
              <w:pStyle w:val="Normal"/>
              <w:widowControl w:val="false"/>
              <w:rPr>
                <w:highlight w:val="none"/>
                <w:shd w:fill="FFFFFF" w:val="clear"/>
              </w:rPr>
            </w:pPr>
            <w:r>
              <w:rPr>
                <w:shd w:fill="FFFFFF" w:val="clear"/>
              </w:rPr>
            </w:r>
          </w:p>
        </w:tc>
        <w:tc>
          <w:tcPr>
            <w:tcW w:w="1819" w:type="dxa"/>
            <w:tcBorders>
              <w:left w:val="single" w:sz="4" w:space="0" w:color="000000"/>
              <w:bottom w:val="single" w:sz="4" w:space="0" w:color="000000"/>
              <w:right w:val="single" w:sz="4" w:space="0" w:color="000000"/>
            </w:tcBorders>
            <w:vAlign w:val="center"/>
          </w:tcPr>
          <w:p>
            <w:pPr>
              <w:pStyle w:val="Normal"/>
              <w:widowControl w:val="false"/>
              <w:jc w:val="left"/>
              <w:rPr>
                <w:highlight w:val="none"/>
                <w:shd w:fill="FFFFFF" w:val="clear"/>
              </w:rPr>
            </w:pPr>
            <w:r>
              <w:rPr>
                <w:shd w:fill="FFFFFF" w:val="clear"/>
              </w:rPr>
            </w:r>
          </w:p>
        </w:tc>
        <w:tc>
          <w:tcPr>
            <w:tcW w:w="1474" w:type="dxa"/>
            <w:tcBorders>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shd w:fill="FFFFFF" w:val="clear"/>
              </w:rPr>
            </w:r>
          </w:p>
        </w:tc>
        <w:tc>
          <w:tcPr>
            <w:tcW w:w="1526" w:type="dxa"/>
            <w:tcBorders>
              <w:left w:val="single" w:sz="4" w:space="0" w:color="000000"/>
              <w:bottom w:val="single" w:sz="4" w:space="0" w:color="000000"/>
              <w:right w:val="single" w:sz="4" w:space="0" w:color="000000"/>
            </w:tcBorders>
            <w:vAlign w:val="center"/>
          </w:tcPr>
          <w:p>
            <w:pPr>
              <w:pStyle w:val="Style22"/>
              <w:widowControl w:val="false"/>
              <w:jc w:val="center"/>
              <w:rPr>
                <w:highlight w:val="none"/>
                <w:shd w:fill="FFFFFF" w:val="clear"/>
              </w:rPr>
            </w:pPr>
            <w:r>
              <w:rPr>
                <w:shd w:fill="FFFFFF" w:val="clear"/>
              </w:rPr>
            </w:r>
          </w:p>
        </w:tc>
        <w:tc>
          <w:tcPr>
            <w:tcW w:w="1470" w:type="dxa"/>
            <w:tcBorders>
              <w:left w:val="single" w:sz="4" w:space="0" w:color="000000"/>
              <w:bottom w:val="single" w:sz="4" w:space="0" w:color="000000"/>
              <w:right w:val="single" w:sz="4" w:space="0" w:color="000000"/>
            </w:tcBorders>
            <w:vAlign w:val="center"/>
          </w:tcPr>
          <w:p>
            <w:pPr>
              <w:pStyle w:val="Style22"/>
              <w:widowControl w:val="false"/>
              <w:jc w:val="center"/>
              <w:rPr>
                <w:highlight w:val="none"/>
                <w:shd w:fill="FFFFFF" w:val="clear"/>
              </w:rPr>
            </w:pPr>
            <w:r>
              <w:rPr>
                <w:shd w:fill="FFFFFF" w:val="clear"/>
              </w:rPr>
            </w:r>
          </w:p>
        </w:tc>
      </w:tr>
      <w:tr>
        <w:trPr>
          <w:trHeight w:val="1377" w:hRule="atLeast"/>
        </w:trPr>
        <w:tc>
          <w:tcPr>
            <w:tcW w:w="448" w:type="dxa"/>
            <w:tcBorders>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shd w:fill="FFFFFF" w:val="clear"/>
              </w:rPr>
            </w:r>
          </w:p>
        </w:tc>
        <w:tc>
          <w:tcPr>
            <w:tcW w:w="1989" w:type="dxa"/>
            <w:tcBorders>
              <w:left w:val="single" w:sz="4" w:space="0" w:color="000000"/>
              <w:bottom w:val="single" w:sz="4" w:space="0" w:color="000000"/>
              <w:right w:val="single" w:sz="4" w:space="0" w:color="000000"/>
            </w:tcBorders>
            <w:vAlign w:val="center"/>
          </w:tcPr>
          <w:p>
            <w:pPr>
              <w:pStyle w:val="Normal"/>
              <w:widowControl w:val="false"/>
              <w:tabs>
                <w:tab w:val="clear" w:pos="709"/>
              </w:tabs>
              <w:jc w:val="left"/>
              <w:rPr>
                <w:highlight w:val="none"/>
                <w:shd w:fill="FFFFFF" w:val="clear"/>
              </w:rPr>
            </w:pPr>
            <w:r>
              <w:rPr>
                <w:shd w:fill="FFFFFF" w:val="clear"/>
              </w:rPr>
            </w:r>
          </w:p>
        </w:tc>
        <w:tc>
          <w:tcPr>
            <w:tcW w:w="1693" w:type="dxa"/>
            <w:tcBorders>
              <w:left w:val="single" w:sz="4" w:space="0" w:color="000000"/>
              <w:bottom w:val="single" w:sz="4" w:space="0" w:color="000000"/>
              <w:right w:val="single" w:sz="4" w:space="0" w:color="000000"/>
            </w:tcBorders>
            <w:vAlign w:val="center"/>
          </w:tcPr>
          <w:p>
            <w:pPr>
              <w:pStyle w:val="Normal"/>
              <w:widowControl w:val="false"/>
              <w:rPr>
                <w:highlight w:val="none"/>
                <w:shd w:fill="FFFFFF" w:val="clear"/>
              </w:rPr>
            </w:pPr>
            <w:r>
              <w:rPr>
                <w:shd w:fill="FFFFFF" w:val="clear"/>
              </w:rPr>
            </w:r>
          </w:p>
        </w:tc>
        <w:tc>
          <w:tcPr>
            <w:tcW w:w="1819" w:type="dxa"/>
            <w:tcBorders>
              <w:left w:val="single" w:sz="4" w:space="0" w:color="000000"/>
              <w:bottom w:val="single" w:sz="4" w:space="0" w:color="000000"/>
              <w:right w:val="single" w:sz="4" w:space="0" w:color="000000"/>
            </w:tcBorders>
            <w:vAlign w:val="center"/>
          </w:tcPr>
          <w:p>
            <w:pPr>
              <w:pStyle w:val="Normal"/>
              <w:widowControl w:val="false"/>
              <w:jc w:val="left"/>
              <w:rPr>
                <w:highlight w:val="none"/>
                <w:shd w:fill="FFFFFF" w:val="clear"/>
              </w:rPr>
            </w:pPr>
            <w:r>
              <w:rPr>
                <w:shd w:fill="FFFFFF" w:val="clear"/>
              </w:rPr>
            </w:r>
          </w:p>
        </w:tc>
        <w:tc>
          <w:tcPr>
            <w:tcW w:w="1474" w:type="dxa"/>
            <w:tcBorders>
              <w:left w:val="single" w:sz="4" w:space="0" w:color="000000"/>
              <w:bottom w:val="single" w:sz="4" w:space="0" w:color="000000"/>
              <w:right w:val="single" w:sz="4" w:space="0" w:color="000000"/>
            </w:tcBorders>
            <w:vAlign w:val="center"/>
          </w:tcPr>
          <w:p>
            <w:pPr>
              <w:pStyle w:val="Style22"/>
              <w:widowControl w:val="false"/>
              <w:jc w:val="center"/>
              <w:rPr>
                <w:highlight w:val="none"/>
                <w:shd w:fill="FFFFFF" w:val="clear"/>
              </w:rPr>
            </w:pPr>
            <w:r>
              <w:rPr>
                <w:shd w:fill="FFFFFF" w:val="clear"/>
              </w:rPr>
            </w:r>
          </w:p>
        </w:tc>
        <w:tc>
          <w:tcPr>
            <w:tcW w:w="1526" w:type="dxa"/>
            <w:tcBorders>
              <w:left w:val="single" w:sz="4" w:space="0" w:color="000000"/>
              <w:bottom w:val="single" w:sz="4" w:space="0" w:color="000000"/>
              <w:right w:val="single" w:sz="4" w:space="0" w:color="000000"/>
            </w:tcBorders>
            <w:vAlign w:val="center"/>
          </w:tcPr>
          <w:p>
            <w:pPr>
              <w:pStyle w:val="Style22"/>
              <w:widowControl w:val="false"/>
              <w:jc w:val="center"/>
              <w:rPr>
                <w:highlight w:val="none"/>
                <w:shd w:fill="FFFFFF" w:val="clear"/>
              </w:rPr>
            </w:pPr>
            <w:r>
              <w:rPr>
                <w:shd w:fill="FFFFFF" w:val="clear"/>
              </w:rPr>
            </w:r>
          </w:p>
        </w:tc>
        <w:tc>
          <w:tcPr>
            <w:tcW w:w="1470" w:type="dxa"/>
            <w:tcBorders>
              <w:left w:val="single" w:sz="4" w:space="0" w:color="000000"/>
              <w:bottom w:val="single" w:sz="4" w:space="0" w:color="000000"/>
              <w:right w:val="single" w:sz="4" w:space="0" w:color="000000"/>
            </w:tcBorders>
            <w:vAlign w:val="center"/>
          </w:tcPr>
          <w:p>
            <w:pPr>
              <w:pStyle w:val="Style22"/>
              <w:widowControl w:val="false"/>
              <w:jc w:val="center"/>
              <w:rPr>
                <w:highlight w:val="none"/>
                <w:shd w:fill="FFFFFF" w:val="clear"/>
              </w:rPr>
            </w:pPr>
            <w:r>
              <w:rPr>
                <w:shd w:fill="FFFFFF" w:val="clear"/>
              </w:rPr>
            </w:r>
          </w:p>
        </w:tc>
      </w:tr>
      <w:tr>
        <w:trPr>
          <w:trHeight w:val="680" w:hRule="atLeast"/>
        </w:trPr>
        <w:tc>
          <w:tcPr>
            <w:tcW w:w="5949" w:type="dxa"/>
            <w:gridSpan w:val="4"/>
            <w:tcBorders>
              <w:left w:val="single" w:sz="4" w:space="0" w:color="000000"/>
              <w:bottom w:val="single" w:sz="4" w:space="0" w:color="000000"/>
              <w:right w:val="single" w:sz="4" w:space="0" w:color="000000"/>
            </w:tcBorders>
            <w:vAlign w:val="center"/>
          </w:tcPr>
          <w:p>
            <w:pPr>
              <w:pStyle w:val="Normal"/>
              <w:widowControl w:val="false"/>
              <w:jc w:val="right"/>
              <w:rPr>
                <w:highlight w:val="none"/>
                <w:shd w:fill="FFFFFF" w:val="clear"/>
              </w:rPr>
            </w:pPr>
            <w:r>
              <w:rPr>
                <w:b/>
                <w:shd w:fill="FFFFFF" w:val="clear"/>
              </w:rPr>
              <w:t>Всего по Договору:</w:t>
            </w:r>
          </w:p>
        </w:tc>
        <w:tc>
          <w:tcPr>
            <w:tcW w:w="1474" w:type="dxa"/>
            <w:tcBorders>
              <w:left w:val="single" w:sz="4" w:space="0" w:color="000000"/>
              <w:bottom w:val="single" w:sz="4" w:space="0" w:color="000000"/>
              <w:right w:val="single" w:sz="4" w:space="0" w:color="000000"/>
            </w:tcBorders>
            <w:vAlign w:val="center"/>
          </w:tcPr>
          <w:p>
            <w:pPr>
              <w:pStyle w:val="Style22"/>
              <w:widowControl w:val="false"/>
              <w:jc w:val="center"/>
              <w:rPr>
                <w:highlight w:val="none"/>
                <w:shd w:fill="FFFFFF" w:val="clear"/>
              </w:rPr>
            </w:pPr>
            <w:r>
              <w:rPr>
                <w:shd w:fill="FFFFFF" w:val="clear"/>
              </w:rPr>
            </w:r>
          </w:p>
        </w:tc>
        <w:tc>
          <w:tcPr>
            <w:tcW w:w="1526" w:type="dxa"/>
            <w:tcBorders>
              <w:left w:val="single" w:sz="4" w:space="0" w:color="000000"/>
              <w:bottom w:val="single" w:sz="4" w:space="0" w:color="000000"/>
              <w:right w:val="single" w:sz="4" w:space="0" w:color="000000"/>
            </w:tcBorders>
            <w:vAlign w:val="center"/>
          </w:tcPr>
          <w:p>
            <w:pPr>
              <w:pStyle w:val="Style22"/>
              <w:widowControl w:val="false"/>
              <w:jc w:val="center"/>
              <w:rPr>
                <w:highlight w:val="none"/>
                <w:shd w:fill="FFFFFF" w:val="clear"/>
              </w:rPr>
            </w:pPr>
            <w:r>
              <w:rPr>
                <w:shd w:fill="FFFFFF" w:val="clear"/>
              </w:rPr>
            </w:r>
          </w:p>
        </w:tc>
        <w:tc>
          <w:tcPr>
            <w:tcW w:w="1470" w:type="dxa"/>
            <w:tcBorders>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shd w:fill="FFFFFF" w:val="clear"/>
              </w:rPr>
            </w:r>
          </w:p>
        </w:tc>
      </w:tr>
    </w:tbl>
    <w:p>
      <w:pPr>
        <w:pStyle w:val="Normal"/>
        <w:rPr>
          <w:highlight w:val="none"/>
          <w:shd w:fill="FFFFFF" w:val="clear"/>
        </w:rPr>
      </w:pPr>
      <w:r>
        <w:rPr>
          <w:shd w:fill="FFFFFF" w:val="clear"/>
        </w:rPr>
      </w:r>
    </w:p>
    <w:p>
      <w:pPr>
        <w:pStyle w:val="Normal"/>
        <w:numPr>
          <w:ilvl w:val="0"/>
          <w:numId w:val="0"/>
        </w:numPr>
        <w:ind w:left="0" w:right="0" w:hanging="0"/>
        <w:jc w:val="center"/>
        <w:outlineLvl w:val="0"/>
        <w:rPr>
          <w:highlight w:val="none"/>
          <w:shd w:fill="FFFFFF" w:val="clear"/>
        </w:rPr>
      </w:pPr>
      <w:r>
        <w:rPr>
          <w:b/>
          <w:bCs/>
          <w:sz w:val="24"/>
          <w:szCs w:val="24"/>
          <w:shd w:fill="FFFFFF" w:val="clear"/>
        </w:rPr>
        <w:t>ПОДПИСИ СТОРОН:</w:t>
      </w:r>
    </w:p>
    <w:p>
      <w:pPr>
        <w:pStyle w:val="Normal"/>
        <w:numPr>
          <w:ilvl w:val="0"/>
          <w:numId w:val="0"/>
        </w:numPr>
        <w:ind w:left="0" w:right="0" w:hanging="0"/>
        <w:jc w:val="center"/>
        <w:outlineLvl w:val="0"/>
        <w:rPr>
          <w:bCs/>
          <w:sz w:val="24"/>
          <w:szCs w:val="24"/>
          <w:highlight w:val="none"/>
          <w:shd w:fill="FFFFFF" w:val="clear"/>
        </w:rPr>
      </w:pPr>
      <w:r>
        <w:rPr>
          <w:bCs/>
          <w:sz w:val="24"/>
          <w:szCs w:val="24"/>
          <w:shd w:fill="FFFFFF" w:val="clear"/>
        </w:rPr>
      </w:r>
    </w:p>
    <w:tbl>
      <w:tblPr>
        <w:tblW w:w="10099"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4"/>
        <w:gridCol w:w="5104"/>
      </w:tblGrid>
      <w:tr>
        <w:trPr/>
        <w:tc>
          <w:tcPr>
            <w:tcW w:w="4994" w:type="dxa"/>
            <w:tcBorders/>
          </w:tcPr>
          <w:p>
            <w:pPr>
              <w:pStyle w:val="Normal"/>
              <w:widowControl w:val="false"/>
              <w:rPr>
                <w:highlight w:val="none"/>
                <w:shd w:fill="FFFFFF" w:val="clear"/>
              </w:rPr>
            </w:pPr>
            <w:r>
              <w:rPr>
                <w:b/>
                <w:sz w:val="24"/>
                <w:szCs w:val="24"/>
                <w:shd w:fill="FFFFFF" w:val="clear"/>
              </w:rPr>
              <w:t>Покупатель:</w:t>
            </w:r>
          </w:p>
          <w:p>
            <w:pPr>
              <w:pStyle w:val="Normal"/>
              <w:widowControl w:val="false"/>
              <w:spacing w:lineRule="auto" w:line="360"/>
              <w:rPr>
                <w:sz w:val="24"/>
                <w:szCs w:val="24"/>
                <w:highlight w:val="none"/>
                <w:shd w:fill="FFFFFF" w:val="clear"/>
              </w:rPr>
            </w:pPr>
            <w:r>
              <w:rPr>
                <w:sz w:val="24"/>
                <w:szCs w:val="24"/>
                <w:shd w:fill="FFFFFF" w:val="clear"/>
              </w:rPr>
            </w:r>
          </w:p>
          <w:p>
            <w:pPr>
              <w:pStyle w:val="Normal"/>
              <w:widowControl w:val="false"/>
              <w:rPr>
                <w:highlight w:val="none"/>
                <w:shd w:fill="FFFFFF" w:val="clear"/>
              </w:rPr>
            </w:pPr>
            <w:r>
              <w:rPr>
                <w:shd w:fill="FFFFFF" w:val="clear"/>
              </w:rPr>
            </w:r>
          </w:p>
          <w:p>
            <w:pPr>
              <w:pStyle w:val="Normal"/>
              <w:widowControl w:val="false"/>
              <w:rPr>
                <w:highlight w:val="none"/>
                <w:shd w:fill="FFFFFF" w:val="clear"/>
              </w:rPr>
            </w:pPr>
            <w:r>
              <w:rPr>
                <w:shd w:fill="FFFFFF" w:val="clear"/>
              </w:rPr>
            </w:r>
          </w:p>
          <w:p>
            <w:pPr>
              <w:pStyle w:val="Normal"/>
              <w:widowControl w:val="false"/>
              <w:rPr>
                <w:highlight w:val="none"/>
                <w:shd w:fill="FFFFFF" w:val="clear"/>
              </w:rPr>
            </w:pPr>
            <w:r>
              <w:rPr>
                <w:sz w:val="24"/>
                <w:szCs w:val="24"/>
                <w:shd w:fill="FFFFFF" w:val="clear"/>
              </w:rPr>
              <w:t xml:space="preserve">  </w:t>
            </w:r>
            <w:r>
              <w:rPr>
                <w:sz w:val="24"/>
                <w:szCs w:val="24"/>
                <w:shd w:fill="FFFFFF" w:val="clear"/>
              </w:rPr>
              <w:t>____________________</w:t>
            </w:r>
          </w:p>
          <w:p>
            <w:pPr>
              <w:pStyle w:val="Normal"/>
              <w:widowControl w:val="false"/>
              <w:rPr>
                <w:highlight w:val="none"/>
                <w:shd w:fill="FFFFFF" w:val="clear"/>
              </w:rPr>
            </w:pPr>
            <w:r>
              <w:rPr>
                <w:shd w:fill="FFFFFF" w:val="clear"/>
              </w:rPr>
            </w:r>
          </w:p>
          <w:p>
            <w:pPr>
              <w:pStyle w:val="Normal"/>
              <w:widowControl w:val="false"/>
              <w:rPr>
                <w:highlight w:val="none"/>
                <w:shd w:fill="FFFFFF" w:val="clear"/>
              </w:rPr>
            </w:pPr>
            <w:r>
              <w:rPr>
                <w:shd w:fill="FFFFFF" w:val="clear"/>
              </w:rPr>
            </w:r>
          </w:p>
          <w:p>
            <w:pPr>
              <w:pStyle w:val="Normal"/>
              <w:widowControl w:val="false"/>
              <w:rPr>
                <w:highlight w:val="none"/>
                <w:shd w:fill="FFFFFF" w:val="clear"/>
              </w:rPr>
            </w:pPr>
            <w:r>
              <w:rPr>
                <w:sz w:val="24"/>
                <w:szCs w:val="24"/>
                <w:shd w:fill="FFFFFF" w:val="clear"/>
              </w:rPr>
              <w:t>М.П.</w:t>
            </w:r>
          </w:p>
        </w:tc>
        <w:tc>
          <w:tcPr>
            <w:tcW w:w="5104" w:type="dxa"/>
            <w:tcBorders/>
          </w:tcPr>
          <w:p>
            <w:pPr>
              <w:pStyle w:val="Normal"/>
              <w:widowControl w:val="false"/>
              <w:rPr>
                <w:highlight w:val="none"/>
                <w:shd w:fill="FFFFFF" w:val="clear"/>
              </w:rPr>
            </w:pPr>
            <w:r>
              <w:rPr>
                <w:b/>
                <w:sz w:val="24"/>
                <w:szCs w:val="24"/>
                <w:shd w:fill="FFFFFF" w:val="clear"/>
              </w:rPr>
              <w:t>Поставщик:</w:t>
            </w:r>
          </w:p>
          <w:p>
            <w:pPr>
              <w:pStyle w:val="Normal"/>
              <w:widowControl w:val="false"/>
              <w:spacing w:lineRule="auto" w:line="360"/>
              <w:rPr>
                <w:sz w:val="24"/>
                <w:szCs w:val="24"/>
                <w:highlight w:val="none"/>
                <w:shd w:fill="FFFFFF" w:val="clear"/>
              </w:rPr>
            </w:pPr>
            <w:r>
              <w:rPr>
                <w:sz w:val="24"/>
                <w:szCs w:val="24"/>
                <w:shd w:fill="FFFFFF" w:val="clear"/>
              </w:rPr>
            </w:r>
          </w:p>
          <w:p>
            <w:pPr>
              <w:pStyle w:val="Normal"/>
              <w:widowControl w:val="false"/>
              <w:spacing w:lineRule="auto" w:line="360"/>
              <w:rPr>
                <w:highlight w:val="none"/>
                <w:shd w:fill="FFFFFF" w:val="clear"/>
              </w:rPr>
            </w:pPr>
            <w:r>
              <w:rPr>
                <w:shd w:fill="FFFFFF" w:val="clear"/>
              </w:rPr>
            </w:r>
          </w:p>
          <w:p>
            <w:pPr>
              <w:pStyle w:val="Normal"/>
              <w:widowControl w:val="false"/>
              <w:spacing w:lineRule="auto" w:line="360"/>
              <w:rPr>
                <w:highlight w:val="none"/>
                <w:shd w:fill="FFFFFF" w:val="clear"/>
              </w:rPr>
            </w:pPr>
            <w:r>
              <w:rPr>
                <w:sz w:val="24"/>
                <w:szCs w:val="24"/>
                <w:shd w:fill="FFFFFF" w:val="clear"/>
              </w:rPr>
              <w:t>________________________</w:t>
            </w:r>
          </w:p>
          <w:p>
            <w:pPr>
              <w:pStyle w:val="Normal"/>
              <w:widowControl w:val="false"/>
              <w:spacing w:lineRule="auto" w:line="360"/>
              <w:rPr>
                <w:sz w:val="24"/>
                <w:szCs w:val="24"/>
                <w:highlight w:val="none"/>
                <w:shd w:fill="FFFFFF" w:val="clear"/>
              </w:rPr>
            </w:pPr>
            <w:r>
              <w:rPr>
                <w:sz w:val="24"/>
                <w:szCs w:val="24"/>
                <w:shd w:fill="FFFFFF" w:val="clear"/>
              </w:rPr>
            </w:r>
          </w:p>
          <w:p>
            <w:pPr>
              <w:pStyle w:val="Normal"/>
              <w:widowControl w:val="false"/>
              <w:spacing w:lineRule="auto" w:line="360"/>
              <w:rPr>
                <w:highlight w:val="none"/>
                <w:shd w:fill="FFFFFF" w:val="clear"/>
              </w:rPr>
            </w:pPr>
            <w:r>
              <w:rPr>
                <w:sz w:val="24"/>
                <w:szCs w:val="24"/>
                <w:shd w:fill="FFFFFF" w:val="clear"/>
              </w:rPr>
              <w:t>М.П.</w:t>
            </w:r>
          </w:p>
        </w:tc>
      </w:tr>
    </w:tbl>
    <w:p>
      <w:pPr>
        <w:pStyle w:val="Normal"/>
        <w:ind w:left="0" w:right="96" w:firstLine="6237"/>
        <w:rPr>
          <w:highlight w:val="none"/>
          <w:shd w:fill="FFFFFF" w:val="clear"/>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567" w:top="1134" w:footer="710" w:bottom="93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roman"/>
    <w:pitch w:val="variable"/>
  </w:font>
  <w:font w:name="Cambria">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27</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8"/>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8"/>
        </w:rPr>
        <w:footnoteRef/>
      </w:r>
      <w:r>
        <w:rPr/>
        <w:t xml:space="preserve"> </w:t>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pPr>
        <w:pStyle w:val="FootnoteText"/>
        <w:jc w:val="both"/>
        <w:rPr>
          <w:highlight w:val="none"/>
          <w:shd w:fill="FFFFFF" w:val="clear"/>
        </w:rPr>
      </w:pPr>
      <w:r>
        <w:rPr>
          <w:rStyle w:val="Style8"/>
        </w:rPr>
        <w:footnoteRef/>
      </w:r>
      <w:r>
        <w:rPr>
          <w:shd w:fill="FFFFFF" w:val="clear"/>
        </w:rPr>
        <w:t xml:space="preserve"> </w:t>
      </w:r>
      <w:r>
        <w:rPr>
          <w:shd w:fill="FFFFFF" w:val="clear"/>
        </w:rPr>
        <w:t>Включается в Договор в случае, если перемещение Товара осуществляется Поставщиком до подписания Сторонами формы УПД.</w:t>
      </w:r>
    </w:p>
  </w:footnote>
  <w:footnote w:id="5">
    <w:p>
      <w:pPr>
        <w:pStyle w:val="FootnoteText"/>
        <w:jc w:val="both"/>
        <w:rPr/>
      </w:pPr>
      <w:r>
        <w:rPr>
          <w:rStyle w:val="Style8"/>
        </w:rPr>
        <w:footnoteRef/>
      </w:r>
      <w:r>
        <w:rPr/>
        <w:t xml:space="preserve"> </w:t>
      </w:r>
      <w:r>
        <w:rPr/>
        <w:t>В случае непредоставления новой Банковской гарантии возврата авансового платежа.</w:t>
      </w:r>
    </w:p>
  </w:footnote>
  <w:footnote w:id="6">
    <w:p>
      <w:pPr>
        <w:pStyle w:val="FootnoteText"/>
        <w:jc w:val="both"/>
        <w:rPr>
          <w:highlight w:val="none"/>
          <w:shd w:fill="FFFFFF" w:val="clear"/>
        </w:rPr>
      </w:pPr>
      <w:r>
        <w:rPr>
          <w:rStyle w:val="Style8"/>
        </w:rPr>
        <w:footnoteRef/>
      </w:r>
      <w:r>
        <w:rPr>
          <w:shd w:fill="FFFFFF" w:val="clear"/>
        </w:rPr>
        <w:t xml:space="preserve"> </w:t>
      </w:r>
      <w:r>
        <w:rPr>
          <w:shd w:fill="FFFFFF" w:val="clear"/>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7">
    <w:p>
      <w:pPr>
        <w:pStyle w:val="FootnoteText"/>
        <w:jc w:val="both"/>
        <w:rPr/>
      </w:pPr>
      <w:r>
        <w:rPr>
          <w:rStyle w:val="Style8"/>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8">
    <w:p>
      <w:pPr>
        <w:pStyle w:val="FootnoteText"/>
        <w:jc w:val="both"/>
        <w:rPr/>
      </w:pPr>
      <w:r>
        <w:rPr>
          <w:rStyle w:val="Style8"/>
        </w:rPr>
        <w:footnoteRef/>
      </w:r>
      <w:r>
        <w:rPr/>
        <w:t xml:space="preserve"> </w:t>
      </w:r>
      <w:r>
        <w:rPr/>
        <w:t>Актуальный Перечень Банков-Гарантов Группы РусГидро размещен на официальном сайте Общества http://zakupki.rushydro.ru/PublicContent/Section/6</w:t>
      </w:r>
    </w:p>
  </w:footnote>
  <w:footnote w:id="9">
    <w:p>
      <w:pPr>
        <w:pStyle w:val="FootnoteText"/>
        <w:jc w:val="both"/>
        <w:rPr/>
      </w:pPr>
      <w:r>
        <w:rPr>
          <w:rStyle w:val="Style8"/>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0">
    <w:p>
      <w:pPr>
        <w:pStyle w:val="FootnoteText"/>
        <w:jc w:val="both"/>
        <w:rPr/>
      </w:pPr>
      <w:r>
        <w:rPr>
          <w:rStyle w:val="Style8"/>
        </w:rPr>
        <w:footnoteRef/>
      </w:r>
      <w:r>
        <w:rPr/>
        <w:t xml:space="preserve"> </w:t>
      </w:r>
      <w:r>
        <w:rPr/>
        <w:t>Данное требование не применяется в отношении небанковских кредитных организаций.</w:t>
      </w:r>
    </w:p>
  </w:footnote>
  <w:footnote w:id="11">
    <w:p>
      <w:pPr>
        <w:pStyle w:val="FootnoteText"/>
        <w:jc w:val="both"/>
        <w:rPr/>
      </w:pPr>
      <w:r>
        <w:rPr>
          <w:rStyle w:val="Style8"/>
        </w:rPr>
        <w:footnoteRef/>
      </w:r>
      <w:r>
        <w:rPr/>
        <w:t xml:space="preserve"> </w:t>
      </w:r>
      <w:r>
        <w:rPr/>
        <w:t>При издании ПО организационно-распорядительного документа о ТФУ данный критерий может быть исключен.</w:t>
      </w:r>
    </w:p>
  </w:footnote>
  <w:footnote w:id="12">
    <w:p>
      <w:pPr>
        <w:pStyle w:val="FootnoteText"/>
        <w:jc w:val="both"/>
        <w:rPr/>
      </w:pPr>
      <w:r>
        <w:rPr>
          <w:rStyle w:val="Style8"/>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3">
    <w:p>
      <w:pPr>
        <w:pStyle w:val="FootnoteText"/>
        <w:jc w:val="both"/>
        <w:rPr/>
      </w:pPr>
      <w:r>
        <w:rPr>
          <w:rStyle w:val="Style8"/>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Normal"/>
      <w:tabs>
        <w:tab w:val="clear" w:pos="709"/>
        <w:tab w:val="left" w:pos="1875" w:leader="none"/>
        <w:tab w:val="center" w:pos="4153" w:leader="none"/>
        <w:tab w:val="right" w:pos="8306" w:leader="none"/>
      </w:tabs>
      <w:rPr>
        <w:i/>
        <w:i/>
      </w:rPr>
    </w:pPr>
    <w:r>
      <w:rPr>
        <w:i/>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2">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4"/>
  <w:defaultTabStop w:val="709"/>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Arial Unicode MS"/>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false"/>
      <w:bidi w:val="0"/>
      <w:spacing w:before="0" w:after="0"/>
      <w:jc w:val="left"/>
    </w:pPr>
    <w:rPr>
      <w:rFonts w:ascii="Times New Roman" w:hAnsi="Times New Roman" w:eastAsia="Noto Serif CJK SC" w:cs="Arial Unicode MS"/>
      <w:color w:val="auto"/>
      <w:kern w:val="0"/>
      <w:sz w:val="20"/>
      <w:szCs w:val="20"/>
      <w:lang w:val="ru-RU" w:eastAsia="ru-RU" w:bidi="ar-SA"/>
    </w:rPr>
  </w:style>
  <w:style w:type="paragraph" w:styleId="Heading1">
    <w:name w:val="Heading 1"/>
    <w:basedOn w:val="Normal"/>
    <w:next w:val="Normal"/>
    <w:qFormat/>
    <w:pPr>
      <w:keepNext w:val="true"/>
      <w:numPr>
        <w:ilvl w:val="0"/>
        <w:numId w:val="0"/>
      </w:numPr>
      <w:spacing w:before="240" w:after="60"/>
      <w:outlineLvl w:val="0"/>
    </w:pPr>
    <w:rPr>
      <w:rFonts w:ascii="Arial" w:hAnsi="Arial" w:cs="Arial"/>
      <w:b/>
      <w:bCs/>
      <w:sz w:val="32"/>
      <w:szCs w:val="32"/>
    </w:rPr>
  </w:style>
  <w:style w:type="paragraph" w:styleId="Heading2">
    <w:name w:val="Heading 2"/>
    <w:basedOn w:val="Normal"/>
    <w:next w:val="Normal"/>
    <w:link w:val="Heading2Char"/>
    <w:qFormat/>
    <w:pPr>
      <w:keepNext w:val="true"/>
      <w:keepLines/>
      <w:numPr>
        <w:ilvl w:val="0"/>
        <w:numId w:val="0"/>
      </w:numPr>
      <w:spacing w:before="360" w:after="200"/>
      <w:outlineLvl w:val="1"/>
    </w:pPr>
    <w:rPr>
      <w:rFonts w:ascii="Liberation Sans" w:hAnsi="Liberation Sans" w:eastAsia="Liberation Sans" w:cs="Liberation Sans"/>
      <w:sz w:val="34"/>
    </w:rPr>
  </w:style>
  <w:style w:type="paragraph" w:styleId="Heading3">
    <w:name w:val="Heading 3"/>
    <w:basedOn w:val="Normal"/>
    <w:next w:val="Normal"/>
    <w:link w:val="31"/>
    <w:qFormat/>
    <w:pPr>
      <w:keepNext w:val="true"/>
      <w:keepLines/>
      <w:numPr>
        <w:ilvl w:val="0"/>
        <w:numId w:val="0"/>
      </w:numPr>
      <w:spacing w:before="200" w:after="0"/>
      <w:outlineLvl w:val="2"/>
    </w:pPr>
    <w:rPr>
      <w:rFonts w:ascii="Cambria" w:hAnsi="Cambria"/>
      <w:b/>
      <w:bCs/>
      <w:color w:val="4F81BD"/>
    </w:rPr>
  </w:style>
  <w:style w:type="paragraph" w:styleId="Heading4">
    <w:name w:val="Heading 4"/>
    <w:basedOn w:val="Normal"/>
    <w:next w:val="Normal"/>
    <w:link w:val="Heading4Char"/>
    <w:qFormat/>
    <w:pPr>
      <w:keepNext w:val="true"/>
      <w:keepLines/>
      <w:numPr>
        <w:ilvl w:val="0"/>
        <w:numId w:val="0"/>
      </w:numPr>
      <w:spacing w:before="320" w:after="200"/>
      <w:outlineLvl w:val="3"/>
    </w:pPr>
    <w:rPr>
      <w:rFonts w:ascii="Liberation Sans" w:hAnsi="Liberation Sans" w:eastAsia="Liberation Sans" w:cs="Liberation Sans"/>
      <w:b/>
      <w:bCs/>
      <w:sz w:val="26"/>
      <w:szCs w:val="26"/>
    </w:rPr>
  </w:style>
  <w:style w:type="paragraph" w:styleId="Heading5">
    <w:name w:val="Heading 5"/>
    <w:basedOn w:val="Normal"/>
    <w:next w:val="Normal"/>
    <w:link w:val="Heading5Char"/>
    <w:qFormat/>
    <w:pPr>
      <w:keepNext w:val="true"/>
      <w:keepLines/>
      <w:numPr>
        <w:ilvl w:val="0"/>
        <w:numId w:val="0"/>
      </w:numPr>
      <w:spacing w:before="320" w:after="200"/>
      <w:outlineLvl w:val="4"/>
    </w:pPr>
    <w:rPr>
      <w:rFonts w:ascii="Liberation Sans" w:hAnsi="Liberation Sans" w:eastAsia="Liberation Sans" w:cs="Liberation Sans"/>
      <w:b/>
      <w:bCs/>
      <w:sz w:val="24"/>
      <w:szCs w:val="24"/>
    </w:rPr>
  </w:style>
  <w:style w:type="paragraph" w:styleId="Heading6">
    <w:name w:val="Heading 6"/>
    <w:basedOn w:val="Normal"/>
    <w:next w:val="Normal"/>
    <w:link w:val="Heading6Char"/>
    <w:qFormat/>
    <w:pPr>
      <w:keepNext w:val="true"/>
      <w:keepLines/>
      <w:numPr>
        <w:ilvl w:val="0"/>
        <w:numId w:val="0"/>
      </w:numPr>
      <w:spacing w:before="320" w:after="200"/>
      <w:outlineLvl w:val="5"/>
    </w:pPr>
    <w:rPr>
      <w:rFonts w:ascii="Liberation Sans" w:hAnsi="Liberation Sans" w:eastAsia="Liberation Sans" w:cs="Liberation Sans"/>
      <w:b/>
      <w:bCs/>
      <w:sz w:val="22"/>
      <w:szCs w:val="22"/>
    </w:rPr>
  </w:style>
  <w:style w:type="paragraph" w:styleId="Heading7">
    <w:name w:val="Heading 7"/>
    <w:basedOn w:val="Normal"/>
    <w:next w:val="Normal"/>
    <w:link w:val="Heading7Char"/>
    <w:qFormat/>
    <w:pPr>
      <w:keepNext w:val="true"/>
      <w:keepLines/>
      <w:numPr>
        <w:ilvl w:val="0"/>
        <w:numId w:val="0"/>
      </w:numPr>
      <w:spacing w:before="320" w:after="200"/>
      <w:outlineLvl w:val="6"/>
    </w:pPr>
    <w:rPr>
      <w:rFonts w:ascii="Liberation Sans" w:hAnsi="Liberation Sans" w:eastAsia="Liberation Sans" w:cs="Liberation Sans"/>
      <w:b/>
      <w:bCs/>
      <w:i/>
      <w:iCs/>
      <w:sz w:val="22"/>
      <w:szCs w:val="22"/>
    </w:rPr>
  </w:style>
  <w:style w:type="paragraph" w:styleId="Heading8">
    <w:name w:val="Heading 8"/>
    <w:basedOn w:val="Normal"/>
    <w:next w:val="Normal"/>
    <w:link w:val="Heading8Char"/>
    <w:qFormat/>
    <w:pPr>
      <w:keepNext w:val="true"/>
      <w:keepLines/>
      <w:numPr>
        <w:ilvl w:val="0"/>
        <w:numId w:val="0"/>
      </w:numPr>
      <w:spacing w:before="320" w:after="200"/>
      <w:outlineLvl w:val="7"/>
    </w:pPr>
    <w:rPr>
      <w:rFonts w:ascii="Liberation Sans" w:hAnsi="Liberation Sans" w:eastAsia="Liberation Sans" w:cs="Liberation Sans"/>
      <w:i/>
      <w:iCs/>
      <w:sz w:val="22"/>
      <w:szCs w:val="22"/>
    </w:rPr>
  </w:style>
  <w:style w:type="paragraph" w:styleId="Heading9">
    <w:name w:val="Heading 9"/>
    <w:basedOn w:val="Normal"/>
    <w:next w:val="Normal"/>
    <w:link w:val="Heading9Char"/>
    <w:qFormat/>
    <w:pPr>
      <w:keepNext w:val="true"/>
      <w:keepLines/>
      <w:numPr>
        <w:ilvl w:val="0"/>
        <w:numId w:val="0"/>
      </w:numPr>
      <w:spacing w:before="320" w:after="200"/>
      <w:outlineLvl w:val="8"/>
    </w:pPr>
    <w:rPr>
      <w:rFonts w:ascii="Liberation Sans" w:hAnsi="Liberation Sans" w:eastAsia="Liberation Sans" w:cs="Liberation Sans"/>
      <w:i/>
      <w:iCs/>
      <w:sz w:val="21"/>
      <w:szCs w:val="21"/>
    </w:rPr>
  </w:style>
  <w:style w:type="character" w:styleId="Heading1Char">
    <w:name w:val="Heading 1 Char"/>
    <w:basedOn w:val="DefaultParagraphFont"/>
    <w:qFormat/>
    <w:rPr>
      <w:rFonts w:ascii="Liberation Sans" w:hAnsi="Liberation Sans" w:eastAsia="Liberation Sans" w:cs="Liberation Sans"/>
      <w:sz w:val="40"/>
      <w:szCs w:val="40"/>
    </w:rPr>
  </w:style>
  <w:style w:type="character" w:styleId="Heading2Char">
    <w:name w:val="Heading 2 Char"/>
    <w:basedOn w:val="DefaultParagraphFont"/>
    <w:qFormat/>
    <w:rPr>
      <w:rFonts w:ascii="Liberation Sans" w:hAnsi="Liberation Sans" w:eastAsia="Liberation Sans" w:cs="Liberation Sans"/>
      <w:sz w:val="34"/>
    </w:rPr>
  </w:style>
  <w:style w:type="character" w:styleId="Heading3Char">
    <w:name w:val="Heading 3 Char"/>
    <w:basedOn w:val="DefaultParagraphFont"/>
    <w:qFormat/>
    <w:rPr>
      <w:rFonts w:ascii="Liberation Sans" w:hAnsi="Liberation Sans" w:eastAsia="Liberation Sans" w:cs="Liberation Sans"/>
      <w:sz w:val="30"/>
      <w:szCs w:val="30"/>
    </w:rPr>
  </w:style>
  <w:style w:type="character" w:styleId="Heading4Char">
    <w:name w:val="Heading 4 Char"/>
    <w:basedOn w:val="DefaultParagraphFont"/>
    <w:qFormat/>
    <w:rPr>
      <w:rFonts w:ascii="Liberation Sans" w:hAnsi="Liberation Sans" w:eastAsia="Liberation Sans" w:cs="Liberation Sans"/>
      <w:b/>
      <w:bCs/>
      <w:sz w:val="26"/>
      <w:szCs w:val="26"/>
    </w:rPr>
  </w:style>
  <w:style w:type="character" w:styleId="Heading5Char">
    <w:name w:val="Heading 5 Char"/>
    <w:basedOn w:val="DefaultParagraphFont"/>
    <w:qFormat/>
    <w:rPr>
      <w:rFonts w:ascii="Liberation Sans" w:hAnsi="Liberation Sans" w:eastAsia="Liberation Sans" w:cs="Liberation Sans"/>
      <w:b/>
      <w:bCs/>
      <w:sz w:val="24"/>
      <w:szCs w:val="24"/>
    </w:rPr>
  </w:style>
  <w:style w:type="character" w:styleId="Heading6Char">
    <w:name w:val="Heading 6 Char"/>
    <w:basedOn w:val="DefaultParagraphFont"/>
    <w:qFormat/>
    <w:rPr>
      <w:rFonts w:ascii="Liberation Sans" w:hAnsi="Liberation Sans" w:eastAsia="Liberation Sans" w:cs="Liberation Sans"/>
      <w:b/>
      <w:bCs/>
      <w:sz w:val="22"/>
      <w:szCs w:val="22"/>
    </w:rPr>
  </w:style>
  <w:style w:type="character" w:styleId="Heading7Char">
    <w:name w:val="Heading 7 Char"/>
    <w:basedOn w:val="DefaultParagraphFont"/>
    <w:qFormat/>
    <w:rPr>
      <w:rFonts w:ascii="Liberation Sans" w:hAnsi="Liberation Sans" w:eastAsia="Liberation Sans" w:cs="Liberation Sans"/>
      <w:b/>
      <w:bCs/>
      <w:i/>
      <w:iCs/>
      <w:sz w:val="22"/>
      <w:szCs w:val="22"/>
    </w:rPr>
  </w:style>
  <w:style w:type="character" w:styleId="Heading8Char">
    <w:name w:val="Heading 8 Char"/>
    <w:basedOn w:val="DefaultParagraphFont"/>
    <w:qFormat/>
    <w:rPr>
      <w:rFonts w:ascii="Liberation Sans" w:hAnsi="Liberation Sans" w:eastAsia="Liberation Sans" w:cs="Liberation Sans"/>
      <w:i/>
      <w:iCs/>
      <w:sz w:val="22"/>
      <w:szCs w:val="22"/>
    </w:rPr>
  </w:style>
  <w:style w:type="character" w:styleId="Heading9Char">
    <w:name w:val="Heading 9 Char"/>
    <w:basedOn w:val="DefaultParagraphFont"/>
    <w:qFormat/>
    <w:rPr>
      <w:rFonts w:ascii="Liberation Sans" w:hAnsi="Liberation Sans" w:eastAsia="Liberation Sans" w:cs="Liberation Sans"/>
      <w:i/>
      <w:iCs/>
      <w:sz w:val="21"/>
      <w:szCs w:val="21"/>
    </w:rPr>
  </w:style>
  <w:style w:type="character" w:styleId="TitleChar">
    <w:name w:val="Title Char"/>
    <w:basedOn w:val="DefaultParagraphFont"/>
    <w:qFormat/>
    <w:rPr>
      <w:sz w:val="48"/>
      <w:szCs w:val="48"/>
    </w:rPr>
  </w:style>
  <w:style w:type="character" w:styleId="SubtitleChar">
    <w:name w:val="Subtitle Char"/>
    <w:basedOn w:val="DefaultParagraphFont"/>
    <w:qFormat/>
    <w:rPr>
      <w:sz w:val="24"/>
      <w:szCs w:val="24"/>
    </w:rPr>
  </w:style>
  <w:style w:type="character" w:styleId="QuoteChar">
    <w:name w:val="Quote Char"/>
    <w:link w:val="Quote"/>
    <w:qFormat/>
    <w:rPr>
      <w:i/>
    </w:rPr>
  </w:style>
  <w:style w:type="character" w:styleId="IntenseQuoteChar">
    <w:name w:val="Intense Quote Char"/>
    <w:link w:val="IntenseQuote"/>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basedOn w:val="DefaultParagraphFont"/>
    <w:qFormat/>
    <w:rPr>
      <w:b/>
      <w:bCs/>
      <w:color w:val="4F81BD"/>
      <w:sz w:val="18"/>
      <w:szCs w:val="18"/>
    </w:rPr>
  </w:style>
  <w:style w:type="character" w:styleId="FootnoteTextChar">
    <w:name w:val="Footnote Text Char"/>
    <w:qFormat/>
    <w:rPr>
      <w:sz w:val="18"/>
    </w:rPr>
  </w:style>
  <w:style w:type="character" w:styleId="EndnoteTextChar">
    <w:name w:val="Endnote Text Char"/>
    <w:qFormat/>
    <w:rPr>
      <w:sz w:val="20"/>
    </w:rPr>
  </w:style>
  <w:style w:type="character" w:styleId="Style">
    <w:name w:val="Символ концевой сноски"/>
    <w:basedOn w:val="DefaultParagraphFont"/>
    <w:qFormat/>
    <w:rPr>
      <w:vertAlign w:val="superscript"/>
    </w:rPr>
  </w:style>
  <w:style w:type="character" w:styleId="EndnoteReference">
    <w:name w:val="Endnote Reference"/>
    <w:rPr>
      <w:vertAlign w:val="superscript"/>
    </w:rPr>
  </w:style>
  <w:style w:type="character" w:styleId="DefaultParagraphFont" w:default="1">
    <w:name w:val="Default Paragraph Font"/>
    <w:qFormat/>
    <w:rPr/>
  </w:style>
  <w:style w:type="character" w:styleId="Style1">
    <w:name w:val="Заголовок Знак"/>
    <w:qFormat/>
    <w:rPr>
      <w:b/>
      <w:bCs/>
      <w:sz w:val="24"/>
      <w:szCs w:val="24"/>
      <w:lang w:val="ru-RU" w:eastAsia="ru-RU" w:bidi="ar-SA"/>
    </w:rPr>
  </w:style>
  <w:style w:type="character" w:styleId="Style2">
    <w:name w:val="Основной текст Знак"/>
    <w:qFormat/>
    <w:rPr>
      <w:lang w:val="ru-RU" w:eastAsia="ru-RU" w:bidi="ar-SA"/>
    </w:rPr>
  </w:style>
  <w:style w:type="character" w:styleId="Pagenumber">
    <w:name w:val="page number"/>
    <w:basedOn w:val="DefaultParagraphFont"/>
    <w:qFormat/>
    <w:rPr/>
  </w:style>
  <w:style w:type="character" w:styleId="3">
    <w:name w:val="Основной текст 3 Знак"/>
    <w:link w:val="BodyText3"/>
    <w:qFormat/>
    <w:rPr>
      <w:sz w:val="16"/>
      <w:szCs w:val="16"/>
    </w:rPr>
  </w:style>
  <w:style w:type="character" w:styleId="Annotationreference">
    <w:name w:val="annotation reference"/>
    <w:qFormat/>
    <w:rPr>
      <w:sz w:val="16"/>
      <w:szCs w:val="16"/>
    </w:rPr>
  </w:style>
  <w:style w:type="character" w:styleId="Style3">
    <w:name w:val="Текст примечания Знак"/>
    <w:basedOn w:val="DefaultParagraphFont"/>
    <w:link w:val="Annotationtext"/>
    <w:qFormat/>
    <w:rPr/>
  </w:style>
  <w:style w:type="character" w:styleId="Style4">
    <w:name w:val="Тема примечания Знак"/>
    <w:link w:val="Annotationsubject"/>
    <w:qFormat/>
    <w:rPr>
      <w:b/>
      <w:bCs/>
    </w:rPr>
  </w:style>
  <w:style w:type="character" w:styleId="31">
    <w:name w:val="Заголовок 3 Знак"/>
    <w:qFormat/>
    <w:rPr>
      <w:rFonts w:ascii="Cambria" w:hAnsi="Cambria" w:eastAsia="Times New Roman" w:cs="Times New Roman"/>
      <w:b/>
      <w:bCs/>
      <w:color w:val="4F81BD"/>
    </w:rPr>
  </w:style>
  <w:style w:type="character" w:styleId="Style5">
    <w:name w:val="Основной текст с отступом Знак"/>
    <w:basedOn w:val="DefaultParagraphFont"/>
    <w:qFormat/>
    <w:rPr/>
  </w:style>
  <w:style w:type="character" w:styleId="Style6">
    <w:name w:val="комментарий"/>
    <w:qFormat/>
    <w:rPr>
      <w:rFonts w:cs="Times New Roman"/>
      <w:b/>
      <w:bCs/>
      <w:i/>
      <w:iCs/>
      <w:shd w:fill="FFFF99" w:val="clear"/>
    </w:rPr>
  </w:style>
  <w:style w:type="character" w:styleId="Style7">
    <w:name w:val="Текст сноски Знак"/>
    <w:basedOn w:val="DefaultParagraphFont"/>
    <w:qFormat/>
    <w:rPr/>
  </w:style>
  <w:style w:type="character" w:styleId="Style8">
    <w:name w:val="Символ сноски"/>
    <w:qFormat/>
    <w:rPr>
      <w:vertAlign w:val="superscript"/>
    </w:rPr>
  </w:style>
  <w:style w:type="character" w:styleId="FootnoteReference">
    <w:name w:val="Footnote Reference"/>
    <w:rPr>
      <w:vertAlign w:val="superscript"/>
    </w:rPr>
  </w:style>
  <w:style w:type="character" w:styleId="Style9">
    <w:name w:val="Верхний колонтитул Знак"/>
    <w:basedOn w:val="DefaultParagraphFont"/>
    <w:qFormat/>
    <w:rPr/>
  </w:style>
  <w:style w:type="character" w:styleId="Hyperlink">
    <w:name w:val="Hyperlink"/>
    <w:rPr>
      <w:color w:val="0000FF"/>
      <w:u w:val="single"/>
    </w:rPr>
  </w:style>
  <w:style w:type="character" w:styleId="Style10">
    <w:name w:val="Нижний колонтитул Знак"/>
    <w:qFormat/>
    <w:rPr/>
  </w:style>
  <w:style w:type="character" w:styleId="Style11">
    <w:name w:val="Абзац списка Знак"/>
    <w:link w:val="ListParagraph"/>
    <w:qFormat/>
    <w:rPr/>
  </w:style>
  <w:style w:type="character" w:styleId="LineNumber">
    <w:name w:val="Line Number"/>
    <w:rPr/>
  </w:style>
  <w:style w:type="character" w:styleId="FollowedHyperlink">
    <w:name w:val="FollowedHyperlink"/>
    <w:rPr>
      <w:color w:val="800000"/>
      <w:u w:val="single"/>
    </w:rPr>
  </w:style>
  <w:style w:type="character" w:styleId="Strong">
    <w:name w:val="Strong"/>
    <w:qFormat/>
    <w:rPr>
      <w:b/>
      <w:bCs/>
    </w:rPr>
  </w:style>
  <w:style w:type="character" w:styleId="Style12">
    <w:name w:val="Символ нумерации"/>
    <w:qFormat/>
    <w:rPr/>
  </w:style>
  <w:style w:type="character" w:styleId="Style13">
    <w:name w:val="Знак сноски"/>
    <w:qFormat/>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2"/>
    <w:pPr>
      <w:spacing w:before="0" w:after="120"/>
    </w:pPr>
    <w:rPr/>
  </w:style>
  <w:style w:type="paragraph" w:styleId="List">
    <w:name w:val="List"/>
    <w:basedOn w:val="BodyText"/>
    <w:pPr/>
    <w:rPr>
      <w:rFonts w:cs="Arial Unicode MS"/>
    </w:rPr>
  </w:style>
  <w:style w:type="paragraph" w:styleId="Caption">
    <w:name w:val="Caption"/>
    <w:basedOn w:val="Normal"/>
    <w:next w:val="Normal"/>
    <w:link w:val="CaptionChar"/>
    <w:qFormat/>
    <w:pPr>
      <w:spacing w:lineRule="auto" w:line="276"/>
    </w:pPr>
    <w:rPr>
      <w:b/>
      <w:bCs/>
      <w:color w:val="4F81BD"/>
      <w:sz w:val="18"/>
      <w:szCs w:val="18"/>
    </w:rPr>
  </w:style>
  <w:style w:type="paragraph" w:styleId="Style15">
    <w:name w:val="Указатель"/>
    <w:basedOn w:val="Normal"/>
    <w:qFormat/>
    <w:pPr>
      <w:suppressLineNumbers/>
    </w:pPr>
    <w:rPr>
      <w:rFonts w:cs="Arial Unicode MS"/>
    </w:rPr>
  </w:style>
  <w:style w:type="paragraph" w:styleId="NoSpacing">
    <w:name w:val="No Spacing"/>
    <w:qFormat/>
    <w:pPr>
      <w:widowControl/>
      <w:suppressAutoHyphens w:val="true"/>
      <w:bidi w:val="0"/>
      <w:spacing w:lineRule="auto" w:line="240" w:before="0" w:after="0"/>
      <w:jc w:val="left"/>
    </w:pPr>
    <w:rPr>
      <w:rFonts w:ascii="Times New Roman" w:hAnsi="Times New Roman" w:eastAsia="Noto Serif CJK SC" w:cs="Arial Unicode MS"/>
      <w:color w:val="auto"/>
      <w:kern w:val="0"/>
      <w:sz w:val="20"/>
      <w:szCs w:val="20"/>
      <w:lang w:val="ru-RU" w:eastAsia="ru-RU" w:bidi="ar-SA"/>
    </w:rPr>
  </w:style>
  <w:style w:type="paragraph" w:styleId="Subtitle">
    <w:name w:val="Subtitle"/>
    <w:basedOn w:val="Normal"/>
    <w:next w:val="Normal"/>
    <w:link w:val="SubtitleChar"/>
    <w:qFormat/>
    <w:pPr>
      <w:spacing w:before="200" w:after="200"/>
    </w:pPr>
    <w:rPr>
      <w:sz w:val="24"/>
      <w:szCs w:val="24"/>
    </w:rPr>
  </w:style>
  <w:style w:type="paragraph" w:styleId="Quote">
    <w:name w:val="Quote"/>
    <w:basedOn w:val="Normal"/>
    <w:next w:val="Normal"/>
    <w:link w:val="QuoteChar"/>
    <w:qFormat/>
    <w:pPr>
      <w:ind w:left="720" w:right="720" w:hanging="0"/>
    </w:pPr>
    <w:rPr>
      <w:i/>
    </w:rPr>
  </w:style>
  <w:style w:type="paragraph" w:styleId="IntenseQuote">
    <w:name w:val="Intense Quote"/>
    <w:basedOn w:val="Normal"/>
    <w:next w:val="Normal"/>
    <w:link w:val="IntenseQuoteChar"/>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EndnoteText">
    <w:name w:val="Endnote Text"/>
    <w:basedOn w:val="Normal"/>
    <w:link w:val="EndnoteTextChar"/>
    <w:pPr>
      <w:spacing w:lineRule="auto" w:line="240" w:before="0" w:after="0"/>
    </w:pPr>
    <w:rPr>
      <w:sz w:val="20"/>
    </w:rPr>
  </w:style>
  <w:style w:type="paragraph" w:styleId="TOC1">
    <w:name w:val="TOC 1"/>
    <w:basedOn w:val="Normal"/>
    <w:next w:val="Normal"/>
    <w:pPr>
      <w:spacing w:before="0" w:after="57"/>
      <w:ind w:left="0" w:right="0" w:hanging="0"/>
    </w:pPr>
    <w:rPr/>
  </w:style>
  <w:style w:type="paragraph" w:styleId="TOC2">
    <w:name w:val="TOC 2"/>
    <w:basedOn w:val="Normal"/>
    <w:next w:val="Normal"/>
    <w:pPr>
      <w:spacing w:before="0" w:after="57"/>
      <w:ind w:left="283" w:right="0" w:hanging="0"/>
    </w:pPr>
    <w:rPr/>
  </w:style>
  <w:style w:type="paragraph" w:styleId="TOC3">
    <w:name w:val="TOC 3"/>
    <w:basedOn w:val="Normal"/>
    <w:next w:val="Normal"/>
    <w:pPr>
      <w:spacing w:before="0" w:after="57"/>
      <w:ind w:left="567" w:right="0" w:hanging="0"/>
    </w:pPr>
    <w:rPr/>
  </w:style>
  <w:style w:type="paragraph" w:styleId="TOC4">
    <w:name w:val="TOC 4"/>
    <w:basedOn w:val="Normal"/>
    <w:next w:val="Normal"/>
    <w:pPr>
      <w:spacing w:before="0" w:after="57"/>
      <w:ind w:left="850" w:right="0" w:hanging="0"/>
    </w:pPr>
    <w:rPr/>
  </w:style>
  <w:style w:type="paragraph" w:styleId="TOC5">
    <w:name w:val="TOC 5"/>
    <w:basedOn w:val="Normal"/>
    <w:next w:val="Normal"/>
    <w:pPr>
      <w:spacing w:before="0" w:after="57"/>
      <w:ind w:left="1134" w:right="0" w:hanging="0"/>
    </w:pPr>
    <w:rPr/>
  </w:style>
  <w:style w:type="paragraph" w:styleId="TOC6">
    <w:name w:val="TOC 6"/>
    <w:basedOn w:val="Normal"/>
    <w:next w:val="Normal"/>
    <w:pPr>
      <w:spacing w:before="0" w:after="57"/>
      <w:ind w:left="1417" w:right="0" w:hanging="0"/>
    </w:pPr>
    <w:rPr/>
  </w:style>
  <w:style w:type="paragraph" w:styleId="TOC7">
    <w:name w:val="TOC 7"/>
    <w:basedOn w:val="Normal"/>
    <w:next w:val="Normal"/>
    <w:pPr>
      <w:spacing w:before="0" w:after="57"/>
      <w:ind w:left="1701" w:right="0" w:hanging="0"/>
    </w:pPr>
    <w:rPr/>
  </w:style>
  <w:style w:type="paragraph" w:styleId="TOC8">
    <w:name w:val="TOC 8"/>
    <w:basedOn w:val="Normal"/>
    <w:next w:val="Normal"/>
    <w:pPr>
      <w:spacing w:before="0" w:after="57"/>
      <w:ind w:left="1984" w:right="0" w:hanging="0"/>
    </w:pPr>
    <w:rPr/>
  </w:style>
  <w:style w:type="paragraph" w:styleId="TOC9">
    <w:name w:val="TOC 9"/>
    <w:basedOn w:val="Normal"/>
    <w:next w:val="Normal"/>
    <w:pPr>
      <w:spacing w:before="0" w:after="57"/>
      <w:ind w:left="2268" w:right="0" w:hanging="0"/>
    </w:pPr>
    <w:rPr/>
  </w:style>
  <w:style w:type="paragraph" w:styleId="IndexHeading">
    <w:name w:val="Index Heading"/>
    <w:basedOn w:val="Style14"/>
    <w:pPr/>
    <w:rPr/>
  </w:style>
  <w:style w:type="paragraph" w:styleId="TOCHeading">
    <w:name w:val="TOC Heading"/>
    <w:qFormat/>
    <w:pPr>
      <w:widowControl/>
      <w:suppressAutoHyphens w:val="true"/>
      <w:bidi w:val="0"/>
      <w:spacing w:before="0" w:after="0"/>
      <w:jc w:val="left"/>
    </w:pPr>
    <w:rPr>
      <w:rFonts w:ascii="Times New Roman" w:hAnsi="Times New Roman" w:eastAsia="Noto Serif CJK SC" w:cs="Arial Unicode MS"/>
      <w:color w:val="auto"/>
      <w:kern w:val="0"/>
      <w:sz w:val="20"/>
      <w:szCs w:val="20"/>
      <w:lang w:val="ru-RU" w:eastAsia="ru-RU" w:bidi="ar-SA"/>
    </w:rPr>
  </w:style>
  <w:style w:type="paragraph" w:styleId="Tableoffigures">
    <w:name w:val="table of figures"/>
    <w:basedOn w:val="Normal"/>
    <w:next w:val="Normal"/>
    <w:qFormat/>
    <w:pPr>
      <w:spacing w:before="0" w:after="0"/>
    </w:pPr>
    <w:rPr/>
  </w:style>
  <w:style w:type="paragraph" w:styleId="Title">
    <w:name w:val="Title"/>
    <w:basedOn w:val="Normal"/>
    <w:link w:val="Style1"/>
    <w:qFormat/>
    <w:pPr>
      <w:jc w:val="center"/>
    </w:pPr>
    <w:rPr>
      <w:b/>
      <w:bCs/>
      <w:sz w:val="24"/>
      <w:szCs w:val="24"/>
    </w:rPr>
  </w:style>
  <w:style w:type="paragraph" w:styleId="Style16">
    <w:name w:val="Таблицы (моноширинный)"/>
    <w:basedOn w:val="Normal"/>
    <w:next w:val="Normal"/>
    <w:qFormat/>
    <w:pPr>
      <w:jc w:val="both"/>
    </w:pPr>
    <w:rPr>
      <w:rFonts w:ascii="Courier New" w:hAnsi="Courier New" w:cs="Courier New"/>
    </w:rPr>
  </w:style>
  <w:style w:type="paragraph" w:styleId="BodyTextIndent2">
    <w:name w:val="Body Text Indent 2"/>
    <w:basedOn w:val="Normal"/>
    <w:qFormat/>
    <w:pPr>
      <w:ind w:left="1843" w:right="0" w:hanging="0"/>
      <w:jc w:val="both"/>
    </w:pPr>
    <w:rPr>
      <w:sz w:val="24"/>
    </w:rPr>
  </w:style>
  <w:style w:type="paragraph" w:styleId="BalloonText">
    <w:name w:val="Balloon Text"/>
    <w:basedOn w:val="Normal"/>
    <w:qFormat/>
    <w:pPr/>
    <w:rPr>
      <w:rFonts w:ascii="Tahoma" w:hAnsi="Tahoma" w:cs="Tahoma"/>
      <w:sz w:val="16"/>
      <w:szCs w:val="16"/>
    </w:rPr>
  </w:style>
  <w:style w:type="paragraph" w:styleId="BodyText2">
    <w:name w:val="Body Text 2"/>
    <w:basedOn w:val="Normal"/>
    <w:qFormat/>
    <w:pPr>
      <w:widowControl/>
      <w:spacing w:lineRule="auto" w:line="480" w:before="0" w:after="120"/>
    </w:pPr>
    <w:rPr>
      <w:sz w:val="24"/>
      <w:szCs w:val="24"/>
    </w:rPr>
  </w:style>
  <w:style w:type="paragraph" w:styleId="Style17">
    <w:name w:val="Колонтитул"/>
    <w:basedOn w:val="Normal"/>
    <w:qFormat/>
    <w:pPr/>
    <w:rPr/>
  </w:style>
  <w:style w:type="paragraph" w:styleId="Footer">
    <w:name w:val="Footer"/>
    <w:basedOn w:val="Normal"/>
    <w:link w:val="Style10"/>
    <w:pPr>
      <w:tabs>
        <w:tab w:val="clear" w:pos="709"/>
        <w:tab w:val="center" w:pos="4677" w:leader="none"/>
        <w:tab w:val="right" w:pos="9355" w:leader="none"/>
      </w:tabs>
    </w:pPr>
    <w:rPr/>
  </w:style>
  <w:style w:type="paragraph" w:styleId="BodyText3">
    <w:name w:val="Body Text 3"/>
    <w:basedOn w:val="Normal"/>
    <w:link w:val="3"/>
    <w:qFormat/>
    <w:pPr>
      <w:spacing w:before="0" w:after="120"/>
    </w:pPr>
    <w:rPr>
      <w:sz w:val="16"/>
      <w:szCs w:val="16"/>
    </w:rPr>
  </w:style>
  <w:style w:type="paragraph" w:styleId="Annotationtext">
    <w:name w:val="annotation text"/>
    <w:basedOn w:val="Normal"/>
    <w:link w:val="Style3"/>
    <w:qFormat/>
    <w:pPr/>
    <w:rPr/>
  </w:style>
  <w:style w:type="paragraph" w:styleId="Annotationsubject">
    <w:name w:val="annotation subject"/>
    <w:basedOn w:val="Annotationtext"/>
    <w:next w:val="Annotationtext"/>
    <w:link w:val="Style4"/>
    <w:qFormat/>
    <w:pPr/>
    <w:rPr>
      <w:b/>
      <w:bCs/>
    </w:rPr>
  </w:style>
  <w:style w:type="paragraph" w:styleId="ListParagraph">
    <w:name w:val="List Paragraph"/>
    <w:basedOn w:val="Normal"/>
    <w:link w:val="Style11"/>
    <w:qFormat/>
    <w:pPr>
      <w:spacing w:before="0" w:after="0"/>
      <w:ind w:left="720" w:right="0" w:hanging="0"/>
      <w:contextualSpacing/>
    </w:pPr>
    <w:rPr/>
  </w:style>
  <w:style w:type="paragraph" w:styleId="Style18">
    <w:name w:val="Знак Знак Знак Знак Знак Знак Знак Знак Знак"/>
    <w:basedOn w:val="Normal"/>
    <w:qFormat/>
    <w:pPr>
      <w:widowControl/>
      <w:spacing w:lineRule="exact" w:line="240" w:before="0" w:after="160"/>
      <w:jc w:val="both"/>
    </w:pPr>
    <w:rPr>
      <w:rFonts w:ascii="Verdana" w:hAnsi="Verdana"/>
      <w:sz w:val="22"/>
      <w:lang w:val="en-US" w:eastAsia="en-US"/>
    </w:rPr>
  </w:style>
  <w:style w:type="paragraph" w:styleId="Style19">
    <w:name w:val="Подпункт договора"/>
    <w:basedOn w:val="Normal"/>
    <w:qFormat/>
    <w:pPr>
      <w:widowControl/>
      <w:tabs>
        <w:tab w:val="clear" w:pos="709"/>
        <w:tab w:val="left" w:pos="360" w:leader="none"/>
      </w:tabs>
      <w:jc w:val="both"/>
    </w:pPr>
    <w:rPr>
      <w:rFonts w:ascii="Arial" w:hAnsi="Arial"/>
    </w:rPr>
  </w:style>
  <w:style w:type="paragraph" w:styleId="ConsNormal">
    <w:name w:val="ConsNormal"/>
    <w:qFormat/>
    <w:pPr>
      <w:widowControl/>
      <w:suppressAutoHyphens w:val="true"/>
      <w:bidi w:val="0"/>
      <w:spacing w:before="0" w:after="0"/>
      <w:ind w:left="0" w:right="19772" w:firstLine="720"/>
      <w:jc w:val="left"/>
    </w:pPr>
    <w:rPr>
      <w:rFonts w:ascii="Arial" w:hAnsi="Arial" w:eastAsia="Noto Serif CJK SC" w:cs="Arial Unicode MS"/>
      <w:color w:val="auto"/>
      <w:kern w:val="0"/>
      <w:sz w:val="32"/>
      <w:szCs w:val="20"/>
      <w:lang w:val="ru-RU" w:eastAsia="en-US" w:bidi="ar-SA"/>
    </w:rPr>
  </w:style>
  <w:style w:type="paragraph" w:styleId="BodyTextIndent">
    <w:name w:val="Body Text Indent"/>
    <w:basedOn w:val="Normal"/>
    <w:link w:val="Style5"/>
    <w:pPr>
      <w:spacing w:before="0" w:after="120"/>
      <w:ind w:left="283" w:right="0" w:hanging="0"/>
    </w:pPr>
    <w:rPr/>
  </w:style>
  <w:style w:type="paragraph" w:styleId="Style20">
    <w:name w:val="Знак"/>
    <w:basedOn w:val="Normal"/>
    <w:qFormat/>
    <w:pPr>
      <w:widowControl/>
      <w:spacing w:lineRule="exact" w:line="240" w:before="0" w:after="160"/>
    </w:pPr>
    <w:rPr>
      <w:rFonts w:ascii="Verdana" w:hAnsi="Verdana" w:cs="Verdana"/>
      <w:lang w:val="en-US" w:eastAsia="en-US"/>
    </w:rPr>
  </w:style>
  <w:style w:type="paragraph" w:styleId="FootnoteText">
    <w:name w:val="Footnote Text"/>
    <w:basedOn w:val="Normal"/>
    <w:link w:val="Style7"/>
    <w:pPr/>
    <w:rPr/>
  </w:style>
  <w:style w:type="paragraph" w:styleId="ListBullet3">
    <w:name w:val="List Bullet 3"/>
    <w:basedOn w:val="Normal"/>
    <w:qFormat/>
    <w:pPr>
      <w:widowControl/>
      <w:tabs>
        <w:tab w:val="clear" w:pos="709"/>
        <w:tab w:val="left" w:pos="1418" w:leader="none"/>
      </w:tabs>
      <w:spacing w:lineRule="auto" w:line="360" w:before="120" w:after="0"/>
      <w:ind w:left="0" w:right="0" w:firstLine="720"/>
      <w:jc w:val="both"/>
    </w:pPr>
    <w:rPr>
      <w:rFonts w:eastAsia="Calibri"/>
      <w:i/>
      <w:iCs/>
      <w:sz w:val="24"/>
      <w:szCs w:val="24"/>
    </w:rPr>
  </w:style>
  <w:style w:type="paragraph" w:styleId="-">
    <w:name w:val="Контракт-пункт"/>
    <w:basedOn w:val="Normal"/>
    <w:qFormat/>
    <w:pPr>
      <w:widowControl/>
      <w:tabs>
        <w:tab w:val="clear" w:pos="709"/>
        <w:tab w:val="left" w:pos="851" w:leader="none"/>
      </w:tabs>
      <w:spacing w:lineRule="auto" w:line="360"/>
      <w:ind w:left="851" w:right="0" w:hanging="851"/>
      <w:jc w:val="both"/>
    </w:pPr>
    <w:rPr>
      <w:rFonts w:eastAsia="Calibri"/>
      <w:sz w:val="28"/>
      <w:szCs w:val="28"/>
    </w:rPr>
  </w:style>
  <w:style w:type="paragraph" w:styleId="DocumentMap">
    <w:name w:val="Document Map"/>
    <w:basedOn w:val="Normal"/>
    <w:qFormat/>
    <w:pPr>
      <w:shd w:val="clear" w:color="auto" w:fill="000080"/>
    </w:pPr>
    <w:rPr>
      <w:rFonts w:ascii="Tahoma" w:hAnsi="Tahoma" w:cs="Tahoma"/>
    </w:rPr>
  </w:style>
  <w:style w:type="paragraph" w:styleId="Revision">
    <w:name w:val="Revision"/>
    <w:qFormat/>
    <w:pPr>
      <w:widowControl/>
      <w:suppressAutoHyphens w:val="true"/>
      <w:bidi w:val="0"/>
      <w:spacing w:before="0" w:after="0"/>
      <w:jc w:val="left"/>
    </w:pPr>
    <w:rPr>
      <w:rFonts w:ascii="Times New Roman" w:hAnsi="Times New Roman" w:eastAsia="Noto Serif CJK SC" w:cs="Arial Unicode MS"/>
      <w:color w:val="auto"/>
      <w:kern w:val="0"/>
      <w:sz w:val="20"/>
      <w:szCs w:val="20"/>
      <w:lang w:val="ru-RU" w:eastAsia="ru-RU" w:bidi="ar-SA"/>
    </w:rPr>
  </w:style>
  <w:style w:type="paragraph" w:styleId="Header">
    <w:name w:val="Header"/>
    <w:basedOn w:val="Normal"/>
    <w:link w:val="Style9"/>
    <w:pPr>
      <w:tabs>
        <w:tab w:val="clear" w:pos="709"/>
        <w:tab w:val="center" w:pos="4677" w:leader="none"/>
        <w:tab w:val="right" w:pos="9355" w:leader="none"/>
      </w:tabs>
    </w:pPr>
    <w:rPr/>
  </w:style>
  <w:style w:type="paragraph" w:styleId="Style21">
    <w:name w:val="Пункт договора"/>
    <w:basedOn w:val="Normal"/>
    <w:qFormat/>
    <w:pPr>
      <w:jc w:val="both"/>
    </w:pPr>
    <w:rPr>
      <w:rFonts w:ascii="Arial" w:hAnsi="Arial"/>
    </w:rPr>
  </w:style>
  <w:style w:type="paragraph" w:styleId="1">
    <w:name w:val="Знак Знак Знак Знак Знак Знак Знак Знак Знак1"/>
    <w:basedOn w:val="Normal"/>
    <w:qFormat/>
    <w:pPr>
      <w:widowControl/>
      <w:spacing w:lineRule="exact" w:line="240" w:before="0" w:after="160"/>
      <w:jc w:val="both"/>
    </w:pPr>
    <w:rPr>
      <w:rFonts w:ascii="Verdana" w:hAnsi="Verdana"/>
      <w:sz w:val="22"/>
      <w:lang w:val="en-US" w:eastAsia="en-US"/>
    </w:rPr>
  </w:style>
  <w:style w:type="paragraph" w:styleId="11">
    <w:name w:val="Обычный1"/>
    <w:qFormat/>
    <w:pPr>
      <w:widowControl/>
      <w:suppressAutoHyphens w:val="true"/>
      <w:bidi w:val="0"/>
      <w:spacing w:before="0" w:after="0"/>
      <w:jc w:val="left"/>
    </w:pPr>
    <w:rPr>
      <w:rFonts w:ascii="Times New Roman" w:hAnsi="Times New Roman" w:eastAsia="Noto Serif CJK SC" w:cs="Arial Unicode MS"/>
      <w:color w:val="auto"/>
      <w:kern w:val="0"/>
      <w:sz w:val="20"/>
      <w:szCs w:val="20"/>
      <w:lang w:val="ru-RU" w:eastAsia="ru-RU" w:bidi="ar-SA"/>
    </w:rPr>
  </w:style>
  <w:style w:type="paragraph" w:styleId="ConsPlusNormal">
    <w:name w:val="ConsPlusNormal"/>
    <w:qFormat/>
    <w:pPr>
      <w:widowControl w:val="false"/>
      <w:suppressAutoHyphens w:val="true"/>
      <w:bidi w:val="0"/>
      <w:spacing w:before="0" w:after="0"/>
      <w:jc w:val="left"/>
    </w:pPr>
    <w:rPr>
      <w:rFonts w:ascii="Calibri" w:hAnsi="Calibri" w:eastAsia="Noto Serif CJK SC" w:cs="Calibri"/>
      <w:color w:val="auto"/>
      <w:kern w:val="0"/>
      <w:sz w:val="22"/>
      <w:szCs w:val="20"/>
      <w:lang w:val="ru-RU" w:eastAsia="ru-RU" w:bidi="ar-SA"/>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paragraph" w:styleId="Style24">
    <w:name w:val="Содержимое врезки"/>
    <w:basedOn w:val="Normal"/>
    <w:qFormat/>
    <w:pPr/>
    <w:rPr/>
  </w:style>
  <w:style w:type="paragraph" w:styleId="Style25">
    <w:name w:val="Текст сноски"/>
    <w:basedOn w:val="Normal"/>
    <w:qFormat/>
    <w:pPr/>
    <w:rPr>
      <w:sz w:val="20"/>
      <w:szCs w:val="20"/>
    </w:rPr>
  </w:style>
  <w:style w:type="numbering" w:styleId="NoList" w:default="1">
    <w:name w:val="No List"/>
    <w:uiPriority w:val="99"/>
    <w:semiHidden/>
    <w:unhideWhenUsed/>
    <w:qFormat/>
  </w:style>
  <w:style w:type="table" w:styleId="929">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30">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31">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932">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933">
    <w:name w:val="Plain Table 3"/>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934">
    <w:name w:val="Plain Table 4"/>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935">
    <w:name w:val="Plain Table 5"/>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936">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937">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938">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939">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940">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941">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942">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943">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944">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AE5F1" w:themeFill="accent1" w:themeFillTint="34"/>
      </w:tcPr>
    </w:tblStylePr>
    <w:tblStylePr w:type="band1Vert">
      <w:rPr>
        <w:color w:val="404040"/>
        <w:sz w:val="22"/>
      </w:rPr>
      <w:tblPr/>
      <w:tcPr>
        <w:shd w:val="clear" w:color="FFFFFF" w:fill="DAE5F1"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945">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2DCDB" w:themeFill="accent2" w:themeFillTint="32"/>
      </w:tcPr>
    </w:tblStylePr>
    <w:tblStylePr w:type="band1Vert">
      <w:rPr>
        <w:color w:val="404040"/>
        <w:sz w:val="22"/>
      </w:rPr>
      <w:tblPr/>
      <w:tcPr>
        <w:shd w:val="clear" w:color="FFFFFF" w:fill="F2DCDB"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946">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AF0DD" w:themeFill="accent3" w:themeFillTint="34"/>
      </w:tcPr>
    </w:tblStylePr>
    <w:tblStylePr w:type="band1Vert">
      <w:rPr>
        <w:color w:val="404040"/>
        <w:sz w:val="22"/>
      </w:rPr>
      <w:tblPr/>
      <w:tcPr>
        <w:shd w:val="clear" w:color="FFFFFF" w:fill="EAF0D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947">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E5DFEC" w:themeFill="accent4" w:themeFillTint="34"/>
      </w:tcPr>
    </w:tblStylePr>
    <w:tblStylePr w:type="band1Vert">
      <w:rPr>
        <w:color w:val="404040"/>
        <w:sz w:val="22"/>
      </w:rPr>
      <w:tblPr/>
      <w:tcPr>
        <w:shd w:val="clear" w:color="FFFFFF" w:fill="E5DFEC"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948">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AEEF3" w:themeFill="accent5" w:themeFillTint="34"/>
      </w:tcPr>
    </w:tblStylePr>
    <w:tblStylePr w:type="band1Vert">
      <w:rPr>
        <w:color w:val="404040"/>
        <w:sz w:val="22"/>
      </w:rPr>
      <w:tblPr/>
      <w:tcPr>
        <w:shd w:val="clear" w:color="FFFFFF" w:fill="DAEEF3"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949">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FDE9D8" w:themeFill="accent6" w:themeFillTint="34"/>
      </w:tcPr>
    </w:tblStylePr>
    <w:tblStylePr w:type="band1Vert">
      <w:rPr>
        <w:color w:val="404040"/>
        <w:sz w:val="22"/>
      </w:rPr>
      <w:tblPr/>
      <w:tcPr>
        <w:shd w:val="clear" w:color="FFFFFF" w:fill="FDE9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950">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51">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AE5F1" w:themeFill="accent1" w:themeFillTint="34"/>
      </w:tcPr>
    </w:tblStylePr>
    <w:tblStylePr w:type="band1Vert">
      <w:rPr>
        <w:color w:val="404040"/>
        <w:sz w:val="22"/>
      </w:rPr>
      <w:tblPr/>
      <w:tcPr>
        <w:shd w:val="clear" w:color="FFFFFF" w:fill="DAE5F1"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52">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2DCDB" w:themeFill="accent2" w:themeFillTint="32"/>
      </w:tcPr>
    </w:tblStylePr>
    <w:tblStylePr w:type="band1Vert">
      <w:rPr>
        <w:color w:val="404040"/>
        <w:sz w:val="22"/>
      </w:rPr>
      <w:tblPr/>
      <w:tcPr>
        <w:shd w:val="clear" w:color="FFFFFF" w:fill="F2DCDB"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53">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AF0DD" w:themeFill="accent3" w:themeFillTint="34"/>
      </w:tcPr>
    </w:tblStylePr>
    <w:tblStylePr w:type="band1Vert">
      <w:rPr>
        <w:color w:val="404040"/>
        <w:sz w:val="22"/>
      </w:rPr>
      <w:tblPr/>
      <w:tcPr>
        <w:shd w:val="clear" w:color="FFFFFF" w:fill="EAF0D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54">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E5DFEC" w:themeFill="accent4" w:themeFillTint="34"/>
      </w:tcPr>
    </w:tblStylePr>
    <w:tblStylePr w:type="band1Vert">
      <w:rPr>
        <w:color w:val="404040"/>
        <w:sz w:val="22"/>
      </w:rPr>
      <w:tblPr/>
      <w:tcPr>
        <w:shd w:val="clear" w:color="FFFFFF" w:fill="E5DFEC"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55">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AEEF3" w:themeFill="accent5" w:themeFillTint="34"/>
      </w:tcPr>
    </w:tblStylePr>
    <w:tblStylePr w:type="band1Vert">
      <w:rPr>
        <w:color w:val="404040"/>
        <w:sz w:val="22"/>
      </w:rPr>
      <w:tblPr/>
      <w:tcPr>
        <w:shd w:val="clear" w:color="FFFFFF" w:fill="DAEEF3"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56">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FDE9D8" w:themeFill="accent6" w:themeFillTint="34"/>
      </w:tcPr>
    </w:tblStylePr>
    <w:tblStylePr w:type="band1Vert">
      <w:rPr>
        <w:color w:val="404040"/>
        <w:sz w:val="22"/>
      </w:rPr>
      <w:tblPr/>
      <w:tcPr>
        <w:shd w:val="clear" w:color="FFFFFF" w:fill="FDE9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57">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958">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CE6F1" w:themeFill="accent1" w:themeFillTint="32"/>
      </w:tcPr>
    </w:tblStylePr>
    <w:tblStylePr w:type="band1Vert">
      <w:rPr>
        <w:color w:val="404040"/>
        <w:sz w:val="22"/>
      </w:rPr>
      <w:tblPr/>
      <w:tcPr>
        <w:shd w:val="clear" w:color="FFFFFF" w:fill="DCE6F1"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959">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2DCDB" w:themeFill="accent2" w:themeFillTint="32"/>
      </w:tcPr>
    </w:tblStylePr>
    <w:tblStylePr w:type="band1Vert">
      <w:rPr>
        <w:color w:val="404040"/>
        <w:sz w:val="22"/>
      </w:rPr>
      <w:tblPr/>
      <w:tcPr>
        <w:shd w:val="clear" w:color="FFFFFF" w:fill="F2DCDB"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960">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AF0DD" w:themeFill="accent3" w:themeFillTint="34"/>
      </w:tcPr>
    </w:tblStylePr>
    <w:tblStylePr w:type="band1Vert">
      <w:rPr>
        <w:color w:val="404040"/>
        <w:sz w:val="22"/>
      </w:rPr>
      <w:tblPr/>
      <w:tcPr>
        <w:shd w:val="clear" w:color="FFFFFF" w:fill="EAF0D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961">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E5DFEC" w:themeFill="accent4" w:themeFillTint="34"/>
      </w:tcPr>
    </w:tblStylePr>
    <w:tblStylePr w:type="band1Vert">
      <w:rPr>
        <w:color w:val="404040"/>
        <w:sz w:val="22"/>
      </w:rPr>
      <w:tblPr/>
      <w:tcPr>
        <w:shd w:val="clear" w:color="FFFFFF" w:fill="E5DFEC"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962">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AEEF3" w:themeFill="accent5" w:themeFillTint="34"/>
      </w:tcPr>
    </w:tblStylePr>
    <w:tblStylePr w:type="band1Vert">
      <w:rPr>
        <w:color w:val="404040"/>
        <w:sz w:val="22"/>
      </w:rPr>
      <w:tblPr/>
      <w:tcPr>
        <w:shd w:val="clear" w:color="FFFFFF" w:fill="DAEEF3"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963">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FDE9D8" w:themeFill="accent6" w:themeFillTint="34"/>
      </w:tcPr>
    </w:tblStylePr>
    <w:tblStylePr w:type="band1Vert">
      <w:rPr>
        <w:color w:val="404040"/>
        <w:sz w:val="22"/>
      </w:rPr>
      <w:tblPr/>
      <w:tcPr>
        <w:shd w:val="clear" w:color="FFFFFF" w:fill="FDE9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964">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965">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color w:val="FFFFFF"/>
        <w:sz w:val="22"/>
      </w:rPr>
      <w:tblPr/>
      <w:tcPr>
        <w:shd w:val="clear" w:color="FFFFFF" w:fill="4F81BD" w:themeFill="accent1"/>
      </w:tcPr>
    </w:tblStylePr>
    <w:tblStylePr w:type="firstRow">
      <w:rPr>
        <w:b/>
        <w:color w:val="FFFFFF"/>
        <w:sz w:val="22"/>
      </w:rPr>
      <w:tblPr/>
      <w:tcPr>
        <w:shd w:val="clear" w:color="FFFFFF" w:fill="4F81BD" w:themeFill="accent1"/>
      </w:tcPr>
    </w:tblStylePr>
    <w:tblStylePr w:type="lastCol">
      <w:rPr>
        <w:b/>
        <w:color w:val="FFFFFF"/>
        <w:sz w:val="22"/>
      </w:rPr>
      <w:tblPr/>
      <w:tcPr>
        <w:shd w:val="clear" w:color="FFFFFF" w:fill="4F81BD" w:themeFill="accent1"/>
      </w:tcPr>
    </w:tblStylePr>
    <w:tblStylePr w:type="lastRow">
      <w:rPr>
        <w:b/>
        <w:color w:val="FFFFFF"/>
        <w:sz w:val="22"/>
      </w:rPr>
      <w:tblPr/>
      <w:tcPr>
        <w:tcBorders>
          <w:top w:val="single" w:color="000000" w:themeColor="light1" w:sz="4" w:space="0"/>
        </w:tcBorders>
        <w:shd w:val="clear" w:color="FFFFFF" w:fill="4F81BD" w:themeFill="accent1"/>
      </w:tcPr>
    </w:tblStylePr>
  </w:style>
  <w:style w:type="table" w:styleId="966">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color w:val="FFFFFF"/>
        <w:sz w:val="22"/>
      </w:rPr>
      <w:tblPr/>
      <w:tcPr>
        <w:shd w:val="clear" w:color="FFFFFF" w:fill="C0504D" w:themeFill="accent2"/>
      </w:tcPr>
    </w:tblStylePr>
    <w:tblStylePr w:type="firstRow">
      <w:rPr>
        <w:b/>
        <w:color w:val="FFFFFF"/>
        <w:sz w:val="22"/>
      </w:rPr>
      <w:tblPr/>
      <w:tcPr>
        <w:shd w:val="clear" w:color="FFFFFF" w:fill="C0504D" w:themeFill="accent2"/>
      </w:tcPr>
    </w:tblStylePr>
    <w:tblStylePr w:type="lastCol">
      <w:rPr>
        <w:b/>
        <w:color w:val="FFFFFF"/>
        <w:sz w:val="22"/>
      </w:rPr>
      <w:tblPr/>
      <w:tcPr>
        <w:shd w:val="clear" w:color="FFFFFF" w:fill="C0504D" w:themeFill="accent2"/>
      </w:tcPr>
    </w:tblStylePr>
    <w:tblStylePr w:type="lastRow">
      <w:rPr>
        <w:b/>
        <w:color w:val="FFFFFF"/>
        <w:sz w:val="22"/>
      </w:rPr>
      <w:tblPr/>
      <w:tcPr>
        <w:tcBorders>
          <w:top w:val="single" w:color="000000" w:themeColor="light1" w:sz="4" w:space="0"/>
        </w:tcBorders>
        <w:shd w:val="clear" w:color="FFFFFF" w:fill="C0504D" w:themeFill="accent2"/>
      </w:tcPr>
    </w:tblStylePr>
  </w:style>
  <w:style w:type="table" w:styleId="967">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color w:val="FFFFFF"/>
        <w:sz w:val="22"/>
      </w:rPr>
      <w:tblPr/>
      <w:tcPr>
        <w:shd w:val="clear" w:color="FFFFFF" w:fill="9BBB59" w:themeFill="accent3"/>
      </w:tcPr>
    </w:tblStylePr>
    <w:tblStylePr w:type="firstRow">
      <w:rPr>
        <w:b/>
        <w:color w:val="FFFFFF"/>
        <w:sz w:val="22"/>
      </w:rPr>
      <w:tblPr/>
      <w:tcPr>
        <w:shd w:val="clear" w:color="FFFFFF" w:fill="9BBB59" w:themeFill="accent3"/>
      </w:tcPr>
    </w:tblStylePr>
    <w:tblStylePr w:type="lastCol">
      <w:rPr>
        <w:b/>
        <w:color w:val="FFFFFF"/>
        <w:sz w:val="22"/>
      </w:rPr>
      <w:tblPr/>
      <w:tcPr>
        <w:shd w:val="clear" w:color="FFFFFF" w:fill="9BBB59" w:themeFill="accent3"/>
      </w:tcPr>
    </w:tblStylePr>
    <w:tblStylePr w:type="lastRow">
      <w:rPr>
        <w:b/>
        <w:color w:val="FFFFFF"/>
        <w:sz w:val="22"/>
      </w:rPr>
      <w:tblPr/>
      <w:tcPr>
        <w:tcBorders>
          <w:top w:val="single" w:color="000000" w:themeColor="light1" w:sz="4" w:space="0"/>
        </w:tcBorders>
        <w:shd w:val="clear" w:color="FFFFFF" w:fill="9BBB59" w:themeFill="accent3"/>
      </w:tcPr>
    </w:tblStylePr>
  </w:style>
  <w:style w:type="table" w:styleId="968">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color w:val="FFFFFF"/>
        <w:sz w:val="22"/>
      </w:rPr>
      <w:tblPr/>
      <w:tcPr>
        <w:shd w:val="clear" w:color="FFFFFF" w:fill="8064A2" w:themeFill="accent4"/>
      </w:tcPr>
    </w:tblStylePr>
    <w:tblStylePr w:type="firstRow">
      <w:rPr>
        <w:b/>
        <w:color w:val="FFFFFF"/>
        <w:sz w:val="22"/>
      </w:rPr>
      <w:tblPr/>
      <w:tcPr>
        <w:shd w:val="clear" w:color="FFFFFF" w:fill="8064A2" w:themeFill="accent4"/>
      </w:tcPr>
    </w:tblStylePr>
    <w:tblStylePr w:type="lastCol">
      <w:rPr>
        <w:b/>
        <w:color w:val="FFFFFF"/>
        <w:sz w:val="22"/>
      </w:rPr>
      <w:tblPr/>
      <w:tcPr>
        <w:shd w:val="clear" w:color="FFFFFF" w:fill="8064A2" w:themeFill="accent4"/>
      </w:tcPr>
    </w:tblStylePr>
    <w:tblStylePr w:type="lastRow">
      <w:rPr>
        <w:b/>
        <w:color w:val="FFFFFF"/>
        <w:sz w:val="22"/>
      </w:rPr>
      <w:tblPr/>
      <w:tcPr>
        <w:tcBorders>
          <w:top w:val="single" w:color="000000" w:themeColor="light1" w:sz="4" w:space="0"/>
        </w:tcBorders>
        <w:shd w:val="clear" w:color="FFFFFF" w:fill="8064A2" w:themeFill="accent4"/>
      </w:tcPr>
    </w:tblStylePr>
  </w:style>
  <w:style w:type="table" w:styleId="969">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color w:val="FFFFFF"/>
        <w:sz w:val="22"/>
      </w:rPr>
      <w:tblPr/>
      <w:tcPr>
        <w:shd w:val="clear" w:color="FFFFFF" w:fill="4BACC6" w:themeFill="accent5"/>
      </w:tcPr>
    </w:tblStylePr>
    <w:tblStylePr w:type="firstRow">
      <w:rPr>
        <w:b/>
        <w:color w:val="FFFFFF"/>
        <w:sz w:val="22"/>
      </w:rPr>
      <w:tblPr/>
      <w:tcPr>
        <w:shd w:val="clear" w:color="FFFFFF" w:fill="4BACC6" w:themeFill="accent5"/>
      </w:tcPr>
    </w:tblStylePr>
    <w:tblStylePr w:type="lastCol">
      <w:rPr>
        <w:b/>
        <w:color w:val="FFFFFF"/>
        <w:sz w:val="22"/>
      </w:rPr>
      <w:tblPr/>
      <w:tcPr>
        <w:shd w:val="clear" w:color="FFFFFF" w:fill="4BACC6" w:themeFill="accent5"/>
      </w:tcPr>
    </w:tblStylePr>
    <w:tblStylePr w:type="lastRow">
      <w:rPr>
        <w:b/>
        <w:color w:val="FFFFFF"/>
        <w:sz w:val="22"/>
      </w:rPr>
      <w:tblPr/>
      <w:tcPr>
        <w:tcBorders>
          <w:top w:val="single" w:color="000000" w:themeColor="light1" w:sz="4" w:space="0"/>
        </w:tcBorders>
        <w:shd w:val="clear" w:color="FFFFFF" w:fill="4BACC6" w:themeFill="accent5"/>
      </w:tcPr>
    </w:tblStylePr>
  </w:style>
  <w:style w:type="table" w:styleId="970">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color w:val="FFFFFF"/>
        <w:sz w:val="22"/>
      </w:rPr>
      <w:tblPr/>
      <w:tcPr>
        <w:shd w:val="clear" w:color="FFFFFF" w:fill="F79646" w:themeFill="accent6"/>
      </w:tcPr>
    </w:tblStylePr>
    <w:tblStylePr w:type="firstRow">
      <w:rPr>
        <w:b/>
        <w:color w:val="FFFFFF"/>
        <w:sz w:val="22"/>
      </w:rPr>
      <w:tblPr/>
      <w:tcPr>
        <w:shd w:val="clear" w:color="FFFFFF" w:fill="F79646" w:themeFill="accent6"/>
      </w:tcPr>
    </w:tblStylePr>
    <w:tblStylePr w:type="lastCol">
      <w:rPr>
        <w:b/>
        <w:color w:val="FFFFFF"/>
        <w:sz w:val="22"/>
      </w:rPr>
      <w:tblPr/>
      <w:tcPr>
        <w:shd w:val="clear" w:color="FFFFFF" w:fill="F79646" w:themeFill="accent6"/>
      </w:tcPr>
    </w:tblStylePr>
    <w:tblStylePr w:type="lastRow">
      <w:rPr>
        <w:b/>
        <w:color w:val="FFFFFF"/>
        <w:sz w:val="22"/>
      </w:rPr>
      <w:tblPr/>
      <w:tcPr>
        <w:tcBorders>
          <w:top w:val="single" w:color="000000" w:themeColor="light1" w:sz="4" w:space="0"/>
        </w:tcBorders>
        <w:shd w:val="clear" w:color="FFFFFF" w:fill="F79646" w:themeFill="accent6"/>
      </w:tcPr>
    </w:tblStylePr>
  </w:style>
  <w:style w:type="table" w:styleId="971">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972">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val="404040" w:themeColor="accent1" w:themeTint="80" w:themeShade="95"/>
        <w:sz w:val="22"/>
      </w:rPr>
      <w:tblPr/>
    </w:tblStylePr>
    <w:tblStylePr w:type="firstCol">
      <w:rPr>
        <w:b/>
        <w:color w:val="3E70A3" w:themeColor="accent1" w:themeTint="80" w:themeShade="95"/>
      </w:rPr>
      <w:tblPr/>
    </w:tblStylePr>
    <w:tblStylePr w:type="firstRow">
      <w:rPr>
        <w:b/>
        <w:color w:val="3E70A3" w:themeColor="accent1" w:themeTint="80" w:themeShade="95"/>
      </w:rPr>
      <w:tblPr/>
      <w:tcPr>
        <w:tcBorders>
          <w:bottom w:val="single" w:color="000000" w:themeColor="accent1" w:sz="12" w:space="0"/>
        </w:tcBorders>
      </w:tcPr>
    </w:tblStylePr>
    <w:tblStylePr w:type="lastCol">
      <w:rPr>
        <w:b/>
        <w:color w:val="3E70A3" w:themeColor="accent1" w:themeTint="80" w:themeShade="95"/>
      </w:rPr>
      <w:tblPr/>
    </w:tblStylePr>
    <w:tblStylePr w:type="lastRow">
      <w:rPr>
        <w:b/>
        <w:color w:val="3E70A3" w:themeColor="accent1" w:themeTint="80" w:themeShade="95"/>
      </w:rPr>
      <w:tblPr/>
    </w:tblStylePr>
    <w:tblStylePr w:type="wholeTable">
      <w:rPr>
        <w:color w:val="404040" w:themeColor="accent1" w:themeTint="80" w:themeShade="95"/>
        <w:sz w:val="22"/>
      </w:rPr>
      <w:tblPr/>
    </w:tblStylePr>
  </w:style>
  <w:style w:type="table" w:styleId="973">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val="404040" w:themeColor="accent2" w:themeTint="97" w:themeShade="95"/>
        <w:sz w:val="22"/>
      </w:rPr>
      <w:tblPr/>
    </w:tblStylePr>
    <w:tblStylePr w:type="firstCol">
      <w:rPr>
        <w:b/>
        <w:color w:val="9C3A37" w:themeColor="accent2" w:themeTint="97" w:themeShade="95"/>
      </w:rPr>
      <w:tblPr/>
    </w:tblStylePr>
    <w:tblStylePr w:type="firstRow">
      <w:rPr>
        <w:b/>
        <w:color w:val="9C3A37" w:themeColor="accent2" w:themeTint="97" w:themeShade="95"/>
      </w:rPr>
      <w:tblPr/>
      <w:tcPr>
        <w:tcBorders>
          <w:bottom w:val="single" w:color="000000" w:themeColor="accent2" w:sz="12" w:space="0"/>
        </w:tcBorders>
      </w:tcPr>
    </w:tblStylePr>
    <w:tblStylePr w:type="lastCol">
      <w:rPr>
        <w:b/>
        <w:color w:val="9C3A37" w:themeColor="accent2" w:themeTint="97" w:themeShade="95"/>
      </w:rPr>
      <w:tblPr/>
    </w:tblStylePr>
    <w:tblStylePr w:type="lastRow">
      <w:rPr>
        <w:b/>
        <w:color w:val="9C3A37" w:themeColor="accent2" w:themeTint="97" w:themeShade="95"/>
      </w:rPr>
      <w:tblPr/>
    </w:tblStylePr>
    <w:tblStylePr w:type="wholeTable">
      <w:rPr>
        <w:color w:val="404040" w:themeColor="accent2" w:themeTint="97" w:themeShade="95"/>
        <w:sz w:val="22"/>
      </w:rPr>
      <w:tblPr/>
    </w:tblStylePr>
  </w:style>
  <w:style w:type="table" w:styleId="974">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val="404040" w:themeColor="accent3" w:themeTint="fe" w:themeShade="95"/>
        <w:sz w:val="22"/>
      </w:rPr>
      <w:tblPr/>
    </w:tblStylePr>
    <w:tblStylePr w:type="firstCol">
      <w:rPr>
        <w:b/>
        <w:color w:val="5C702F" w:themeColor="accent3" w:themeTint="fe" w:themeShade="95"/>
      </w:rPr>
      <w:tblPr/>
    </w:tblStylePr>
    <w:tblStylePr w:type="firstRow">
      <w:rPr>
        <w:b/>
        <w:color w:val="5C702F" w:themeColor="accent3" w:themeTint="fe" w:themeShade="95"/>
      </w:rPr>
      <w:tblPr/>
      <w:tcPr>
        <w:tcBorders>
          <w:bottom w:val="single" w:color="000000" w:themeColor="accent3" w:sz="12" w:space="0"/>
        </w:tcBorders>
      </w:tcPr>
    </w:tblStylePr>
    <w:tblStylePr w:type="lastCol">
      <w:rPr>
        <w:b/>
        <w:color w:val="5C702F" w:themeColor="accent3" w:themeTint="fe" w:themeShade="95"/>
      </w:rPr>
      <w:tblPr/>
    </w:tblStylePr>
    <w:tblStylePr w:type="lastRow">
      <w:rPr>
        <w:b/>
        <w:color w:val="5C702F" w:themeColor="accent3" w:themeTint="fe" w:themeShade="95"/>
      </w:rPr>
      <w:tblPr/>
    </w:tblStylePr>
    <w:tblStylePr w:type="wholeTable">
      <w:rPr>
        <w:color w:val="404040" w:themeColor="accent3" w:themeTint="fe" w:themeShade="95"/>
        <w:sz w:val="22"/>
      </w:rPr>
      <w:tblPr/>
    </w:tblStylePr>
  </w:style>
  <w:style w:type="table" w:styleId="975">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val="404040" w:themeColor="accent4" w:themeTint="9a" w:themeShade="95"/>
        <w:sz w:val="22"/>
      </w:rPr>
      <w:tblPr/>
    </w:tblStylePr>
    <w:tblStylePr w:type="firstCol">
      <w:rPr>
        <w:b/>
        <w:color w:val="664F82" w:themeColor="accent4" w:themeTint="9a" w:themeShade="95"/>
      </w:rPr>
      <w:tblPr/>
    </w:tblStylePr>
    <w:tblStylePr w:type="firstRow">
      <w:rPr>
        <w:b/>
        <w:color w:val="664F82" w:themeColor="accent4" w:themeTint="9a" w:themeShade="95"/>
      </w:rPr>
      <w:tblPr/>
      <w:tcPr>
        <w:tcBorders>
          <w:bottom w:val="single" w:color="000000" w:themeColor="accent4" w:sz="12" w:space="0"/>
        </w:tcBorders>
      </w:tcPr>
    </w:tblStylePr>
    <w:tblStylePr w:type="lastCol">
      <w:rPr>
        <w:b/>
        <w:color w:val="664F82" w:themeColor="accent4" w:themeTint="9a" w:themeShade="95"/>
      </w:rPr>
      <w:tblPr/>
    </w:tblStylePr>
    <w:tblStylePr w:type="lastRow">
      <w:rPr>
        <w:b/>
        <w:color w:val="664F82" w:themeColor="accent4" w:themeTint="9a" w:themeShade="95"/>
      </w:rPr>
      <w:tblPr/>
    </w:tblStylePr>
    <w:tblStylePr w:type="wholeTable">
      <w:rPr>
        <w:color w:val="404040" w:themeColor="accent4" w:themeTint="9a" w:themeShade="95"/>
        <w:sz w:val="22"/>
      </w:rPr>
      <w:tblPr/>
    </w:tblStylePr>
  </w:style>
  <w:style w:type="table" w:styleId="976">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val="404040" w:themeColor="accent5" w:themeShade="95"/>
        <w:sz w:val="22"/>
      </w:rPr>
      <w:tblPr/>
    </w:tblStylePr>
    <w:tblStylePr w:type="firstCol">
      <w:rPr>
        <w:b/>
        <w:color w:val="266777" w:themeColor="accent5" w:themeShade="95"/>
      </w:rPr>
      <w:tblPr/>
    </w:tblStylePr>
    <w:tblStylePr w:type="firstRow">
      <w:rPr>
        <w:b/>
        <w:color w:val="266777" w:themeColor="accent5" w:themeShade="95"/>
      </w:rPr>
      <w:tblPr/>
      <w:tcPr>
        <w:tcBorders>
          <w:bottom w:val="single" w:color="000000" w:themeColor="accent5" w:sz="12" w:space="0"/>
        </w:tcBorders>
      </w:tcPr>
    </w:tblStylePr>
    <w:tblStylePr w:type="lastCol">
      <w:rPr>
        <w:b/>
        <w:color w:val="266777" w:themeColor="accent5" w:themeShade="95"/>
      </w:rPr>
      <w:tblPr/>
    </w:tblStylePr>
    <w:tblStylePr w:type="lastRow">
      <w:rPr>
        <w:b/>
        <w:color w:val="266777" w:themeColor="accent5" w:themeShade="95"/>
      </w:rPr>
      <w:tblPr/>
    </w:tblStylePr>
    <w:tblStylePr w:type="wholeTable">
      <w:rPr>
        <w:color w:val="404040" w:themeColor="accent5" w:themeShade="95"/>
        <w:sz w:val="22"/>
      </w:rPr>
      <w:tblPr/>
    </w:tblStylePr>
  </w:style>
  <w:style w:type="table" w:styleId="977">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val="404040" w:themeColor="accent5" w:themeShade="95"/>
        <w:sz w:val="22"/>
      </w:rPr>
      <w:tblPr/>
    </w:tblStylePr>
    <w:tblStylePr w:type="firstCol">
      <w:rPr>
        <w:b/>
        <w:color w:val="266777" w:themeColor="accent5" w:themeShade="95"/>
      </w:rPr>
      <w:tblPr/>
    </w:tblStylePr>
    <w:tblStylePr w:type="firstRow">
      <w:rPr>
        <w:b/>
        <w:color w:val="266777" w:themeColor="accent5" w:themeShade="95"/>
      </w:rPr>
      <w:tblPr/>
      <w:tcPr>
        <w:tcBorders>
          <w:bottom w:val="single" w:color="000000" w:themeColor="accent6" w:sz="12" w:space="0"/>
        </w:tcBorders>
      </w:tcPr>
    </w:tblStylePr>
    <w:tblStylePr w:type="lastCol">
      <w:rPr>
        <w:b/>
        <w:color w:val="266777" w:themeColor="accent5" w:themeShade="95"/>
      </w:rPr>
      <w:tblPr/>
    </w:tblStylePr>
    <w:tblStylePr w:type="lastRow">
      <w:rPr>
        <w:b/>
        <w:color w:val="266777" w:themeColor="accent5" w:themeShade="95"/>
      </w:rPr>
      <w:tblPr/>
    </w:tblStylePr>
    <w:tblStylePr w:type="wholeTable">
      <w:rPr>
        <w:color w:val="404040" w:themeColor="accent5" w:themeShade="95"/>
        <w:sz w:val="22"/>
      </w:rPr>
      <w:tblPr/>
    </w:tblStylePr>
  </w:style>
  <w:style w:type="table" w:styleId="978">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979">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E70A3"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val="3E70A3" w:themeColor="accent1" w:themeTint="80" w:themeShade="95"/>
        <w:sz w:val="22"/>
      </w:rPr>
      <w:tblPr/>
    </w:tblStylePr>
    <w:tblStylePr w:type="firstCol">
      <w:pPr>
        <w:jc w:val="right"/>
      </w:pPr>
      <w:rPr>
        <w:i/>
        <w:color w:val="3E70A3"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E70A3"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E70A3"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E70A3"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980">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9C3A37"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val="9C3A37" w:themeColor="accent2" w:themeTint="97" w:themeShade="95"/>
        <w:sz w:val="22"/>
      </w:rPr>
      <w:tblPr/>
    </w:tblStylePr>
    <w:tblStylePr w:type="firstCol">
      <w:pPr>
        <w:jc w:val="right"/>
      </w:pPr>
      <w:rPr>
        <w:i/>
        <w:color w:val="9C3A37"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9C3A37"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9C3A37"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9C3A37"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981">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5C702F"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val="5C702F" w:themeColor="accent3" w:themeTint="fe" w:themeShade="95"/>
        <w:sz w:val="22"/>
      </w:rPr>
      <w:tblPr/>
    </w:tblStylePr>
    <w:tblStylePr w:type="firstCol">
      <w:pPr>
        <w:jc w:val="right"/>
      </w:pPr>
      <w:rPr>
        <w:i/>
        <w:color w:val="5C702F"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5C702F"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5C702F"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5C702F"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982">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664F82"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val="664F82" w:themeColor="accent4" w:themeTint="9a" w:themeShade="95"/>
        <w:sz w:val="22"/>
      </w:rPr>
      <w:tblPr/>
    </w:tblStylePr>
    <w:tblStylePr w:type="firstCol">
      <w:pPr>
        <w:jc w:val="right"/>
      </w:pPr>
      <w:rPr>
        <w:i/>
        <w:color w:val="664F82"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664F82"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664F82"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664F82"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983">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66777"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val="266777" w:themeColor="accent5" w:themeShade="95"/>
        <w:sz w:val="22"/>
      </w:rPr>
      <w:tblPr/>
    </w:tblStylePr>
    <w:tblStylePr w:type="firstCol">
      <w:pPr>
        <w:jc w:val="right"/>
      </w:pPr>
      <w:rPr>
        <w:i/>
        <w:color w:val="266777"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66777"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66777"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66777"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984">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B05307"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val="B05307" w:themeColor="accent6" w:themeShade="95"/>
        <w:sz w:val="22"/>
      </w:rPr>
      <w:tblPr/>
    </w:tblStylePr>
    <w:tblStylePr w:type="firstCol">
      <w:pPr>
        <w:jc w:val="right"/>
      </w:pPr>
      <w:rPr>
        <w:i/>
        <w:color w:val="B05307"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B05307"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B05307"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B05307"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985">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986">
    <w:name w:val="List Table 1 Light - Accent 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987">
    <w:name w:val="List Table 1 Light - Accent 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988">
    <w:name w:val="List Table 1 Light - Accent 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989">
    <w:name w:val="List Table 1 Light - Accent 4"/>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990">
    <w:name w:val="List Table 1 Light - Accent 5"/>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991">
    <w:name w:val="List Table 1 Light - Accent 6"/>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992">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93">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D3E0EE" w:themeFill="accent1" w:themeFillTint="40"/>
      </w:tcPr>
    </w:tblStylePr>
    <w:tblStylePr w:type="band1Vert">
      <w:rPr>
        <w:color w:val="404040"/>
        <w:sz w:val="22"/>
      </w:rPr>
      <w:tblPr/>
      <w:tcPr>
        <w:shd w:val="clear" w:color="FFFFFF" w:fill="D3E0EE"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94">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EFD3D2" w:themeFill="accent2" w:themeFillTint="40"/>
      </w:tcPr>
    </w:tblStylePr>
    <w:tblStylePr w:type="band1Vert">
      <w:rPr>
        <w:color w:val="404040"/>
        <w:sz w:val="22"/>
      </w:rPr>
      <w:tblPr/>
      <w:tcPr>
        <w:shd w:val="clear" w:color="FFFFFF" w:fill="EFD3D2"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95">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6EED5" w:themeFill="accent3" w:themeFillTint="40"/>
      </w:tcPr>
    </w:tblStylePr>
    <w:tblStylePr w:type="band1Vert">
      <w:rPr>
        <w:color w:val="404040"/>
        <w:sz w:val="22"/>
      </w:rPr>
      <w:tblPr/>
      <w:tcPr>
        <w:shd w:val="clear" w:color="FFFFFF" w:fill="E6EED5"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96">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DFD8E7" w:themeFill="accent4" w:themeFillTint="40"/>
      </w:tcPr>
    </w:tblStylePr>
    <w:tblStylePr w:type="band1Vert">
      <w:rPr>
        <w:color w:val="404040"/>
        <w:sz w:val="22"/>
      </w:rPr>
      <w:tblPr/>
      <w:tcPr>
        <w:shd w:val="clear" w:color="FFFFFF" w:fill="DFD8E7"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97">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1EAF0" w:themeFill="accent5" w:themeFillTint="40"/>
      </w:tcPr>
    </w:tblStylePr>
    <w:tblStylePr w:type="band1Vert">
      <w:rPr>
        <w:color w:val="404040"/>
        <w:sz w:val="22"/>
      </w:rPr>
      <w:tblPr/>
      <w:tcPr>
        <w:shd w:val="clear" w:color="FFFFFF" w:fill="D1EAF0"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998">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FCE4D1" w:themeFill="accent6" w:themeFillTint="40"/>
      </w:tcPr>
    </w:tblStylePr>
    <w:tblStylePr w:type="band1Vert">
      <w:rPr>
        <w:color w:val="404040"/>
        <w:sz w:val="22"/>
      </w:rPr>
      <w:tblPr/>
      <w:tcPr>
        <w:shd w:val="clear" w:color="FFFFFF" w:fill="FCE4D1"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999">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000">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4F81BD" w:themeFill="accent1"/>
      </w:tcPr>
    </w:tblStylePr>
    <w:tblStylePr w:type="lastCol">
      <w:rPr>
        <w:b/>
        <w:color w:val="404040"/>
      </w:rPr>
      <w:tblPr/>
    </w:tblStylePr>
    <w:tblStylePr w:type="lastRow">
      <w:rPr>
        <w:b/>
        <w:color w:val="404040"/>
      </w:rPr>
      <w:tblPr/>
    </w:tblStylePr>
  </w:style>
  <w:style w:type="table" w:styleId="1001">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D99694" w:themeFill="accent2" w:themeFillTint="97"/>
      </w:tcPr>
    </w:tblStylePr>
    <w:tblStylePr w:type="lastCol">
      <w:rPr>
        <w:b/>
        <w:color w:val="404040"/>
      </w:rPr>
      <w:tblPr/>
    </w:tblStylePr>
    <w:tblStylePr w:type="lastRow">
      <w:rPr>
        <w:b/>
        <w:color w:val="404040"/>
      </w:rPr>
      <w:tblPr/>
    </w:tblStylePr>
  </w:style>
  <w:style w:type="table" w:styleId="1002">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3D69B" w:themeFill="accent3" w:themeFillTint="98"/>
      </w:tcPr>
    </w:tblStylePr>
    <w:tblStylePr w:type="lastCol">
      <w:rPr>
        <w:b/>
        <w:color w:val="404040"/>
      </w:rPr>
      <w:tblPr/>
    </w:tblStylePr>
    <w:tblStylePr w:type="lastRow">
      <w:rPr>
        <w:b/>
        <w:color w:val="404040"/>
      </w:rPr>
      <w:tblPr/>
    </w:tblStylePr>
  </w:style>
  <w:style w:type="table" w:styleId="1003">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B2A1C6" w:themeFill="accent4" w:themeFillTint="9a"/>
      </w:tcPr>
    </w:tblStylePr>
    <w:tblStylePr w:type="lastCol">
      <w:rPr>
        <w:b/>
        <w:color w:val="404040"/>
      </w:rPr>
      <w:tblPr/>
    </w:tblStylePr>
    <w:tblStylePr w:type="lastRow">
      <w:rPr>
        <w:b/>
        <w:color w:val="404040"/>
      </w:rPr>
      <w:tblPr/>
    </w:tblStylePr>
  </w:style>
  <w:style w:type="table" w:styleId="1004">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91CDDC" w:themeFill="accent5" w:themeFillTint="9a"/>
      </w:tcPr>
    </w:tblStylePr>
    <w:tblStylePr w:type="lastCol">
      <w:rPr>
        <w:b/>
        <w:color w:val="404040"/>
      </w:rPr>
      <w:tblPr/>
    </w:tblStylePr>
    <w:tblStylePr w:type="lastRow">
      <w:rPr>
        <w:b/>
        <w:color w:val="404040"/>
      </w:rPr>
      <w:tblPr/>
    </w:tblStylePr>
  </w:style>
  <w:style w:type="table" w:styleId="1005">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F9BF90" w:themeFill="accent6" w:themeFillTint="98"/>
      </w:tcPr>
    </w:tblStylePr>
    <w:tblStylePr w:type="lastCol">
      <w:rPr>
        <w:b/>
        <w:color w:val="404040"/>
      </w:rPr>
      <w:tblPr/>
    </w:tblStylePr>
    <w:tblStylePr w:type="lastRow">
      <w:rPr>
        <w:b/>
        <w:color w:val="404040"/>
      </w:rPr>
      <w:tblPr/>
    </w:tblStylePr>
  </w:style>
  <w:style w:type="table" w:styleId="1006">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007">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D3E0EE" w:themeFill="accent1" w:themeFillTint="40"/>
      </w:tcPr>
    </w:tblStylePr>
    <w:tblStylePr w:type="band1Vert">
      <w:rPr>
        <w:color w:val="404040"/>
        <w:sz w:val="22"/>
      </w:rPr>
      <w:tblPr/>
      <w:tcPr>
        <w:shd w:val="clear" w:color="FFFFFF" w:fill="D3E0EE" w:themeFill="accent1" w:themeFillTint="40"/>
      </w:tcPr>
    </w:tblStylePr>
    <w:tblStylePr w:type="firstCol">
      <w:rPr>
        <w:b/>
        <w:color w:val="404040"/>
      </w:rPr>
      <w:tblPr/>
    </w:tblStylePr>
    <w:tblStylePr w:type="firstRow">
      <w:rPr>
        <w:b/>
        <w:color w:val="FFFFFF"/>
        <w:sz w:val="22"/>
      </w:rPr>
      <w:tblPr/>
      <w:tcPr>
        <w:shd w:val="clear" w:color="FFFFFF" w:fill="4F81BD" w:themeFill="accent1"/>
      </w:tcPr>
    </w:tblStylePr>
    <w:tblStylePr w:type="lastCol">
      <w:rPr>
        <w:b/>
        <w:color w:val="404040"/>
      </w:rPr>
      <w:tblPr/>
    </w:tblStylePr>
    <w:tblStylePr w:type="lastRow">
      <w:rPr>
        <w:b/>
        <w:color w:val="404040"/>
      </w:rPr>
      <w:tblPr/>
    </w:tblStylePr>
  </w:style>
  <w:style w:type="table" w:styleId="1008">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EFD3D2" w:themeFill="accent2" w:themeFillTint="40"/>
      </w:tcPr>
    </w:tblStylePr>
    <w:tblStylePr w:type="band1Vert">
      <w:rPr>
        <w:color w:val="404040"/>
        <w:sz w:val="22"/>
      </w:rPr>
      <w:tblPr/>
      <w:tcPr>
        <w:shd w:val="clear" w:color="FFFFFF" w:fill="EFD3D2" w:themeFill="accent2" w:themeFillTint="40"/>
      </w:tcPr>
    </w:tblStylePr>
    <w:tblStylePr w:type="firstCol">
      <w:rPr>
        <w:b/>
        <w:color w:val="404040"/>
      </w:rPr>
      <w:tblPr/>
    </w:tblStylePr>
    <w:tblStylePr w:type="firstRow">
      <w:rPr>
        <w:b/>
        <w:color w:val="FFFFFF"/>
        <w:sz w:val="22"/>
      </w:rPr>
      <w:tblPr/>
      <w:tcPr>
        <w:shd w:val="clear" w:color="FFFFFF" w:fill="C0504D" w:themeFill="accent2"/>
      </w:tcPr>
    </w:tblStylePr>
    <w:tblStylePr w:type="lastCol">
      <w:rPr>
        <w:b/>
        <w:color w:val="404040"/>
      </w:rPr>
      <w:tblPr/>
    </w:tblStylePr>
    <w:tblStylePr w:type="lastRow">
      <w:rPr>
        <w:b/>
        <w:color w:val="404040"/>
      </w:rPr>
      <w:tblPr/>
    </w:tblStylePr>
  </w:style>
  <w:style w:type="table" w:styleId="1009">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6EED5" w:themeFill="accent3" w:themeFillTint="40"/>
      </w:tcPr>
    </w:tblStylePr>
    <w:tblStylePr w:type="band1Vert">
      <w:rPr>
        <w:color w:val="404040"/>
        <w:sz w:val="22"/>
      </w:rPr>
      <w:tblPr/>
      <w:tcPr>
        <w:shd w:val="clear" w:color="FFFFFF" w:fill="E6EED5" w:themeFill="accent3" w:themeFillTint="40"/>
      </w:tcPr>
    </w:tblStylePr>
    <w:tblStylePr w:type="firstCol">
      <w:rPr>
        <w:b/>
        <w:color w:val="404040"/>
      </w:rPr>
      <w:tblPr/>
    </w:tblStylePr>
    <w:tblStylePr w:type="firstRow">
      <w:rPr>
        <w:b/>
        <w:color w:val="FFFFFF"/>
        <w:sz w:val="22"/>
      </w:rPr>
      <w:tblPr/>
      <w:tcPr>
        <w:shd w:val="clear" w:color="FFFFFF" w:fill="9BBB59" w:themeFill="accent3"/>
      </w:tcPr>
    </w:tblStylePr>
    <w:tblStylePr w:type="lastCol">
      <w:rPr>
        <w:b/>
        <w:color w:val="404040"/>
      </w:rPr>
      <w:tblPr/>
    </w:tblStylePr>
    <w:tblStylePr w:type="lastRow">
      <w:rPr>
        <w:b/>
        <w:color w:val="404040"/>
      </w:rPr>
      <w:tblPr/>
    </w:tblStylePr>
  </w:style>
  <w:style w:type="table" w:styleId="1010">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DFD8E7" w:themeFill="accent4" w:themeFillTint="40"/>
      </w:tcPr>
    </w:tblStylePr>
    <w:tblStylePr w:type="band1Vert">
      <w:rPr>
        <w:color w:val="404040"/>
        <w:sz w:val="22"/>
      </w:rPr>
      <w:tblPr/>
      <w:tcPr>
        <w:shd w:val="clear" w:color="FFFFFF" w:fill="DFD8E7" w:themeFill="accent4" w:themeFillTint="40"/>
      </w:tcPr>
    </w:tblStylePr>
    <w:tblStylePr w:type="firstCol">
      <w:rPr>
        <w:b/>
        <w:color w:val="404040"/>
      </w:rPr>
      <w:tblPr/>
    </w:tblStylePr>
    <w:tblStylePr w:type="firstRow">
      <w:rPr>
        <w:b/>
        <w:color w:val="FFFFFF"/>
        <w:sz w:val="22"/>
      </w:rPr>
      <w:tblPr/>
      <w:tcPr>
        <w:shd w:val="clear" w:color="FFFFFF" w:fill="8064A2" w:themeFill="accent4"/>
      </w:tcPr>
    </w:tblStylePr>
    <w:tblStylePr w:type="lastCol">
      <w:rPr>
        <w:b/>
        <w:color w:val="404040"/>
      </w:rPr>
      <w:tblPr/>
    </w:tblStylePr>
    <w:tblStylePr w:type="lastRow">
      <w:rPr>
        <w:b/>
        <w:color w:val="404040"/>
      </w:rPr>
      <w:tblPr/>
    </w:tblStylePr>
  </w:style>
  <w:style w:type="table" w:styleId="1011">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1EAF0" w:themeFill="accent5" w:themeFillTint="40"/>
      </w:tcPr>
    </w:tblStylePr>
    <w:tblStylePr w:type="band1Vert">
      <w:rPr>
        <w:color w:val="404040"/>
        <w:sz w:val="22"/>
      </w:rPr>
      <w:tblPr/>
      <w:tcPr>
        <w:shd w:val="clear" w:color="FFFFFF" w:fill="D1EAF0" w:themeFill="accent5" w:themeFillTint="40"/>
      </w:tcPr>
    </w:tblStylePr>
    <w:tblStylePr w:type="firstCol">
      <w:rPr>
        <w:b/>
        <w:color w:val="404040"/>
      </w:rPr>
      <w:tblPr/>
    </w:tblStylePr>
    <w:tblStylePr w:type="firstRow">
      <w:rPr>
        <w:b/>
        <w:color w:val="FFFFFF"/>
        <w:sz w:val="22"/>
      </w:rPr>
      <w:tblPr/>
      <w:tcPr>
        <w:shd w:val="clear" w:color="FFFFFF" w:fill="4BACC6" w:themeFill="accent5"/>
      </w:tcPr>
    </w:tblStylePr>
    <w:tblStylePr w:type="lastCol">
      <w:rPr>
        <w:b/>
        <w:color w:val="404040"/>
      </w:rPr>
      <w:tblPr/>
    </w:tblStylePr>
    <w:tblStylePr w:type="lastRow">
      <w:rPr>
        <w:b/>
        <w:color w:val="404040"/>
      </w:rPr>
      <w:tblPr/>
    </w:tblStylePr>
  </w:style>
  <w:style w:type="table" w:styleId="1012">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FCE4D1" w:themeFill="accent6" w:themeFillTint="40"/>
      </w:tcPr>
    </w:tblStylePr>
    <w:tblStylePr w:type="band1Vert">
      <w:rPr>
        <w:color w:val="404040"/>
        <w:sz w:val="22"/>
      </w:rPr>
      <w:tblPr/>
      <w:tcPr>
        <w:shd w:val="clear" w:color="FFFFFF" w:fill="FCE4D1" w:themeFill="accent6" w:themeFillTint="40"/>
      </w:tcPr>
    </w:tblStylePr>
    <w:tblStylePr w:type="firstCol">
      <w:rPr>
        <w:b/>
        <w:color w:val="404040"/>
      </w:rPr>
      <w:tblPr/>
    </w:tblStylePr>
    <w:tblStylePr w:type="firstRow">
      <w:rPr>
        <w:b/>
        <w:color w:val="FFFFFF"/>
        <w:sz w:val="22"/>
      </w:rPr>
      <w:tblPr/>
      <w:tcPr>
        <w:shd w:val="clear" w:color="FFFFFF" w:fill="F79646" w:themeFill="accent6"/>
      </w:tcPr>
    </w:tblStylePr>
    <w:tblStylePr w:type="lastCol">
      <w:rPr>
        <w:b/>
        <w:color w:val="404040"/>
      </w:rPr>
      <w:tblPr/>
    </w:tblStylePr>
    <w:tblStylePr w:type="lastRow">
      <w:rPr>
        <w:b/>
        <w:color w:val="404040"/>
      </w:rPr>
      <w:tblPr/>
    </w:tblStylePr>
  </w:style>
  <w:style w:type="table" w:styleId="1013">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14">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15">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16">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17">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18">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19">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20">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021">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val="404040" w:themeColor="accent1" w:themeShade="95"/>
        <w:sz w:val="22"/>
      </w:rPr>
      <w:tblPr/>
    </w:tblStylePr>
    <w:tblStylePr w:type="firstCol">
      <w:rPr>
        <w:b/>
        <w:color w:val="2A4B71" w:themeColor="accent1" w:themeShade="95"/>
      </w:rPr>
      <w:tblPr/>
    </w:tblStylePr>
    <w:tblStylePr w:type="firstRow">
      <w:rPr>
        <w:b/>
        <w:color w:val="2A4B71" w:themeColor="accent1" w:themeShade="95"/>
      </w:rPr>
      <w:tblPr/>
      <w:tcPr>
        <w:tcBorders>
          <w:bottom w:val="single" w:color="000000" w:themeColor="accent1" w:sz="4" w:space="0"/>
        </w:tcBorders>
      </w:tcPr>
    </w:tblStylePr>
    <w:tblStylePr w:type="lastCol">
      <w:rPr>
        <w:b/>
        <w:color w:val="2A4B71" w:themeColor="accent1" w:themeShade="95"/>
      </w:rPr>
      <w:tblPr/>
    </w:tblStylePr>
    <w:tblStylePr w:type="lastRow">
      <w:rPr>
        <w:b/>
        <w:color w:val="2A4B71" w:themeColor="accent1" w:themeShade="95"/>
      </w:rPr>
      <w:tblPr/>
      <w:tcPr>
        <w:tcBorders>
          <w:top w:val="single" w:color="000000" w:themeColor="accent1" w:sz="4" w:space="0"/>
        </w:tcBorders>
      </w:tcPr>
    </w:tblStylePr>
  </w:style>
  <w:style w:type="table" w:styleId="1022">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val="404040" w:themeColor="accent2" w:themeTint="97" w:themeShade="95"/>
        <w:sz w:val="22"/>
      </w:rPr>
      <w:tblPr/>
    </w:tblStylePr>
    <w:tblStylePr w:type="firstCol">
      <w:rPr>
        <w:b/>
        <w:color w:val="9C3A37" w:themeColor="accent2" w:themeTint="97" w:themeShade="95"/>
      </w:rPr>
      <w:tblPr/>
    </w:tblStylePr>
    <w:tblStylePr w:type="firstRow">
      <w:rPr>
        <w:b/>
        <w:color w:val="9C3A37" w:themeColor="accent2" w:themeTint="97" w:themeShade="95"/>
      </w:rPr>
      <w:tblPr/>
      <w:tcPr>
        <w:tcBorders>
          <w:bottom w:val="single" w:color="000000" w:themeColor="accent2" w:sz="4" w:space="0"/>
        </w:tcBorders>
      </w:tcPr>
    </w:tblStylePr>
    <w:tblStylePr w:type="lastCol">
      <w:rPr>
        <w:b/>
        <w:color w:val="9C3A37" w:themeColor="accent2" w:themeTint="97" w:themeShade="95"/>
      </w:rPr>
      <w:tblPr/>
    </w:tblStylePr>
    <w:tblStylePr w:type="lastRow">
      <w:rPr>
        <w:b/>
        <w:color w:val="9C3A37" w:themeColor="accent2" w:themeTint="97" w:themeShade="95"/>
      </w:rPr>
      <w:tblPr/>
      <w:tcPr>
        <w:tcBorders>
          <w:top w:val="single" w:color="000000" w:themeColor="accent2" w:sz="4" w:space="0"/>
        </w:tcBorders>
      </w:tcPr>
    </w:tblStylePr>
  </w:style>
  <w:style w:type="table" w:styleId="1023">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val="404040" w:themeColor="accent3" w:themeTint="98" w:themeShade="95"/>
        <w:sz w:val="22"/>
      </w:rPr>
      <w:tblPr/>
    </w:tblStylePr>
    <w:tblStylePr w:type="firstCol">
      <w:rPr>
        <w:b/>
        <w:color w:val="7C983F" w:themeColor="accent3" w:themeTint="98" w:themeShade="95"/>
      </w:rPr>
      <w:tblPr/>
    </w:tblStylePr>
    <w:tblStylePr w:type="firstRow">
      <w:rPr>
        <w:b/>
        <w:color w:val="7C983F" w:themeColor="accent3" w:themeTint="98" w:themeShade="95"/>
      </w:rPr>
      <w:tblPr/>
      <w:tcPr>
        <w:tcBorders>
          <w:bottom w:val="single" w:color="000000" w:themeColor="accent3" w:sz="4" w:space="0"/>
        </w:tcBorders>
      </w:tcPr>
    </w:tblStylePr>
    <w:tblStylePr w:type="lastCol">
      <w:rPr>
        <w:b/>
        <w:color w:val="7C983F" w:themeColor="accent3" w:themeTint="98" w:themeShade="95"/>
      </w:rPr>
      <w:tblPr/>
    </w:tblStylePr>
    <w:tblStylePr w:type="lastRow">
      <w:rPr>
        <w:b/>
        <w:color w:val="7C983F" w:themeColor="accent3" w:themeTint="98" w:themeShade="95"/>
      </w:rPr>
      <w:tblPr/>
      <w:tcPr>
        <w:tcBorders>
          <w:top w:val="single" w:color="000000" w:themeColor="accent3" w:sz="4" w:space="0"/>
        </w:tcBorders>
      </w:tcPr>
    </w:tblStylePr>
  </w:style>
  <w:style w:type="table" w:styleId="1024">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val="404040" w:themeColor="accent4" w:themeTint="9a" w:themeShade="95"/>
        <w:sz w:val="22"/>
      </w:rPr>
      <w:tblPr/>
    </w:tblStylePr>
    <w:tblStylePr w:type="firstCol">
      <w:rPr>
        <w:b/>
        <w:color w:val="664F82" w:themeColor="accent4" w:themeTint="9a" w:themeShade="95"/>
      </w:rPr>
      <w:tblPr/>
    </w:tblStylePr>
    <w:tblStylePr w:type="firstRow">
      <w:rPr>
        <w:b/>
        <w:color w:val="664F82" w:themeColor="accent4" w:themeTint="9a" w:themeShade="95"/>
      </w:rPr>
      <w:tblPr/>
      <w:tcPr>
        <w:tcBorders>
          <w:bottom w:val="single" w:color="000000" w:themeColor="accent4" w:sz="4" w:space="0"/>
        </w:tcBorders>
      </w:tcPr>
    </w:tblStylePr>
    <w:tblStylePr w:type="lastCol">
      <w:rPr>
        <w:b/>
        <w:color w:val="664F82" w:themeColor="accent4" w:themeTint="9a" w:themeShade="95"/>
      </w:rPr>
      <w:tblPr/>
    </w:tblStylePr>
    <w:tblStylePr w:type="lastRow">
      <w:rPr>
        <w:b/>
        <w:color w:val="664F82" w:themeColor="accent4" w:themeTint="9a" w:themeShade="95"/>
      </w:rPr>
      <w:tblPr/>
      <w:tcPr>
        <w:tcBorders>
          <w:top w:val="single" w:color="000000" w:themeColor="accent4" w:sz="4" w:space="0"/>
        </w:tcBorders>
      </w:tcPr>
    </w:tblStylePr>
  </w:style>
  <w:style w:type="table" w:styleId="1025">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val="404040" w:themeColor="accent5" w:themeTint="9a" w:themeShade="95"/>
        <w:sz w:val="22"/>
      </w:rPr>
      <w:tblPr/>
    </w:tblStylePr>
    <w:tblStylePr w:type="firstCol">
      <w:rPr>
        <w:b/>
        <w:color w:val="338AA0" w:themeColor="accent5" w:themeTint="9a" w:themeShade="95"/>
      </w:rPr>
      <w:tblPr/>
    </w:tblStylePr>
    <w:tblStylePr w:type="firstRow">
      <w:rPr>
        <w:b/>
        <w:color w:val="338AA0" w:themeColor="accent5" w:themeTint="9a" w:themeShade="95"/>
      </w:rPr>
      <w:tblPr/>
      <w:tcPr>
        <w:tcBorders>
          <w:bottom w:val="single" w:color="000000" w:themeColor="accent5" w:sz="4" w:space="0"/>
        </w:tcBorders>
      </w:tcPr>
    </w:tblStylePr>
    <w:tblStylePr w:type="lastCol">
      <w:rPr>
        <w:b/>
        <w:color w:val="338AA0" w:themeColor="accent5" w:themeTint="9a" w:themeShade="95"/>
      </w:rPr>
      <w:tblPr/>
    </w:tblStylePr>
    <w:tblStylePr w:type="lastRow">
      <w:rPr>
        <w:b/>
        <w:color w:val="338AA0" w:themeColor="accent5" w:themeTint="9a" w:themeShade="95"/>
      </w:rPr>
      <w:tblPr/>
      <w:tcPr>
        <w:tcBorders>
          <w:top w:val="single" w:color="000000" w:themeColor="accent5" w:sz="4" w:space="0"/>
        </w:tcBorders>
      </w:tcPr>
    </w:tblStylePr>
  </w:style>
  <w:style w:type="table" w:styleId="1026">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val="404040" w:themeColor="accent6" w:themeTint="98" w:themeShade="95"/>
        <w:sz w:val="22"/>
      </w:rPr>
      <w:tblPr/>
    </w:tblStylePr>
    <w:tblStylePr w:type="firstCol">
      <w:rPr>
        <w:b/>
        <w:color w:val="D9680C" w:themeColor="accent6" w:themeTint="98" w:themeShade="95"/>
      </w:rPr>
      <w:tblPr/>
    </w:tblStylePr>
    <w:tblStylePr w:type="firstRow">
      <w:rPr>
        <w:b/>
        <w:color w:val="D9680C" w:themeColor="accent6" w:themeTint="98" w:themeShade="95"/>
      </w:rPr>
      <w:tblPr/>
      <w:tcPr>
        <w:tcBorders>
          <w:bottom w:val="single" w:color="000000" w:themeColor="accent6" w:sz="4" w:space="0"/>
        </w:tcBorders>
      </w:tcPr>
    </w:tblStylePr>
    <w:tblStylePr w:type="lastCol">
      <w:rPr>
        <w:b/>
        <w:color w:val="D9680C" w:themeColor="accent6" w:themeTint="98" w:themeShade="95"/>
      </w:rPr>
      <w:tblPr/>
    </w:tblStylePr>
    <w:tblStylePr w:type="lastRow">
      <w:rPr>
        <w:b/>
        <w:color w:val="D9680C" w:themeColor="accent6" w:themeTint="98" w:themeShade="95"/>
      </w:rPr>
      <w:tblPr/>
      <w:tcPr>
        <w:tcBorders>
          <w:top w:val="single" w:color="000000" w:themeColor="accent6" w:sz="4" w:space="0"/>
        </w:tcBorders>
      </w:tcPr>
    </w:tblStylePr>
  </w:style>
  <w:style w:type="table" w:styleId="1027">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1028">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val="2A4B71"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val="2A4B71" w:themeColor="accent1" w:themeShade="95"/>
        <w:sz w:val="22"/>
      </w:rPr>
      <w:tblPr/>
    </w:tblStylePr>
    <w:tblStylePr w:type="firstCol">
      <w:pPr>
        <w:jc w:val="right"/>
      </w:pPr>
      <w:rPr>
        <w:i/>
        <w:color w:val="2A4B71"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A4B71"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A4B71"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A4B71"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A4B71" w:themeColor="accent1" w:themeShade="95"/>
        <w:sz w:val="22"/>
      </w:rPr>
      <w:tblPr/>
    </w:tblStylePr>
  </w:style>
  <w:style w:type="table" w:styleId="1029">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9C3A37"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val="9C3A37" w:themeColor="accent2" w:themeTint="97" w:themeShade="95"/>
        <w:sz w:val="22"/>
      </w:rPr>
      <w:tblPr/>
    </w:tblStylePr>
    <w:tblStylePr w:type="firstCol">
      <w:pPr>
        <w:jc w:val="right"/>
      </w:pPr>
      <w:rPr>
        <w:i/>
        <w:color w:val="9C3A37"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9C3A37"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9C3A37"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9C3A37"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9C3A37" w:themeColor="accent2" w:themeTint="97" w:themeShade="95"/>
        <w:sz w:val="22"/>
      </w:rPr>
      <w:tblPr/>
    </w:tblStylePr>
  </w:style>
  <w:style w:type="table" w:styleId="1030">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C983F"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val="7C983F" w:themeColor="accent3" w:themeTint="98" w:themeShade="95"/>
        <w:sz w:val="22"/>
      </w:rPr>
      <w:tblPr/>
    </w:tblStylePr>
    <w:tblStylePr w:type="firstCol">
      <w:pPr>
        <w:jc w:val="right"/>
      </w:pPr>
      <w:rPr>
        <w:i/>
        <w:color w:val="7C983F"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C983F"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C983F"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C983F"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C983F" w:themeColor="accent3" w:themeTint="98" w:themeShade="95"/>
        <w:sz w:val="22"/>
      </w:rPr>
      <w:tblPr/>
    </w:tblStylePr>
  </w:style>
  <w:style w:type="table" w:styleId="1031">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664F82"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val="664F82" w:themeColor="accent4" w:themeTint="9a" w:themeShade="95"/>
        <w:sz w:val="22"/>
      </w:rPr>
      <w:tblPr/>
    </w:tblStylePr>
    <w:tblStylePr w:type="firstCol">
      <w:pPr>
        <w:jc w:val="right"/>
      </w:pPr>
      <w:rPr>
        <w:i/>
        <w:color w:val="664F82"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664F82"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664F82"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664F82"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664F82" w:themeColor="accent4" w:themeTint="9a" w:themeShade="95"/>
        <w:sz w:val="22"/>
      </w:rPr>
      <w:tblPr/>
    </w:tblStylePr>
  </w:style>
  <w:style w:type="table" w:styleId="1032">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8AA0"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val="338AA0" w:themeColor="accent5" w:themeTint="9a" w:themeShade="95"/>
        <w:sz w:val="22"/>
      </w:rPr>
      <w:tblPr/>
    </w:tblStylePr>
    <w:tblStylePr w:type="firstCol">
      <w:pPr>
        <w:jc w:val="right"/>
      </w:pPr>
      <w:rPr>
        <w:i/>
        <w:color w:val="338AA0"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338AA0"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338AA0"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338AA0"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338AA0" w:themeColor="accent5" w:themeTint="9a" w:themeShade="95"/>
        <w:sz w:val="22"/>
      </w:rPr>
      <w:tblPr/>
    </w:tblStylePr>
  </w:style>
  <w:style w:type="table" w:styleId="1033">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D9680C"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val="D9680C" w:themeColor="accent6" w:themeTint="98" w:themeShade="95"/>
        <w:sz w:val="22"/>
      </w:rPr>
      <w:tblPr/>
    </w:tblStylePr>
    <w:tblStylePr w:type="firstCol">
      <w:pPr>
        <w:jc w:val="right"/>
      </w:pPr>
      <w:rPr>
        <w:i/>
        <w:color w:val="D9680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D9680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D9680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D9680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D9680C" w:themeColor="accent6" w:themeTint="98" w:themeShade="95"/>
        <w:sz w:val="22"/>
      </w:rPr>
      <w:tblPr/>
    </w:tblStylePr>
  </w:style>
  <w:style w:type="table" w:styleId="1034">
    <w:name w:val="Lined - Accent"/>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035">
    <w:name w:val="Lined - Accent 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7D7EA" w:themeFill="accent1" w:themeFillTint="50"/>
      </w:tcPr>
    </w:tblStylePr>
    <w:tblStylePr w:type="band2Vert">
      <w:rPr>
        <w:color w:val="404040"/>
        <w:sz w:val="22"/>
      </w:rPr>
      <w:tblPr/>
      <w:tcPr>
        <w:shd w:val="clear" w:color="FFFFFF" w:fill="C7D7EA" w:themeFill="accent1" w:themeFillTint="50"/>
      </w:tcPr>
    </w:tblStylePr>
    <w:tblStylePr w:type="firstCol">
      <w:rPr>
        <w:color w:val="F2F2F2"/>
        <w:sz w:val="22"/>
      </w:rPr>
      <w:tblPr/>
      <w:tcPr>
        <w:shd w:val="clear" w:color="FFFFFF" w:fill="5D8DC2" w:themeFill="accent1" w:themeFillTint="ea"/>
      </w:tcPr>
    </w:tblStylePr>
    <w:tblStylePr w:type="firstRow">
      <w:rPr>
        <w:color w:val="F2F2F2"/>
        <w:sz w:val="22"/>
      </w:rPr>
      <w:tblPr/>
      <w:tcPr>
        <w:shd w:val="clear" w:color="FFFFFF" w:fill="5D8DC2" w:themeFill="accent1" w:themeFillTint="ea"/>
      </w:tcPr>
    </w:tblStylePr>
    <w:tblStylePr w:type="lastCol">
      <w:rPr>
        <w:color w:val="F2F2F2"/>
        <w:sz w:val="22"/>
      </w:rPr>
      <w:tblPr/>
      <w:tcPr>
        <w:shd w:val="clear" w:color="FFFFFF" w:fill="5D8DC2" w:themeFill="accent1" w:themeFillTint="ea"/>
      </w:tcPr>
    </w:tblStylePr>
    <w:tblStylePr w:type="lastRow">
      <w:rPr>
        <w:color w:val="F2F2F2"/>
        <w:sz w:val="22"/>
      </w:rPr>
      <w:tblPr/>
      <w:tcPr>
        <w:shd w:val="clear" w:color="FFFFFF" w:fill="5D8DC2" w:themeFill="accent1" w:themeFillTint="ea"/>
      </w:tcPr>
    </w:tblStylePr>
  </w:style>
  <w:style w:type="table" w:styleId="1036">
    <w:name w:val="Lined - Accent 2"/>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DCDB" w:themeFill="accent2" w:themeFillTint="32"/>
      </w:tcPr>
    </w:tblStylePr>
    <w:tblStylePr w:type="band2Vert">
      <w:rPr>
        <w:color w:val="404040"/>
        <w:sz w:val="22"/>
      </w:rPr>
      <w:tblPr/>
      <w:tcPr>
        <w:shd w:val="clear" w:color="FFFFFF" w:fill="F2DCDB" w:themeFill="accent2" w:themeFillTint="32"/>
      </w:tcPr>
    </w:tblStylePr>
    <w:tblStylePr w:type="firstCol">
      <w:rPr>
        <w:color w:val="F2F2F2"/>
        <w:sz w:val="22"/>
      </w:rPr>
      <w:tblPr/>
      <w:tcPr>
        <w:shd w:val="clear" w:color="FFFFFF" w:fill="D99694" w:themeFill="accent2" w:themeFillTint="97"/>
      </w:tcPr>
    </w:tblStylePr>
    <w:tblStylePr w:type="firstRow">
      <w:rPr>
        <w:color w:val="F2F2F2"/>
        <w:sz w:val="22"/>
      </w:rPr>
      <w:tblPr/>
      <w:tcPr>
        <w:shd w:val="clear" w:color="FFFFFF" w:fill="D99694" w:themeFill="accent2" w:themeFillTint="97"/>
      </w:tcPr>
    </w:tblStylePr>
    <w:tblStylePr w:type="lastCol">
      <w:rPr>
        <w:color w:val="F2F2F2"/>
        <w:sz w:val="22"/>
      </w:rPr>
      <w:tblPr/>
      <w:tcPr>
        <w:shd w:val="clear" w:color="FFFFFF" w:fill="D99694" w:themeFill="accent2" w:themeFillTint="97"/>
      </w:tcPr>
    </w:tblStylePr>
    <w:tblStylePr w:type="lastRow">
      <w:rPr>
        <w:color w:val="F2F2F2"/>
        <w:sz w:val="22"/>
      </w:rPr>
      <w:tblPr/>
      <w:tcPr>
        <w:shd w:val="clear" w:color="FFFFFF" w:fill="D99694" w:themeFill="accent2" w:themeFillTint="97"/>
      </w:tcPr>
    </w:tblStylePr>
  </w:style>
  <w:style w:type="table" w:styleId="1037">
    <w:name w:val="Lined - Accent 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AF0DD" w:themeFill="accent3" w:themeFillTint="34"/>
      </w:tcPr>
    </w:tblStylePr>
    <w:tblStylePr w:type="band2Vert">
      <w:rPr>
        <w:color w:val="404040"/>
        <w:sz w:val="22"/>
      </w:rPr>
      <w:tblPr/>
      <w:tcPr>
        <w:shd w:val="clear" w:color="FFFFFF" w:fill="EAF0DD" w:themeFill="accent3" w:themeFillTint="34"/>
      </w:tcPr>
    </w:tblStylePr>
    <w:tblStylePr w:type="firstCol">
      <w:rPr>
        <w:color w:val="F2F2F2"/>
        <w:sz w:val="22"/>
      </w:rPr>
      <w:tblPr/>
      <w:tcPr>
        <w:shd w:val="clear" w:color="FFFFFF" w:fill="9BBA59" w:themeFill="accent3" w:themeFillTint="fe"/>
      </w:tcPr>
    </w:tblStylePr>
    <w:tblStylePr w:type="firstRow">
      <w:rPr>
        <w:color w:val="F2F2F2"/>
        <w:sz w:val="22"/>
      </w:rPr>
      <w:tblPr/>
      <w:tcPr>
        <w:shd w:val="clear" w:color="FFFFFF" w:fill="9BBA59" w:themeFill="accent3" w:themeFillTint="fe"/>
      </w:tcPr>
    </w:tblStylePr>
    <w:tblStylePr w:type="lastCol">
      <w:rPr>
        <w:color w:val="F2F2F2"/>
        <w:sz w:val="22"/>
      </w:rPr>
      <w:tblPr/>
      <w:tcPr>
        <w:shd w:val="clear" w:color="FFFFFF" w:fill="9BBA59" w:themeFill="accent3" w:themeFillTint="fe"/>
      </w:tcPr>
    </w:tblStylePr>
    <w:tblStylePr w:type="lastRow">
      <w:rPr>
        <w:color w:val="F2F2F2"/>
        <w:sz w:val="22"/>
      </w:rPr>
      <w:tblPr/>
      <w:tcPr>
        <w:shd w:val="clear" w:color="FFFFFF" w:fill="9BBA59" w:themeFill="accent3" w:themeFillTint="fe"/>
      </w:tcPr>
    </w:tblStylePr>
  </w:style>
  <w:style w:type="table" w:styleId="1038">
    <w:name w:val="Lined - Accent 4"/>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5DFEC" w:themeFill="accent4" w:themeFillTint="34"/>
      </w:tcPr>
    </w:tblStylePr>
    <w:tblStylePr w:type="band2Vert">
      <w:rPr>
        <w:color w:val="404040"/>
        <w:sz w:val="22"/>
      </w:rPr>
      <w:tblPr/>
      <w:tcPr>
        <w:shd w:val="clear" w:color="FFFFFF" w:fill="E5DFEC" w:themeFill="accent4" w:themeFillTint="34"/>
      </w:tcPr>
    </w:tblStylePr>
    <w:tblStylePr w:type="firstCol">
      <w:rPr>
        <w:color w:val="F2F2F2"/>
        <w:sz w:val="22"/>
      </w:rPr>
      <w:tblPr/>
      <w:tcPr>
        <w:shd w:val="clear" w:color="FFFFFF" w:fill="B2A1C6" w:themeFill="accent4" w:themeFillTint="9a"/>
      </w:tcPr>
    </w:tblStylePr>
    <w:tblStylePr w:type="firstRow">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style>
  <w:style w:type="table" w:styleId="1039">
    <w:name w:val="Lined - Accent 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AEEF3" w:themeFill="accent5" w:themeFillTint="34"/>
      </w:tcPr>
    </w:tblStylePr>
    <w:tblStylePr w:type="band2Vert">
      <w:rPr>
        <w:color w:val="404040"/>
        <w:sz w:val="22"/>
      </w:rPr>
      <w:tblPr/>
      <w:tcPr>
        <w:shd w:val="clear" w:color="FFFFFF" w:fill="DAEEF3" w:themeFill="accent5" w:themeFillTint="34"/>
      </w:tcPr>
    </w:tblStylePr>
    <w:tblStylePr w:type="firstCol">
      <w:rPr>
        <w:color w:val="F2F2F2"/>
        <w:sz w:val="22"/>
      </w:rPr>
      <w:tblPr/>
      <w:tcPr>
        <w:shd w:val="clear" w:color="FFFFFF" w:fill="4BACC6" w:themeFill="accent5"/>
      </w:tcPr>
    </w:tblStylePr>
    <w:tblStylePr w:type="firstRow">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style>
  <w:style w:type="table" w:styleId="1040">
    <w:name w:val="Lined - Accent 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DE9D8" w:themeFill="accent6" w:themeFillTint="34"/>
      </w:tcPr>
    </w:tblStylePr>
    <w:tblStylePr w:type="band2Vert">
      <w:rPr>
        <w:color w:val="404040"/>
        <w:sz w:val="22"/>
      </w:rPr>
      <w:tblPr/>
      <w:tcPr>
        <w:shd w:val="clear" w:color="FFFFFF" w:fill="FDE9D8" w:themeFill="accent6" w:themeFillTint="34"/>
      </w:tcPr>
    </w:tblStylePr>
    <w:tblStylePr w:type="firstCol">
      <w:rPr>
        <w:color w:val="F2F2F2"/>
        <w:sz w:val="22"/>
      </w:rPr>
      <w:tblPr/>
      <w:tcPr>
        <w:shd w:val="clear" w:color="FFFFFF" w:fill="F79646" w:themeFill="accent6"/>
      </w:tcPr>
    </w:tblStylePr>
    <w:tblStylePr w:type="firstRow">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style>
  <w:style w:type="table" w:styleId="1041">
    <w:name w:val="Bordered &amp; Lined - Accent"/>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042">
    <w:name w:val="Bordered &amp; Lined - Accent 1"/>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7D7EA" w:themeFill="accent1" w:themeFillTint="50"/>
      </w:tcPr>
    </w:tblStylePr>
    <w:tblStylePr w:type="band2Vert">
      <w:rPr>
        <w:color w:val="404040"/>
        <w:sz w:val="22"/>
      </w:rPr>
      <w:tblPr/>
      <w:tcPr>
        <w:shd w:val="clear" w:color="FFFFFF" w:fill="C7D7EA" w:themeFill="accent1" w:themeFillTint="50"/>
      </w:tcPr>
    </w:tblStylePr>
    <w:tblStylePr w:type="firstCol">
      <w:rPr>
        <w:color w:val="F2F2F2"/>
        <w:sz w:val="22"/>
      </w:rPr>
      <w:tblPr/>
      <w:tcPr>
        <w:shd w:val="clear" w:color="FFFFFF" w:fill="5D8DC2" w:themeFill="accent1" w:themeFillTint="ea"/>
      </w:tcPr>
    </w:tblStylePr>
    <w:tblStylePr w:type="firstRow">
      <w:rPr>
        <w:color w:val="F2F2F2"/>
        <w:sz w:val="22"/>
      </w:rPr>
      <w:tblPr/>
      <w:tcPr>
        <w:shd w:val="clear" w:color="FFFFFF" w:fill="5D8DC2" w:themeFill="accent1" w:themeFillTint="ea"/>
      </w:tcPr>
    </w:tblStylePr>
    <w:tblStylePr w:type="lastCol">
      <w:rPr>
        <w:color w:val="F2F2F2"/>
        <w:sz w:val="22"/>
      </w:rPr>
      <w:tblPr/>
      <w:tcPr>
        <w:shd w:val="clear" w:color="FFFFFF" w:fill="5D8DC2" w:themeFill="accent1" w:themeFillTint="ea"/>
      </w:tcPr>
    </w:tblStylePr>
    <w:tblStylePr w:type="lastRow">
      <w:rPr>
        <w:color w:val="F2F2F2"/>
        <w:sz w:val="22"/>
      </w:rPr>
      <w:tblPr/>
      <w:tcPr>
        <w:shd w:val="clear" w:color="FFFFFF" w:fill="5D8DC2" w:themeFill="accent1" w:themeFillTint="ea"/>
      </w:tcPr>
    </w:tblStylePr>
  </w:style>
  <w:style w:type="table" w:styleId="1043">
    <w:name w:val="Bordered &amp; Lined - Accent 2"/>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DCDB" w:themeFill="accent2" w:themeFillTint="32"/>
      </w:tcPr>
    </w:tblStylePr>
    <w:tblStylePr w:type="band2Vert">
      <w:rPr>
        <w:color w:val="404040"/>
        <w:sz w:val="22"/>
      </w:rPr>
      <w:tblPr/>
      <w:tcPr>
        <w:shd w:val="clear" w:color="FFFFFF" w:fill="F2DCDB" w:themeFill="accent2" w:themeFillTint="32"/>
      </w:tcPr>
    </w:tblStylePr>
    <w:tblStylePr w:type="firstCol">
      <w:rPr>
        <w:color w:val="F2F2F2"/>
        <w:sz w:val="22"/>
      </w:rPr>
      <w:tblPr/>
      <w:tcPr>
        <w:shd w:val="clear" w:color="FFFFFF" w:fill="D99694" w:themeFill="accent2" w:themeFillTint="97"/>
      </w:tcPr>
    </w:tblStylePr>
    <w:tblStylePr w:type="firstRow">
      <w:rPr>
        <w:color w:val="F2F2F2"/>
        <w:sz w:val="22"/>
      </w:rPr>
      <w:tblPr/>
      <w:tcPr>
        <w:shd w:val="clear" w:color="FFFFFF" w:fill="D99694" w:themeFill="accent2" w:themeFillTint="97"/>
      </w:tcPr>
    </w:tblStylePr>
    <w:tblStylePr w:type="lastCol">
      <w:rPr>
        <w:color w:val="F2F2F2"/>
        <w:sz w:val="22"/>
      </w:rPr>
      <w:tblPr/>
      <w:tcPr>
        <w:shd w:val="clear" w:color="FFFFFF" w:fill="D99694" w:themeFill="accent2" w:themeFillTint="97"/>
      </w:tcPr>
    </w:tblStylePr>
    <w:tblStylePr w:type="lastRow">
      <w:rPr>
        <w:color w:val="F2F2F2"/>
        <w:sz w:val="22"/>
      </w:rPr>
      <w:tblPr/>
      <w:tcPr>
        <w:shd w:val="clear" w:color="FFFFFF" w:fill="D99694" w:themeFill="accent2" w:themeFillTint="97"/>
      </w:tcPr>
    </w:tblStylePr>
  </w:style>
  <w:style w:type="table" w:styleId="1044">
    <w:name w:val="Bordered &amp; Lined - Accent 3"/>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AF0DD" w:themeFill="accent3" w:themeFillTint="34"/>
      </w:tcPr>
    </w:tblStylePr>
    <w:tblStylePr w:type="band2Vert">
      <w:rPr>
        <w:color w:val="404040"/>
        <w:sz w:val="22"/>
      </w:rPr>
      <w:tblPr/>
      <w:tcPr>
        <w:shd w:val="clear" w:color="FFFFFF" w:fill="EAF0DD" w:themeFill="accent3" w:themeFillTint="34"/>
      </w:tcPr>
    </w:tblStylePr>
    <w:tblStylePr w:type="firstCol">
      <w:rPr>
        <w:color w:val="F2F2F2"/>
        <w:sz w:val="22"/>
      </w:rPr>
      <w:tblPr/>
      <w:tcPr>
        <w:shd w:val="clear" w:color="FFFFFF" w:fill="9BBA59" w:themeFill="accent3" w:themeFillTint="fe"/>
      </w:tcPr>
    </w:tblStylePr>
    <w:tblStylePr w:type="firstRow">
      <w:rPr>
        <w:color w:val="F2F2F2"/>
        <w:sz w:val="22"/>
      </w:rPr>
      <w:tblPr/>
      <w:tcPr>
        <w:shd w:val="clear" w:color="FFFFFF" w:fill="9BBA59" w:themeFill="accent3" w:themeFillTint="fe"/>
      </w:tcPr>
    </w:tblStylePr>
    <w:tblStylePr w:type="lastCol">
      <w:rPr>
        <w:color w:val="F2F2F2"/>
        <w:sz w:val="22"/>
      </w:rPr>
      <w:tblPr/>
      <w:tcPr>
        <w:shd w:val="clear" w:color="FFFFFF" w:fill="9BBA59" w:themeFill="accent3" w:themeFillTint="fe"/>
      </w:tcPr>
    </w:tblStylePr>
    <w:tblStylePr w:type="lastRow">
      <w:rPr>
        <w:color w:val="F2F2F2"/>
        <w:sz w:val="22"/>
      </w:rPr>
      <w:tblPr/>
      <w:tcPr>
        <w:shd w:val="clear" w:color="FFFFFF" w:fill="9BBA59" w:themeFill="accent3" w:themeFillTint="fe"/>
      </w:tcPr>
    </w:tblStylePr>
  </w:style>
  <w:style w:type="table" w:styleId="1045">
    <w:name w:val="Bordered &amp; Lined - Accent 4"/>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5DFEC" w:themeFill="accent4" w:themeFillTint="34"/>
      </w:tcPr>
    </w:tblStylePr>
    <w:tblStylePr w:type="band2Vert">
      <w:rPr>
        <w:color w:val="404040"/>
        <w:sz w:val="22"/>
      </w:rPr>
      <w:tblPr/>
      <w:tcPr>
        <w:shd w:val="clear" w:color="FFFFFF" w:fill="E5DFEC" w:themeFill="accent4" w:themeFillTint="34"/>
      </w:tcPr>
    </w:tblStylePr>
    <w:tblStylePr w:type="firstCol">
      <w:rPr>
        <w:color w:val="F2F2F2"/>
        <w:sz w:val="22"/>
      </w:rPr>
      <w:tblPr/>
      <w:tcPr>
        <w:shd w:val="clear" w:color="FFFFFF" w:fill="B2A1C6" w:themeFill="accent4" w:themeFillTint="9a"/>
      </w:tcPr>
    </w:tblStylePr>
    <w:tblStylePr w:type="firstRow">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style>
  <w:style w:type="table" w:styleId="1046">
    <w:name w:val="Bordered &amp; Lined - Accent 5"/>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AEEF3" w:themeFill="accent5" w:themeFillTint="34"/>
      </w:tcPr>
    </w:tblStylePr>
    <w:tblStylePr w:type="band2Vert">
      <w:rPr>
        <w:color w:val="404040"/>
        <w:sz w:val="22"/>
      </w:rPr>
      <w:tblPr/>
      <w:tcPr>
        <w:shd w:val="clear" w:color="FFFFFF" w:fill="DAEEF3" w:themeFill="accent5" w:themeFillTint="34"/>
      </w:tcPr>
    </w:tblStylePr>
    <w:tblStylePr w:type="firstCol">
      <w:rPr>
        <w:color w:val="F2F2F2"/>
        <w:sz w:val="22"/>
      </w:rPr>
      <w:tblPr/>
      <w:tcPr>
        <w:shd w:val="clear" w:color="FFFFFF" w:fill="4BACC6" w:themeFill="accent5"/>
      </w:tcPr>
    </w:tblStylePr>
    <w:tblStylePr w:type="firstRow">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style>
  <w:style w:type="table" w:styleId="1047">
    <w:name w:val="Bordered &amp; Lined - Accent 6"/>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DE9D8" w:themeFill="accent6" w:themeFillTint="34"/>
      </w:tcPr>
    </w:tblStylePr>
    <w:tblStylePr w:type="band2Vert">
      <w:rPr>
        <w:color w:val="404040"/>
        <w:sz w:val="22"/>
      </w:rPr>
      <w:tblPr/>
      <w:tcPr>
        <w:shd w:val="clear" w:color="FFFFFF" w:fill="FDE9D8" w:themeFill="accent6" w:themeFillTint="34"/>
      </w:tcPr>
    </w:tblStylePr>
    <w:tblStylePr w:type="firstCol">
      <w:rPr>
        <w:color w:val="F2F2F2"/>
        <w:sz w:val="22"/>
      </w:rPr>
      <w:tblPr/>
      <w:tcPr>
        <w:shd w:val="clear" w:color="FFFFFF" w:fill="F79646" w:themeFill="accent6"/>
      </w:tcPr>
    </w:tblStylePr>
    <w:tblStylePr w:type="firstRow">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style>
  <w:style w:type="table" w:styleId="1048">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049">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050">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051">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052">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053">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054">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1161">
    <w:name w:val="Normal Table"/>
    <w:uiPriority w:val="99"/>
    <w:semiHidden/>
    <w:unhideWhenUsed/>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yperlink" Target="http://www.cbr.ru/" TargetMode="Externa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229</TotalTime>
  <Application>AlterOffice/2025.3.1.0$Linux_X86_64 LibreOffice_project/431cd1b79110582f53535c95ed0a2449aadc8bf9</Application>
  <AppVersion>15.0000</AppVersion>
  <Pages>27</Pages>
  <Words>9222</Words>
  <Characters>65119</Characters>
  <CharactersWithSpaces>74597</CharactersWithSpaces>
  <Paragraphs>421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2023-02-14T07:19:00Z</dcterms:created>
  <dc:creator>tsypilev_ag</dc:creator>
  <dc:description/>
  <dc:language>ru-RU</dc:language>
  <cp:lastModifiedBy>mehedova_en@DGK.RU</cp:lastModifiedBy>
  <dcterms:modified xsi:type="dcterms:W3CDTF">2026-08-26T09:30:37Z</dcterms:modified>
  <cp:revision>140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