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left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contextualSpacing w:val="0"/>
        <w:jc w:val="left"/>
        <w:spacing w:after="0" w:afterAutospacing="0" w:line="240" w:lineRule="auto"/>
        <w:tabs>
          <w:tab w:val="left" w:pos="7900" w:leader="none"/>
        </w:tabs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jc w:val="left"/>
        <w:spacing w:after="0" w:afterAutospacing="0" w:line="240" w:lineRule="auto"/>
        <w:tabs>
          <w:tab w:val="left" w:pos="7900" w:leader="none"/>
        </w:tabs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 w:val="0"/>
        <w:ind w:left="0" w:right="1" w:firstLine="0"/>
        <w:jc w:val="center"/>
        <w:spacing w:after="0" w:afterAutospacing="0" w:line="240" w:lineRule="auto"/>
        <w:tabs>
          <w:tab w:val="left" w:pos="4110" w:leader="none"/>
        </w:tabs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lang w:eastAsia="ru-RU"/>
        </w:rPr>
        <w:t xml:space="preserve">           (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В адрес лиц, указанных в подпунктах 1.2,           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</w:rPr>
      </w:r>
    </w:p>
    <w:p>
      <w:pPr>
        <w:contextualSpacing w:val="0"/>
        <w:ind w:left="0" w:right="1" w:firstLine="0"/>
        <w:jc w:val="center"/>
        <w:spacing w:after="0" w:afterAutospacing="0" w:line="240" w:lineRule="auto"/>
        <w:tabs>
          <w:tab w:val="left" w:pos="4110" w:leader="none"/>
        </w:tabs>
        <w:rPr>
          <w:rFonts w:ascii="Times New Roman" w:hAnsi="Times New Roman" w:eastAsia="Times New Roman" w:cs="Times New Roman"/>
          <w:b w:val="0"/>
          <w:bCs/>
          <w:i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                                                                             1.4,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п.1.6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Правил обеспечения готовности</w:t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</w:rPr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</w:rPr>
      </w:r>
    </w:p>
    <w:p>
      <w:pPr>
        <w:contextualSpacing w:val="0"/>
        <w:jc w:val="center"/>
        <w:spacing w:after="0" w:afterAutospacing="0" w:line="240" w:lineRule="auto"/>
        <w:tabs>
          <w:tab w:val="left" w:pos="4110" w:leader="none"/>
        </w:tabs>
        <w:rPr>
          <w:rFonts w:ascii="Times New Roman" w:hAnsi="Times New Roman" w:eastAsia="Times New Roman" w:cs="Times New Roman"/>
          <w:b w:val="0"/>
          <w:bCs/>
          <w:i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                                                    к</w:t>
      </w:r>
      <w:r>
        <w:rPr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6"/>
          <w:szCs w:val="26"/>
          <w:lang w:eastAsia="ru-RU"/>
        </w:rPr>
        <w:t xml:space="preserve">отопительному периоду)</w:t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b w:val="0"/>
          <w:bCs/>
          <w:i/>
          <w:sz w:val="26"/>
          <w:szCs w:val="26"/>
          <w14:ligatures w14:val="none"/>
        </w:rPr>
      </w:r>
    </w:p>
    <w:p>
      <w:pPr>
        <w:contextualSpacing w:val="0"/>
        <w:jc w:val="right"/>
        <w:spacing w:line="264" w:lineRule="auto"/>
        <w:tabs>
          <w:tab w:val="left" w:pos="4110" w:leader="none"/>
        </w:tabs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/>
          <w:sz w:val="28"/>
          <w:szCs w:val="28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</w:r>
      <w:r>
        <w:rPr>
          <w:rFonts w:ascii="Times New Roman" w:hAnsi="Times New Roman" w:cs="Times New Roman"/>
          <w:b w:val="0"/>
          <w:bCs/>
          <w:i/>
          <w:sz w:val="28"/>
          <w:szCs w:val="28"/>
        </w:rPr>
      </w:r>
    </w:p>
    <w:p>
      <w:pPr>
        <w:contextualSpacing w:val="0"/>
        <w:jc w:val="left"/>
        <w:spacing w:line="264" w:lineRule="auto"/>
        <w:tabs>
          <w:tab w:val="left" w:pos="4110" w:leader="none"/>
        </w:tabs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                                                                                                    Руководителю </w:t>
      </w: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</w:rPr>
        <w:t xml:space="preserve">_____________</w:t>
      </w:r>
      <w:r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r>
    </w:p>
    <w:p>
      <w:pPr>
        <w:contextualSpacing w:val="0"/>
        <w:jc w:val="center"/>
        <w:spacing w:line="264" w:lineRule="auto"/>
        <w:tabs>
          <w:tab w:val="left" w:pos="4110" w:leader="none"/>
        </w:tabs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highlight w:val="none"/>
        </w:rPr>
        <w:t xml:space="preserve">                                                                                                        Договор №   _____________</w:t>
      </w:r>
      <w:r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/>
          <w:i/>
          <w:sz w:val="26"/>
          <w:szCs w:val="26"/>
          <w:highlight w:val="none"/>
        </w:rPr>
      </w:r>
    </w:p>
    <w:p>
      <w:pPr>
        <w:contextualSpacing w:val="0"/>
        <w:jc w:val="center"/>
        <w:spacing w:line="264" w:lineRule="auto"/>
        <w:tabs>
          <w:tab w:val="left" w:pos="4110" w:leader="none"/>
        </w:tabs>
        <w:rPr>
          <w:rFonts w:ascii="Times New Roman" w:hAnsi="Times New Roman" w:cs="Times New Roman"/>
          <w:b w:val="0"/>
          <w:bCs/>
          <w:i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i/>
          <w:iCs/>
          <w:sz w:val="26"/>
          <w:szCs w:val="26"/>
          <w:highlight w:val="none"/>
        </w:rPr>
        <w:t xml:space="preserve">                                                                                                                  Адрес  _____________</w:t>
      </w:r>
      <w:r>
        <w:rPr>
          <w:rFonts w:ascii="Times New Roman" w:hAnsi="Times New Roman" w:cs="Times New Roman"/>
          <w:b w:val="0"/>
          <w:bCs/>
          <w:i/>
          <w:sz w:val="26"/>
          <w:szCs w:val="26"/>
        </w:rPr>
      </w:r>
      <w:r>
        <w:rPr>
          <w:rFonts w:ascii="Times New Roman" w:hAnsi="Times New Roman" w:cs="Times New Roman"/>
          <w:b w:val="0"/>
          <w:bCs/>
          <w:i/>
          <w:sz w:val="26"/>
          <w:szCs w:val="26"/>
        </w:rPr>
      </w:r>
    </w:p>
    <w:p>
      <w:pPr>
        <w:contextualSpacing w:val="0"/>
        <w:jc w:val="left"/>
        <w:spacing w:line="264" w:lineRule="auto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highlight w:val="none"/>
        </w:rPr>
      </w:r>
    </w:p>
    <w:p>
      <w:pPr>
        <w:contextualSpacing w:val="0"/>
        <w:spacing w:after="0" w:afterAutospacing="0" w:line="26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обеспечении готовности к отопительному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spacing w:after="0" w:afterAutospacing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периоду 2025-2026г.г.»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after="0" w:afterAutospacing="0" w:line="264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contextualSpacing w:val="0"/>
        <w:jc w:val="center"/>
        <w:spacing w:after="0" w:afterAutospacing="0" w:line="264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contextualSpacing w:val="0"/>
        <w:jc w:val="center"/>
        <w:spacing w:line="264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Уважаем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_______________!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 w:val="0"/>
        <w:jc w:val="both"/>
        <w:spacing w:after="0" w:line="264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contextualSpacing w:val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               В связи с вступлением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с </w:t>
      </w:r>
      <w:r>
        <w:rPr>
          <w:rFonts w:ascii="Times New Roman" w:hAnsi="Times New Roman"/>
          <w:color w:val="000000"/>
          <w:sz w:val="28"/>
          <w:szCs w:val="28"/>
        </w:rPr>
        <w:t xml:space="preserve">01.03.2025г.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Правил обеспечения готовности к отопительному периоду и Порядка прове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дения оценки обеспечения готовности к отопительному перио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ду" (далее Правил), утвержденных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Приказом Минэнерго России от 13.11.2024 N 2234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 обязанностью АО «ДГК»,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как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диная теплоснабжающая организация в зоне своей деятельности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(далее ЕТО)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проверки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оценочных листов с расчетом инд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екса готовности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Вам необходимо:</w:t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/>
          <w:color w:val="auto"/>
          <w:sz w:val="28"/>
          <w:szCs w:val="28"/>
          <w:highlight w:val="white"/>
        </w:rPr>
      </w:r>
    </w:p>
    <w:p>
      <w:pPr>
        <w:contextualSpacing w:val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          1. Разработать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план подготовки к отопительному периоду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который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содержать организационные и технические мероприятия, предусмотренные пунктами 9 - 11 обозначенных Правил, с указанием сроков их выполнения, включающие в том числе мероприятия, направленные на устранение проблем, выявленных по результатам анализа прохожд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ения предыдущих трех отопительных периодов, произошедших аварийных ситуаций при теплоснабжении в прошлые три отопительных периода.</w:t>
      </w:r>
      <w:r>
        <w:rPr>
          <w:color w:val="auto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</w:p>
    <w:p>
      <w:pPr>
        <w:contextualSpacing w:val="0"/>
        <w:jc w:val="both"/>
        <w:spacing w:after="0" w:line="276" w:lineRule="auto"/>
        <w:rPr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План подготовки к отопительному периоду, в целях синхронизации сроков выполнения работ и мероприятий, требующих отключения горячего водоснабжения, заполнения теплопотребляющих установок и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тепловых сетей сетевой водой после выполнения ремонтных работ, необходимо согласовать 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 структурным подразделением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АО «ДГК» по территориям (СП «Хабаровские тепловые сети», СП «Приморские тепловые сети», СП «Комсомольские тепловые сети», СП «Амурские тепловые сети», СП «Биробиджанская ТЭЦ», СП «Нерюнгринская ГРЭС», СП «ТЭЦ в г. Советская Гавань», СП «Николаевская ТЭЦ»)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highlight w:val="none"/>
        </w:rPr>
        <w:t xml:space="preserve">        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План подготовки к отопительному периоду</w:t>
      </w:r>
      <w:r>
        <w:rPr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необходимо представить по территориальному принципу: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«Хабаровские тепловые сети»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 электронный адрес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 </w:t>
      </w:r>
      <w:r>
        <w:rPr>
          <w:rFonts w:ascii="Times New Roman" w:hAnsi="Times New Roman"/>
          <w:color w:val="auto"/>
          <w:sz w:val="28"/>
          <w:szCs w:val="28"/>
        </w:rPr>
        <w:t xml:space="preserve">gordeeva-as@dgk.ru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контактный телефон +7(4212) 26-56-99  (доб. 66-367). 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Нерюнгринская ГРЭС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 электронный адрес: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</w:t>
      </w:r>
      <w:hyperlink r:id="rId12" w:tooltip="mailto:dudkina-le@dgk.ru," w:history="1">
        <w:r>
          <w:rPr>
            <w:rStyle w:val="904"/>
            <w:rFonts w:ascii="Times New Roman" w:hAnsi="Times New Roman"/>
            <w:sz w:val="28"/>
            <w:szCs w:val="28"/>
            <w:highlight w:val="white"/>
          </w:rPr>
          <w:t xml:space="preserve">dudkina-le@dgk.ru</w:t>
        </w:r>
        <w:r>
          <w:rPr>
            <w:rStyle w:val="904"/>
            <w:rFonts w:ascii="Times New Roman" w:hAnsi="Times New Roman"/>
            <w:sz w:val="28"/>
            <w:szCs w:val="28"/>
            <w:highlight w:val="none"/>
          </w:rPr>
          <w:t xml:space="preserve">,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контактный телефон: +7(41147) 9-53-21 Дудкина Людмила Евгеньевна.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«ТЭЦ в г. Советская Гавань» на электронный адрес: </w:t>
      </w:r>
      <w:r>
        <w:rPr>
          <w:rFonts w:ascii="Times New Roman" w:hAnsi="Times New Roman"/>
          <w:color w:val="auto"/>
          <w:sz w:val="28"/>
          <w:szCs w:val="28"/>
          <w:highlight w:val="none"/>
        </w:rPr>
      </w:r>
      <w:hyperlink r:id="rId13" w:tooltip="mailto:goncharova-aa@dgk.ru," w:history="1">
        <w:r>
          <w:rPr>
            <w:rStyle w:val="904"/>
            <w:rFonts w:ascii="Times New Roman" w:hAnsi="Times New Roman"/>
            <w:sz w:val="28"/>
            <w:szCs w:val="28"/>
            <w:highlight w:val="none"/>
          </w:rPr>
          <w:t xml:space="preserve">goncharova-aa@dgk.ru</w:t>
        </w:r>
        <w:r>
          <w:rPr>
            <w:rStyle w:val="904"/>
            <w:rFonts w:ascii="Times New Roman" w:hAnsi="Times New Roman"/>
            <w:sz w:val="28"/>
            <w:szCs w:val="28"/>
            <w:highlight w:val="none"/>
          </w:rPr>
          <w:t xml:space="preserve">,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контактный телефон: +7(42138) 6-43-42 Гончарова Александра Алексеевна.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Комсомольские тепловые сети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 электронный адрес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 </w:t>
      </w:r>
      <w:hyperlink r:id="rId14" w:tooltip="Click to mail priemnaya-kts@dgk.ru" w:history="1">
        <w:r>
          <w:rPr>
            <w:rStyle w:val="904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priemnaya-kts@dgk.ru</w:t>
        </w:r>
      </w:hyperlink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+7(4217) 23-32-10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Приморские тепловые сети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 электронный адрес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 ozp-pts@dgk.ru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Биробиджанская ТЭЦ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на электронный адрес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color w:val="002060"/>
          <w:sz w:val="28"/>
          <w:szCs w:val="28"/>
          <w:highlight w:val="none"/>
        </w:rPr>
        <w:t xml:space="preserve"> priemnaya-btec@dgk.ru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контактный телефон: +7(42622) 9-27-03. </w:t>
      </w:r>
      <w:r/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Амурские тепловые сети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»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на электронный адрес: </w:t>
      </w:r>
      <w:hyperlink r:id="rId15" w:tooltip="http://doc-ats@dgk.ru" w:history="1">
        <w:r>
          <w:rPr>
            <w:rStyle w:val="904"/>
            <w:rFonts w:ascii="Times New Roman" w:hAnsi="Times New Roman"/>
            <w:sz w:val="28"/>
            <w:szCs w:val="28"/>
            <w:highlight w:val="white"/>
          </w:rPr>
          <w:t xml:space="preserve">doc-ats@dgk.ru</w:t>
        </w:r>
      </w:hyperlink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, 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контактный телефон: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+7(4162) 39-82-70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none"/>
          <w14:ligatures w14:val="none"/>
        </w:rPr>
      </w:r>
    </w:p>
    <w:p>
      <w:pPr>
        <w:pStyle w:val="911"/>
        <w:numPr>
          <w:ilvl w:val="0"/>
          <w:numId w:val="11"/>
        </w:numPr>
        <w:contextualSpacing w:val="0"/>
        <w:ind w:left="0" w:right="0" w:firstLine="567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СП «Николаевская ТЭЦ» на электронный адрес: </w:t>
      </w:r>
      <w:r>
        <w:rPr>
          <w:rFonts w:ascii="Times New Roman" w:hAnsi="Times New Roman" w:eastAsia="Times New Roman" w:cs="Times New Roman"/>
          <w:sz w:val="28"/>
          <w:szCs w:val="28"/>
        </w:rPr>
      </w:r>
      <w:hyperlink r:id="rId16" w:tooltip="Click to mail Рубанова Ирина Валентиновна &lt;rubanova-iv@dgk.ru&gt;" w:history="1">
        <w:r>
          <w:rPr>
            <w:rStyle w:val="904"/>
            <w:rFonts w:ascii="Times New Roman" w:hAnsi="Times New Roman" w:eastAsia="Times New Roman" w:cs="Times New Roman"/>
            <w:color w:val="0000ee"/>
            <w:sz w:val="28"/>
            <w:szCs w:val="28"/>
            <w:u w:val="single"/>
          </w:rPr>
          <w:t xml:space="preserve">rubanova-iv@dgk.ru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контактный телефон: </w:t>
      </w:r>
      <w:r>
        <w:rPr>
          <w:rFonts w:ascii="Times New Roman" w:hAnsi="Times New Roman" w:eastAsia="Times New Roman" w:cs="Times New Roman"/>
          <w:b w:val="0"/>
          <w:bCs w:val="0"/>
          <w:color w:val="212121"/>
          <w:sz w:val="28"/>
          <w:szCs w:val="28"/>
          <w:u w:val="none"/>
        </w:rPr>
        <w:t xml:space="preserve">+7 (42135) 64-200 доб. 36-169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contextualSpacing w:val="0"/>
        <w:ind w:left="567" w:right="0" w:firstLine="0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color w:val="auto"/>
          <w:sz w:val="28"/>
          <w:szCs w:val="28"/>
          <w:highlight w:val="white"/>
          <w14:ligatures w14:val="none"/>
        </w:rPr>
      </w:r>
    </w:p>
    <w:p>
      <w:pPr>
        <w:contextualSpacing w:val="0"/>
        <w:jc w:val="both"/>
        <w:spacing w:after="0" w:line="276" w:lineRule="auto"/>
        <w:rPr>
          <w:color w:val="ff0000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2. Для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проверки оценочных листов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расчета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индекса готовности, п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редставить комиссии, образованной при администрации муниципального образования,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 заполненные оценочные листы по форме 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Приложения N 2 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к Порядку проведения оценки обеспечения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готовности к отопительному периоду Правил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, с приложением необходимых 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подтверждающих документ</w:t>
      </w: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ов, согласно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пунктов 9 - 11 обозначенных Правил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</w:t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ind w:left="0" w:right="0" w:firstLine="540"/>
        <w:jc w:val="both"/>
        <w:spacing w:before="0" w:after="0" w:line="276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/>
          <w:sz w:val="28"/>
          <w:szCs w:val="28"/>
          <w:highlight w:val="none"/>
          <w14:ligatures w14:val="none"/>
        </w:rPr>
        <w:t xml:space="preserve">3.  </w:t>
      </w:r>
      <w:r>
        <w:rPr>
          <w:rFonts w:ascii="Times New Roman" w:hAnsi="Times New Roman"/>
          <w:color w:val="000000"/>
          <w:sz w:val="28"/>
          <w:szCs w:val="28"/>
          <w:highlight w:val="white"/>
          <w14:ligatures w14:val="none"/>
        </w:rPr>
        <w:t xml:space="preserve">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срока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х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 графике проведения оценки готовности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, Вы будете уведомлены комиссией, созданной при администрации муниципального образования согласно Правил.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76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jc w:val="both"/>
        <w:spacing w:after="0" w:line="276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contextualSpacing w:val="0"/>
        <w:ind w:left="0" w:right="0" w:firstLine="0"/>
        <w:jc w:val="both"/>
        <w:spacing w:after="0" w:line="264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lang w:bidi="ru-RU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851" w:right="567" w:bottom="568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">
    <w:panose1 w:val="020206030504050203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jc w:val="center"/>
    </w:pPr>
    <w:fldSimple w:instr="PAGE \* MERGEFORMAT">
      <w:r>
        <w:t xml:space="preserve">1</w:t>
      </w:r>
    </w:fldSimple>
    <w:r/>
    <w:r/>
  </w:p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899"/>
    <w:next w:val="899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basedOn w:val="900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899"/>
    <w:next w:val="899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basedOn w:val="900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899"/>
    <w:next w:val="899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basedOn w:val="900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9"/>
    <w:next w:val="899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9"/>
    <w:next w:val="899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9"/>
    <w:next w:val="899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9"/>
    <w:next w:val="899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9"/>
    <w:next w:val="899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0"/>
    <w:link w:val="745"/>
    <w:uiPriority w:val="10"/>
    <w:rPr>
      <w:sz w:val="48"/>
      <w:szCs w:val="48"/>
    </w:rPr>
  </w:style>
  <w:style w:type="paragraph" w:styleId="747">
    <w:name w:val="Subtitle"/>
    <w:basedOn w:val="899"/>
    <w:next w:val="899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0"/>
    <w:link w:val="747"/>
    <w:uiPriority w:val="11"/>
    <w:rPr>
      <w:sz w:val="24"/>
      <w:szCs w:val="24"/>
    </w:rPr>
  </w:style>
  <w:style w:type="paragraph" w:styleId="749">
    <w:name w:val="Quote"/>
    <w:basedOn w:val="899"/>
    <w:next w:val="899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9"/>
    <w:next w:val="899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0"/>
    <w:link w:val="905"/>
    <w:uiPriority w:val="99"/>
  </w:style>
  <w:style w:type="character" w:styleId="754">
    <w:name w:val="Footer Char"/>
    <w:basedOn w:val="900"/>
    <w:link w:val="907"/>
    <w:uiPriority w:val="99"/>
  </w:style>
  <w:style w:type="paragraph" w:styleId="755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6">
    <w:name w:val="Caption Char"/>
    <w:basedOn w:val="755"/>
    <w:link w:val="907"/>
    <w:uiPriority w:val="99"/>
  </w:style>
  <w:style w:type="table" w:styleId="757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6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7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8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9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0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1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0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0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</w:style>
  <w:style w:type="character" w:styleId="900" w:default="1">
    <w:name w:val="Default Paragraph Font"/>
    <w:uiPriority w:val="1"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>
    <w:name w:val="Normal (Web)"/>
    <w:basedOn w:val="8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>
    <w:name w:val="Hyperlink"/>
    <w:basedOn w:val="900"/>
    <w:uiPriority w:val="99"/>
    <w:unhideWhenUsed/>
    <w:rPr>
      <w:color w:val="0563c1" w:themeColor="hyperlink"/>
      <w:u w:val="single"/>
    </w:rPr>
  </w:style>
  <w:style w:type="paragraph" w:styleId="905">
    <w:name w:val="Header"/>
    <w:basedOn w:val="899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900"/>
    <w:link w:val="905"/>
    <w:uiPriority w:val="99"/>
  </w:style>
  <w:style w:type="paragraph" w:styleId="907">
    <w:name w:val="Footer"/>
    <w:basedOn w:val="899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900"/>
    <w:link w:val="907"/>
    <w:uiPriority w:val="99"/>
  </w:style>
  <w:style w:type="paragraph" w:styleId="909">
    <w:name w:val="Balloon Text"/>
    <w:basedOn w:val="899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900"/>
    <w:link w:val="909"/>
    <w:uiPriority w:val="99"/>
    <w:semiHidden/>
    <w:rPr>
      <w:rFonts w:ascii="Segoe UI" w:hAnsi="Segoe UI" w:cs="Segoe UI"/>
      <w:sz w:val="18"/>
      <w:szCs w:val="18"/>
    </w:rPr>
  </w:style>
  <w:style w:type="paragraph" w:styleId="911">
    <w:name w:val="List Paragraph"/>
    <w:basedOn w:val="899"/>
    <w:uiPriority w:val="34"/>
    <w:qFormat/>
    <w:pPr>
      <w:contextualSpacing/>
      <w:ind w:left="720"/>
    </w:pPr>
  </w:style>
  <w:style w:type="table" w:styleId="912">
    <w:name w:val="Table Grid"/>
    <w:basedOn w:val="9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mailto:dudkina-le@dgk.ru," TargetMode="External"/><Relationship Id="rId13" Type="http://schemas.openxmlformats.org/officeDocument/2006/relationships/hyperlink" Target="mailto:goncharova-aa@dgk.ru," TargetMode="External"/><Relationship Id="rId14" Type="http://schemas.openxmlformats.org/officeDocument/2006/relationships/hyperlink" Target="mailto:priemnaya-kts@dgk.ru" TargetMode="External"/><Relationship Id="rId15" Type="http://schemas.openxmlformats.org/officeDocument/2006/relationships/hyperlink" Target="http://doc-ats@dgk.ru" TargetMode="External"/><Relationship Id="rId16" Type="http://schemas.openxmlformats.org/officeDocument/2006/relationships/hyperlink" Target="mailto:%3d%3fkoi8-r%3fQ%3f%3dF2%3dD5%3dC2%3dC1%3dCE%3dCF%3dD7%3dC1_%3f%3d%20%3d%3fkoi8-r%3fQ%3f%3dE9%3dD2%3dC9%3dCE%3dC1_%3f%3d%20%3d%3fkoi8-r%3fQ%3f%3dF7%3dC1%3dCC%3dC5%3dCE%3dD4%3dC9%3dCE%3dCF%3dD7%3dCE%3dC1%3f%3d%20%3crubanova-iv@dgk.ru%3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DVGK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Сергей Валерьевич</dc:creator>
  <cp:keywords/>
  <dc:description/>
  <cp:lastModifiedBy>arutyunyan_vv</cp:lastModifiedBy>
  <cp:revision>54</cp:revision>
  <dcterms:created xsi:type="dcterms:W3CDTF">2020-02-13T01:46:00Z</dcterms:created>
  <dcterms:modified xsi:type="dcterms:W3CDTF">2025-04-03T07:11:10Z</dcterms:modified>
</cp:coreProperties>
</file>