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hanging="0" w:left="4536"/>
        <w:rPr/>
      </w:pPr>
      <w:r>
        <w:rPr/>
        <w:t>«УТВЕРЖДАЮ»</w:t>
      </w:r>
    </w:p>
    <w:p>
      <w:pPr>
        <w:pStyle w:val="Normal"/>
        <w:keepNext w:val="true"/>
        <w:keepLines/>
        <w:spacing w:lineRule="auto" w:line="240"/>
        <w:ind w:hanging="0" w:left="4536"/>
        <w:jc w:val="both"/>
        <w:rPr>
          <w:szCs w:val="28"/>
        </w:rPr>
      </w:pPr>
      <w:r>
        <w:rPr>
          <w:szCs w:val="28"/>
        </w:rPr>
        <w:t>Председатель закупочной комиссии 1-го уровня – Заместитель Генерального директора по управлению ресурсами АО «ДГК»</w:t>
      </w:r>
    </w:p>
    <w:p>
      <w:pPr>
        <w:pStyle w:val="Normal"/>
        <w:keepNext w:val="true"/>
        <w:keepLines/>
        <w:spacing w:lineRule="auto" w:line="240"/>
        <w:ind w:hanging="0" w:left="4536"/>
        <w:jc w:val="right"/>
        <w:rPr/>
      </w:pPr>
      <w:r>
        <w:rPr/>
      </w:r>
    </w:p>
    <w:p>
      <w:pPr>
        <w:pStyle w:val="Normal"/>
        <w:keepNext w:val="true"/>
        <w:keepLines/>
        <w:spacing w:lineRule="auto" w:line="240"/>
        <w:ind w:hanging="0" w:left="4536"/>
        <w:jc w:val="right"/>
        <w:rPr>
          <w:highlight w:val="none"/>
        </w:rPr>
      </w:pPr>
      <w:r>
        <w:rPr>
          <w:szCs w:val="28"/>
        </w:rPr>
        <w:t>________________Д.А. Богонатов</w:t>
      </w:r>
    </w:p>
    <w:p>
      <w:pPr>
        <w:pStyle w:val="Style21"/>
        <w:keepNext w:val="true"/>
        <w:ind w:hanging="0" w:left="4536"/>
        <w:rPr/>
      </w:pPr>
      <w:r>
        <w:rPr>
          <w:szCs w:val="28"/>
        </w:rPr>
        <w:t xml:space="preserve">                 </w:t>
      </w:r>
      <w:r>
        <w:rPr>
          <w:szCs w:val="28"/>
        </w:rPr>
        <w:t xml:space="preserve">«___»_______________ 2026г </w:t>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3"/>
          <w:i w:val="false"/>
          <w:iCs w:val="false"/>
          <w:shd w:fill="FFFFFF" w:val="clear"/>
        </w:rPr>
        <w:t>ОКПД2 43.99.90.110 Выполнение работ по ремонту дымовых труб Владивостокской ТЭЦ-2, г. Владивосток (ПП: 7.15-Рем-2022-ВТЭЦ2)».</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1"/>
        <w:keepNext w:val="true"/>
        <w:spacing w:before="240" w:after="0"/>
        <w:jc w:val="center"/>
        <w:rPr/>
      </w:pPr>
      <w:r>
        <w:rPr/>
        <w:t>(Лот №11040001-РЕМ ПРОД-2027-ДГК-ВТЭЦ2)</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tabs>
              <w:tab w:val="left" w:pos="851" w:leader="none"/>
              <w:tab w:val="right" w:pos="9923" w:leader="none"/>
            </w:tabs>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 \h</w:instrText>
          </w:r>
          <w:r>
            <w:rPr>
              <w:webHidden/>
              <w:rStyle w:val="Style12"/>
              <w:vanish w:val="false"/>
            </w:rPr>
            <w:fldChar w:fldCharType="separate"/>
          </w:r>
          <w:hyperlink w:anchor="_Toc1" w:tgtFrame="#_Toc1">
            <w:r>
              <w:rPr>
                <w:webHidden/>
              </w:rPr>
              <w:fldChar w:fldCharType="begin"/>
            </w:r>
            <w:r>
              <w:rPr>
                <w:webHidden/>
              </w:rPr>
              <w:instrText xml:space="preserve">PAGEREF _Toc1 \h</w:instrText>
            </w:r>
            <w:r>
              <w:rPr>
                <w:webHidden/>
              </w:rPr>
              <w:fldChar w:fldCharType="separate"/>
            </w:r>
            <w:r>
              <w:rPr>
                <w:webHidden/>
                <w:rStyle w:val="Style12"/>
                <w:vanish w:val="false"/>
              </w:rPr>
              <w:t>Сокращения</w:t>
              <w:tab/>
              <w:t>6</w:t>
            </w:r>
            <w:r>
              <w:rPr>
                <w:webHidden/>
              </w:rPr>
              <w:fldChar w:fldCharType="end"/>
            </w:r>
          </w:hyperlink>
        </w:p>
        <w:p>
          <w:pPr>
            <w:pStyle w:val="TOC1"/>
            <w:tabs>
              <w:tab w:val="left" w:pos="851" w:leader="none"/>
              <w:tab w:val="right" w:pos="9923" w:leader="none"/>
            </w:tabs>
            <w:rPr/>
          </w:pPr>
          <w:hyperlink w:anchor="_Toc2" w:tgtFrame="#_Toc2">
            <w:r>
              <w:rPr>
                <w:webHidden/>
              </w:rPr>
              <w:fldChar w:fldCharType="begin"/>
            </w:r>
            <w:r>
              <w:rPr>
                <w:webHidden/>
              </w:rPr>
              <w:instrText xml:space="preserve">PAGEREF _Toc2 \h</w:instrText>
            </w:r>
            <w:r>
              <w:rPr>
                <w:webHidden/>
              </w:rPr>
              <w:fldChar w:fldCharType="separate"/>
            </w:r>
            <w:r>
              <w:rPr>
                <w:webHidden/>
                <w:rStyle w:val="Style12"/>
                <w:vanish w:val="false"/>
              </w:rPr>
              <w:t>Термины и определения</w:t>
              <w:tab/>
              <w:t>8</w:t>
            </w:r>
            <w:r>
              <w:rPr>
                <w:webHidden/>
              </w:rPr>
              <w:fldChar w:fldCharType="end"/>
            </w:r>
          </w:hyperlink>
        </w:p>
        <w:p>
          <w:pPr>
            <w:pStyle w:val="TOC1"/>
            <w:tabs>
              <w:tab w:val="left" w:pos="567" w:leader="none"/>
              <w:tab w:val="left" w:pos="851" w:leader="none"/>
              <w:tab w:val="right" w:pos="9923" w:leader="none"/>
            </w:tabs>
            <w:rPr/>
          </w:pPr>
          <w:hyperlink w:anchor="_Toc3" w:tgtFrame="#_Toc3">
            <w:r>
              <w:rPr>
                <w:webHidden/>
                <w:rStyle w:val="Style12"/>
                <w:rFonts w:eastAsia="Calibri" w:cs="Arial" w:cstheme="minorBidi" w:eastAsiaTheme="minorHAnsi"/>
                <w:vanish w:val="false"/>
              </w:rPr>
              <w:t>1.</w:t>
            </w:r>
            <w:r>
              <w:rPr>
                <w:webHidden/>
              </w:rPr>
              <w:fldChar w:fldCharType="begin"/>
            </w:r>
            <w:r>
              <w:rPr>
                <w:webHidden/>
              </w:rPr>
              <w:instrText xml:space="preserve">PAGEREF _Toc3 \h</w:instrText>
            </w:r>
            <w:r>
              <w:rPr>
                <w:webHidden/>
              </w:rPr>
              <w:fldChar w:fldCharType="separate"/>
            </w:r>
            <w:r>
              <w:rPr>
                <w:rStyle w:val="Style12"/>
              </w:rPr>
              <w:tab/>
              <w:t>Основные сведения о закупке</w:t>
              <w:tab/>
              <w:t>12</w:t>
            </w:r>
            <w:r>
              <w:rPr>
                <w:webHidden/>
              </w:rPr>
              <w:fldChar w:fldCharType="end"/>
            </w:r>
          </w:hyperlink>
        </w:p>
        <w:p>
          <w:pPr>
            <w:pStyle w:val="TOC2"/>
            <w:tabs>
              <w:tab w:val="left" w:pos="567" w:leader="none"/>
              <w:tab w:val="left" w:pos="851" w:leader="none"/>
              <w:tab w:val="right" w:pos="9923" w:leader="none"/>
            </w:tabs>
            <w:rPr/>
          </w:pPr>
          <w:hyperlink w:anchor="_Toc4" w:tgtFrame="#_Toc4">
            <w:r>
              <w:rPr>
                <w:webHidden/>
                <w:rStyle w:val="Style12"/>
                <w:rFonts w:eastAsia="Calibri" w:cs="Arial" w:cstheme="minorBidi" w:eastAsiaTheme="minorHAnsi"/>
                <w:vanish w:val="false"/>
              </w:rPr>
              <w:t>1.1</w:t>
            </w:r>
            <w:r>
              <w:rPr>
                <w:webHidden/>
              </w:rPr>
              <w:fldChar w:fldCharType="begin"/>
            </w:r>
            <w:r>
              <w:rPr>
                <w:webHidden/>
              </w:rPr>
              <w:instrText xml:space="preserve">PAGEREF _Toc4 \h</w:instrText>
            </w:r>
            <w:r>
              <w:rPr>
                <w:webHidden/>
              </w:rPr>
              <w:fldChar w:fldCharType="separate"/>
            </w:r>
            <w:r>
              <w:rPr>
                <w:rStyle w:val="Style12"/>
              </w:rPr>
              <w:tab/>
              <w:t>Статус настоящего раздела</w:t>
              <w:tab/>
              <w:t>12</w:t>
            </w:r>
            <w:r>
              <w:rPr>
                <w:webHidden/>
              </w:rPr>
              <w:fldChar w:fldCharType="end"/>
            </w:r>
          </w:hyperlink>
        </w:p>
        <w:p>
          <w:pPr>
            <w:pStyle w:val="TOC2"/>
            <w:tabs>
              <w:tab w:val="left" w:pos="567" w:leader="none"/>
              <w:tab w:val="left" w:pos="851" w:leader="none"/>
              <w:tab w:val="right" w:pos="9923" w:leader="none"/>
            </w:tabs>
            <w:rPr/>
          </w:pPr>
          <w:hyperlink w:anchor="_Toc5" w:tgtFrame="#_Toc5">
            <w:r>
              <w:rPr>
                <w:webHidden/>
                <w:rStyle w:val="Style12"/>
                <w:rFonts w:eastAsia="Calibri" w:cs="Arial" w:cstheme="minorBidi" w:eastAsiaTheme="minorHAnsi"/>
                <w:vanish w:val="false"/>
              </w:rPr>
              <w:t>1.2</w:t>
            </w:r>
            <w:r>
              <w:rPr>
                <w:webHidden/>
              </w:rPr>
              <w:fldChar w:fldCharType="begin"/>
            </w:r>
            <w:r>
              <w:rPr>
                <w:webHidden/>
              </w:rPr>
              <w:instrText xml:space="preserve">PAGEREF _Toc5 \h</w:instrText>
            </w:r>
            <w:r>
              <w:rPr>
                <w:webHidden/>
              </w:rPr>
              <w:fldChar w:fldCharType="separate"/>
            </w:r>
            <w:r>
              <w:rPr>
                <w:rStyle w:val="Style12"/>
              </w:rPr>
              <w:tab/>
              <w:t>Информация о проводимой закупке</w:t>
              <w:tab/>
              <w:t>12</w:t>
            </w:r>
            <w:r>
              <w:rPr>
                <w:webHidden/>
              </w:rPr>
              <w:fldChar w:fldCharType="end"/>
            </w:r>
          </w:hyperlink>
        </w:p>
        <w:p>
          <w:pPr>
            <w:pStyle w:val="TOC1"/>
            <w:tabs>
              <w:tab w:val="left" w:pos="567" w:leader="none"/>
              <w:tab w:val="left" w:pos="851" w:leader="none"/>
              <w:tab w:val="right" w:pos="9923" w:leader="none"/>
            </w:tabs>
            <w:rPr/>
          </w:pPr>
          <w:hyperlink w:anchor="_Toc6" w:tgtFrame="#_Toc6">
            <w:r>
              <w:rPr>
                <w:webHidden/>
                <w:rStyle w:val="Style12"/>
                <w:rFonts w:eastAsia="Calibri" w:cs="Arial" w:cstheme="minorBidi" w:eastAsiaTheme="minorHAnsi"/>
                <w:vanish w:val="false"/>
              </w:rPr>
              <w:t>2.</w:t>
            </w:r>
            <w:r>
              <w:rPr>
                <w:webHidden/>
              </w:rPr>
              <w:fldChar w:fldCharType="begin"/>
            </w:r>
            <w:r>
              <w:rPr>
                <w:webHidden/>
              </w:rPr>
              <w:instrText xml:space="preserve">PAGEREF _Toc6 \h</w:instrText>
            </w:r>
            <w:r>
              <w:rPr>
                <w:webHidden/>
              </w:rPr>
              <w:fldChar w:fldCharType="separate"/>
            </w:r>
            <w:r>
              <w:rPr>
                <w:rStyle w:val="Style12"/>
              </w:rPr>
              <w:tab/>
              <w:t>Общие положения</w:t>
              <w:tab/>
              <w:t>18</w:t>
            </w:r>
            <w:r>
              <w:rPr>
                <w:webHidden/>
              </w:rPr>
              <w:fldChar w:fldCharType="end"/>
            </w:r>
          </w:hyperlink>
        </w:p>
        <w:p>
          <w:pPr>
            <w:pStyle w:val="TOC2"/>
            <w:tabs>
              <w:tab w:val="left" w:pos="567" w:leader="none"/>
              <w:tab w:val="left" w:pos="851" w:leader="none"/>
              <w:tab w:val="right" w:pos="9923" w:leader="none"/>
            </w:tabs>
            <w:rPr/>
          </w:pPr>
          <w:hyperlink w:anchor="_Toc7" w:tgtFrame="#_Toc7">
            <w:r>
              <w:rPr>
                <w:webHidden/>
                <w:rStyle w:val="Style12"/>
                <w:rFonts w:eastAsia="Calibri" w:cs="Arial" w:cstheme="minorBidi" w:eastAsiaTheme="minorHAnsi"/>
                <w:vanish w:val="false"/>
              </w:rPr>
              <w:t>2.1</w:t>
            </w:r>
            <w:r>
              <w:rPr>
                <w:webHidden/>
              </w:rPr>
              <w:fldChar w:fldCharType="begin"/>
            </w:r>
            <w:r>
              <w:rPr>
                <w:webHidden/>
              </w:rPr>
              <w:instrText xml:space="preserve">PAGEREF _Toc7 \h</w:instrText>
            </w:r>
            <w:r>
              <w:rPr>
                <w:webHidden/>
              </w:rPr>
              <w:fldChar w:fldCharType="separate"/>
            </w:r>
            <w:r>
              <w:rPr>
                <w:rStyle w:val="Style12"/>
              </w:rPr>
              <w:tab/>
              <w:t>Общие сведения о закупке</w:t>
              <w:tab/>
              <w:t>18</w:t>
            </w:r>
            <w:r>
              <w:rPr>
                <w:webHidden/>
              </w:rPr>
              <w:fldChar w:fldCharType="end"/>
            </w:r>
          </w:hyperlink>
        </w:p>
        <w:p>
          <w:pPr>
            <w:pStyle w:val="TOC2"/>
            <w:tabs>
              <w:tab w:val="left" w:pos="567" w:leader="none"/>
              <w:tab w:val="left" w:pos="851" w:leader="none"/>
              <w:tab w:val="right" w:pos="9923" w:leader="none"/>
            </w:tabs>
            <w:rPr/>
          </w:pPr>
          <w:hyperlink w:anchor="_Toc8" w:tgtFrame="#_Toc8">
            <w:r>
              <w:rPr>
                <w:webHidden/>
                <w:rStyle w:val="Style12"/>
                <w:rFonts w:eastAsia="Calibri" w:cs="Arial" w:cstheme="minorBidi" w:eastAsiaTheme="minorHAnsi"/>
                <w:vanish w:val="false"/>
              </w:rPr>
              <w:t>2.2</w:t>
            </w:r>
            <w:r>
              <w:rPr>
                <w:webHidden/>
              </w:rPr>
              <w:fldChar w:fldCharType="begin"/>
            </w:r>
            <w:r>
              <w:rPr>
                <w:webHidden/>
              </w:rPr>
              <w:instrText xml:space="preserve">PAGEREF _Toc8 \h</w:instrText>
            </w:r>
            <w:r>
              <w:rPr>
                <w:webHidden/>
              </w:rPr>
              <w:fldChar w:fldCharType="separate"/>
            </w:r>
            <w:r>
              <w:rPr>
                <w:rStyle w:val="Style12"/>
              </w:rPr>
              <w:tab/>
              <w:t>Правовой статус документов</w:t>
              <w:tab/>
              <w:t>18</w:t>
            </w:r>
            <w:r>
              <w:rPr>
                <w:webHidden/>
              </w:rPr>
              <w:fldChar w:fldCharType="end"/>
            </w:r>
          </w:hyperlink>
        </w:p>
        <w:p>
          <w:pPr>
            <w:pStyle w:val="TOC2"/>
            <w:tabs>
              <w:tab w:val="left" w:pos="567" w:leader="none"/>
              <w:tab w:val="left" w:pos="851" w:leader="none"/>
              <w:tab w:val="right" w:pos="9923" w:leader="none"/>
            </w:tabs>
            <w:rPr/>
          </w:pPr>
          <w:hyperlink w:anchor="_Toc9" w:tgtFrame="#_Toc9">
            <w:r>
              <w:rPr>
                <w:webHidden/>
                <w:rStyle w:val="Style12"/>
                <w:rFonts w:eastAsia="Calibri" w:cs="Arial" w:cstheme="minorBidi" w:eastAsiaTheme="minorHAnsi"/>
                <w:vanish w:val="false"/>
              </w:rPr>
              <w:t>2.3</w:t>
            </w:r>
            <w:r>
              <w:rPr>
                <w:webHidden/>
              </w:rPr>
              <w:fldChar w:fldCharType="begin"/>
            </w:r>
            <w:r>
              <w:rPr>
                <w:webHidden/>
              </w:rPr>
              <w:instrText xml:space="preserve">PAGEREF _Toc9 \h</w:instrText>
            </w:r>
            <w:r>
              <w:rPr>
                <w:webHidden/>
              </w:rPr>
              <w:fldChar w:fldCharType="separate"/>
            </w:r>
            <w:r>
              <w:rPr>
                <w:rStyle w:val="Style12"/>
              </w:rPr>
              <w:tab/>
              <w:t>Обжалование</w:t>
              <w:tab/>
              <w:t>19</w:t>
            </w:r>
            <w:r>
              <w:rPr>
                <w:webHidden/>
              </w:rPr>
              <w:fldChar w:fldCharType="end"/>
            </w:r>
          </w:hyperlink>
        </w:p>
        <w:p>
          <w:pPr>
            <w:pStyle w:val="TOC2"/>
            <w:tabs>
              <w:tab w:val="left" w:pos="567" w:leader="none"/>
              <w:tab w:val="left" w:pos="851" w:leader="none"/>
              <w:tab w:val="right" w:pos="9923" w:leader="none"/>
            </w:tabs>
            <w:rPr/>
          </w:pPr>
          <w:hyperlink w:anchor="_Toc10" w:tgtFrame="#_Toc10">
            <w:r>
              <w:rPr>
                <w:webHidden/>
                <w:rStyle w:val="Style12"/>
                <w:rFonts w:eastAsia="Calibri" w:cs="Arial" w:cstheme="minorBidi" w:eastAsiaTheme="minorHAnsi"/>
                <w:vanish w:val="false"/>
              </w:rPr>
              <w:t>2.4</w:t>
            </w:r>
            <w:r>
              <w:rPr>
                <w:webHidden/>
              </w:rPr>
              <w:fldChar w:fldCharType="begin"/>
            </w:r>
            <w:r>
              <w:rPr>
                <w:webHidden/>
              </w:rPr>
              <w:instrText xml:space="preserve">PAGEREF _Toc10 \h</w:instrText>
            </w:r>
            <w:r>
              <w:rPr>
                <w:webHidden/>
              </w:rPr>
              <w:fldChar w:fldCharType="separate"/>
            </w:r>
            <w:r>
              <w:rPr>
                <w:rStyle w:val="Style12"/>
              </w:rPr>
              <w:tab/>
              <w:t>Особые положения при проведении закупки с использованием ЭП</w:t>
              <w:tab/>
              <w:t>20</w:t>
            </w:r>
            <w:r>
              <w:rPr>
                <w:webHidden/>
              </w:rPr>
              <w:fldChar w:fldCharType="end"/>
            </w:r>
          </w:hyperlink>
        </w:p>
        <w:p>
          <w:pPr>
            <w:pStyle w:val="TOC2"/>
            <w:tabs>
              <w:tab w:val="left" w:pos="567" w:leader="none"/>
              <w:tab w:val="left" w:pos="851" w:leader="none"/>
              <w:tab w:val="right" w:pos="9923" w:leader="none"/>
            </w:tabs>
            <w:rPr/>
          </w:pPr>
          <w:hyperlink w:anchor="_Toc11" w:tgtFrame="#_Toc11">
            <w:r>
              <w:rPr>
                <w:webHidden/>
                <w:rStyle w:val="Style12"/>
                <w:rFonts w:eastAsia="Calibri" w:cs="Arial" w:cstheme="minorBidi" w:eastAsiaTheme="minorHAnsi"/>
                <w:vanish w:val="false"/>
              </w:rPr>
              <w:t>2.5</w:t>
            </w:r>
            <w:r>
              <w:rPr>
                <w:webHidden/>
              </w:rPr>
              <w:fldChar w:fldCharType="begin"/>
            </w:r>
            <w:r>
              <w:rPr>
                <w:webHidden/>
              </w:rPr>
              <w:instrText xml:space="preserve">PAGEREF _Toc11 \h</w:instrText>
            </w:r>
            <w:r>
              <w:rPr>
                <w:webHidden/>
              </w:rPr>
              <w:fldChar w:fldCharType="separate"/>
            </w:r>
            <w:r>
              <w:rPr>
                <w:rStyle w:val="Style12"/>
              </w:rPr>
              <w:tab/>
              <w:t>Прочие положения</w:t>
              <w:tab/>
              <w:t>20</w:t>
            </w:r>
            <w:r>
              <w:rPr>
                <w:webHidden/>
              </w:rPr>
              <w:fldChar w:fldCharType="end"/>
            </w:r>
          </w:hyperlink>
        </w:p>
        <w:p>
          <w:pPr>
            <w:pStyle w:val="TOC1"/>
            <w:tabs>
              <w:tab w:val="left" w:pos="567" w:leader="none"/>
              <w:tab w:val="left" w:pos="851" w:leader="none"/>
              <w:tab w:val="right" w:pos="9923" w:leader="none"/>
            </w:tabs>
            <w:rPr/>
          </w:pPr>
          <w:hyperlink w:anchor="_Toc12" w:tgtFrame="#_Toc12">
            <w:r>
              <w:rPr>
                <w:webHidden/>
                <w:rStyle w:val="Style12"/>
                <w:rFonts w:eastAsia="Calibri" w:cs="Arial" w:cstheme="minorBidi" w:eastAsiaTheme="minorHAnsi"/>
                <w:vanish w:val="false"/>
              </w:rPr>
              <w:t>3.</w:t>
            </w:r>
            <w:r>
              <w:rPr>
                <w:webHidden/>
              </w:rPr>
              <w:fldChar w:fldCharType="begin"/>
            </w:r>
            <w:r>
              <w:rPr>
                <w:webHidden/>
              </w:rPr>
              <w:instrText xml:space="preserve">PAGEREF _Toc12 \h</w:instrText>
            </w:r>
            <w:r>
              <w:rPr>
                <w:webHidden/>
              </w:rPr>
              <w:fldChar w:fldCharType="separate"/>
            </w:r>
            <w:r>
              <w:rPr>
                <w:rStyle w:val="Style12"/>
              </w:rPr>
              <w:tab/>
              <w:t>Требования к Участникам</w:t>
              <w:tab/>
              <w:t>22</w:t>
            </w:r>
            <w:r>
              <w:rPr>
                <w:webHidden/>
              </w:rPr>
              <w:fldChar w:fldCharType="end"/>
            </w:r>
          </w:hyperlink>
        </w:p>
        <w:p>
          <w:pPr>
            <w:pStyle w:val="TOC2"/>
            <w:tabs>
              <w:tab w:val="left" w:pos="567" w:leader="none"/>
              <w:tab w:val="left" w:pos="851" w:leader="none"/>
              <w:tab w:val="right" w:pos="9923" w:leader="none"/>
            </w:tabs>
            <w:rPr/>
          </w:pPr>
          <w:hyperlink w:anchor="_Toc13" w:tgtFrame="#_Toc13">
            <w:r>
              <w:rPr>
                <w:webHidden/>
                <w:rStyle w:val="Style12"/>
                <w:rFonts w:eastAsia="Calibri" w:cs="Arial" w:cstheme="minorBidi" w:eastAsiaTheme="minorHAnsi"/>
                <w:vanish w:val="false"/>
              </w:rPr>
              <w:t>3.1</w:t>
            </w:r>
            <w:r>
              <w:rPr>
                <w:webHidden/>
              </w:rPr>
              <w:fldChar w:fldCharType="begin"/>
            </w:r>
            <w:r>
              <w:rPr>
                <w:webHidden/>
              </w:rPr>
              <w:instrText xml:space="preserve">PAGEREF _Toc13 \h</w:instrText>
            </w:r>
            <w:r>
              <w:rPr>
                <w:webHidden/>
              </w:rPr>
              <w:fldChar w:fldCharType="separate"/>
            </w:r>
            <w:r>
              <w:rPr>
                <w:rStyle w:val="Style12"/>
              </w:rPr>
              <w:tab/>
              <w:t>Общие требования к Участникам</w:t>
              <w:tab/>
              <w:t>22</w:t>
            </w:r>
            <w:r>
              <w:rPr>
                <w:webHidden/>
              </w:rPr>
              <w:fldChar w:fldCharType="end"/>
            </w:r>
          </w:hyperlink>
        </w:p>
        <w:p>
          <w:pPr>
            <w:pStyle w:val="TOC2"/>
            <w:tabs>
              <w:tab w:val="left" w:pos="567" w:leader="none"/>
              <w:tab w:val="left" w:pos="851" w:leader="none"/>
              <w:tab w:val="right" w:pos="9923" w:leader="none"/>
            </w:tabs>
            <w:rPr/>
          </w:pPr>
          <w:hyperlink w:anchor="_Toc14" w:tgtFrame="#_Toc14">
            <w:r>
              <w:rPr>
                <w:webHidden/>
                <w:rStyle w:val="Style12"/>
                <w:rFonts w:eastAsia="Calibri" w:cs="Arial" w:cstheme="minorBidi" w:eastAsiaTheme="minorHAnsi"/>
                <w:vanish w:val="false"/>
              </w:rPr>
              <w:t>3.2</w:t>
            </w:r>
            <w:r>
              <w:rPr>
                <w:webHidden/>
              </w:rPr>
              <w:fldChar w:fldCharType="begin"/>
            </w:r>
            <w:r>
              <w:rPr>
                <w:webHidden/>
              </w:rPr>
              <w:instrText xml:space="preserve">PAGEREF _Toc14 \h</w:instrText>
            </w:r>
            <w:r>
              <w:rPr>
                <w:webHidden/>
              </w:rPr>
              <w:fldChar w:fldCharType="separate"/>
            </w:r>
            <w:r>
              <w:rPr>
                <w:rStyle w:val="Style12"/>
              </w:rPr>
              <w:tab/>
              <w:t>Генеральные подрядчики</w:t>
              <w:tab/>
              <w:t>22</w:t>
            </w:r>
            <w:r>
              <w:rPr>
                <w:webHidden/>
              </w:rPr>
              <w:fldChar w:fldCharType="end"/>
            </w:r>
          </w:hyperlink>
        </w:p>
        <w:p>
          <w:pPr>
            <w:pStyle w:val="TOC1"/>
            <w:tabs>
              <w:tab w:val="left" w:pos="567" w:leader="none"/>
              <w:tab w:val="left" w:pos="851" w:leader="none"/>
              <w:tab w:val="right" w:pos="9923" w:leader="none"/>
            </w:tabs>
            <w:rPr/>
          </w:pPr>
          <w:hyperlink w:anchor="_Toc15" w:tgtFrame="#_Toc15">
            <w:r>
              <w:rPr>
                <w:webHidden/>
                <w:rStyle w:val="Style12"/>
                <w:rFonts w:eastAsia="Calibri" w:cs="Arial" w:cstheme="minorBidi" w:eastAsiaTheme="minorHAnsi"/>
                <w:vanish w:val="false"/>
              </w:rPr>
              <w:t>4.</w:t>
            </w:r>
            <w:r>
              <w:rPr>
                <w:webHidden/>
              </w:rPr>
              <w:fldChar w:fldCharType="begin"/>
            </w:r>
            <w:r>
              <w:rPr>
                <w:webHidden/>
              </w:rPr>
              <w:instrText xml:space="preserve">PAGEREF _Toc15 \h</w:instrText>
            </w:r>
            <w:r>
              <w:rPr>
                <w:webHidden/>
              </w:rPr>
              <w:fldChar w:fldCharType="separate"/>
            </w:r>
            <w:r>
              <w:rPr>
                <w:rStyle w:val="Style12"/>
              </w:rPr>
              <w:tab/>
              <w:t>Порядок проведения закупки</w:t>
              <w:tab/>
              <w:t>24</w:t>
            </w:r>
            <w:r>
              <w:rPr>
                <w:webHidden/>
              </w:rPr>
              <w:fldChar w:fldCharType="end"/>
            </w:r>
          </w:hyperlink>
        </w:p>
        <w:p>
          <w:pPr>
            <w:pStyle w:val="TOC2"/>
            <w:tabs>
              <w:tab w:val="left" w:pos="567" w:leader="none"/>
              <w:tab w:val="left" w:pos="851" w:leader="none"/>
              <w:tab w:val="right" w:pos="9923" w:leader="none"/>
            </w:tabs>
            <w:rPr/>
          </w:pPr>
          <w:hyperlink w:anchor="_Toc16" w:tgtFrame="#_Toc16">
            <w:r>
              <w:rPr>
                <w:webHidden/>
                <w:rStyle w:val="Style12"/>
                <w:rFonts w:eastAsia="Calibri" w:cs="Arial" w:cstheme="minorBidi" w:eastAsiaTheme="minorHAnsi"/>
                <w:vanish w:val="false"/>
              </w:rPr>
              <w:t>4.1</w:t>
            </w:r>
            <w:r>
              <w:rPr>
                <w:webHidden/>
              </w:rPr>
              <w:fldChar w:fldCharType="begin"/>
            </w:r>
            <w:r>
              <w:rPr>
                <w:webHidden/>
              </w:rPr>
              <w:instrText xml:space="preserve">PAGEREF _Toc16 \h</w:instrText>
            </w:r>
            <w:r>
              <w:rPr>
                <w:webHidden/>
              </w:rPr>
              <w:fldChar w:fldCharType="separate"/>
            </w:r>
            <w:r>
              <w:rPr>
                <w:rStyle w:val="Style12"/>
              </w:rPr>
              <w:tab/>
              <w:t>Общий порядок проведения закупки</w:t>
              <w:tab/>
              <w:t>24</w:t>
            </w:r>
            <w:r>
              <w:rPr>
                <w:webHidden/>
              </w:rPr>
              <w:fldChar w:fldCharType="end"/>
            </w:r>
          </w:hyperlink>
        </w:p>
        <w:p>
          <w:pPr>
            <w:pStyle w:val="TOC2"/>
            <w:tabs>
              <w:tab w:val="left" w:pos="567" w:leader="none"/>
              <w:tab w:val="left" w:pos="851" w:leader="none"/>
              <w:tab w:val="right" w:pos="9923" w:leader="none"/>
            </w:tabs>
            <w:rPr/>
          </w:pPr>
          <w:hyperlink w:anchor="_Toc17" w:tgtFrame="#_Toc17">
            <w:r>
              <w:rPr>
                <w:webHidden/>
                <w:rStyle w:val="Style12"/>
                <w:rFonts w:eastAsia="Calibri" w:cs="Arial" w:cstheme="minorBidi" w:eastAsiaTheme="minorHAnsi"/>
                <w:vanish w:val="false"/>
              </w:rPr>
              <w:t>4.2</w:t>
            </w:r>
            <w:r>
              <w:rPr>
                <w:webHidden/>
              </w:rPr>
              <w:fldChar w:fldCharType="begin"/>
            </w:r>
            <w:r>
              <w:rPr>
                <w:webHidden/>
              </w:rPr>
              <w:instrText xml:space="preserve">PAGEREF _Toc17 \h</w:instrText>
            </w:r>
            <w:r>
              <w:rPr>
                <w:webHidden/>
              </w:rPr>
              <w:fldChar w:fldCharType="separate"/>
            </w:r>
            <w:r>
              <w:rPr>
                <w:rStyle w:val="Style12"/>
              </w:rPr>
              <w:tab/>
              <w:t>Официальное размещение Извещения и Документации о закупке</w:t>
              <w:tab/>
              <w:t>25</w:t>
            </w:r>
            <w:r>
              <w:rPr>
                <w:webHidden/>
              </w:rPr>
              <w:fldChar w:fldCharType="end"/>
            </w:r>
          </w:hyperlink>
        </w:p>
        <w:p>
          <w:pPr>
            <w:pStyle w:val="TOC2"/>
            <w:tabs>
              <w:tab w:val="left" w:pos="567" w:leader="none"/>
              <w:tab w:val="left" w:pos="851" w:leader="none"/>
              <w:tab w:val="right" w:pos="9923" w:leader="none"/>
            </w:tabs>
            <w:rPr/>
          </w:pPr>
          <w:hyperlink w:anchor="_Toc18" w:tgtFrame="#_Toc18">
            <w:r>
              <w:rPr>
                <w:webHidden/>
                <w:rStyle w:val="Style12"/>
                <w:rFonts w:eastAsia="Calibri" w:cs="Arial" w:cstheme="minorBidi" w:eastAsiaTheme="minorHAnsi"/>
                <w:vanish w:val="false"/>
              </w:rPr>
              <w:t>4.3</w:t>
            </w:r>
            <w:r>
              <w:rPr>
                <w:webHidden/>
              </w:rPr>
              <w:fldChar w:fldCharType="begin"/>
            </w:r>
            <w:r>
              <w:rPr>
                <w:webHidden/>
              </w:rPr>
              <w:instrText xml:space="preserve">PAGEREF _Toc18 \h</w:instrText>
            </w:r>
            <w:r>
              <w:rPr>
                <w:webHidden/>
              </w:rPr>
              <w:fldChar w:fldCharType="separate"/>
            </w:r>
            <w:r>
              <w:rPr>
                <w:rStyle w:val="Style12"/>
              </w:rPr>
              <w:tab/>
              <w:t>Подготовка заявки</w:t>
              <w:tab/>
              <w:t>25</w:t>
            </w:r>
            <w:r>
              <w:rPr>
                <w:webHidden/>
              </w:rPr>
              <w:fldChar w:fldCharType="end"/>
            </w:r>
          </w:hyperlink>
        </w:p>
        <w:p>
          <w:pPr>
            <w:pStyle w:val="TOC2"/>
            <w:tabs>
              <w:tab w:val="left" w:pos="567" w:leader="none"/>
              <w:tab w:val="left" w:pos="851" w:leader="none"/>
              <w:tab w:val="right" w:pos="9923" w:leader="none"/>
            </w:tabs>
            <w:rPr/>
          </w:pPr>
          <w:hyperlink w:anchor="_Toc19" w:tgtFrame="#_Toc19">
            <w:r>
              <w:rPr>
                <w:webHidden/>
                <w:rStyle w:val="Style12"/>
                <w:rFonts w:eastAsia="Calibri" w:cs="Arial" w:cstheme="minorBidi" w:eastAsiaTheme="minorHAnsi"/>
                <w:vanish w:val="false"/>
              </w:rPr>
              <w:t>4.4</w:t>
            </w:r>
            <w:r>
              <w:rPr>
                <w:webHidden/>
              </w:rPr>
              <w:fldChar w:fldCharType="begin"/>
            </w:r>
            <w:r>
              <w:rPr>
                <w:webHidden/>
              </w:rPr>
              <w:instrText xml:space="preserve">PAGEREF _Toc19 \h</w:instrText>
            </w:r>
            <w:r>
              <w:rPr>
                <w:webHidden/>
              </w:rPr>
              <w:fldChar w:fldCharType="separate"/>
            </w:r>
            <w:r>
              <w:rPr>
                <w:rStyle w:val="Style12"/>
              </w:rPr>
              <w:tab/>
              <w:t>Разъяснение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0" w:tgtFrame="#_Toc20">
            <w:r>
              <w:rPr>
                <w:webHidden/>
                <w:rStyle w:val="Style12"/>
                <w:rFonts w:eastAsia="Calibri" w:cs="Arial" w:cstheme="minorBidi" w:eastAsiaTheme="minorHAnsi"/>
                <w:vanish w:val="false"/>
              </w:rPr>
              <w:t>4.5</w:t>
            </w:r>
            <w:r>
              <w:rPr>
                <w:webHidden/>
              </w:rPr>
              <w:fldChar w:fldCharType="begin"/>
            </w:r>
            <w:r>
              <w:rPr>
                <w:webHidden/>
              </w:rPr>
              <w:instrText xml:space="preserve">PAGEREF _Toc20 \h</w:instrText>
            </w:r>
            <w:r>
              <w:rPr>
                <w:webHidden/>
              </w:rPr>
              <w:fldChar w:fldCharType="separate"/>
            </w:r>
            <w:r>
              <w:rPr>
                <w:rStyle w:val="Style12"/>
              </w:rPr>
              <w:tab/>
              <w:t>Изменения Извещения и (или)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1" w:tgtFrame="#_Toc21">
            <w:r>
              <w:rPr>
                <w:webHidden/>
                <w:rStyle w:val="Style12"/>
                <w:rFonts w:eastAsia="Calibri" w:cs="Arial" w:cstheme="minorBidi" w:eastAsiaTheme="minorHAnsi"/>
                <w:vanish w:val="false"/>
              </w:rPr>
              <w:t>4.6</w:t>
            </w:r>
            <w:r>
              <w:rPr>
                <w:webHidden/>
              </w:rPr>
              <w:fldChar w:fldCharType="begin"/>
            </w:r>
            <w:r>
              <w:rPr>
                <w:webHidden/>
              </w:rPr>
              <w:instrText xml:space="preserve">PAGEREF _Toc21 \h</w:instrText>
            </w:r>
            <w:r>
              <w:rPr>
                <w:webHidden/>
              </w:rPr>
              <w:fldChar w:fldCharType="separate"/>
            </w:r>
            <w:r>
              <w:rPr>
                <w:rStyle w:val="Style12"/>
              </w:rPr>
              <w:tab/>
              <w:t>Подача заявок и их прием</w:t>
              <w:tab/>
              <w:t>29</w:t>
            </w:r>
            <w:r>
              <w:rPr>
                <w:webHidden/>
              </w:rPr>
              <w:fldChar w:fldCharType="end"/>
            </w:r>
          </w:hyperlink>
        </w:p>
        <w:p>
          <w:pPr>
            <w:pStyle w:val="TOC2"/>
            <w:tabs>
              <w:tab w:val="left" w:pos="567" w:leader="none"/>
              <w:tab w:val="left" w:pos="851" w:leader="none"/>
              <w:tab w:val="right" w:pos="9923" w:leader="none"/>
            </w:tabs>
            <w:rPr/>
          </w:pPr>
          <w:hyperlink w:anchor="_Toc22" w:tgtFrame="#_Toc22">
            <w:r>
              <w:rPr>
                <w:webHidden/>
                <w:rStyle w:val="Style12"/>
                <w:rFonts w:eastAsia="Calibri" w:cs="Arial" w:cstheme="minorBidi" w:eastAsiaTheme="minorHAnsi"/>
                <w:vanish w:val="false"/>
              </w:rPr>
              <w:t>4.7</w:t>
            </w:r>
            <w:r>
              <w:rPr>
                <w:webHidden/>
              </w:rPr>
              <w:fldChar w:fldCharType="begin"/>
            </w:r>
            <w:r>
              <w:rPr>
                <w:webHidden/>
              </w:rPr>
              <w:instrText xml:space="preserve">PAGEREF _Toc22 \h</w:instrText>
            </w:r>
            <w:r>
              <w:rPr>
                <w:webHidden/>
              </w:rPr>
              <w:fldChar w:fldCharType="separate"/>
            </w:r>
            <w:r>
              <w:rPr>
                <w:rStyle w:val="Style12"/>
              </w:rPr>
              <w:tab/>
              <w:t>Изменение и отзыв заявок</w:t>
              <w:tab/>
              <w:t>30</w:t>
            </w:r>
            <w:r>
              <w:rPr>
                <w:webHidden/>
              </w:rPr>
              <w:fldChar w:fldCharType="end"/>
            </w:r>
          </w:hyperlink>
        </w:p>
        <w:p>
          <w:pPr>
            <w:pStyle w:val="TOC2"/>
            <w:tabs>
              <w:tab w:val="left" w:pos="567" w:leader="none"/>
              <w:tab w:val="left" w:pos="851" w:leader="none"/>
              <w:tab w:val="right" w:pos="9923" w:leader="none"/>
            </w:tabs>
            <w:rPr/>
          </w:pPr>
          <w:hyperlink w:anchor="_Toc23" w:tgtFrame="#_Toc23">
            <w:r>
              <w:rPr>
                <w:webHidden/>
                <w:rStyle w:val="Style12"/>
                <w:rFonts w:eastAsia="Calibri" w:cs="Arial" w:cstheme="minorBidi" w:eastAsiaTheme="minorHAnsi"/>
                <w:vanish w:val="false"/>
              </w:rPr>
              <w:t>4.8</w:t>
            </w:r>
            <w:r>
              <w:rPr>
                <w:webHidden/>
              </w:rPr>
              <w:fldChar w:fldCharType="begin"/>
            </w:r>
            <w:r>
              <w:rPr>
                <w:webHidden/>
              </w:rPr>
              <w:instrText xml:space="preserve">PAGEREF _Toc23 \h</w:instrText>
            </w:r>
            <w:r>
              <w:rPr>
                <w:webHidden/>
              </w:rPr>
              <w:fldChar w:fldCharType="separate"/>
            </w:r>
            <w:r>
              <w:rPr>
                <w:rStyle w:val="Style12"/>
              </w:rPr>
              <w:tab/>
              <w:t>Открытие доступа к первым частям заявок</w:t>
              <w:tab/>
              <w:t>30</w:t>
            </w:r>
            <w:r>
              <w:rPr>
                <w:webHidden/>
              </w:rPr>
              <w:fldChar w:fldCharType="end"/>
            </w:r>
          </w:hyperlink>
        </w:p>
        <w:p>
          <w:pPr>
            <w:pStyle w:val="TOC2"/>
            <w:tabs>
              <w:tab w:val="left" w:pos="567" w:leader="none"/>
              <w:tab w:val="left" w:pos="851" w:leader="none"/>
              <w:tab w:val="right" w:pos="9923" w:leader="none"/>
            </w:tabs>
            <w:rPr/>
          </w:pPr>
          <w:hyperlink w:anchor="_Toc24" w:tgtFrame="#_Toc24">
            <w:r>
              <w:rPr>
                <w:webHidden/>
                <w:rStyle w:val="Style12"/>
                <w:rFonts w:eastAsia="Calibri" w:cs="Arial" w:cstheme="minorBidi" w:eastAsiaTheme="minorHAnsi"/>
                <w:vanish w:val="false"/>
              </w:rPr>
              <w:t>4.9</w:t>
            </w:r>
            <w:r>
              <w:rPr>
                <w:webHidden/>
              </w:rPr>
              <w:fldChar w:fldCharType="begin"/>
            </w:r>
            <w:r>
              <w:rPr>
                <w:webHidden/>
              </w:rPr>
              <w:instrText xml:space="preserve">PAGEREF _Toc24 \h</w:instrText>
            </w:r>
            <w:r>
              <w:rPr>
                <w:webHidden/>
              </w:rPr>
              <w:fldChar w:fldCharType="separate"/>
            </w:r>
            <w:r>
              <w:rPr>
                <w:rStyle w:val="Style12"/>
              </w:rPr>
              <w:tab/>
              <w:t>Рассмотрение первых частей заявок (отборочная стадия)</w:t>
              <w:tab/>
              <w:t>30</w:t>
            </w:r>
            <w:r>
              <w:rPr>
                <w:webHidden/>
              </w:rPr>
              <w:fldChar w:fldCharType="end"/>
            </w:r>
          </w:hyperlink>
        </w:p>
        <w:p>
          <w:pPr>
            <w:pStyle w:val="TOC2"/>
            <w:tabs>
              <w:tab w:val="left" w:pos="850" w:leader="none"/>
              <w:tab w:val="left" w:pos="851" w:leader="none"/>
              <w:tab w:val="right" w:pos="9923" w:leader="none"/>
            </w:tabs>
            <w:rPr/>
          </w:pPr>
          <w:hyperlink w:anchor="_Toc25" w:tgtFrame="#_Toc25">
            <w:r>
              <w:rPr>
                <w:webHidden/>
                <w:rStyle w:val="Style12"/>
                <w:rFonts w:eastAsia="Calibri" w:cs="Arial" w:cstheme="minorBidi" w:eastAsiaTheme="minorHAnsi"/>
                <w:vanish w:val="false"/>
              </w:rPr>
              <w:t>4.10</w:t>
            </w:r>
            <w:r>
              <w:rPr>
                <w:webHidden/>
              </w:rPr>
              <w:fldChar w:fldCharType="begin"/>
            </w:r>
            <w:r>
              <w:rPr>
                <w:webHidden/>
              </w:rPr>
              <w:instrText xml:space="preserve">PAGEREF _Toc25 \h</w:instrText>
            </w:r>
            <w:r>
              <w:rPr>
                <w:webHidden/>
              </w:rPr>
              <w:fldChar w:fldCharType="separate"/>
            </w:r>
            <w:r>
              <w:rPr>
                <w:rStyle w:val="Style12"/>
              </w:rPr>
              <w:tab/>
              <w:t>Открытие доступа ко вторым частям заявок и ценовым предложениям</w:t>
              <w:tab/>
              <w:t>32</w:t>
            </w:r>
            <w:r>
              <w:rPr>
                <w:webHidden/>
              </w:rPr>
              <w:fldChar w:fldCharType="end"/>
            </w:r>
          </w:hyperlink>
        </w:p>
        <w:p>
          <w:pPr>
            <w:pStyle w:val="TOC2"/>
            <w:tabs>
              <w:tab w:val="left" w:pos="850" w:leader="none"/>
              <w:tab w:val="left" w:pos="851" w:leader="none"/>
              <w:tab w:val="right" w:pos="9923" w:leader="none"/>
            </w:tabs>
            <w:rPr/>
          </w:pPr>
          <w:hyperlink w:anchor="_Toc26" w:tgtFrame="#_Toc26">
            <w:r>
              <w:rPr>
                <w:webHidden/>
                <w:rStyle w:val="Style12"/>
                <w:rFonts w:eastAsia="Calibri" w:cs="Arial" w:cstheme="minorBidi" w:eastAsiaTheme="minorHAnsi"/>
                <w:vanish w:val="false"/>
              </w:rPr>
              <w:t>4.11</w:t>
            </w:r>
            <w:r>
              <w:rPr>
                <w:webHidden/>
              </w:rPr>
              <w:fldChar w:fldCharType="begin"/>
            </w:r>
            <w:r>
              <w:rPr>
                <w:webHidden/>
              </w:rPr>
              <w:instrText xml:space="preserve">PAGEREF _Toc26 \h</w:instrText>
            </w:r>
            <w:r>
              <w:rPr>
                <w:webHidden/>
              </w:rPr>
              <w:fldChar w:fldCharType="separate"/>
            </w:r>
            <w:r>
              <w:rPr>
                <w:rStyle w:val="Style12"/>
              </w:rPr>
              <w:tab/>
              <w:t>Рассмотрение вторых частей заявок (отборочная стадия), в том числе (при необходимости) проведение аккредитации, и ценовых предложений</w:t>
              <w:tab/>
              <w:t>32</w:t>
            </w:r>
            <w:r>
              <w:rPr>
                <w:webHidden/>
              </w:rPr>
              <w:fldChar w:fldCharType="end"/>
            </w:r>
          </w:hyperlink>
        </w:p>
        <w:p>
          <w:pPr>
            <w:pStyle w:val="TOC2"/>
            <w:tabs>
              <w:tab w:val="left" w:pos="850" w:leader="none"/>
              <w:tab w:val="left" w:pos="851" w:leader="none"/>
              <w:tab w:val="right" w:pos="9923" w:leader="none"/>
            </w:tabs>
            <w:rPr/>
          </w:pPr>
          <w:hyperlink w:anchor="_Toc27" w:tgtFrame="#_Toc27">
            <w:r>
              <w:rPr>
                <w:webHidden/>
                <w:rStyle w:val="Style12"/>
                <w:rFonts w:eastAsia="Calibri" w:cs="Arial" w:cstheme="minorBidi" w:eastAsiaTheme="minorHAnsi"/>
                <w:vanish w:val="false"/>
              </w:rPr>
              <w:t>4.12</w:t>
            </w:r>
            <w:r>
              <w:rPr>
                <w:webHidden/>
              </w:rPr>
              <w:fldChar w:fldCharType="begin"/>
            </w:r>
            <w:r>
              <w:rPr>
                <w:webHidden/>
              </w:rPr>
              <w:instrText xml:space="preserve">PAGEREF _Toc27 \h</w:instrText>
            </w:r>
            <w:r>
              <w:rPr>
                <w:webHidden/>
              </w:rPr>
              <w:fldChar w:fldCharType="separate"/>
            </w:r>
            <w:r>
              <w:rPr>
                <w:rStyle w:val="Style12"/>
              </w:rPr>
              <w:tab/>
              <w:t>Дополнительные запросы разъяснений заявок</w:t>
              <w:tab/>
              <w:t>34</w:t>
            </w:r>
            <w:r>
              <w:rPr>
                <w:webHidden/>
              </w:rPr>
              <w:fldChar w:fldCharType="end"/>
            </w:r>
          </w:hyperlink>
        </w:p>
        <w:p>
          <w:pPr>
            <w:pStyle w:val="TOC2"/>
            <w:tabs>
              <w:tab w:val="left" w:pos="850" w:leader="none"/>
              <w:tab w:val="left" w:pos="851" w:leader="none"/>
              <w:tab w:val="right" w:pos="9923" w:leader="none"/>
            </w:tabs>
            <w:rPr/>
          </w:pPr>
          <w:hyperlink w:anchor="_Toc28" w:tgtFrame="#_Toc28">
            <w:r>
              <w:rPr>
                <w:webHidden/>
                <w:rStyle w:val="Style12"/>
                <w:rFonts w:eastAsia="Calibri" w:cs="Arial" w:cstheme="minorBidi" w:eastAsiaTheme="minorHAnsi"/>
                <w:vanish w:val="false"/>
              </w:rPr>
              <w:t>4.13</w:t>
            </w:r>
            <w:r>
              <w:rPr>
                <w:webHidden/>
              </w:rPr>
              <w:fldChar w:fldCharType="begin"/>
            </w:r>
            <w:r>
              <w:rPr>
                <w:webHidden/>
              </w:rPr>
              <w:instrText xml:space="preserve">PAGEREF _Toc28 \h</w:instrText>
            </w:r>
            <w:r>
              <w:rPr>
                <w:webHidden/>
              </w:rPr>
              <w:fldChar w:fldCharType="separate"/>
            </w:r>
            <w:r>
              <w:rPr>
                <w:rStyle w:val="Style12"/>
              </w:rPr>
              <w:tab/>
              <w:t>Оценка и сопоставление заявок</w:t>
              <w:tab/>
              <w:t>35</w:t>
            </w:r>
            <w:r>
              <w:rPr>
                <w:webHidden/>
              </w:rPr>
              <w:fldChar w:fldCharType="end"/>
            </w:r>
          </w:hyperlink>
        </w:p>
        <w:p>
          <w:pPr>
            <w:pStyle w:val="TOC2"/>
            <w:tabs>
              <w:tab w:val="left" w:pos="850" w:leader="none"/>
              <w:tab w:val="left" w:pos="851" w:leader="none"/>
              <w:tab w:val="right" w:pos="9923" w:leader="none"/>
            </w:tabs>
            <w:rPr/>
          </w:pPr>
          <w:hyperlink w:anchor="_Toc29" w:tgtFrame="#_Toc29">
            <w:r>
              <w:rPr>
                <w:webHidden/>
                <w:rStyle w:val="Style12"/>
                <w:rFonts w:eastAsia="Calibri" w:cs="Arial" w:cstheme="minorBidi" w:eastAsiaTheme="minorHAnsi"/>
                <w:vanish w:val="false"/>
              </w:rPr>
              <w:t>4.14</w:t>
            </w:r>
            <w:r>
              <w:rPr>
                <w:webHidden/>
              </w:rPr>
              <w:fldChar w:fldCharType="begin"/>
            </w:r>
            <w:r>
              <w:rPr>
                <w:webHidden/>
              </w:rPr>
              <w:instrText xml:space="preserve">PAGEREF _Toc29 \h</w:instrText>
            </w:r>
            <w:r>
              <w:rPr>
                <w:webHidden/>
              </w:rPr>
              <w:fldChar w:fldCharType="separate"/>
            </w:r>
            <w:r>
              <w:rPr>
                <w:rStyle w:val="Style12"/>
              </w:rPr>
              <w:tab/>
              <w:t>Применение законодательства о национальном режиме</w:t>
              <w:tab/>
              <w:t>36</w:t>
            </w:r>
            <w:r>
              <w:rPr>
                <w:webHidden/>
              </w:rPr>
              <w:fldChar w:fldCharType="end"/>
            </w:r>
          </w:hyperlink>
        </w:p>
        <w:p>
          <w:pPr>
            <w:pStyle w:val="TOC2"/>
            <w:tabs>
              <w:tab w:val="left" w:pos="850" w:leader="none"/>
              <w:tab w:val="left" w:pos="851" w:leader="none"/>
              <w:tab w:val="right" w:pos="9923" w:leader="none"/>
            </w:tabs>
            <w:rPr/>
          </w:pPr>
          <w:hyperlink w:anchor="_Toc30" w:tgtFrame="#_Toc30">
            <w:r>
              <w:rPr>
                <w:webHidden/>
                <w:rStyle w:val="Style12"/>
                <w:rFonts w:eastAsia="Calibri" w:cs="Arial" w:cstheme="minorBidi" w:eastAsiaTheme="minorHAnsi"/>
                <w:vanish w:val="false"/>
              </w:rPr>
              <w:t>4.15</w:t>
            </w:r>
            <w:r>
              <w:rPr>
                <w:webHidden/>
              </w:rPr>
              <w:fldChar w:fldCharType="begin"/>
            </w:r>
            <w:r>
              <w:rPr>
                <w:webHidden/>
              </w:rPr>
              <w:instrText xml:space="preserve">PAGEREF _Toc30 \h</w:instrText>
            </w:r>
            <w:r>
              <w:rPr>
                <w:webHidden/>
              </w:rPr>
              <w:fldChar w:fldCharType="separate"/>
            </w:r>
            <w:r>
              <w:rPr>
                <w:rStyle w:val="Style12"/>
              </w:rPr>
              <w:tab/>
              <w:t>Подведение итогов закупки (определение Победителя)</w:t>
              <w:tab/>
              <w:t>38</w:t>
            </w:r>
            <w:r>
              <w:rPr>
                <w:webHidden/>
              </w:rPr>
              <w:fldChar w:fldCharType="end"/>
            </w:r>
          </w:hyperlink>
        </w:p>
        <w:p>
          <w:pPr>
            <w:pStyle w:val="TOC2"/>
            <w:tabs>
              <w:tab w:val="left" w:pos="850" w:leader="none"/>
              <w:tab w:val="left" w:pos="851" w:leader="none"/>
              <w:tab w:val="right" w:pos="9923" w:leader="none"/>
            </w:tabs>
            <w:rPr/>
          </w:pPr>
          <w:hyperlink w:anchor="_Toc31" w:tgtFrame="#_Toc31">
            <w:r>
              <w:rPr>
                <w:webHidden/>
                <w:rStyle w:val="Style12"/>
                <w:rFonts w:eastAsia="Calibri" w:cs="Arial" w:cstheme="minorBidi" w:eastAsiaTheme="minorHAnsi"/>
                <w:vanish w:val="false"/>
              </w:rPr>
              <w:t>4.16</w:t>
            </w:r>
            <w:r>
              <w:rPr>
                <w:webHidden/>
              </w:rPr>
              <w:fldChar w:fldCharType="begin"/>
            </w:r>
            <w:r>
              <w:rPr>
                <w:webHidden/>
              </w:rPr>
              <w:instrText xml:space="preserve">PAGEREF _Toc31 \h</w:instrText>
            </w:r>
            <w:r>
              <w:rPr>
                <w:webHidden/>
              </w:rPr>
              <w:fldChar w:fldCharType="separate"/>
            </w:r>
            <w:r>
              <w:rPr>
                <w:rStyle w:val="Style12"/>
              </w:rPr>
              <w:tab/>
              <w:t>Признание закупки несостоявшейся</w:t>
              <w:tab/>
              <w:t>40</w:t>
            </w:r>
            <w:r>
              <w:rPr>
                <w:webHidden/>
              </w:rPr>
              <w:fldChar w:fldCharType="end"/>
            </w:r>
          </w:hyperlink>
        </w:p>
        <w:p>
          <w:pPr>
            <w:pStyle w:val="TOC2"/>
            <w:tabs>
              <w:tab w:val="left" w:pos="850" w:leader="none"/>
              <w:tab w:val="left" w:pos="851" w:leader="none"/>
              <w:tab w:val="right" w:pos="9923" w:leader="none"/>
            </w:tabs>
            <w:rPr/>
          </w:pPr>
          <w:hyperlink w:anchor="_Toc32" w:tgtFrame="#_Toc32">
            <w:r>
              <w:rPr>
                <w:webHidden/>
                <w:rStyle w:val="Style12"/>
                <w:rFonts w:eastAsia="Calibri" w:cs="Arial" w:cstheme="minorBidi" w:eastAsiaTheme="minorHAnsi"/>
                <w:vanish w:val="false"/>
              </w:rPr>
              <w:t>4.17</w:t>
            </w:r>
            <w:r>
              <w:rPr>
                <w:webHidden/>
              </w:rPr>
              <w:fldChar w:fldCharType="begin"/>
            </w:r>
            <w:r>
              <w:rPr>
                <w:webHidden/>
              </w:rPr>
              <w:instrText xml:space="preserve">PAGEREF _Toc32 \h</w:instrText>
            </w:r>
            <w:r>
              <w:rPr>
                <w:webHidden/>
              </w:rPr>
              <w:fldChar w:fldCharType="separate"/>
            </w:r>
            <w:r>
              <w:rPr>
                <w:rStyle w:val="Style12"/>
              </w:rPr>
              <w:tab/>
              <w:t>Отказ от проведения закупки (отмена закупки)</w:t>
              <w:tab/>
              <w:t>41</w:t>
            </w:r>
            <w:r>
              <w:rPr>
                <w:webHidden/>
              </w:rPr>
              <w:fldChar w:fldCharType="end"/>
            </w:r>
          </w:hyperlink>
        </w:p>
        <w:p>
          <w:pPr>
            <w:pStyle w:val="TOC2"/>
            <w:tabs>
              <w:tab w:val="left" w:pos="850" w:leader="none"/>
              <w:tab w:val="left" w:pos="851" w:leader="none"/>
              <w:tab w:val="right" w:pos="9923" w:leader="none"/>
            </w:tabs>
            <w:rPr/>
          </w:pPr>
          <w:hyperlink w:anchor="_Toc33" w:tgtFrame="#_Toc33">
            <w:r>
              <w:rPr>
                <w:webHidden/>
                <w:rStyle w:val="Style12"/>
                <w:rFonts w:eastAsia="Calibri" w:cs="Arial" w:cstheme="minorBidi" w:eastAsiaTheme="minorHAnsi"/>
                <w:vanish w:val="false"/>
              </w:rPr>
              <w:t>4.18</w:t>
            </w:r>
            <w:r>
              <w:rPr>
                <w:webHidden/>
              </w:rPr>
              <w:fldChar w:fldCharType="begin"/>
            </w:r>
            <w:r>
              <w:rPr>
                <w:webHidden/>
              </w:rPr>
              <w:instrText xml:space="preserve">PAGEREF _Toc33 \h</w:instrText>
            </w:r>
            <w:r>
              <w:rPr>
                <w:webHidden/>
              </w:rPr>
              <w:fldChar w:fldCharType="separate"/>
            </w:r>
            <w:r>
              <w:rPr>
                <w:rStyle w:val="Style12"/>
              </w:rPr>
              <w:tab/>
              <w:t>Особенности проведения закупки с необходимостью обеспечения заявки</w:t>
              <w:tab/>
              <w:t>41</w:t>
            </w:r>
            <w:r>
              <w:rPr>
                <w:webHidden/>
              </w:rPr>
              <w:fldChar w:fldCharType="end"/>
            </w:r>
          </w:hyperlink>
        </w:p>
        <w:p>
          <w:pPr>
            <w:pStyle w:val="TOC2"/>
            <w:tabs>
              <w:tab w:val="left" w:pos="850" w:leader="none"/>
              <w:tab w:val="left" w:pos="851" w:leader="none"/>
              <w:tab w:val="right" w:pos="9923" w:leader="none"/>
            </w:tabs>
            <w:rPr/>
          </w:pPr>
          <w:hyperlink w:anchor="_Toc34" w:tgtFrame="#_Toc34">
            <w:r>
              <w:rPr>
                <w:webHidden/>
                <w:rStyle w:val="Style12"/>
                <w:rFonts w:eastAsia="Calibri" w:cs="Arial" w:cstheme="minorBidi" w:eastAsiaTheme="minorHAnsi"/>
                <w:vanish w:val="false"/>
              </w:rPr>
              <w:t>4.19</w:t>
            </w:r>
            <w:r>
              <w:rPr>
                <w:webHidden/>
              </w:rPr>
              <w:fldChar w:fldCharType="begin"/>
            </w:r>
            <w:r>
              <w:rPr>
                <w:webHidden/>
              </w:rPr>
              <w:instrText xml:space="preserve">PAGEREF _Toc34 \h</w:instrText>
            </w:r>
            <w:r>
              <w:rPr>
                <w:webHidden/>
              </w:rPr>
              <w:fldChar w:fldCharType="separate"/>
            </w:r>
            <w:r>
              <w:rPr>
                <w:rStyle w:val="Style12"/>
              </w:rPr>
              <w:tab/>
              <w:t>Особенности проведения многолотовой закупки</w:t>
              <w:tab/>
              <w:t>45</w:t>
            </w:r>
            <w:r>
              <w:rPr>
                <w:webHidden/>
              </w:rPr>
              <w:fldChar w:fldCharType="end"/>
            </w:r>
          </w:hyperlink>
        </w:p>
        <w:p>
          <w:pPr>
            <w:pStyle w:val="TOC1"/>
            <w:tabs>
              <w:tab w:val="left" w:pos="567" w:leader="none"/>
              <w:tab w:val="left" w:pos="851" w:leader="none"/>
              <w:tab w:val="right" w:pos="9923" w:leader="none"/>
            </w:tabs>
            <w:rPr/>
          </w:pPr>
          <w:hyperlink w:anchor="_Toc35" w:tgtFrame="#_Toc35">
            <w:r>
              <w:rPr>
                <w:webHidden/>
                <w:rStyle w:val="Style12"/>
                <w:rFonts w:eastAsia="Calibri" w:cs="Arial" w:cstheme="minorBidi" w:eastAsiaTheme="minorHAnsi"/>
                <w:vanish w:val="false"/>
              </w:rPr>
              <w:t>5.</w:t>
            </w:r>
            <w:r>
              <w:rPr>
                <w:webHidden/>
              </w:rPr>
              <w:fldChar w:fldCharType="begin"/>
            </w:r>
            <w:r>
              <w:rPr>
                <w:webHidden/>
              </w:rPr>
              <w:instrText xml:space="preserve">PAGEREF _Toc35 \h</w:instrText>
            </w:r>
            <w:r>
              <w:rPr>
                <w:webHidden/>
              </w:rPr>
              <w:fldChar w:fldCharType="separate"/>
            </w:r>
            <w:r>
              <w:rPr>
                <w:rStyle w:val="Style12"/>
              </w:rPr>
              <w:tab/>
              <w:t>Порядок заключения Договора</w:t>
              <w:tab/>
              <w:t>46</w:t>
            </w:r>
            <w:r>
              <w:rPr>
                <w:webHidden/>
              </w:rPr>
              <w:fldChar w:fldCharType="end"/>
            </w:r>
          </w:hyperlink>
        </w:p>
        <w:p>
          <w:pPr>
            <w:pStyle w:val="TOC2"/>
            <w:tabs>
              <w:tab w:val="left" w:pos="567" w:leader="none"/>
              <w:tab w:val="left" w:pos="851" w:leader="none"/>
              <w:tab w:val="right" w:pos="9923" w:leader="none"/>
            </w:tabs>
            <w:rPr/>
          </w:pPr>
          <w:hyperlink w:anchor="_Toc36" w:tgtFrame="#_Toc36">
            <w:r>
              <w:rPr>
                <w:webHidden/>
                <w:rStyle w:val="Style12"/>
                <w:rFonts w:eastAsia="Calibri" w:cs="Arial" w:cstheme="minorBidi" w:eastAsiaTheme="minorHAnsi"/>
                <w:vanish w:val="false"/>
              </w:rPr>
              <w:t>5.1</w:t>
            </w:r>
            <w:r>
              <w:rPr>
                <w:webHidden/>
              </w:rPr>
              <w:fldChar w:fldCharType="begin"/>
            </w:r>
            <w:r>
              <w:rPr>
                <w:webHidden/>
              </w:rPr>
              <w:instrText xml:space="preserve">PAGEREF _Toc36 \h</w:instrText>
            </w:r>
            <w:r>
              <w:rPr>
                <w:webHidden/>
              </w:rPr>
              <w:fldChar w:fldCharType="separate"/>
            </w:r>
            <w:r>
              <w:rPr>
                <w:rStyle w:val="Style12"/>
              </w:rPr>
              <w:tab/>
              <w:t>Общие положения</w:t>
              <w:tab/>
              <w:t>46</w:t>
            </w:r>
            <w:r>
              <w:rPr>
                <w:webHidden/>
              </w:rPr>
              <w:fldChar w:fldCharType="end"/>
            </w:r>
          </w:hyperlink>
        </w:p>
        <w:p>
          <w:pPr>
            <w:pStyle w:val="TOC2"/>
            <w:tabs>
              <w:tab w:val="left" w:pos="567" w:leader="none"/>
              <w:tab w:val="left" w:pos="851" w:leader="none"/>
              <w:tab w:val="right" w:pos="9923" w:leader="none"/>
            </w:tabs>
            <w:rPr/>
          </w:pPr>
          <w:hyperlink w:anchor="_Toc37" w:tgtFrame="#_Toc37">
            <w:r>
              <w:rPr>
                <w:webHidden/>
                <w:rStyle w:val="Style12"/>
                <w:rFonts w:eastAsia="Calibri" w:cs="Arial" w:cstheme="minorBidi" w:eastAsiaTheme="minorHAnsi"/>
                <w:vanish w:val="false"/>
              </w:rPr>
              <w:t>5.2</w:t>
            </w:r>
            <w:r>
              <w:rPr>
                <w:webHidden/>
              </w:rPr>
              <w:fldChar w:fldCharType="begin"/>
            </w:r>
            <w:r>
              <w:rPr>
                <w:webHidden/>
              </w:rPr>
              <w:instrText xml:space="preserve">PAGEREF _Toc37 \h</w:instrText>
            </w:r>
            <w:r>
              <w:rPr>
                <w:webHidden/>
              </w:rPr>
              <w:fldChar w:fldCharType="separate"/>
            </w:r>
            <w:r>
              <w:rPr>
                <w:rStyle w:val="Style12"/>
              </w:rPr>
              <w:tab/>
              <w:t>Заключение Договора</w:t>
              <w:tab/>
              <w:t>46</w:t>
            </w:r>
            <w:r>
              <w:rPr>
                <w:webHidden/>
              </w:rPr>
              <w:fldChar w:fldCharType="end"/>
            </w:r>
          </w:hyperlink>
        </w:p>
        <w:p>
          <w:pPr>
            <w:pStyle w:val="TOC2"/>
            <w:tabs>
              <w:tab w:val="left" w:pos="567" w:leader="none"/>
              <w:tab w:val="left" w:pos="851" w:leader="none"/>
              <w:tab w:val="right" w:pos="9923" w:leader="none"/>
            </w:tabs>
            <w:rPr/>
          </w:pPr>
          <w:hyperlink w:anchor="_Toc38" w:tgtFrame="#_Toc38">
            <w:r>
              <w:rPr>
                <w:webHidden/>
                <w:rStyle w:val="Style12"/>
                <w:rFonts w:eastAsia="Calibri" w:cs="Arial" w:cstheme="minorBidi" w:eastAsiaTheme="minorHAnsi"/>
                <w:vanish w:val="false"/>
              </w:rPr>
              <w:t>5.3</w:t>
            </w:r>
            <w:r>
              <w:rPr>
                <w:webHidden/>
              </w:rPr>
              <w:fldChar w:fldCharType="begin"/>
            </w:r>
            <w:r>
              <w:rPr>
                <w:webHidden/>
              </w:rPr>
              <w:instrText xml:space="preserve">PAGEREF _Toc38 \h</w:instrText>
            </w:r>
            <w:r>
              <w:rPr>
                <w:webHidden/>
              </w:rPr>
              <w:fldChar w:fldCharType="separate"/>
            </w:r>
            <w:r>
              <w:rPr>
                <w:rStyle w:val="Style12"/>
              </w:rPr>
              <w:tab/>
              <w:t>Уклонение Победителя от заключения Договора</w:t>
              <w:tab/>
              <w:t>48</w:t>
            </w:r>
            <w:r>
              <w:rPr>
                <w:webHidden/>
              </w:rPr>
              <w:fldChar w:fldCharType="end"/>
            </w:r>
          </w:hyperlink>
        </w:p>
        <w:p>
          <w:pPr>
            <w:pStyle w:val="TOC1"/>
            <w:tabs>
              <w:tab w:val="left" w:pos="567" w:leader="none"/>
              <w:tab w:val="left" w:pos="851" w:leader="none"/>
              <w:tab w:val="right" w:pos="9923" w:leader="none"/>
            </w:tabs>
            <w:rPr/>
          </w:pPr>
          <w:hyperlink w:anchor="_Toc39" w:tgtFrame="#_Toc39">
            <w:r>
              <w:rPr>
                <w:webHidden/>
                <w:rStyle w:val="Style12"/>
                <w:rFonts w:eastAsia="Calibri" w:cs="Arial" w:cstheme="minorBidi" w:eastAsiaTheme="minorHAnsi"/>
                <w:vanish w:val="false"/>
              </w:rPr>
              <w:t>6.</w:t>
            </w:r>
            <w:r>
              <w:rPr>
                <w:webHidden/>
              </w:rPr>
              <w:fldChar w:fldCharType="begin"/>
            </w:r>
            <w:r>
              <w:rPr>
                <w:webHidden/>
              </w:rPr>
              <w:instrText xml:space="preserve">PAGEREF _Toc39 \h</w:instrText>
            </w:r>
            <w:r>
              <w:rPr>
                <w:webHidden/>
              </w:rPr>
              <w:fldChar w:fldCharType="separate"/>
            </w:r>
            <w:r>
              <w:rPr>
                <w:rStyle w:val="Style12"/>
              </w:rPr>
              <w:tab/>
              <w:t>Приложение № 1 – Технические требования</w:t>
              <w:tab/>
              <w:t>50</w:t>
            </w:r>
            <w:r>
              <w:rPr>
                <w:webHidden/>
              </w:rPr>
              <w:fldChar w:fldCharType="end"/>
            </w:r>
          </w:hyperlink>
        </w:p>
        <w:p>
          <w:pPr>
            <w:pStyle w:val="TOC2"/>
            <w:tabs>
              <w:tab w:val="left" w:pos="567" w:leader="none"/>
              <w:tab w:val="left" w:pos="851" w:leader="none"/>
              <w:tab w:val="right" w:pos="9923" w:leader="none"/>
            </w:tabs>
            <w:rPr/>
          </w:pPr>
          <w:hyperlink w:anchor="_Toc40" w:tgtFrame="#_Toc40">
            <w:r>
              <w:rPr>
                <w:webHidden/>
                <w:rStyle w:val="Style12"/>
                <w:rFonts w:eastAsia="Calibri" w:cs="Arial" w:cstheme="minorBidi" w:eastAsiaTheme="minorHAnsi"/>
                <w:vanish w:val="false"/>
              </w:rPr>
              <w:t>6.1</w:t>
            </w:r>
            <w:r>
              <w:rPr>
                <w:webHidden/>
              </w:rPr>
              <w:fldChar w:fldCharType="begin"/>
            </w:r>
            <w:r>
              <w:rPr>
                <w:webHidden/>
              </w:rPr>
              <w:instrText xml:space="preserve">PAGEREF _Toc40 \h</w:instrText>
            </w:r>
            <w:r>
              <w:rPr>
                <w:webHidden/>
              </w:rPr>
              <w:fldChar w:fldCharType="separate"/>
            </w:r>
            <w:r>
              <w:rPr>
                <w:rStyle w:val="Style12"/>
              </w:rPr>
              <w:tab/>
              <w:t>Пояснения к Техническим требованиям</w:t>
              <w:tab/>
              <w:t>50</w:t>
            </w:r>
            <w:r>
              <w:rPr>
                <w:webHidden/>
              </w:rPr>
              <w:fldChar w:fldCharType="end"/>
            </w:r>
          </w:hyperlink>
        </w:p>
        <w:p>
          <w:pPr>
            <w:pStyle w:val="TOC1"/>
            <w:tabs>
              <w:tab w:val="left" w:pos="567" w:leader="none"/>
              <w:tab w:val="left" w:pos="851" w:leader="none"/>
              <w:tab w:val="right" w:pos="9923" w:leader="none"/>
            </w:tabs>
            <w:rPr/>
          </w:pPr>
          <w:hyperlink w:anchor="_Toc41" w:tgtFrame="#_Toc41">
            <w:r>
              <w:rPr>
                <w:webHidden/>
                <w:rStyle w:val="Style12"/>
                <w:rFonts w:eastAsia="Calibri" w:cs="Arial" w:cstheme="minorBidi" w:eastAsiaTheme="minorHAnsi"/>
                <w:vanish w:val="false"/>
              </w:rPr>
              <w:t>7.</w:t>
            </w:r>
            <w:r>
              <w:rPr>
                <w:webHidden/>
              </w:rPr>
              <w:fldChar w:fldCharType="begin"/>
            </w:r>
            <w:r>
              <w:rPr>
                <w:webHidden/>
              </w:rPr>
              <w:instrText xml:space="preserve">PAGEREF _Toc41 \h</w:instrText>
            </w:r>
            <w:r>
              <w:rPr>
                <w:webHidden/>
              </w:rPr>
              <w:fldChar w:fldCharType="separate"/>
            </w:r>
            <w:r>
              <w:rPr>
                <w:rStyle w:val="Style12"/>
              </w:rPr>
              <w:tab/>
              <w:t>Приложение № 2 – Проект договора</w:t>
              <w:tab/>
              <w:t>51</w:t>
            </w:r>
            <w:r>
              <w:rPr>
                <w:webHidden/>
              </w:rPr>
              <w:fldChar w:fldCharType="end"/>
            </w:r>
          </w:hyperlink>
        </w:p>
        <w:p>
          <w:pPr>
            <w:pStyle w:val="TOC2"/>
            <w:tabs>
              <w:tab w:val="left" w:pos="567" w:leader="none"/>
              <w:tab w:val="left" w:pos="851" w:leader="none"/>
              <w:tab w:val="right" w:pos="9923" w:leader="none"/>
            </w:tabs>
            <w:rPr/>
          </w:pPr>
          <w:hyperlink w:anchor="_Toc42" w:tgtFrame="#_Toc42">
            <w:r>
              <w:rPr>
                <w:webHidden/>
                <w:rStyle w:val="Style12"/>
                <w:rFonts w:eastAsia="Calibri" w:cs="Arial" w:cstheme="minorBidi" w:eastAsiaTheme="minorHAnsi"/>
                <w:vanish w:val="false"/>
              </w:rPr>
              <w:t>7.1</w:t>
            </w:r>
            <w:r>
              <w:rPr>
                <w:webHidden/>
              </w:rPr>
              <w:fldChar w:fldCharType="begin"/>
            </w:r>
            <w:r>
              <w:rPr>
                <w:webHidden/>
              </w:rPr>
              <w:instrText xml:space="preserve">PAGEREF _Toc42 \h</w:instrText>
            </w:r>
            <w:r>
              <w:rPr>
                <w:webHidden/>
              </w:rPr>
              <w:fldChar w:fldCharType="separate"/>
            </w:r>
            <w:r>
              <w:rPr>
                <w:rStyle w:val="Style12"/>
              </w:rPr>
              <w:tab/>
              <w:t>Пояснения к Проекту договора</w:t>
              <w:tab/>
              <w:t>51</w:t>
            </w:r>
            <w:r>
              <w:rPr>
                <w:webHidden/>
              </w:rPr>
              <w:fldChar w:fldCharType="end"/>
            </w:r>
          </w:hyperlink>
        </w:p>
        <w:p>
          <w:pPr>
            <w:pStyle w:val="TOC1"/>
            <w:tabs>
              <w:tab w:val="left" w:pos="567" w:leader="none"/>
              <w:tab w:val="left" w:pos="851" w:leader="none"/>
              <w:tab w:val="right" w:pos="9923" w:leader="none"/>
            </w:tabs>
            <w:rPr/>
          </w:pPr>
          <w:hyperlink w:anchor="_Toc43" w:tgtFrame="#_Toc43">
            <w:r>
              <w:rPr>
                <w:webHidden/>
                <w:rStyle w:val="Style12"/>
                <w:rFonts w:eastAsia="Calibri" w:cs="Arial" w:cstheme="minorBidi" w:eastAsiaTheme="minorHAnsi"/>
                <w:vanish w:val="false"/>
              </w:rPr>
              <w:t>8.</w:t>
            </w:r>
            <w:r>
              <w:rPr>
                <w:webHidden/>
              </w:rPr>
              <w:fldChar w:fldCharType="begin"/>
            </w:r>
            <w:r>
              <w:rPr>
                <w:webHidden/>
              </w:rPr>
              <w:instrText xml:space="preserve">PAGEREF _Toc43 \h</w:instrText>
            </w:r>
            <w:r>
              <w:rPr>
                <w:webHidden/>
              </w:rPr>
              <w:fldChar w:fldCharType="separate"/>
            </w:r>
            <w:r>
              <w:rPr>
                <w:rStyle w:val="Style12"/>
              </w:rPr>
              <w:tab/>
              <w:t>Приложение № 3 – Требования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4" w:tgtFrame="#_Toc44">
            <w:r>
              <w:rPr>
                <w:webHidden/>
                <w:rStyle w:val="Style12"/>
                <w:rFonts w:eastAsia="Calibri" w:cs="Arial" w:cstheme="minorBidi" w:eastAsiaTheme="minorHAnsi"/>
                <w:vanish w:val="false"/>
              </w:rPr>
              <w:t>8.1</w:t>
            </w:r>
            <w:r>
              <w:rPr>
                <w:webHidden/>
              </w:rPr>
              <w:fldChar w:fldCharType="begin"/>
            </w:r>
            <w:r>
              <w:rPr>
                <w:webHidden/>
              </w:rPr>
              <w:instrText xml:space="preserve">PAGEREF _Toc44 \h</w:instrText>
            </w:r>
            <w:r>
              <w:rPr>
                <w:webHidden/>
              </w:rPr>
              <w:fldChar w:fldCharType="separate"/>
            </w:r>
            <w:r>
              <w:rPr>
                <w:rStyle w:val="Style12"/>
              </w:rPr>
              <w:tab/>
              <w:t>Пояснения к требованиям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5" w:tgtFrame="#_Toc45">
            <w:r>
              <w:rPr>
                <w:webHidden/>
                <w:rStyle w:val="Style12"/>
                <w:rFonts w:eastAsia="Calibri" w:cs="Arial" w:cstheme="minorBidi" w:eastAsiaTheme="minorHAnsi"/>
                <w:vanish w:val="false"/>
              </w:rPr>
              <w:t>8.2</w:t>
            </w:r>
            <w:r>
              <w:rPr>
                <w:webHidden/>
              </w:rPr>
              <w:fldChar w:fldCharType="begin"/>
            </w:r>
            <w:r>
              <w:rPr>
                <w:webHidden/>
              </w:rPr>
              <w:instrText xml:space="preserve">PAGEREF _Toc45 \h</w:instrText>
            </w:r>
            <w:r>
              <w:rPr>
                <w:webHidden/>
              </w:rPr>
              <w:fldChar w:fldCharType="separate"/>
            </w:r>
            <w:r>
              <w:rPr>
                <w:rStyle w:val="Style12"/>
              </w:rPr>
              <w:tab/>
              <w:t>Обязательные требования</w:t>
              <w:tab/>
              <w:t>52</w:t>
            </w:r>
            <w:r>
              <w:rPr>
                <w:webHidden/>
              </w:rPr>
              <w:fldChar w:fldCharType="end"/>
            </w:r>
          </w:hyperlink>
        </w:p>
        <w:p>
          <w:pPr>
            <w:pStyle w:val="TOC2"/>
            <w:tabs>
              <w:tab w:val="left" w:pos="567" w:leader="none"/>
              <w:tab w:val="left" w:pos="851" w:leader="none"/>
              <w:tab w:val="right" w:pos="9923" w:leader="none"/>
            </w:tabs>
            <w:rPr/>
          </w:pPr>
          <w:hyperlink w:anchor="_Toc46" w:tgtFrame="#_Toc46">
            <w:r>
              <w:rPr>
                <w:webHidden/>
                <w:rStyle w:val="Style12"/>
                <w:rFonts w:eastAsia="Calibri" w:cs="Arial" w:cstheme="minorBidi" w:eastAsiaTheme="minorHAnsi"/>
                <w:vanish w:val="false"/>
              </w:rPr>
              <w:t>8.3</w:t>
            </w:r>
            <w:r>
              <w:rPr>
                <w:webHidden/>
              </w:rPr>
              <w:fldChar w:fldCharType="begin"/>
            </w:r>
            <w:r>
              <w:rPr>
                <w:webHidden/>
              </w:rPr>
              <w:instrText xml:space="preserve">PAGEREF _Toc46 \h</w:instrText>
            </w:r>
            <w:r>
              <w:rPr>
                <w:webHidden/>
              </w:rPr>
              <w:fldChar w:fldCharType="separate"/>
            </w:r>
            <w:r>
              <w:rPr>
                <w:rStyle w:val="Style12"/>
              </w:rPr>
              <w:tab/>
              <w:t>Специальные требования</w:t>
              <w:tab/>
              <w:t>55</w:t>
            </w:r>
            <w:r>
              <w:rPr>
                <w:webHidden/>
              </w:rPr>
              <w:fldChar w:fldCharType="end"/>
            </w:r>
          </w:hyperlink>
        </w:p>
        <w:p>
          <w:pPr>
            <w:pStyle w:val="TOC2"/>
            <w:tabs>
              <w:tab w:val="left" w:pos="567" w:leader="none"/>
              <w:tab w:val="left" w:pos="851" w:leader="none"/>
              <w:tab w:val="right" w:pos="9923" w:leader="none"/>
            </w:tabs>
            <w:rPr/>
          </w:pPr>
          <w:hyperlink w:anchor="_Toc47" w:tgtFrame="#_Toc47">
            <w:r>
              <w:rPr>
                <w:webHidden/>
                <w:rStyle w:val="Style12"/>
                <w:rFonts w:eastAsia="Calibri" w:cs="Arial" w:cstheme="minorBidi" w:eastAsiaTheme="minorHAnsi"/>
                <w:vanish w:val="false"/>
              </w:rPr>
              <w:t>8.4</w:t>
            </w:r>
            <w:r>
              <w:rPr>
                <w:webHidden/>
              </w:rPr>
              <w:fldChar w:fldCharType="begin"/>
            </w:r>
            <w:r>
              <w:rPr>
                <w:webHidden/>
              </w:rPr>
              <w:instrText xml:space="preserve">PAGEREF _Toc47 \h</w:instrText>
            </w:r>
            <w:r>
              <w:rPr>
                <w:webHidden/>
              </w:rPr>
              <w:fldChar w:fldCharType="separate"/>
            </w:r>
            <w:r>
              <w:rPr>
                <w:rStyle w:val="Style12"/>
              </w:rPr>
              <w:tab/>
              <w:t>Дополнительные требования к Генеральным подрядчикам</w:t>
              <w:tab/>
              <w:t>56</w:t>
            </w:r>
            <w:r>
              <w:rPr>
                <w:webHidden/>
              </w:rPr>
              <w:fldChar w:fldCharType="end"/>
            </w:r>
          </w:hyperlink>
        </w:p>
        <w:p>
          <w:pPr>
            <w:pStyle w:val="TOC1"/>
            <w:tabs>
              <w:tab w:val="left" w:pos="567" w:leader="none"/>
              <w:tab w:val="left" w:pos="851" w:leader="none"/>
              <w:tab w:val="right" w:pos="9923" w:leader="none"/>
            </w:tabs>
            <w:rPr/>
          </w:pPr>
          <w:hyperlink w:anchor="_Toc48" w:tgtFrame="#_Toc48">
            <w:r>
              <w:rPr>
                <w:webHidden/>
                <w:rStyle w:val="Style12"/>
                <w:rFonts w:eastAsia="Calibri" w:cs="Arial" w:cstheme="minorBidi" w:eastAsiaTheme="minorHAnsi"/>
                <w:vanish w:val="false"/>
              </w:rPr>
              <w:t>9.</w:t>
            </w:r>
            <w:r>
              <w:rPr>
                <w:webHidden/>
              </w:rPr>
              <w:fldChar w:fldCharType="begin"/>
            </w:r>
            <w:r>
              <w:rPr>
                <w:webHidden/>
              </w:rPr>
              <w:instrText xml:space="preserve">PAGEREF _Toc48 \h</w:instrText>
            </w:r>
            <w:r>
              <w:rPr>
                <w:webHidden/>
              </w:rPr>
              <w:fldChar w:fldCharType="separate"/>
            </w:r>
            <w:r>
              <w:rPr>
                <w:rStyle w:val="Style12"/>
              </w:rPr>
              <w:tab/>
              <w:t>Приложение № 4 – Образцы форм документов, включаемых в состав заявки</w:t>
              <w:tab/>
              <w:t>57</w:t>
            </w:r>
            <w:r>
              <w:rPr>
                <w:webHidden/>
              </w:rPr>
              <w:fldChar w:fldCharType="end"/>
            </w:r>
          </w:hyperlink>
        </w:p>
        <w:p>
          <w:pPr>
            <w:pStyle w:val="TOC2"/>
            <w:tabs>
              <w:tab w:val="left" w:pos="567" w:leader="none"/>
              <w:tab w:val="left" w:pos="851" w:leader="none"/>
              <w:tab w:val="right" w:pos="9923" w:leader="none"/>
            </w:tabs>
            <w:rPr/>
          </w:pPr>
          <w:hyperlink w:anchor="_Toc49" w:tgtFrame="#_Toc49">
            <w:r>
              <w:rPr>
                <w:webHidden/>
                <w:rStyle w:val="Style12"/>
                <w:rFonts w:eastAsia="Calibri" w:cs="Arial" w:cstheme="minorBidi" w:eastAsiaTheme="minorHAnsi"/>
                <w:vanish w:val="false"/>
              </w:rPr>
              <w:t>9.1</w:t>
            </w:r>
            <w:r>
              <w:rPr>
                <w:webHidden/>
              </w:rPr>
              <w:fldChar w:fldCharType="begin"/>
            </w:r>
            <w:r>
              <w:rPr>
                <w:webHidden/>
              </w:rPr>
              <w:instrText xml:space="preserve">PAGEREF _Toc49 \h</w:instrText>
            </w:r>
            <w:r>
              <w:rPr>
                <w:webHidden/>
              </w:rPr>
              <w:fldChar w:fldCharType="separate"/>
            </w:r>
            <w:r>
              <w:rPr>
                <w:rStyle w:val="Style12"/>
              </w:rPr>
              <w:tab/>
              <w:t>Пояснения к Образцам форм документов, включаемых в состав заявки</w:t>
              <w:tab/>
              <w:t>57</w:t>
            </w:r>
            <w:r>
              <w:rPr>
                <w:webHidden/>
              </w:rPr>
              <w:fldChar w:fldCharType="end"/>
            </w:r>
          </w:hyperlink>
        </w:p>
        <w:p>
          <w:pPr>
            <w:pStyle w:val="TOC1"/>
            <w:tabs>
              <w:tab w:val="left" w:pos="567" w:leader="none"/>
              <w:tab w:val="left" w:pos="851" w:leader="none"/>
              <w:tab w:val="right" w:pos="9923" w:leader="none"/>
            </w:tabs>
            <w:rPr/>
          </w:pPr>
          <w:hyperlink w:anchor="_Toc50" w:tgtFrame="#_Toc50">
            <w:r>
              <w:rPr>
                <w:webHidden/>
                <w:rStyle w:val="Style12"/>
                <w:rFonts w:eastAsia="Calibri" w:cs="Arial" w:cstheme="minorBidi" w:eastAsiaTheme="minorHAnsi"/>
                <w:vanish w:val="false"/>
              </w:rPr>
              <w:t>10.</w:t>
            </w:r>
            <w:r>
              <w:rPr>
                <w:webHidden/>
              </w:rPr>
              <w:fldChar w:fldCharType="begin"/>
            </w:r>
            <w:r>
              <w:rPr>
                <w:webHidden/>
              </w:rPr>
              <w:instrText xml:space="preserve">PAGEREF _Toc50 \h</w:instrText>
            </w:r>
            <w:r>
              <w:rPr>
                <w:webHidden/>
              </w:rPr>
              <w:fldChar w:fldCharType="separate"/>
            </w:r>
            <w:r>
              <w:rPr>
                <w:rStyle w:val="Style12"/>
              </w:rPr>
              <w:tab/>
              <w:t>Приложение № 5 – Образцы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1" w:tgtFrame="#_Toc51">
            <w:r>
              <w:rPr>
                <w:webHidden/>
                <w:rStyle w:val="Style12"/>
                <w:rFonts w:eastAsia="Calibri" w:cs="Arial" w:cstheme="minorBidi" w:eastAsiaTheme="minorHAnsi"/>
                <w:vanish w:val="false"/>
              </w:rPr>
              <w:t>10.1</w:t>
            </w:r>
            <w:r>
              <w:rPr>
                <w:webHidden/>
              </w:rPr>
              <w:fldChar w:fldCharType="begin"/>
            </w:r>
            <w:r>
              <w:rPr>
                <w:webHidden/>
              </w:rPr>
              <w:instrText xml:space="preserve">PAGEREF _Toc51 \h</w:instrText>
            </w:r>
            <w:r>
              <w:rPr>
                <w:webHidden/>
              </w:rPr>
              <w:fldChar w:fldCharType="separate"/>
            </w:r>
            <w:r>
              <w:rPr>
                <w:rStyle w:val="Style12"/>
              </w:rPr>
              <w:tab/>
              <w:t>Пояснения к Образцам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2" w:tgtFrame="#_Toc52">
            <w:r>
              <w:rPr>
                <w:webHidden/>
                <w:rStyle w:val="Style12"/>
                <w:rFonts w:eastAsia="Calibri" w:cs="Arial" w:cstheme="minorBidi" w:eastAsiaTheme="minorHAnsi"/>
                <w:vanish w:val="false"/>
              </w:rPr>
              <w:t>10.2</w:t>
            </w:r>
            <w:r>
              <w:rPr>
                <w:webHidden/>
              </w:rPr>
              <w:fldChar w:fldCharType="begin"/>
            </w:r>
            <w:r>
              <w:rPr>
                <w:webHidden/>
              </w:rPr>
              <w:instrText xml:space="preserve">PAGEREF _Toc52 \h</w:instrText>
            </w:r>
            <w:r>
              <w:rPr>
                <w:webHidden/>
              </w:rPr>
              <w:fldChar w:fldCharType="separate"/>
            </w:r>
            <w:r>
              <w:rPr>
                <w:rStyle w:val="Style12"/>
              </w:rPr>
              <w:tab/>
              <w:t>Форма справки «Сведения о цепочке собственников, включая бенефициаров (в том числе конечных)»</w:t>
              <w:tab/>
              <w:t>58</w:t>
            </w:r>
            <w:r>
              <w:rPr>
                <w:webHidden/>
              </w:rPr>
              <w:fldChar w:fldCharType="end"/>
            </w:r>
          </w:hyperlink>
        </w:p>
        <w:p>
          <w:pPr>
            <w:pStyle w:val="TOC2"/>
            <w:tabs>
              <w:tab w:val="left" w:pos="850" w:leader="none"/>
              <w:tab w:val="left" w:pos="851" w:leader="none"/>
              <w:tab w:val="right" w:pos="9923" w:leader="none"/>
            </w:tabs>
            <w:rPr/>
          </w:pPr>
          <w:hyperlink w:anchor="_Toc53" w:tgtFrame="#_Toc53">
            <w:r>
              <w:rPr>
                <w:webHidden/>
                <w:rStyle w:val="Style12"/>
                <w:rFonts w:eastAsia="Calibri" w:cs="Arial" w:cstheme="minorBidi" w:eastAsiaTheme="minorHAnsi"/>
                <w:vanish w:val="false"/>
              </w:rPr>
              <w:t>10.3</w:t>
            </w:r>
            <w:r>
              <w:rPr>
                <w:webHidden/>
              </w:rPr>
              <w:fldChar w:fldCharType="begin"/>
            </w:r>
            <w:r>
              <w:rPr>
                <w:webHidden/>
              </w:rPr>
              <w:instrText xml:space="preserve">PAGEREF _Toc53 \h</w:instrText>
            </w:r>
            <w:r>
              <w:rPr>
                <w:webHidden/>
              </w:rPr>
              <w:fldChar w:fldCharType="separate"/>
            </w:r>
            <w:r>
              <w:rPr>
                <w:rStyle w:val="Style12"/>
              </w:rPr>
              <w:tab/>
              <w:t>Форма «Заверение об обстоятельствах»</w:t>
              <w:tab/>
              <w:t>58</w:t>
            </w:r>
            <w:r>
              <w:rPr>
                <w:webHidden/>
              </w:rPr>
              <w:fldChar w:fldCharType="end"/>
            </w:r>
          </w:hyperlink>
        </w:p>
        <w:p>
          <w:pPr>
            <w:pStyle w:val="TOC1"/>
            <w:tabs>
              <w:tab w:val="left" w:pos="567" w:leader="none"/>
              <w:tab w:val="left" w:pos="851" w:leader="none"/>
              <w:tab w:val="right" w:pos="9923" w:leader="none"/>
            </w:tabs>
            <w:rPr/>
          </w:pPr>
          <w:hyperlink w:anchor="_Toc54" w:tgtFrame="#_Toc54">
            <w:r>
              <w:rPr>
                <w:webHidden/>
                <w:rStyle w:val="Style12"/>
                <w:rFonts w:eastAsia="Calibri" w:cs="Arial" w:cstheme="minorBidi" w:eastAsiaTheme="minorHAnsi"/>
                <w:vanish w:val="false"/>
              </w:rPr>
              <w:t>11.</w:t>
            </w:r>
            <w:r>
              <w:rPr>
                <w:webHidden/>
              </w:rPr>
              <w:fldChar w:fldCharType="begin"/>
            </w:r>
            <w:r>
              <w:rPr>
                <w:webHidden/>
              </w:rPr>
              <w:instrText xml:space="preserve">PAGEREF _Toc54 \h</w:instrText>
            </w:r>
            <w:r>
              <w:rPr>
                <w:webHidden/>
              </w:rPr>
              <w:fldChar w:fldCharType="separate"/>
            </w:r>
            <w:r>
              <w:rPr>
                <w:rStyle w:val="Style12"/>
              </w:rPr>
              <w:tab/>
              <w:t>Приложение № 6 – Состав заявки</w:t>
              <w:tab/>
              <w:t>60</w:t>
            </w:r>
            <w:r>
              <w:rPr>
                <w:webHidden/>
              </w:rPr>
              <w:fldChar w:fldCharType="end"/>
            </w:r>
          </w:hyperlink>
        </w:p>
        <w:p>
          <w:pPr>
            <w:pStyle w:val="TOC2"/>
            <w:tabs>
              <w:tab w:val="left" w:pos="850" w:leader="none"/>
              <w:tab w:val="left" w:pos="851" w:leader="none"/>
              <w:tab w:val="right" w:pos="9923" w:leader="none"/>
            </w:tabs>
            <w:rPr/>
          </w:pPr>
          <w:hyperlink w:anchor="_Toc55" w:tgtFrame="#_Toc55">
            <w:r>
              <w:rPr>
                <w:webHidden/>
                <w:rStyle w:val="Style12"/>
                <w:rFonts w:eastAsia="Calibri" w:cs="Arial" w:cstheme="minorBidi" w:eastAsiaTheme="minorHAnsi"/>
                <w:vanish w:val="false"/>
              </w:rPr>
              <w:t>11.1</w:t>
            </w:r>
            <w:r>
              <w:rPr>
                <w:webHidden/>
              </w:rPr>
              <w:fldChar w:fldCharType="begin"/>
            </w:r>
            <w:r>
              <w:rPr>
                <w:webHidden/>
              </w:rPr>
              <w:instrText xml:space="preserve">PAGEREF _Toc55 \h</w:instrText>
            </w:r>
            <w:r>
              <w:rPr>
                <w:webHidden/>
              </w:rPr>
              <w:fldChar w:fldCharType="separate"/>
            </w:r>
            <w:r>
              <w:rPr>
                <w:rStyle w:val="Style12"/>
              </w:rPr>
              <w:tab/>
              <w:t>Состав заявки</w:t>
              <w:tab/>
              <w:t>60</w:t>
            </w:r>
            <w:r>
              <w:rPr>
                <w:webHidden/>
              </w:rPr>
              <w:fldChar w:fldCharType="end"/>
            </w:r>
          </w:hyperlink>
        </w:p>
        <w:p>
          <w:pPr>
            <w:pStyle w:val="TOC1"/>
            <w:tabs>
              <w:tab w:val="left" w:pos="567" w:leader="none"/>
              <w:tab w:val="left" w:pos="851" w:leader="none"/>
              <w:tab w:val="right" w:pos="9923" w:leader="none"/>
            </w:tabs>
            <w:rPr/>
          </w:pPr>
          <w:hyperlink w:anchor="_Toc56" w:tgtFrame="#_Toc56">
            <w:r>
              <w:rPr>
                <w:webHidden/>
                <w:rStyle w:val="Style12"/>
                <w:rFonts w:eastAsia="Calibri" w:cs="Arial" w:cstheme="minorBidi" w:eastAsiaTheme="minorHAnsi"/>
                <w:vanish w:val="false"/>
              </w:rPr>
              <w:t>12.</w:t>
            </w:r>
            <w:r>
              <w:rPr>
                <w:webHidden/>
              </w:rPr>
              <w:fldChar w:fldCharType="begin"/>
            </w:r>
            <w:r>
              <w:rPr>
                <w:webHidden/>
              </w:rPr>
              <w:instrText xml:space="preserve">PAGEREF _Toc56 \h</w:instrText>
            </w:r>
            <w:r>
              <w:rPr>
                <w:webHidden/>
              </w:rPr>
              <w:fldChar w:fldCharType="separate"/>
            </w:r>
            <w:r>
              <w:rPr>
                <w:rStyle w:val="Style12"/>
              </w:rPr>
              <w:tab/>
              <w:t>Приложение № 7 – Отборочные критерии рассмотрения заявок</w:t>
              <w:tab/>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7" w:tgtFrame="#_Toc57">
            <w:r>
              <w:rPr>
                <w:webHidden/>
                <w:rStyle w:val="Style12"/>
                <w:rFonts w:eastAsia="Calibri" w:cs="Arial" w:cstheme="minorBidi" w:eastAsiaTheme="minorHAnsi"/>
                <w:vanish w:val="false"/>
              </w:rPr>
              <w:t>12.1</w:t>
            </w:r>
            <w:r>
              <w:rPr>
                <w:rStyle w:val="Style12"/>
              </w:rPr>
              <w:tab/>
            </w:r>
            <w:r>
              <w:rPr>
                <w:rStyle w:val="Style12"/>
                <w:i w:val="false"/>
                <w:iCs w:val="false"/>
                <w:shd w:fill="auto" w:val="clear"/>
              </w:rPr>
              <w:t>Отборочные критерии рассмотрения первых частей заявок</w:t>
            </w:r>
            <w:r>
              <w:rPr>
                <w:rStyle w:val="Style12"/>
              </w:rPr>
              <w:tab/>
            </w:r>
            <w:r>
              <w:rPr>
                <w:webHidden/>
              </w:rPr>
              <w:fldChar w:fldCharType="begin"/>
            </w:r>
            <w:r>
              <w:rPr>
                <w:webHidden/>
              </w:rPr>
              <w:instrText xml:space="preserve">PAGEREF _Toc57 \h</w:instrText>
            </w:r>
            <w:r>
              <w:rPr>
                <w:webHidden/>
              </w:rPr>
              <w:fldChar w:fldCharType="separate"/>
            </w:r>
            <w:r>
              <w:rPr>
                <w:rStyle w:val="Style12"/>
                <w:i w:val="false"/>
                <w:iCs w:val="false"/>
                <w:shd w:fill="auto" w:val="clear"/>
              </w:rPr>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8" w:tgtFrame="#_Toc58">
            <w:r>
              <w:rPr>
                <w:webHidden/>
                <w:rStyle w:val="Style12"/>
                <w:rFonts w:eastAsia="Calibri" w:cs="Arial" w:cstheme="minorBidi" w:eastAsiaTheme="minorHAnsi"/>
                <w:vanish w:val="false"/>
              </w:rPr>
              <w:t>12.2</w:t>
            </w:r>
            <w:r>
              <w:rPr>
                <w:rStyle w:val="Style12"/>
              </w:rPr>
              <w:tab/>
            </w:r>
            <w:r>
              <w:rPr>
                <w:rStyle w:val="Style12"/>
                <w:i w:val="false"/>
                <w:iCs w:val="false"/>
                <w:shd w:fill="auto" w:val="clear"/>
              </w:rPr>
              <w:t>Отборочные критерии рассмотрения вторых частей заявок</w:t>
            </w:r>
            <w:r>
              <w:rPr>
                <w:rStyle w:val="Style12"/>
              </w:rPr>
              <w:tab/>
            </w:r>
            <w:r>
              <w:rPr>
                <w:webHidden/>
              </w:rPr>
              <w:fldChar w:fldCharType="begin"/>
            </w:r>
            <w:r>
              <w:rPr>
                <w:webHidden/>
              </w:rPr>
              <w:instrText xml:space="preserve">PAGEREF _Toc58 \h</w:instrText>
            </w:r>
            <w:r>
              <w:rPr>
                <w:webHidden/>
              </w:rPr>
              <w:fldChar w:fldCharType="separate"/>
            </w:r>
            <w:r>
              <w:rPr>
                <w:rStyle w:val="Style12"/>
                <w:i w:val="false"/>
                <w:iCs w:val="false"/>
                <w:shd w:fill="auto" w:val="clear"/>
              </w:rPr>
              <w:t>64</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9" w:tgtFrame="#_Toc59">
            <w:r>
              <w:rPr>
                <w:webHidden/>
                <w:rStyle w:val="Style12"/>
                <w:rFonts w:eastAsia="Calibri" w:cs="Arial" w:cstheme="minorBidi" w:eastAsiaTheme="minorHAnsi"/>
                <w:vanish w:val="false"/>
              </w:rPr>
              <w:t>12.3</w:t>
            </w:r>
            <w:r>
              <w:rPr>
                <w:rStyle w:val="Style12"/>
              </w:rPr>
              <w:tab/>
            </w:r>
            <w:r>
              <w:rPr>
                <w:rStyle w:val="Style12"/>
                <w:i w:val="false"/>
                <w:iCs w:val="false"/>
                <w:shd w:fill="auto" w:val="clear"/>
              </w:rPr>
              <w:t>Отборочные критерии рассмотрения ценовых предложений</w:t>
            </w:r>
            <w:r>
              <w:rPr>
                <w:rStyle w:val="Style12"/>
              </w:rPr>
              <w:tab/>
            </w:r>
            <w:r>
              <w:rPr>
                <w:webHidden/>
              </w:rPr>
              <w:fldChar w:fldCharType="begin"/>
            </w:r>
            <w:r>
              <w:rPr>
                <w:webHidden/>
              </w:rPr>
              <w:instrText xml:space="preserve">PAGEREF _Toc59 \h</w:instrText>
            </w:r>
            <w:r>
              <w:rPr>
                <w:webHidden/>
              </w:rPr>
              <w:fldChar w:fldCharType="separate"/>
            </w:r>
            <w:r>
              <w:rPr>
                <w:rStyle w:val="Style12"/>
                <w:i w:val="false"/>
                <w:iCs w:val="false"/>
                <w:shd w:fill="auto" w:val="clear"/>
              </w:rPr>
              <w:t>67</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60" w:tgtFrame="#_Toc60">
            <w:r>
              <w:rPr>
                <w:webHidden/>
                <w:rStyle w:val="Style12"/>
                <w:rFonts w:eastAsia="Calibri" w:cs="Arial" w:cstheme="minorBidi" w:eastAsiaTheme="minorHAnsi"/>
                <w:vanish w:val="false"/>
              </w:rPr>
              <w:t>12.4</w:t>
            </w:r>
            <w:r>
              <w:rPr>
                <w:rStyle w:val="Style12"/>
              </w:rPr>
              <w:tab/>
            </w:r>
            <w:r>
              <w:rPr>
                <w:rStyle w:val="Style12"/>
                <w:i w:val="false"/>
                <w:iCs w:val="false"/>
                <w:shd w:fill="auto" w:val="clear"/>
              </w:rPr>
              <w:t>Дополнительные критерии проверки заявок на соответствие условиям Документации о закупке</w:t>
            </w:r>
            <w:r>
              <w:rPr>
                <w:rStyle w:val="Style12"/>
              </w:rPr>
              <w:tab/>
            </w:r>
            <w:r>
              <w:rPr>
                <w:webHidden/>
              </w:rPr>
              <w:fldChar w:fldCharType="begin"/>
            </w:r>
            <w:r>
              <w:rPr>
                <w:webHidden/>
              </w:rPr>
              <w:instrText xml:space="preserve">PAGEREF _Toc60 \h</w:instrText>
            </w:r>
            <w:r>
              <w:rPr>
                <w:webHidden/>
              </w:rPr>
              <w:fldChar w:fldCharType="separate"/>
            </w:r>
            <w:r>
              <w:rPr>
                <w:rStyle w:val="Style12"/>
                <w:i w:val="false"/>
                <w:iCs w:val="false"/>
                <w:shd w:fill="auto" w:val="clear"/>
              </w:rPr>
              <w:t>68</w:t>
            </w:r>
            <w:r>
              <w:rPr>
                <w:webHidden/>
              </w:rPr>
              <w:fldChar w:fldCharType="end"/>
            </w:r>
          </w:hyperlink>
        </w:p>
        <w:p>
          <w:pPr>
            <w:pStyle w:val="TOC1"/>
            <w:tabs>
              <w:tab w:val="left" w:pos="567" w:leader="none"/>
              <w:tab w:val="left" w:pos="851" w:leader="none"/>
              <w:tab w:val="right" w:pos="9923" w:leader="none"/>
            </w:tabs>
            <w:rPr/>
          </w:pPr>
          <w:hyperlink w:anchor="_Toc61" w:tgtFrame="#_Toc61">
            <w:r>
              <w:rPr>
                <w:webHidden/>
                <w:rStyle w:val="Style12"/>
                <w:rFonts w:eastAsia="Calibri" w:cs="Arial" w:cstheme="minorBidi" w:eastAsiaTheme="minorHAnsi"/>
                <w:vanish w:val="false"/>
              </w:rPr>
              <w:t>13.</w:t>
            </w:r>
            <w:r>
              <w:rPr>
                <w:webHidden/>
              </w:rPr>
              <w:fldChar w:fldCharType="begin"/>
            </w:r>
            <w:r>
              <w:rPr>
                <w:webHidden/>
              </w:rPr>
              <w:instrText xml:space="preserve">PAGEREF _Toc61 \h</w:instrText>
            </w:r>
            <w:r>
              <w:rPr>
                <w:webHidden/>
              </w:rPr>
              <w:fldChar w:fldCharType="separate"/>
            </w:r>
            <w:r>
              <w:rPr>
                <w:rStyle w:val="Style12"/>
              </w:rPr>
              <w:tab/>
              <w:t>Приложение № 8 – Порядок и критерии оценки и сопоставления заявок</w:t>
              <w:tab/>
              <w:t>71</w:t>
            </w:r>
            <w:r>
              <w:rPr>
                <w:webHidden/>
              </w:rPr>
              <w:fldChar w:fldCharType="end"/>
            </w:r>
          </w:hyperlink>
        </w:p>
        <w:p>
          <w:pPr>
            <w:pStyle w:val="TOC2"/>
            <w:tabs>
              <w:tab w:val="left" w:pos="850" w:leader="none"/>
              <w:tab w:val="left" w:pos="851" w:leader="none"/>
              <w:tab w:val="right" w:pos="9923" w:leader="none"/>
            </w:tabs>
            <w:rPr/>
          </w:pPr>
          <w:hyperlink w:anchor="_Toc62" w:tgtFrame="#_Toc62">
            <w:r>
              <w:rPr>
                <w:webHidden/>
                <w:rStyle w:val="Style12"/>
                <w:rFonts w:eastAsia="Calibri" w:cs="Arial" w:cstheme="minorBidi" w:eastAsiaTheme="minorHAnsi"/>
                <w:vanish w:val="false"/>
              </w:rPr>
              <w:t>13.1</w:t>
            </w:r>
            <w:r>
              <w:rPr>
                <w:webHidden/>
              </w:rPr>
              <w:fldChar w:fldCharType="begin"/>
            </w:r>
            <w:r>
              <w:rPr>
                <w:webHidden/>
              </w:rPr>
              <w:instrText xml:space="preserve">PAGEREF _Toc62 \h</w:instrText>
            </w:r>
            <w:r>
              <w:rPr>
                <w:webHidden/>
              </w:rPr>
              <w:fldChar w:fldCharType="separate"/>
            </w:r>
            <w:r>
              <w:rPr>
                <w:rStyle w:val="Style12"/>
              </w:rPr>
              <w:tab/>
              <w:t>Порядок и критерии оценки и сопоставления заявок</w:t>
              <w:tab/>
              <w:t>71</w:t>
            </w:r>
            <w:r>
              <w:rPr>
                <w:webHidden/>
              </w:rPr>
              <w:fldChar w:fldCharType="end"/>
            </w:r>
          </w:hyperlink>
        </w:p>
        <w:p>
          <w:pPr>
            <w:pStyle w:val="TOC1"/>
            <w:tabs>
              <w:tab w:val="left" w:pos="567" w:leader="none"/>
              <w:tab w:val="left" w:pos="851" w:leader="none"/>
              <w:tab w:val="right" w:pos="9923" w:leader="none"/>
            </w:tabs>
            <w:rPr/>
          </w:pPr>
          <w:hyperlink w:anchor="_Toc63" w:tgtFrame="#_Toc63">
            <w:r>
              <w:rPr>
                <w:webHidden/>
                <w:rStyle w:val="Style12"/>
                <w:rFonts w:eastAsia="Calibri" w:cs="Arial" w:cstheme="minorBidi" w:eastAsiaTheme="minorHAnsi"/>
                <w:vanish w:val="false"/>
              </w:rPr>
              <w:t>14.</w:t>
            </w:r>
            <w:r>
              <w:rPr>
                <w:webHidden/>
              </w:rPr>
              <w:fldChar w:fldCharType="begin"/>
            </w:r>
            <w:r>
              <w:rPr>
                <w:webHidden/>
              </w:rPr>
              <w:instrText xml:space="preserve">PAGEREF _Toc63 \h</w:instrText>
            </w:r>
            <w:r>
              <w:rPr>
                <w:webHidden/>
              </w:rPr>
              <w:fldChar w:fldCharType="separate"/>
            </w:r>
            <w:r>
              <w:rPr>
                <w:rStyle w:val="Style12"/>
              </w:rPr>
              <w:tab/>
              <w:t>Приложение № 9 – Обоснование НМЦ</w:t>
              <w:tab/>
              <w:t>76</w:t>
            </w:r>
            <w:r>
              <w:rPr>
                <w:webHidden/>
              </w:rPr>
              <w:fldChar w:fldCharType="end"/>
            </w:r>
          </w:hyperlink>
        </w:p>
        <w:p>
          <w:pPr>
            <w:pStyle w:val="TOC2"/>
            <w:tabs>
              <w:tab w:val="left" w:pos="850" w:leader="none"/>
              <w:tab w:val="left" w:pos="851" w:leader="none"/>
              <w:tab w:val="right" w:pos="9923" w:leader="none"/>
            </w:tabs>
            <w:rPr/>
          </w:pPr>
          <w:hyperlink w:anchor="_Toc64" w:tgtFrame="#_Toc64">
            <w:r>
              <w:rPr>
                <w:webHidden/>
                <w:rStyle w:val="Style12"/>
                <w:rFonts w:eastAsia="Calibri" w:cs="Arial" w:cstheme="minorBidi" w:eastAsiaTheme="minorHAnsi"/>
                <w:vanish w:val="false"/>
              </w:rPr>
              <w:t>14.1</w:t>
            </w:r>
            <w:r>
              <w:rPr>
                <w:webHidden/>
              </w:rPr>
              <w:fldChar w:fldCharType="begin"/>
            </w:r>
            <w:r>
              <w:rPr>
                <w:webHidden/>
              </w:rPr>
              <w:instrText xml:space="preserve">PAGEREF _Toc64 \h</w:instrText>
            </w:r>
            <w:r>
              <w:rPr>
                <w:webHidden/>
              </w:rPr>
              <w:fldChar w:fldCharType="separate"/>
            </w:r>
            <w:r>
              <w:rPr>
                <w:rStyle w:val="Style12"/>
              </w:rPr>
              <w:tab/>
              <w:t>Пояснения к Обоснованию НМЦ</w:t>
              <w:tab/>
              <w:t>76</w:t>
            </w:r>
            <w:r>
              <w:rPr>
                <w:webHidden/>
              </w:rPr>
              <w:fldChar w:fldCharType="end"/>
            </w:r>
          </w:hyperlink>
        </w:p>
        <w:p>
          <w:pPr>
            <w:pStyle w:val="TOC1"/>
            <w:tabs>
              <w:tab w:val="left" w:pos="567" w:leader="none"/>
              <w:tab w:val="left" w:pos="851" w:leader="none"/>
              <w:tab w:val="right" w:pos="9923" w:leader="none"/>
            </w:tabs>
            <w:rPr/>
          </w:pPr>
          <w:hyperlink w:anchor="_Toc65" w:tgtFrame="#_Toc65">
            <w:r>
              <w:rPr>
                <w:webHidden/>
                <w:rStyle w:val="Style12"/>
                <w:rFonts w:eastAsia="Calibri" w:cs="Arial" w:cstheme="minorBidi" w:eastAsiaTheme="minorHAnsi"/>
                <w:vanish w:val="false"/>
              </w:rPr>
              <w:t>15.</w:t>
            </w:r>
            <w:r>
              <w:rPr>
                <w:webHidden/>
              </w:rPr>
              <w:fldChar w:fldCharType="begin"/>
            </w:r>
            <w:r>
              <w:rPr>
                <w:webHidden/>
              </w:rPr>
              <w:instrText xml:space="preserve">PAGEREF _Toc65 \h</w:instrText>
            </w:r>
            <w:r>
              <w:rPr>
                <w:webHidden/>
              </w:rPr>
              <w:fldChar w:fldCharType="separate"/>
            </w:r>
            <w:r>
              <w:rPr>
                <w:rStyle w:val="Style12"/>
              </w:rPr>
              <w:tab/>
              <w:t>Приложение № 10 – Форма Заявки на аккредитацию</w:t>
              <w:tab/>
              <w:t>77</w:t>
            </w:r>
            <w:r>
              <w:rPr>
                <w:webHidden/>
              </w:rPr>
              <w:fldChar w:fldCharType="end"/>
            </w:r>
          </w:hyperlink>
        </w:p>
        <w:p>
          <w:pPr>
            <w:pStyle w:val="TOC2"/>
            <w:tabs>
              <w:tab w:val="left" w:pos="850" w:leader="none"/>
              <w:tab w:val="left" w:pos="851" w:leader="none"/>
              <w:tab w:val="right" w:pos="9923" w:leader="none"/>
            </w:tabs>
            <w:rPr/>
          </w:pPr>
          <w:hyperlink w:anchor="_Toc66" w:tgtFrame="#_Toc66">
            <w:r>
              <w:rPr>
                <w:webHidden/>
                <w:rStyle w:val="Style12"/>
                <w:rFonts w:eastAsia="Calibri" w:cs="Arial" w:cstheme="minorBidi" w:eastAsiaTheme="minorHAnsi"/>
                <w:vanish w:val="false"/>
              </w:rPr>
              <w:t>15.1</w:t>
            </w:r>
            <w:r>
              <w:rPr>
                <w:webHidden/>
              </w:rPr>
              <w:fldChar w:fldCharType="begin"/>
            </w:r>
            <w:r>
              <w:rPr>
                <w:webHidden/>
              </w:rPr>
              <w:instrText xml:space="preserve">PAGEREF _Toc66 \h</w:instrText>
            </w:r>
            <w:r>
              <w:rPr>
                <w:webHidden/>
              </w:rPr>
              <w:fldChar w:fldCharType="separate"/>
            </w:r>
            <w:r>
              <w:rPr>
                <w:rStyle w:val="Style12"/>
              </w:rPr>
              <w:tab/>
              <w:t>Пояснения к форме Заявки на аккредитацию</w:t>
              <w:tab/>
              <w:t>77</w:t>
            </w:r>
            <w:r>
              <w:rPr>
                <w:webHidden/>
              </w:rPr>
              <w:fldChar w:fldCharType="end"/>
            </w:r>
          </w:hyperlink>
        </w:p>
        <w:p>
          <w:pPr>
            <w:pStyle w:val="TOC1"/>
            <w:tabs>
              <w:tab w:val="left" w:pos="567" w:leader="none"/>
              <w:tab w:val="left" w:pos="851" w:leader="none"/>
              <w:tab w:val="right" w:pos="9923" w:leader="none"/>
            </w:tabs>
            <w:rPr/>
          </w:pPr>
          <w:hyperlink w:anchor="_Toc67" w:tgtFrame="#_Toc67">
            <w:r>
              <w:rPr>
                <w:webHidden/>
                <w:rStyle w:val="Style12"/>
                <w:rFonts w:eastAsia="Calibri" w:cs="Arial" w:cstheme="minorBidi" w:eastAsiaTheme="minorHAnsi"/>
                <w:vanish w:val="false"/>
              </w:rPr>
              <w:t>16.</w:t>
            </w:r>
            <w:r>
              <w:rPr>
                <w:webHidden/>
              </w:rPr>
              <w:fldChar w:fldCharType="begin"/>
            </w:r>
            <w:r>
              <w:rPr>
                <w:webHidden/>
              </w:rPr>
              <w:instrText xml:space="preserve">PAGEREF _Toc67 \h</w:instrText>
            </w:r>
            <w:r>
              <w:rPr>
                <w:webHidden/>
              </w:rPr>
              <w:fldChar w:fldCharType="separate"/>
            </w:r>
            <w:r>
              <w:rPr>
                <w:rStyle w:val="Style12"/>
              </w:rPr>
              <w:tab/>
              <w:t>Приложение № 11 – форма Данных бухгалтерской (финансовой) отчетности</w:t>
              <w:tab/>
              <w:t>78</w:t>
            </w:r>
            <w:r>
              <w:rPr>
                <w:webHidden/>
              </w:rPr>
              <w:fldChar w:fldCharType="end"/>
            </w:r>
          </w:hyperlink>
        </w:p>
        <w:p>
          <w:pPr>
            <w:pStyle w:val="TOC2"/>
            <w:tabs>
              <w:tab w:val="left" w:pos="850" w:leader="none"/>
              <w:tab w:val="left" w:pos="851" w:leader="none"/>
              <w:tab w:val="right" w:pos="9923" w:leader="none"/>
            </w:tabs>
            <w:rPr/>
          </w:pPr>
          <w:hyperlink w:anchor="_Toc68" w:tgtFrame="#_Toc68">
            <w:r>
              <w:rPr>
                <w:webHidden/>
                <w:rStyle w:val="Style12"/>
                <w:rFonts w:eastAsia="Calibri" w:cs="Arial" w:cstheme="minorBidi" w:eastAsiaTheme="minorHAnsi"/>
                <w:vanish w:val="false"/>
              </w:rPr>
              <w:t>16.1</w:t>
            </w:r>
            <w:r>
              <w:rPr>
                <w:webHidden/>
              </w:rPr>
              <w:fldChar w:fldCharType="begin"/>
            </w:r>
            <w:r>
              <w:rPr>
                <w:webHidden/>
              </w:rPr>
              <w:instrText xml:space="preserve">PAGEREF _Toc68 \h</w:instrText>
            </w:r>
            <w:r>
              <w:rPr>
                <w:webHidden/>
              </w:rPr>
              <w:fldChar w:fldCharType="separate"/>
            </w:r>
            <w:r>
              <w:rPr>
                <w:rStyle w:val="Style12"/>
              </w:rPr>
              <w:tab/>
              <w:t xml:space="preserve">Пояснения к форме Данных бухгалтерской (финансовой) отчетности </w:t>
              <w:tab/>
              <w:t>78</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1"/>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3"/>
      <w:bookmarkStart w:id="4" w:name="_Ref125359988"/>
      <w:r>
        <w:rPr/>
        <w:t>Основные сведения о закупке</w:t>
      </w:r>
      <w:bookmarkEnd w:id="3"/>
      <w:bookmarkEnd w:id="4"/>
    </w:p>
    <w:p>
      <w:pPr>
        <w:pStyle w:val="Style16"/>
        <w:spacing w:before="360" w:after="0"/>
        <w:rPr/>
      </w:pPr>
      <w:bookmarkStart w:id="5" w:name="_Toc4"/>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Toc5"/>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114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1"/>
        <w:gridCol w:w="5815"/>
      </w:tblGrid>
      <w:tr>
        <w:trPr/>
        <w:tc>
          <w:tcPr>
            <w:tcW w:w="112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1"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5"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Л</w:t>
            </w:r>
            <w:r>
              <w:rPr>
                <w:rFonts w:eastAsia="Calibri" w:cs="Arial" w:cstheme="minorBidi" w:eastAsiaTheme="minorHAnsi"/>
                <w:i w:val="false"/>
                <w:iCs w:val="false"/>
                <w:kern w:val="0"/>
                <w:sz w:val="26"/>
                <w:szCs w:val="22"/>
                <w:shd w:fill="FFFFFF" w:val="clear"/>
                <w:lang w:val="ru-RU" w:eastAsia="en-US" w:bidi="ar-SA"/>
              </w:rPr>
              <w:t>от №</w:t>
            </w:r>
            <w:r>
              <w:rPr>
                <w:rStyle w:val="Style3"/>
                <w:rFonts w:eastAsia="Calibri" w:cs="Arial" w:cstheme="minorBidi" w:eastAsiaTheme="minorHAnsi"/>
                <w:i w:val="false"/>
                <w:iCs w:val="false"/>
                <w:kern w:val="0"/>
                <w:sz w:val="26"/>
                <w:szCs w:val="22"/>
                <w:shd w:fill="FFFFFF" w:val="clear"/>
                <w:lang w:val="ru-RU" w:eastAsia="en-US" w:bidi="ar-SA"/>
              </w:rPr>
              <w:t>11040001-РЕМ ПРОД-2027-ДГК-ВТЭЦ2</w:t>
            </w:r>
            <w:r>
              <w:rPr>
                <w:rFonts w:eastAsia="Calibri" w:cs="Arial" w:cstheme="minorBidi" w:eastAsiaTheme="minorHAnsi"/>
                <w:i w:val="false"/>
                <w:iCs w:val="false"/>
                <w:kern w:val="0"/>
                <w:sz w:val="26"/>
                <w:szCs w:val="22"/>
                <w:shd w:fill="FFFFFF" w:val="clear"/>
                <w:lang w:val="ru-RU" w:eastAsia="en-US" w:bidi="ar-SA"/>
              </w:rPr>
              <w:t>: ОКПД2 43.99.90.110 Выполнение работ по ремонту дымовых труб Владивостокской ТЭЦ-2, г. Владивосток (ПП: 7.15-Рем-2022-ВТЭЦ2)</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5" w:type="dxa"/>
            <w:tcBorders/>
          </w:tcPr>
          <w:p>
            <w:pPr>
              <w:pStyle w:val="Normal"/>
              <w:widowControl w:val="false"/>
              <w:suppressAutoHyphens w:val="true"/>
              <w:spacing w:lineRule="auto" w:line="240" w:before="60" w:after="60"/>
              <w:jc w:val="both"/>
              <w:rPr>
                <w:rFonts w:ascii="Times New Roman" w:hAnsi="Times New Roman" w:cs="Times New Roman"/>
                <w:b/>
                <w:bCs/>
                <w:color w:val="365F91"/>
                <w:sz w:val="26"/>
                <w:szCs w:val="26"/>
                <w:highlight w:val="white"/>
              </w:rPr>
            </w:pPr>
            <w:r>
              <w:rPr>
                <w:rFonts w:eastAsia="Times New Roman" w:cs="Times New Roman"/>
                <w:i w:val="false"/>
                <w:iCs w:val="false"/>
                <w:kern w:val="0"/>
                <w:sz w:val="26"/>
                <w:szCs w:val="26"/>
                <w:highlight w:val="white"/>
                <w:lang w:val="ru-RU" w:eastAsia="en-US" w:bidi="ar-SA"/>
              </w:rPr>
              <w:t>Закупка проводится с помощью Единой электронной торговой площадки Росэлторг</w:t>
            </w:r>
            <w:r>
              <w:rPr>
                <w:rFonts w:eastAsia="Times New Roman" w:cs="Times New Roman"/>
                <w:i w:val="false"/>
                <w:iCs w:val="false"/>
                <w:color w:val="1F497D"/>
                <w:kern w:val="0"/>
                <w:sz w:val="26"/>
                <w:szCs w:val="26"/>
                <w:highlight w:val="white"/>
                <w:lang w:val="ru-RU" w:eastAsia="en-US" w:bidi="ar-SA"/>
              </w:rPr>
              <w:t xml:space="preserve"> </w:t>
            </w:r>
            <w:hyperlink r:id="rId2" w:tgtFrame="https://corp.roseltorg.ru.">
              <w:r>
                <w:rPr>
                  <w:rStyle w:val="Hyperlink"/>
                  <w:rFonts w:eastAsia="Times New Roman" w:cs="Times New Roman"/>
                  <w:i w:val="false"/>
                  <w:iCs w:val="false"/>
                  <w:kern w:val="0"/>
                  <w:sz w:val="26"/>
                  <w:szCs w:val="26"/>
                  <w:highlight w:val="white"/>
                  <w:lang w:val="ru-RU" w:eastAsia="en-US" w:bidi="ar-SA"/>
                </w:rPr>
                <w:t>https://corp.roseltorg.ru.</w:t>
              </w:r>
            </w:hyperlink>
          </w:p>
          <w:p>
            <w:pPr>
              <w:pStyle w:val="Style21"/>
              <w:widowControl w:val="false"/>
              <w:suppressAutoHyphens w:val="true"/>
              <w:spacing w:lineRule="auto" w:line="240" w:before="60" w:after="60"/>
              <w:rPr>
                <w:bCs w:val="false"/>
                <w:i w:val="false"/>
                <w:i w:val="false"/>
                <w:sz w:val="26"/>
                <w:szCs w:val="26"/>
                <w:highlight w:val="white"/>
              </w:rPr>
            </w:pPr>
            <w:r>
              <w:rPr>
                <w:rFonts w:eastAsia="Times New Roman" w:cs="Times New Roman"/>
                <w:i w:val="false"/>
                <w:iCs w:val="false"/>
                <w:kern w:val="0"/>
                <w:sz w:val="26"/>
                <w:szCs w:val="26"/>
                <w:highlight w:val="white"/>
                <w:lang w:val="ru-RU" w:eastAsia="en-US" w:bidi="ar-SA"/>
              </w:rPr>
              <w:t xml:space="preserve">Регламент ЭТП, в соответствии с которым проводится закупка, размещен по адресу: </w:t>
            </w:r>
            <w:r>
              <w:rPr>
                <w:rStyle w:val="Style3"/>
                <w:rFonts w:eastAsia="Calibri" w:cs="Arial"/>
                <w:i w:val="false"/>
                <w:iCs w:val="false"/>
                <w:kern w:val="0"/>
                <w:sz w:val="26"/>
                <w:szCs w:val="26"/>
                <w:highlight w:val="white"/>
                <w:lang w:val="ru-RU" w:eastAsia="en-US" w:bidi="ar-SA"/>
              </w:rPr>
              <w:t>www.roseltorg.ru/knowledge_db/docs/documents</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Участники:</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5" w:type="dxa"/>
            <w:tcBorders/>
          </w:tcPr>
          <w:p>
            <w:pPr>
              <w:pStyle w:val="Normal"/>
              <w:widowControl w:val="false"/>
              <w:suppressAutoHyphens w:val="true"/>
              <w:spacing w:lineRule="auto" w:line="240" w:before="0" w:after="60"/>
              <w:jc w:val="both"/>
              <w:rPr>
                <w:rFonts w:eastAsia="Calibri" w:cs="Arial"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eastAsia="Calibri" w:cs="Arial"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Место нахождения: 680000, г. Хабаровск, ул. Фрунзе, д. 49</w:t>
            </w:r>
          </w:p>
          <w:p>
            <w:pPr>
              <w:pStyle w:val="Normal"/>
              <w:widowControl w:val="false"/>
              <w:suppressAutoHyphens w:val="true"/>
              <w:spacing w:lineRule="auto" w:line="240" w:before="0" w:after="60"/>
              <w:jc w:val="both"/>
              <w:rPr>
                <w:rFonts w:eastAsia="Calibri" w:cs="Arial"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Почтовый адрес: 680000, г. Хабаровск, ул. Фрунзе, д. 49</w:t>
            </w:r>
          </w:p>
          <w:p>
            <w:pPr>
              <w:pStyle w:val="Normal"/>
              <w:widowControl w:val="false"/>
              <w:suppressAutoHyphens w:val="true"/>
              <w:spacing w:lineRule="auto" w:line="240" w:before="0" w:after="60"/>
              <w:jc w:val="both"/>
              <w:rPr/>
            </w:pPr>
            <w:r>
              <w:rPr>
                <w:rFonts w:eastAsia="Times New Roman" w:cs="Times New Roman"/>
                <w:i w:val="false"/>
                <w:iCs w:val="false"/>
                <w:kern w:val="0"/>
                <w:sz w:val="26"/>
                <w:szCs w:val="26"/>
                <w:shd w:fill="FFFFFF" w:val="clear"/>
                <w:lang w:val="ru-RU" w:eastAsia="en-US" w:bidi="ar-SA"/>
              </w:rPr>
              <w:t xml:space="preserve">Адрес электронной почты: </w:t>
            </w:r>
            <w:hyperlink r:id="rId3" w:tgtFrame="mailto:dgk@dgk.ru">
              <w:r>
                <w:rPr>
                  <w:rStyle w:val="Hyperlink"/>
                  <w:rFonts w:eastAsia="Times New Roman" w:cs="Times New Roman"/>
                  <w:i w:val="false"/>
                  <w:iCs w:val="false"/>
                  <w:kern w:val="0"/>
                  <w:sz w:val="26"/>
                  <w:szCs w:val="26"/>
                  <w:shd w:fill="FFFFFF" w:val="clear"/>
                  <w:lang w:val="en-US" w:eastAsia="en-US" w:bidi="ar-SA"/>
                </w:rPr>
                <w:t>dgk</w:t>
              </w:r>
              <w:r>
                <w:rPr>
                  <w:rStyle w:val="Hyperlink"/>
                  <w:rFonts w:eastAsia="Times New Roman" w:cs="Times New Roman"/>
                  <w:i w:val="false"/>
                  <w:iCs w:val="false"/>
                  <w:kern w:val="0"/>
                  <w:sz w:val="26"/>
                  <w:szCs w:val="26"/>
                  <w:shd w:fill="FFFFFF" w:val="clear"/>
                  <w:lang w:val="ru-RU" w:eastAsia="en-US" w:bidi="ar-SA"/>
                </w:rPr>
                <w:t>@</w:t>
              </w:r>
              <w:r>
                <w:rPr>
                  <w:rStyle w:val="Hyperlink"/>
                  <w:rFonts w:eastAsia="Times New Roman" w:cs="Times New Roman"/>
                  <w:i w:val="false"/>
                  <w:iCs w:val="false"/>
                  <w:kern w:val="0"/>
                  <w:sz w:val="26"/>
                  <w:szCs w:val="26"/>
                  <w:shd w:fill="FFFFFF" w:val="clear"/>
                  <w:lang w:val="en-US" w:eastAsia="en-US" w:bidi="ar-SA"/>
                </w:rPr>
                <w:t>dgk</w:t>
              </w:r>
              <w:r>
                <w:rPr>
                  <w:rStyle w:val="Hyperlink"/>
                  <w:rFonts w:eastAsia="Times New Roman" w:cs="Times New Roman"/>
                  <w:i w:val="false"/>
                  <w:iCs w:val="false"/>
                  <w:kern w:val="0"/>
                  <w:sz w:val="26"/>
                  <w:szCs w:val="26"/>
                  <w:shd w:fill="FFFFFF" w:val="clear"/>
                  <w:lang w:val="ru-RU" w:eastAsia="en-US" w:bidi="ar-SA"/>
                </w:rPr>
                <w:t>.</w:t>
              </w:r>
              <w:r>
                <w:rPr>
                  <w:rStyle w:val="Hyperlink"/>
                  <w:rFonts w:eastAsia="Times New Roman" w:cs="Times New Roman"/>
                  <w:i w:val="false"/>
                  <w:iCs w:val="false"/>
                  <w:kern w:val="0"/>
                  <w:sz w:val="26"/>
                  <w:szCs w:val="26"/>
                  <w:shd w:fill="FFFFFF" w:val="clear"/>
                  <w:lang w:val="en-US" w:eastAsia="en-US" w:bidi="ar-SA"/>
                </w:rPr>
                <w:t>ru</w:t>
              </w:r>
            </w:hyperlink>
            <w:r>
              <w:rPr>
                <w:rFonts w:eastAsia="Times New Roman" w:cs="Times New Roman"/>
                <w:i w:val="false"/>
                <w:iCs w:val="false"/>
                <w:kern w:val="0"/>
                <w:sz w:val="26"/>
                <w:szCs w:val="26"/>
                <w:shd w:fill="FFFFFF" w:val="clear"/>
                <w:lang w:val="ru-RU" w:eastAsia="en-US" w:bidi="ar-SA"/>
              </w:rPr>
              <w:t xml:space="preserve"> </w:t>
            </w:r>
          </w:p>
          <w:p>
            <w:pPr>
              <w:pStyle w:val="Normal"/>
              <w:widowControl w:val="false"/>
              <w:suppressAutoHyphens w:val="true"/>
              <w:spacing w:lineRule="auto" w:line="240" w:before="0" w:after="60"/>
              <w:jc w:val="both"/>
              <w:rPr>
                <w:rFonts w:eastAsia="Calibri" w:cs="Arial" w:cstheme="minorBidi" w:eastAsiaTheme="minorHAnsi"/>
                <w:highlight w:val="none"/>
                <w:shd w:fill="FFFFFF" w:val="clear"/>
              </w:rPr>
            </w:pPr>
            <w:r>
              <w:rPr>
                <w:rFonts w:eastAsia="Times New Roman" w:cs="Times New Roman"/>
                <w:i w:val="false"/>
                <w:iCs w:val="false"/>
                <w:kern w:val="0"/>
                <w:sz w:val="26"/>
                <w:szCs w:val="26"/>
                <w:shd w:fill="FFFFFF" w:val="clear"/>
                <w:lang w:val="ru-RU" w:eastAsia="en-US" w:bidi="ar-SA"/>
              </w:rPr>
              <w:t>Контактный телефон: +7(4212) 26-42-30</w:t>
            </w:r>
          </w:p>
          <w:p>
            <w:pPr>
              <w:pStyle w:val="ListParagraph"/>
              <w:widowControl w:val="false"/>
              <w:tabs>
                <w:tab w:val="clear" w:pos="708"/>
                <w:tab w:val="left" w:pos="295" w:leader="none"/>
              </w:tabs>
              <w:suppressAutoHyphens w:val="true"/>
              <w:spacing w:lineRule="auto" w:line="240" w:beforeAutospacing="0" w:before="0" w:afterAutospacing="0" w:after="0"/>
              <w:ind w:hanging="0" w:left="0"/>
              <w:contextualSpacing/>
              <w:jc w:val="both"/>
              <w:rPr>
                <w:rFonts w:eastAsia="Calibri" w:cs="Arial" w:cstheme="minorBidi" w:eastAsiaTheme="minorHAnsi"/>
                <w:highlight w:val="none"/>
                <w:shd w:fill="FFFFFF" w:val="clear"/>
              </w:rPr>
            </w:pPr>
            <w:r>
              <w:rPr>
                <w:rFonts w:eastAsia="Calibri" w:cs="Arial" w:cstheme="minorBidi" w:eastAsiaTheme="minorHAnsi"/>
                <w:b w:val="false"/>
                <w:bCs w:val="false"/>
                <w:i w:val="false"/>
                <w:iCs w:val="false"/>
                <w:kern w:val="0"/>
                <w:sz w:val="26"/>
                <w:szCs w:val="26"/>
                <w:u w:val="single"/>
                <w:shd w:fill="FFFFFF" w:val="clear"/>
                <w:lang w:val="ru-RU" w:eastAsia="en-US" w:bidi="ar-SA"/>
              </w:rPr>
              <w:t>По вопросам  заключения Договора обращаться</w:t>
            </w:r>
            <w:r>
              <w:rPr>
                <w:rFonts w:eastAsia="Times New Roman" w:cs="Times New Roman"/>
                <w:b w:val="false"/>
                <w:bCs w:val="false"/>
                <w:i w:val="false"/>
                <w:iCs w:val="false"/>
                <w:kern w:val="0"/>
                <w:sz w:val="26"/>
                <w:szCs w:val="26"/>
                <w:u w:val="single"/>
                <w:shd w:fill="FFFFFF" w:val="clear"/>
                <w:lang w:val="ru-RU" w:eastAsia="en-US" w:bidi="ar-SA"/>
              </w:rPr>
              <w:t xml:space="preserve"> к </w:t>
            </w:r>
            <w:r>
              <w:rPr>
                <w:rFonts w:eastAsia="Calibri" w:cs="Arial" w:cstheme="minorBidi" w:eastAsiaTheme="minorHAnsi"/>
                <w:b w:val="false"/>
                <w:bCs w:val="false"/>
                <w:i w:val="false"/>
                <w:iCs w:val="false"/>
                <w:kern w:val="0"/>
                <w:sz w:val="26"/>
                <w:szCs w:val="26"/>
                <w:u w:val="single"/>
                <w:shd w:fill="FFFFFF" w:val="clear"/>
                <w:lang w:val="ru-RU" w:eastAsia="en-US" w:bidi="ar-SA"/>
              </w:rPr>
              <w:t>Инженеру 2 категории ОППР СП «Владивостокская  ТЭЦ-2» - Фетисовой Светлане Витальевне, тел. +7(423) 2-62-96-23</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5" w:type="dxa"/>
            <w:tcBorders/>
          </w:tcPr>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Место нахождения: </w:t>
            </w:r>
            <w:r>
              <w:rPr>
                <w:rFonts w:eastAsia="Calibri" w:cs="Times New Roman" w:eastAsiaTheme="minorHAnsi"/>
                <w:kern w:val="0"/>
                <w:sz w:val="26"/>
                <w:szCs w:val="26"/>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Почтовый адрес: </w:t>
            </w:r>
            <w:r>
              <w:rPr>
                <w:rFonts w:eastAsia="Calibri" w:cs="Times New Roman" w:eastAsiaTheme="minorHAnsi"/>
                <w:kern w:val="0"/>
                <w:sz w:val="26"/>
                <w:szCs w:val="26"/>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6"/>
                <w:szCs w:val="26"/>
              </w:rPr>
            </w:pPr>
            <w:r>
              <w:rPr>
                <w:rFonts w:eastAsia="Times New Roman" w:cs="Times New Roman"/>
                <w:kern w:val="0"/>
                <w:sz w:val="26"/>
                <w:szCs w:val="26"/>
                <w:lang w:val="ru-RU" w:eastAsia="en-US" w:bidi="ar-SA"/>
              </w:rPr>
              <w:t xml:space="preserve">Адрес электронной почты: </w:t>
            </w:r>
            <w:r>
              <w:rPr>
                <w:rFonts w:eastAsia="Times New Roman" w:cs="Times New Roman"/>
                <w:color w:val="2F5696" w:themeColor="accent1" w:themeShade="bf"/>
                <w:kern w:val="0"/>
                <w:sz w:val="26"/>
                <w:szCs w:val="26"/>
                <w:lang w:val="ru-RU" w:eastAsia="en-US" w:bidi="ar-SA"/>
              </w:rPr>
              <w:t>lutfullina-ee@dgk.ru</w:t>
            </w:r>
          </w:p>
          <w:p>
            <w:pPr>
              <w:pStyle w:val="Tableheader"/>
              <w:widowControl w:val="false"/>
              <w:suppressAutoHyphens w:val="true"/>
              <w:spacing w:before="0" w:after="0"/>
              <w:jc w:val="both"/>
              <w:rPr>
                <w:rFonts w:ascii="Times New Roman" w:hAnsi="Times New Roman" w:cs="Times New Roman"/>
                <w:b/>
                <w:sz w:val="26"/>
                <w:szCs w:val="26"/>
              </w:rPr>
            </w:pPr>
            <w:r>
              <w:rPr>
                <w:rFonts w:eastAsia="Times New Roman" w:cs="Times New Roman"/>
                <w:b w:val="false"/>
                <w:kern w:val="0"/>
                <w:sz w:val="26"/>
                <w:szCs w:val="26"/>
              </w:rPr>
              <w:t>Контактный телефон: +7(4212) 26-42-30</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5" w:type="dxa"/>
            <w:tcBorders/>
          </w:tcPr>
          <w:p>
            <w:pPr>
              <w:pStyle w:val="Tableheader"/>
              <w:widowControl w:val="false"/>
              <w:suppressAutoHyphens w:val="true"/>
              <w:spacing w:before="120" w:after="120"/>
              <w:rPr>
                <w:rFonts w:ascii="Times New Roman" w:hAnsi="Times New Roman" w:cs="Times New Roman"/>
                <w:i w:val="false"/>
                <w:i w:val="false"/>
                <w:sz w:val="26"/>
                <w:szCs w:val="26"/>
                <w:shd w:fill="auto" w:val="clear"/>
              </w:rPr>
            </w:pPr>
            <w:r>
              <w:rPr>
                <w:rFonts w:eastAsia="Times New Roman" w:cs="Times New Roman"/>
                <w:b w:val="false"/>
                <w:kern w:val="0"/>
                <w:sz w:val="26"/>
                <w:szCs w:val="26"/>
              </w:rPr>
              <w:t xml:space="preserve">По вопросам организации и проведения закупочной процедуры: ведущий специалист отдела проведения закупок работ и услуг АО «ДГК» Лутфуллина Екатерина Евгеньевна, контактный телефон (4212) 26-42-30, адрес электронной почты: </w:t>
            </w:r>
            <w:r>
              <w:rPr>
                <w:rFonts w:eastAsia="Times New Roman" w:cs="Times New Roman"/>
                <w:b w:val="false"/>
                <w:color w:val="2F5696" w:themeColor="accent1" w:themeShade="bf"/>
                <w:kern w:val="0"/>
                <w:sz w:val="26"/>
                <w:szCs w:val="26"/>
              </w:rPr>
              <w:t>lutfullina-ee@dgk.ru</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сентября 2026 г.</w:t>
            </w:r>
          </w:p>
          <w:p>
            <w:pPr>
              <w:pStyle w:val="Style21"/>
              <w:widowControl w:val="false"/>
              <w:suppressAutoHyphens w:val="true"/>
              <w:spacing w:lineRule="auto" w:line="240" w:before="60" w:after="60"/>
              <w:rPr>
                <w:rStyle w:val="Style3"/>
              </w:rPr>
            </w:pPr>
            <w:r>
              <w:rPr/>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4 256 237,00 руб., без учета НДС.</w:t>
            </w:r>
          </w:p>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uppressAutoHyphens w:val="true"/>
              <w:spacing w:lineRule="auto" w:line="240" w:before="60" w:after="60"/>
              <w:rPr/>
            </w:pPr>
            <w:r>
              <w:rPr>
                <w:rStyle w:val="Style3"/>
                <w:rFonts w:eastAsia="Calibri" w:cs="Arial"/>
                <w:b/>
                <w:bCs/>
                <w:i w:val="false"/>
                <w:iCs w:val="false"/>
                <w:kern w:val="0"/>
                <w:sz w:val="26"/>
                <w:szCs w:val="22"/>
                <w:shd w:fill="auto" w:val="clear"/>
                <w:lang w:val="ru-RU" w:eastAsia="en-US" w:bidi="ar-SA"/>
              </w:rPr>
              <w:t xml:space="preserve">Внимание! </w:t>
            </w:r>
            <w:r>
              <w:rPr>
                <w:rStyle w:val="Style3"/>
                <w:rFonts w:eastAsia="Calibri" w:cs="Arial"/>
                <w:i w:val="false"/>
                <w:iCs w:val="false"/>
                <w:kern w:val="0"/>
                <w:sz w:val="26"/>
                <w:szCs w:val="22"/>
                <w:shd w:fill="auto" w:val="clear"/>
                <w:lang w:val="ru-RU" w:eastAsia="en-US" w:bidi="ar-SA"/>
              </w:rPr>
              <w:t>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p>
            <w:pPr>
              <w:pStyle w:val="Style21"/>
              <w:widowControl w:val="false"/>
              <w:suppressAutoHyphens w:val="true"/>
              <w:spacing w:before="60" w:after="60"/>
              <w:rPr/>
            </w:pPr>
            <w:r>
              <w:rPr>
                <w:rFonts w:cs=""/>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6"/>
                  <w:rFonts w:cs=""/>
                  <w:lang w:val="ru-RU"/>
                </w:rPr>
                <w:t>Приложение № 4</w:t>
              </w:r>
            </w:hyperlink>
            <w:r>
              <w:rPr>
                <w:rFonts w:cs=""/>
              </w:rPr>
              <w:t>)).</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475086"/>
            <w:bookmarkStart w:id="37" w:name="_Ref125475086"/>
            <w:bookmarkEnd w:id="37"/>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25360779"/>
            <w:bookmarkStart w:id="39" w:name="_Ref125360779"/>
            <w:bookmarkEnd w:id="39"/>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сентября 2026 г.</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«09» октября 2026 г. в 15 ч. 00 мин.</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«09» октября 2026 г. в 15 ч. 00 мин.</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6197"/>
            <w:bookmarkStart w:id="41" w:name="_Ref125476197"/>
            <w:bookmarkEnd w:id="41"/>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2733"/>
            <w:bookmarkStart w:id="43" w:name="_Ref125362733"/>
            <w:bookmarkEnd w:id="43"/>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«16» октября 2026 г.</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32898515"/>
            <w:bookmarkStart w:id="45" w:name="_Ref132898515"/>
            <w:bookmarkEnd w:id="45"/>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октября 2026 г.</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57"/>
            <w:bookmarkStart w:id="47" w:name="_Ref125362757"/>
            <w:bookmarkEnd w:id="47"/>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октября 2026 г.</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25366047"/>
            <w:bookmarkStart w:id="49" w:name="_Ref125366047"/>
            <w:bookmarkEnd w:id="49"/>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1769"/>
            <w:bookmarkStart w:id="51" w:name="_Ref125361769"/>
            <w:bookmarkEnd w:id="51"/>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606"/>
            <w:bookmarkStart w:id="53" w:name="_Ref125366606"/>
            <w:bookmarkEnd w:id="53"/>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6813"/>
            <w:bookmarkStart w:id="55" w:name="_Ref125366813"/>
            <w:bookmarkEnd w:id="55"/>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5" w:type="dxa"/>
            <w:tcBorders/>
          </w:tcPr>
          <w:p>
            <w:pPr>
              <w:pStyle w:val="Style21"/>
              <w:keepNext w:val="true"/>
              <w:widowControl w:val="false"/>
              <w:suppressAutoHyphens w:val="true"/>
              <w:spacing w:lineRule="auto" w:line="240" w:before="60" w:after="60"/>
              <w:jc w:val="both"/>
              <w:rPr>
                <w:sz w:val="26"/>
                <w:szCs w:val="26"/>
              </w:rPr>
            </w:pPr>
            <w:r>
              <w:rPr>
                <w:rFonts w:eastAsia="Calibri" w:cs="Arial"/>
                <w:kern w:val="0"/>
                <w:sz w:val="26"/>
                <w:szCs w:val="26"/>
                <w:lang w:val="ru-RU" w:eastAsia="en-US" w:bidi="ar-SA"/>
              </w:rPr>
              <w:t>Для подачи документов в бумажной форме:</w:t>
            </w:r>
          </w:p>
          <w:p>
            <w:pPr>
              <w:pStyle w:val="Style21"/>
              <w:keepNext w:val="true"/>
              <w:widowControl w:val="false"/>
              <w:suppressAutoHyphens w:val="true"/>
              <w:spacing w:lineRule="auto" w:line="240" w:before="60" w:after="60"/>
              <w:jc w:val="both"/>
              <w:rPr>
                <w:sz w:val="26"/>
                <w:szCs w:val="26"/>
              </w:rPr>
            </w:pPr>
            <w:r>
              <w:rPr>
                <w:rFonts w:eastAsia="Calibri" w:cs="Arial"/>
                <w:kern w:val="0"/>
                <w:sz w:val="26"/>
                <w:szCs w:val="26"/>
                <w:lang w:val="ru-RU" w:eastAsia="en-US" w:bidi="ar-SA"/>
              </w:rPr>
              <w:t>Контактное лицо (Ф.И.О.): Инженер 2 категории ОППР СП «Владивостокская  ТЭЦ-2» - Фетисова Светлана Витальевна, тел. +7(423) 2-62-96-23</w:t>
            </w:r>
          </w:p>
          <w:p>
            <w:pPr>
              <w:pStyle w:val="Style21"/>
              <w:keepNext w:val="true"/>
              <w:widowControl w:val="false"/>
              <w:suppressAutoHyphens w:val="true"/>
              <w:spacing w:lineRule="auto" w:line="240" w:before="60" w:after="60"/>
              <w:jc w:val="both"/>
              <w:rPr>
                <w:sz w:val="26"/>
                <w:szCs w:val="26"/>
              </w:rPr>
            </w:pPr>
            <w:r>
              <w:rPr>
                <w:rFonts w:eastAsia="Calibri" w:cs="Arial"/>
                <w:kern w:val="0"/>
                <w:sz w:val="26"/>
                <w:szCs w:val="26"/>
                <w:lang w:val="ru-RU" w:eastAsia="en-US" w:bidi="ar-SA"/>
              </w:rPr>
              <w:t>Почтовый адрес:</w:t>
            </w:r>
          </w:p>
          <w:p>
            <w:pPr>
              <w:pStyle w:val="Normal"/>
              <w:widowControl w:val="false"/>
              <w:spacing w:lineRule="auto" w:line="240" w:before="60" w:after="60"/>
              <w:ind w:hanging="0"/>
              <w:rPr>
                <w:sz w:val="26"/>
                <w:szCs w:val="26"/>
              </w:rPr>
            </w:pPr>
            <w:r>
              <w:rPr>
                <w:rFonts w:eastAsia="Calibri" w:cs="Arial"/>
                <w:i w:val="false"/>
                <w:iCs w:val="false"/>
                <w:kern w:val="0"/>
                <w:sz w:val="26"/>
                <w:szCs w:val="26"/>
                <w:lang w:val="ru-RU" w:eastAsia="en-US" w:bidi="ar-SA"/>
              </w:rPr>
              <w:t>690034, г. Владивосток, ул. Фадеева, 47</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8490"/>
            <w:bookmarkStart w:id="57" w:name="_Ref125368490"/>
            <w:bookmarkEnd w:id="57"/>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1"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tc>
      </w:tr>
    </w:tbl>
    <w:p>
      <w:pPr>
        <w:pStyle w:val="Style15"/>
        <w:spacing w:before="0" w:after="0"/>
        <w:rPr/>
      </w:pPr>
      <w:bookmarkStart w:id="58" w:name="_Toc6"/>
      <w:bookmarkStart w:id="59" w:name="_Ref125360337"/>
      <w:bookmarkStart w:id="60" w:name="_Ref125360073"/>
      <w:r>
        <w:rPr/>
        <w:t>Общие положения</w:t>
      </w:r>
      <w:bookmarkEnd w:id="58"/>
      <w:bookmarkEnd w:id="59"/>
      <w:bookmarkEnd w:id="60"/>
    </w:p>
    <w:p>
      <w:pPr>
        <w:pStyle w:val="Style16"/>
        <w:spacing w:before="360" w:after="0"/>
        <w:rPr/>
      </w:pPr>
      <w:bookmarkStart w:id="61" w:name="_Toc7"/>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8"/>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Toc9"/>
      <w:bookmarkStart w:id="65" w:name="_Ref12536353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21"/>
        <w:ind w:hanging="0" w:left="1134"/>
        <w:rPr/>
      </w:pPr>
      <w:r>
        <w:rPr/>
        <w:t>Закупочная комиссия определяется в соответствии с Положением о закупке.</w:t>
      </w:r>
    </w:p>
    <w:p>
      <w:pPr>
        <w:pStyle w:val="Style16"/>
        <w:spacing w:before="360" w:after="0"/>
        <w:rPr/>
      </w:pPr>
      <w:bookmarkStart w:id="68" w:name="_Toc10"/>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11"/>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Toc12"/>
      <w:bookmarkStart w:id="71" w:name="_Ref125361210"/>
      <w:r>
        <w:rPr/>
        <w:t>Требования к Участникам</w:t>
      </w:r>
      <w:bookmarkEnd w:id="70"/>
      <w:bookmarkEnd w:id="71"/>
    </w:p>
    <w:p>
      <w:pPr>
        <w:pStyle w:val="Style16"/>
        <w:spacing w:before="360" w:after="0"/>
        <w:rPr/>
      </w:pPr>
      <w:bookmarkStart w:id="72" w:name="_Toc13"/>
      <w:bookmarkStart w:id="73" w:name="_Ref12752453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Toc14"/>
      <w:bookmarkStart w:id="79" w:name="_Ref125361702"/>
      <w:bookmarkStart w:id="80" w:name="_Ref125361976_Копия_1"/>
      <w:bookmarkStart w:id="81" w:name="_Ref125361969_Копия_1"/>
      <w:bookmarkEnd w:id="80"/>
      <w:bookmarkEnd w:id="81"/>
      <w:r>
        <w:rPr/>
        <w:t>Генеральные подрядчики</w:t>
      </w:r>
      <w:bookmarkEnd w:id="78"/>
      <w:bookmarkEnd w:id="79"/>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Pr/>
      </w:pPr>
      <w:bookmarkStart w:id="82"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2"/>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3"/>
    </w:p>
    <w:p>
      <w:pPr>
        <w:sectPr>
          <w:headerReference w:type="default" r:id="rId4"/>
          <w:footerReference w:type="default" r:id="rId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84" w:name="_Toc15"/>
      <w:bookmarkStart w:id="85" w:name="_Ref125367974"/>
      <w:bookmarkStart w:id="86" w:name="_Ref125367107"/>
      <w:bookmarkStart w:id="87" w:name="_Ref125367098"/>
      <w:bookmarkStart w:id="88" w:name="_Ref125361211"/>
      <w:r>
        <w:rPr/>
        <w:t>Порядок проведения закупки</w:t>
      </w:r>
      <w:bookmarkEnd w:id="84"/>
      <w:bookmarkEnd w:id="85"/>
      <w:bookmarkEnd w:id="86"/>
      <w:bookmarkEnd w:id="87"/>
      <w:bookmarkEnd w:id="88"/>
    </w:p>
    <w:p>
      <w:pPr>
        <w:pStyle w:val="Style16"/>
        <w:spacing w:before="360" w:after="0"/>
        <w:rPr/>
      </w:pPr>
      <w:bookmarkStart w:id="89" w:name="_Toc16"/>
      <w:bookmarkStart w:id="90" w:name="_Ref126141932"/>
      <w:r>
        <w:rPr/>
        <w:t>Общий порядок проведения закупки</w:t>
      </w:r>
      <w:bookmarkEnd w:id="89"/>
      <w:bookmarkEnd w:id="90"/>
    </w:p>
    <w:p>
      <w:pPr>
        <w:pStyle w:val="Style17"/>
        <w:keepNext w:val="true"/>
        <w:spacing w:before="120" w:after="120"/>
        <w:rPr/>
      </w:pPr>
      <w:r>
        <w:rPr/>
        <w:t>Закупка проводится в следующем порядке:</w:t>
      </w:r>
    </w:p>
    <w:tbl>
      <w:tblPr>
        <w:tblStyle w:val="1148"/>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tc>
          <w:tcPr>
            <w:tcW w:w="372" w:type="dxa"/>
            <w:tcBorders>
              <w:left w:val="nil"/>
            </w:tcBorders>
            <w:vAlign w:val="bottom"/>
          </w:tcPr>
          <w:p>
            <w:pPr>
              <w:pStyle w:val="Style21"/>
              <w:keepNext w:val="true"/>
              <w:keepLines w:val="false"/>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13634" w:type="dxa"/>
            <w:gridSpan w:val="6"/>
            <w:tcBorders>
              <w:right w:val="nil"/>
            </w:tcBorders>
          </w:tcPr>
          <w:p>
            <w:pPr>
              <w:pStyle w:val="Style21"/>
              <w:keepNext w:val="true"/>
              <w:keepLines w:val="false"/>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Официальное размещение Извещения и Документации о закупке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_Ref130286532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3"/>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Подготовка заявки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_Ref130281199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Предоставление разъяснений положений Документации о закупке</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_Ref130394205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69" w:type="dxa"/>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Внесение изменений в Извещение и (или) Документацию о закупке</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_Ref125362076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4.5</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35" w:type="dxa"/>
            <w:vMerge w:val="restart"/>
            <w:tcBorders>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Отказ от проведения закупки (отмена закупки)</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_Ref132816134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2042" w:type="dxa"/>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Подача заявок и их прием</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_Ref125362119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4.6</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4394" w:type="dxa"/>
            <w:gridSpan w:val="2"/>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Изменение и отзыв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_Ref125362130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11399" w:type="dxa"/>
            <w:gridSpan w:val="5"/>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Открытие доступа к первым частям заявок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_Ref132816188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4.8</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35" w:type="dxa"/>
            <w:tcBorders>
              <w:bottom w:val="nil"/>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3"/>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Рассмотрение первых частей заявок (отборочная стадия)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_Ref125362364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4.9</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c>
          <w:tcPr>
            <w:tcW w:w="2694" w:type="dxa"/>
            <w:vMerge w:val="restart"/>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Направление дополнительных запросов разъяснений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_Ref125362381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69" w:type="dxa"/>
            <w:vMerge w:val="restart"/>
            <w:tcBorders>
              <w:top w:val="nil"/>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Признание закупки</w:t>
              <w:br/>
              <w:t>несостоявшейся</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_Ref125364149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4.16</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35" w:type="dxa"/>
            <w:vMerge w:val="restart"/>
            <w:tcBorders>
              <w:top w:val="nil"/>
              <w:right w:val="nil"/>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_Ref132816141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3"/>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Открытие доступа ко вторым частям заявок</w:t>
              <w:br/>
              <w:t>и ценовым предложениям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_Ref132801184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4.10</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2056" w:hRule="atLeast"/>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3208" w:type="dxa"/>
            <w:gridSpan w:val="2"/>
            <w:tcBorders>
              <w:right w:val="single" w:sz="4" w:space="0" w:color="000000"/>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_Ref132797154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4.11</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3228" w:type="dxa"/>
            <w:tcBorders>
              <w:left w:val="single" w:sz="4" w:space="0" w:color="000000"/>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Применение законодательства о национальном режиме</w:t>
              <w:br/>
              <w:t>(</w:t>
            </w:r>
            <w:r>
              <w:rPr>
                <w:rFonts w:eastAsia="Times New Roman" w:cs="Times New Roman"/>
                <w:b w:val="false"/>
                <w:bCs w:val="false"/>
                <w:kern w:val="0"/>
                <w:sz w:val="20"/>
                <w:szCs w:val="20"/>
                <w:u w:val="single"/>
                <w:lang w:val="ru-RU" w:eastAsia="en-US" w:bidi="ar-SA"/>
              </w:rPr>
              <w:t>предоставление национального режима / запрета, ограничения</w:t>
            </w:r>
            <w:r>
              <w:rPr>
                <w:rFonts w:eastAsia="Times New Roman" w:cs="Times New Roman"/>
                <w:b w:val="false"/>
                <w:bCs w:val="false"/>
                <w:kern w:val="0"/>
                <w:sz w:val="20"/>
                <w:szCs w:val="20"/>
                <w:lang w:val="ru-RU" w:eastAsia="en-US" w:bidi="ar-SA"/>
              </w:rPr>
              <w:t>)</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_Ref186219943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2042" w:type="dxa"/>
            <w:vMerge w:val="restart"/>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Оценка и сопоставление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_Ref125362626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4394" w:type="dxa"/>
            <w:gridSpan w:val="2"/>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_Ref132816300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982" w:hRule="atLeast"/>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2042"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4394" w:type="dxa"/>
            <w:gridSpan w:val="2"/>
            <w:vMerge w:val="continue"/>
            <w:tcBorders/>
          </w:tcPr>
          <w:p>
            <w:pPr>
              <w:pStyle w:val="Normal"/>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9130" w:type="dxa"/>
            <w:gridSpan w:val="4"/>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Подведение итогов закупки (определение Победителя)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_Ref125362658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4.15</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u w:val="single"/>
                <w:lang w:val="ru-RU" w:eastAsia="en-US" w:bidi="ar-SA"/>
              </w:rPr>
              <w:t>Ô</w:t>
            </w:r>
          </w:p>
        </w:tc>
        <w:tc>
          <w:tcPr>
            <w:tcW w:w="6436" w:type="dxa"/>
            <w:gridSpan w:val="3"/>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Заключение Договора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_Ref138341423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5.2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c>
          <w:tcPr>
            <w:tcW w:w="7198" w:type="dxa"/>
            <w:gridSpan w:val="3"/>
            <w:tcBorders>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Уклонение Победителя от заключения Договора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_Ref125367068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5.3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bl>
    <w:p>
      <w:pPr>
        <w:sectPr>
          <w:headerReference w:type="default" r:id="rId6"/>
          <w:headerReference w:type="first" r:id="rId7"/>
          <w:footerReference w:type="default" r:id="rId8"/>
          <w:footerReference w:type="first" r:id="rId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1" w:name="_Toc17"/>
      <w:bookmarkStart w:id="92" w:name="_Ref130286532"/>
      <w:r>
        <w:rPr/>
        <w:t>Официальное размещение Извещения и Документации о закупке</w:t>
      </w:r>
      <w:bookmarkEnd w:id="91"/>
      <w:bookmarkEnd w:id="92"/>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3"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3"/>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4" w:name="_Toc18"/>
      <w:bookmarkStart w:id="95" w:name="_Ref130394681"/>
      <w:bookmarkStart w:id="96" w:name="_Ref130281199"/>
      <w:r>
        <w:rPr/>
        <w:t>Подготовка заявки</w:t>
      </w:r>
      <w:bookmarkEnd w:id="94"/>
      <w:bookmarkEnd w:id="95"/>
      <w:bookmarkEnd w:id="96"/>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97" w:name="_Hlk132886098"/>
      <w:r>
        <w:rPr/>
        <w:t>первую часть, вторую часть и ценовое предложение</w:t>
      </w:r>
      <w:bookmarkEnd w:id="97"/>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98" w:name="_Ref125365866"/>
      <w:bookmarkStart w:id="99"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98"/>
      <w:bookmarkEnd w:id="99"/>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0" w:name="_Ref125370708"/>
      <w:bookmarkStart w:id="101"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0"/>
      <w:bookmarkEnd w:id="101"/>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2" w:name="_Ref125714384"/>
      <w:bookmarkStart w:id="103" w:name="_Ref125370398"/>
      <w:r>
        <w:rPr/>
        <w:t>противоречия между документами заявки и сведениями, указанными Участником в структурированных формах на ЭП.</w:t>
      </w:r>
      <w:bookmarkEnd w:id="102"/>
      <w:bookmarkEnd w:id="103"/>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4" w:name="_Ref125366672"/>
      <w:bookmarkStart w:id="105" w:name="_Ref125362071"/>
      <w:bookmarkStart w:id="106" w:name="_Ref125361260"/>
      <w:bookmarkStart w:id="107" w:name="_Toc19"/>
      <w:bookmarkStart w:id="108" w:name="_Ref130394802"/>
      <w:bookmarkStart w:id="109" w:name="_Ref130394785"/>
      <w:bookmarkStart w:id="110" w:name="_Ref130394205"/>
      <w:r>
        <w:rPr/>
        <w:t>Разъяснение Документации о закупке</w:t>
      </w:r>
      <w:bookmarkEnd w:id="104"/>
      <w:bookmarkEnd w:id="105"/>
      <w:bookmarkEnd w:id="106"/>
      <w:bookmarkEnd w:id="107"/>
      <w:bookmarkEnd w:id="108"/>
      <w:bookmarkEnd w:id="109"/>
      <w:bookmarkEnd w:id="110"/>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1" w:name="_Toc20"/>
      <w:bookmarkStart w:id="112" w:name="_Ref125364404"/>
      <w:bookmarkStart w:id="113" w:name="_Ref125363891"/>
      <w:bookmarkStart w:id="114" w:name="_Ref125362076"/>
      <w:r>
        <w:rPr/>
        <w:t>Изменения Извещения и (или) Документации о закупке</w:t>
      </w:r>
      <w:bookmarkEnd w:id="111"/>
      <w:bookmarkEnd w:id="112"/>
      <w:bookmarkEnd w:id="113"/>
      <w:bookmarkEnd w:id="114"/>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hanging="0" w:left="1134"/>
        <w:rPr/>
      </w:pPr>
      <w:bookmarkStart w:id="115" w:name="_Ref125550844"/>
      <w:r>
        <w:rPr/>
        <w:t>в пределах срока действия заявок и с уведомлением Участников, подавших заявки.</w:t>
      </w:r>
      <w:bookmarkEnd w:id="115"/>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16" w:name="_Toc21"/>
      <w:bookmarkStart w:id="117" w:name="_Ref125362119"/>
      <w:r>
        <w:rPr/>
        <w:t>Подача заявок и их прием</w:t>
      </w:r>
      <w:bookmarkEnd w:id="116"/>
      <w:bookmarkEnd w:id="117"/>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18" w:name="_Hlk219296949"/>
      <w:r>
        <w:rPr/>
        <w:t xml:space="preserve">усиленной квалифицированной </w:t>
      </w:r>
      <w:bookmarkEnd w:id="118"/>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19" w:name="_Toc22"/>
      <w:bookmarkStart w:id="120" w:name="_Ref125365136"/>
      <w:bookmarkStart w:id="121" w:name="_Ref125363819"/>
      <w:bookmarkStart w:id="122" w:name="_Ref125362192"/>
      <w:bookmarkStart w:id="123" w:name="_Ref125362130"/>
      <w:r>
        <w:rPr/>
        <w:t>Изменение и отзыв заявок</w:t>
      </w:r>
      <w:bookmarkEnd w:id="119"/>
      <w:bookmarkEnd w:id="120"/>
      <w:bookmarkEnd w:id="121"/>
      <w:bookmarkEnd w:id="122"/>
      <w:bookmarkEnd w:id="123"/>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4" w:name="_Toc23"/>
      <w:bookmarkStart w:id="125" w:name="_Ref132816188"/>
      <w:r>
        <w:rPr/>
        <w:t>Открытие доступа к первым частям заявок</w:t>
      </w:r>
      <w:bookmarkEnd w:id="124"/>
      <w:bookmarkEnd w:id="125"/>
    </w:p>
    <w:p>
      <w:pPr>
        <w:pStyle w:val="Style17"/>
        <w:spacing w:before="120" w:after="0"/>
        <w:rPr/>
      </w:pPr>
      <w:bookmarkStart w:id="126"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26"/>
    </w:p>
    <w:p>
      <w:pPr>
        <w:pStyle w:val="Style17"/>
        <w:spacing w:before="0" w:after="0"/>
        <w:rPr/>
      </w:pPr>
      <w:bookmarkStart w:id="127"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27"/>
    </w:p>
    <w:p>
      <w:pPr>
        <w:pStyle w:val="Style16"/>
        <w:spacing w:before="360" w:after="0"/>
        <w:rPr/>
      </w:pPr>
      <w:bookmarkStart w:id="128" w:name="_Toc24"/>
      <w:bookmarkStart w:id="129" w:name="_Ref125366689"/>
      <w:bookmarkStart w:id="130" w:name="_Ref125362364"/>
      <w:r>
        <w:rPr/>
        <w:t>Рассмотрение первых частей заявок (отборочная стадия)</w:t>
      </w:r>
      <w:bookmarkEnd w:id="128"/>
      <w:bookmarkEnd w:id="129"/>
      <w:bookmarkEnd w:id="130"/>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31"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31"/>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2" w:name="_Toc25"/>
      <w:bookmarkStart w:id="133" w:name="_Ref132801184"/>
      <w:r>
        <w:rPr/>
        <w:t>Открытие доступа ко вторым частям заявок и ценовым предложениям</w:t>
      </w:r>
      <w:bookmarkEnd w:id="132"/>
      <w:bookmarkEnd w:id="133"/>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4" w:name="_Toc26"/>
      <w:bookmarkStart w:id="135"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4"/>
      <w:bookmarkEnd w:id="135"/>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6" w:name="_Ref224835594"/>
      <w:r>
        <w:rPr/>
        <w:t>При выявлении в рамках рассмотрения ценовых предложений наличия арифметических ошибок, в том числе:</w:t>
      </w:r>
      <w:bookmarkEnd w:id="136"/>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7"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7"/>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8" w:name="_Toc27"/>
      <w:bookmarkStart w:id="139" w:name="_Ref125362610"/>
      <w:bookmarkStart w:id="140" w:name="_Ref125362464"/>
      <w:bookmarkStart w:id="141" w:name="_Ref125362425"/>
      <w:bookmarkStart w:id="142" w:name="_Ref125362381"/>
      <w:r>
        <w:rPr/>
        <w:t>Дополнительные запросы разъяснений заявок</w:t>
      </w:r>
      <w:bookmarkEnd w:id="138"/>
      <w:bookmarkEnd w:id="139"/>
      <w:bookmarkEnd w:id="140"/>
      <w:bookmarkEnd w:id="141"/>
      <w:bookmarkEnd w:id="142"/>
    </w:p>
    <w:p>
      <w:pPr>
        <w:pStyle w:val="Style17"/>
        <w:spacing w:before="120" w:after="0"/>
        <w:rPr/>
      </w:pPr>
      <w:bookmarkStart w:id="143"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3"/>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4" w:name="_Hlk132793683"/>
      <w:r>
        <w:rPr/>
        <w:t>наличия соответствующих полномочий на подписание заявки от имени Участника у лица, подписавшего заявку</w:t>
      </w:r>
      <w:bookmarkEnd w:id="144"/>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5"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5"/>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6" w:name="_Toc28"/>
      <w:bookmarkStart w:id="147" w:name="_Ref125369308"/>
      <w:bookmarkStart w:id="148" w:name="_Ref125369041"/>
      <w:bookmarkStart w:id="149" w:name="_Ref125366534"/>
      <w:bookmarkStart w:id="150" w:name="_Ref125365519"/>
      <w:bookmarkStart w:id="151" w:name="_Ref125365335"/>
      <w:bookmarkStart w:id="152" w:name="_Ref125362626"/>
      <w:r>
        <w:rPr/>
        <w:t>Оценка и сопоставление заявок</w:t>
      </w:r>
      <w:bookmarkEnd w:id="146"/>
      <w:bookmarkEnd w:id="147"/>
      <w:bookmarkEnd w:id="148"/>
      <w:bookmarkEnd w:id="149"/>
      <w:bookmarkEnd w:id="150"/>
      <w:bookmarkEnd w:id="151"/>
      <w:bookmarkEnd w:id="152"/>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3" w:name="_Ref130458671"/>
      <w:bookmarkStart w:id="154" w:name="_Ref125370507"/>
      <w:bookmarkStart w:id="155" w:name="_Ref125369991"/>
      <w:bookmarkStart w:id="156" w:name="_Ref125366064"/>
      <w:bookmarkStart w:id="157" w:name="_Ref130985951"/>
      <w:bookmarkStart w:id="158" w:name="_Toc29"/>
      <w:bookmarkStart w:id="159" w:name="_Ref132816300"/>
      <w:bookmarkStart w:id="160" w:name="_Ref186219943"/>
      <w:r>
        <w:rPr/>
        <w:t>Применение законодательства о национальном режиме</w:t>
      </w:r>
      <w:bookmarkEnd w:id="153"/>
      <w:bookmarkEnd w:id="154"/>
      <w:bookmarkEnd w:id="155"/>
      <w:bookmarkEnd w:id="156"/>
      <w:bookmarkEnd w:id="157"/>
      <w:bookmarkEnd w:id="158"/>
      <w:bookmarkEnd w:id="159"/>
      <w:bookmarkEnd w:id="160"/>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61"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61"/>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2"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2"/>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63" w:name="_Toc30"/>
      <w:bookmarkStart w:id="164" w:name="_Ref125367242"/>
      <w:bookmarkStart w:id="165" w:name="_Ref125366091"/>
      <w:bookmarkStart w:id="166" w:name="_Ref125362658"/>
      <w:r>
        <w:rPr/>
        <w:t>Подведение итогов закупки (определение Победителя)</w:t>
      </w:r>
      <w:bookmarkEnd w:id="163"/>
      <w:bookmarkEnd w:id="164"/>
      <w:bookmarkEnd w:id="165"/>
      <w:bookmarkEnd w:id="166"/>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67"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67"/>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68" w:name="_Toc31"/>
      <w:bookmarkStart w:id="169" w:name="_Ref125366796"/>
      <w:bookmarkStart w:id="170" w:name="_Ref125366631"/>
      <w:bookmarkStart w:id="171" w:name="_Ref125365570"/>
      <w:bookmarkStart w:id="172" w:name="_Ref125365305"/>
      <w:bookmarkStart w:id="173" w:name="_Ref125364187"/>
      <w:bookmarkStart w:id="174" w:name="_Ref125364149"/>
      <w:r>
        <w:rPr/>
        <w:t>Признание закупки несостоявшейся</w:t>
      </w:r>
      <w:bookmarkEnd w:id="168"/>
      <w:bookmarkEnd w:id="169"/>
      <w:bookmarkEnd w:id="170"/>
      <w:bookmarkEnd w:id="171"/>
      <w:bookmarkEnd w:id="172"/>
      <w:bookmarkEnd w:id="173"/>
      <w:bookmarkEnd w:id="174"/>
    </w:p>
    <w:p>
      <w:pPr>
        <w:pStyle w:val="Style17"/>
        <w:keepNext w:val="true"/>
        <w:spacing w:before="120" w:after="0"/>
        <w:rPr/>
      </w:pPr>
      <w:bookmarkStart w:id="175" w:name="_Ref214290552"/>
      <w:r>
        <w:rPr/>
        <w:t>Закупка признается несостоявшейся в следующих случаях:</w:t>
      </w:r>
      <w:bookmarkEnd w:id="175"/>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76" w:name="_Hlk219297033"/>
      <w:r>
        <w:rPr/>
        <w:t>по результатам проведения закупки от заключения договора уклонились все допущенные Участники (подраздел</w:t>
      </w:r>
      <w:bookmarkEnd w:id="176"/>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77"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77"/>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78" w:name="_Hlk219297054"/>
      <w:r>
        <w:rPr/>
        <w:t>либо по результатам проведения закупки от заключения договора уклонились все допущенные Участники</w:t>
      </w:r>
      <w:bookmarkEnd w:id="178"/>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79" w:name="_Toc32"/>
      <w:bookmarkStart w:id="180" w:name="_Ref132816141"/>
      <w:bookmarkStart w:id="181" w:name="_Ref132816134"/>
      <w:bookmarkStart w:id="182" w:name="_Ref126141962"/>
      <w:r>
        <w:rPr/>
        <w:t>Отказ от проведения закупки</w:t>
      </w:r>
      <w:bookmarkEnd w:id="182"/>
      <w:r>
        <w:rPr/>
        <w:t xml:space="preserve"> (отмена закупки)</w:t>
      </w:r>
      <w:bookmarkEnd w:id="179"/>
      <w:bookmarkEnd w:id="180"/>
      <w:bookmarkEnd w:id="181"/>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3" w:name="_Toc33"/>
      <w:bookmarkStart w:id="184" w:name="_Ref130455226"/>
      <w:r>
        <w:rPr/>
        <w:t>Особенности проведения закупки с необходимостью обеспечения заявки</w:t>
      </w:r>
      <w:bookmarkEnd w:id="183"/>
      <w:bookmarkEnd w:id="18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85" w:name="_Ref132716380"/>
      <w:r>
        <w:rPr/>
        <w:t>независимая гарантия должна быть выдана организацией из числа указанных в части 1 статьи 45 Закона 44-ФЗ;</w:t>
      </w:r>
      <w:bookmarkEnd w:id="185"/>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86"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6"/>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87" w:name="_Ref130225422"/>
      <w:bookmarkStart w:id="188" w:name="_Toc34"/>
      <w:bookmarkStart w:id="189" w:name="_Ref149317181"/>
      <w:r>
        <w:rPr/>
        <w:t>Особенности проведения многолотовой закупки</w:t>
      </w:r>
      <w:bookmarkEnd w:id="187"/>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0" w:name="_Ref125367087"/>
      <w:bookmarkStart w:id="191" w:name="_Ref125367083"/>
      <w:bookmarkStart w:id="192" w:name="_Ref125366769"/>
      <w:bookmarkStart w:id="193" w:name="_Ref125363439"/>
      <w:bookmarkStart w:id="194" w:name="_Ref125362671"/>
      <w:bookmarkStart w:id="195" w:name="_Ref125361212"/>
      <w:bookmarkStart w:id="196" w:name="_Toc35"/>
      <w:bookmarkStart w:id="197" w:name="_Ref130224037"/>
      <w:bookmarkStart w:id="198" w:name="_Ref126142429"/>
      <w:r>
        <w:rPr/>
        <w:t>Порядок заключения Договора</w:t>
      </w:r>
      <w:bookmarkEnd w:id="190"/>
      <w:bookmarkEnd w:id="191"/>
      <w:bookmarkEnd w:id="192"/>
      <w:bookmarkEnd w:id="193"/>
      <w:bookmarkEnd w:id="194"/>
      <w:bookmarkEnd w:id="195"/>
      <w:bookmarkEnd w:id="196"/>
      <w:bookmarkEnd w:id="197"/>
      <w:bookmarkEnd w:id="198"/>
    </w:p>
    <w:p>
      <w:pPr>
        <w:pStyle w:val="Style16"/>
        <w:spacing w:before="360" w:after="0"/>
        <w:rPr/>
      </w:pPr>
      <w:bookmarkStart w:id="199" w:name="_Toc36"/>
      <w:r>
        <w:rPr/>
        <w:t>Общие положения</w:t>
      </w:r>
      <w:bookmarkEnd w:id="199"/>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0" w:name="_Ref125368755"/>
      <w:bookmarkStart w:id="201" w:name="_Ref125366947"/>
      <w:bookmarkStart w:id="202" w:name="_Toc37"/>
      <w:bookmarkStart w:id="203" w:name="_Ref138341423"/>
      <w:r>
        <w:rPr/>
        <w:t>Заключение Договора</w:t>
      </w:r>
      <w:bookmarkEnd w:id="200"/>
      <w:bookmarkEnd w:id="201"/>
      <w:bookmarkEnd w:id="202"/>
      <w:bookmarkEnd w:id="203"/>
    </w:p>
    <w:p>
      <w:pPr>
        <w:pStyle w:val="Style17"/>
        <w:spacing w:before="120" w:after="0"/>
        <w:rPr/>
      </w:pPr>
      <w:bookmarkStart w:id="204" w:name="_Ref130293821"/>
      <w:bookmarkStart w:id="205"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4"/>
      <w:bookmarkEnd w:id="205"/>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bookmarkStart w:id="206"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06"/>
    </w:p>
    <w:p>
      <w:pPr>
        <w:pStyle w:val="Style17"/>
        <w:spacing w:before="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07"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07"/>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08"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08"/>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09"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9"/>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10"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10"/>
    </w:p>
    <w:p>
      <w:pPr>
        <w:pStyle w:val="Style17"/>
        <w:spacing w:before="0" w:after="0"/>
        <w:rPr/>
      </w:pPr>
      <w:bookmarkStart w:id="211"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12"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12"/>
      <w:r>
        <w:rPr/>
        <w:t>.</w:t>
      </w:r>
      <w:bookmarkEnd w:id="211"/>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13" w:name="_Toc38"/>
      <w:bookmarkStart w:id="214" w:name="_Ref125367068"/>
      <w:r>
        <w:rPr/>
        <w:t>Уклонение Победителя от заключения Договора</w:t>
      </w:r>
      <w:bookmarkEnd w:id="213"/>
      <w:bookmarkEnd w:id="214"/>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15" w:name="_Toc39"/>
      <w:bookmarkStart w:id="216" w:name="Прил01_ТехТребования"/>
      <w:bookmarkStart w:id="217" w:name="_Ref125370843"/>
      <w:bookmarkStart w:id="218" w:name="_Ref125370750"/>
      <w:bookmarkStart w:id="219" w:name="_Ref125370746"/>
      <w:bookmarkStart w:id="220" w:name="_Ref125370741"/>
      <w:bookmarkStart w:id="221" w:name="_Ref125370732"/>
      <w:bookmarkStart w:id="222" w:name="_Ref125364201"/>
      <w:bookmarkStart w:id="223" w:name="_Ref125364088"/>
      <w:bookmarkStart w:id="224" w:name="_Ref125363752"/>
      <w:bookmarkStart w:id="225" w:name="_Ref125363600"/>
      <w:bookmarkStart w:id="226" w:name="_Ref125363034"/>
      <w:bookmarkStart w:id="227" w:name="_Ref125363023"/>
      <w:bookmarkStart w:id="228" w:name="_Ref125363016"/>
      <w:r>
        <w:rPr/>
        <w:t>Приложение № 1 – Технические требования</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tyle16"/>
        <w:spacing w:before="360" w:after="0"/>
        <w:rPr/>
      </w:pPr>
      <w:bookmarkStart w:id="229" w:name="_Toc40"/>
      <w:r>
        <w:rPr/>
        <w:t>Пояснения к Техническим требованиям</w:t>
      </w:r>
      <w:bookmarkEnd w:id="229"/>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30" w:name="_Toc41"/>
      <w:bookmarkStart w:id="231" w:name="Прил02_ПроектДоговора"/>
      <w:bookmarkStart w:id="232" w:name="_Ref125370754"/>
      <w:bookmarkStart w:id="233" w:name="_Ref125364206"/>
      <w:bookmarkStart w:id="234" w:name="_Ref125364081"/>
      <w:bookmarkStart w:id="235" w:name="_Ref125363759"/>
      <w:bookmarkStart w:id="236" w:name="_Ref125363605"/>
      <w:bookmarkStart w:id="237" w:name="_Ref125363040"/>
      <w:bookmarkStart w:id="238" w:name="_Ref125361746"/>
      <w:r>
        <w:rPr/>
        <w:t>Приложение № 2 – Проект договора</w:t>
      </w:r>
      <w:bookmarkEnd w:id="230"/>
      <w:bookmarkEnd w:id="231"/>
      <w:bookmarkEnd w:id="232"/>
      <w:bookmarkEnd w:id="233"/>
      <w:bookmarkEnd w:id="234"/>
      <w:bookmarkEnd w:id="235"/>
      <w:bookmarkEnd w:id="236"/>
      <w:bookmarkEnd w:id="237"/>
      <w:bookmarkEnd w:id="238"/>
    </w:p>
    <w:p>
      <w:pPr>
        <w:pStyle w:val="Style16"/>
        <w:spacing w:before="360" w:after="0"/>
        <w:rPr/>
      </w:pPr>
      <w:bookmarkStart w:id="239" w:name="_Toc42"/>
      <w:r>
        <w:rPr/>
        <w:t>Пояснения к Проекту договора</w:t>
      </w:r>
      <w:bookmarkEnd w:id="239"/>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40" w:name="_MON_1736255517"/>
      <w:bookmarkEnd w:id="240"/>
    </w:p>
    <w:p>
      <w:pPr>
        <w:sectPr>
          <w:headerReference w:type="default" r:id="rId12"/>
          <w:headerReference w:type="first" r:id="rId13"/>
          <w:footerReference w:type="default" r:id="rId14"/>
          <w:footerReference w:type="first" r:id="rId1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object>
          <v:shapetype id="_x0000_tole_rId10" coordsize="21600,21600" o:spt="ole_rId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 type="_x0000_tole_rId10" style="width:78.05pt;height:50.8pt;mso-wrap-distance-right:0pt" filled="f" o:ole="">
            <v:imagedata r:id="rId11" o:title=""/>
          </v:shape>
          <o:OLEObject Type="Embed" ProgID="Word.Document.12" ShapeID="ole_rId10" DrawAspect="Icon" ObjectID="_840745622" r:id="rId10"/>
        </w:object>
      </w:r>
    </w:p>
    <w:p>
      <w:pPr>
        <w:pStyle w:val="Style15"/>
        <w:spacing w:before="0" w:after="0"/>
        <w:rPr/>
      </w:pPr>
      <w:bookmarkStart w:id="241" w:name="_Toc43"/>
      <w:bookmarkStart w:id="242" w:name="Прил03_ТребованияУчастникам"/>
      <w:bookmarkStart w:id="243" w:name="_Ref125370013"/>
      <w:bookmarkStart w:id="244" w:name="_Ref125365476"/>
      <w:bookmarkStart w:id="245" w:name="_Ref125361908"/>
      <w:bookmarkStart w:id="246" w:name="_Ref125361494"/>
      <w:r>
        <w:rPr/>
        <w:t>Приложение № 3 – Требования к Участникам</w:t>
      </w:r>
      <w:bookmarkEnd w:id="241"/>
      <w:bookmarkEnd w:id="242"/>
      <w:bookmarkEnd w:id="243"/>
      <w:bookmarkEnd w:id="244"/>
      <w:bookmarkEnd w:id="245"/>
      <w:bookmarkEnd w:id="246"/>
    </w:p>
    <w:p>
      <w:pPr>
        <w:pStyle w:val="Style16"/>
        <w:spacing w:before="360" w:after="0"/>
        <w:rPr/>
      </w:pPr>
      <w:bookmarkStart w:id="247" w:name="_Toc44"/>
      <w:r>
        <w:rPr/>
        <w:t>Пояснения к требованиям к Участникам</w:t>
      </w:r>
      <w:bookmarkEnd w:id="247"/>
    </w:p>
    <w:p>
      <w:pPr>
        <w:pStyle w:val="Style17"/>
        <w:spacing w:before="120" w:after="0"/>
        <w:rPr/>
      </w:pPr>
      <w:bookmarkStart w:id="248"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48"/>
    </w:p>
    <w:p>
      <w:pPr>
        <w:pStyle w:val="Style16"/>
        <w:spacing w:before="360" w:after="120"/>
        <w:rPr/>
      </w:pPr>
      <w:bookmarkStart w:id="249" w:name="_Toc45"/>
      <w:bookmarkStart w:id="250" w:name="_Ref125370071"/>
      <w:bookmarkStart w:id="251" w:name="_Ref125370064"/>
      <w:bookmarkStart w:id="252" w:name="_Ref125370058"/>
      <w:bookmarkStart w:id="253" w:name="_Ref125369088"/>
      <w:bookmarkStart w:id="254" w:name="_Ref125368895"/>
      <w:bookmarkStart w:id="255" w:name="_Ref125368812"/>
      <w:bookmarkStart w:id="256" w:name="_Ref125366879"/>
      <w:bookmarkStart w:id="257" w:name="_Ref125361926"/>
      <w:bookmarkStart w:id="258" w:name="_Ref125361846"/>
      <w:bookmarkStart w:id="259" w:name="_Ref125361832"/>
      <w:bookmarkStart w:id="260" w:name="_Ref125361617"/>
      <w:bookmarkStart w:id="261" w:name="_Ref125361590"/>
      <w:bookmarkStart w:id="262" w:name="_Ref125361435"/>
      <w:r>
        <w:rPr/>
        <w:t>Обязательные требования</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3" w:name="_Ref125552433"/>
            <w:bookmarkStart w:id="264" w:name="_Ref125552433"/>
            <w:bookmarkEnd w:id="264"/>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val="false"/>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4"/>
              </w:numPr>
              <w:suppressAutoHyphens w:val="true"/>
              <w:spacing w:lineRule="auto" w:line="240" w:before="60" w:after="60"/>
              <w:ind w:hanging="284" w:left="568"/>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4"/>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4"/>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4"/>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uppressAutoHyphens w:val="true"/>
              <w:spacing w:lineRule="auto" w:line="240" w:before="60" w:after="60"/>
              <w:ind w:hanging="0"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5" w:name="_Ref132893662"/>
            <w:bookmarkStart w:id="266" w:name="_Ref132893662"/>
            <w:bookmarkEnd w:id="266"/>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7" w:name="_Ref139029906"/>
            <w:bookmarkStart w:id="268" w:name="_Ref139029906"/>
            <w:bookmarkEnd w:id="268"/>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9" w:name="_Ref186220330"/>
            <w:bookmarkStart w:id="270" w:name="_Ref186220330"/>
            <w:bookmarkEnd w:id="270"/>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1" w:name="_Ref186220335"/>
            <w:bookmarkStart w:id="272" w:name="_Ref186220335"/>
            <w:bookmarkEnd w:id="272"/>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73" w:name="_Toc46"/>
      <w:bookmarkStart w:id="274" w:name="_Ref125709888"/>
      <w:bookmarkStart w:id="275" w:name="_Ref125709401"/>
      <w:bookmarkStart w:id="276" w:name="_Ref125709250"/>
      <w:bookmarkStart w:id="277" w:name="_Ref125709153"/>
      <w:bookmarkStart w:id="278" w:name="_Ref125370079"/>
      <w:bookmarkStart w:id="279" w:name="_Ref125369099"/>
      <w:bookmarkStart w:id="280" w:name="_Ref125368916"/>
      <w:bookmarkStart w:id="281" w:name="_Ref125368901"/>
      <w:bookmarkStart w:id="282" w:name="_Ref125368818"/>
      <w:bookmarkStart w:id="283" w:name="_Ref125367539"/>
      <w:bookmarkStart w:id="284" w:name="_Ref125367521"/>
      <w:bookmarkStart w:id="285" w:name="_Ref125365459"/>
      <w:bookmarkStart w:id="286" w:name="_Ref125361937"/>
      <w:bookmarkStart w:id="287" w:name="_Ref125361869"/>
      <w:bookmarkStart w:id="288" w:name="_Ref125361671"/>
      <w:bookmarkStart w:id="289" w:name="_Ref125361633"/>
      <w:bookmarkStart w:id="290" w:name="_Ref125361442"/>
      <w:r>
        <w:rPr/>
        <w:t>Специальные требования</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3"/>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r>
    </w:tbl>
    <w:p>
      <w:pPr>
        <w:pStyle w:val="Style16"/>
        <w:spacing w:before="360" w:after="120"/>
        <w:rPr/>
      </w:pPr>
      <w:bookmarkStart w:id="291" w:name="_Toc47"/>
      <w:bookmarkStart w:id="292" w:name="_Ref125709973"/>
      <w:bookmarkStart w:id="293" w:name="_Ref125709777"/>
      <w:bookmarkStart w:id="294" w:name="_Ref125370209"/>
      <w:bookmarkStart w:id="295" w:name="_Ref125370180"/>
      <w:bookmarkStart w:id="296" w:name="_Ref125370173"/>
      <w:bookmarkStart w:id="297" w:name="_Ref125369117"/>
      <w:bookmarkStart w:id="298" w:name="_Ref125362031"/>
      <w:bookmarkStart w:id="299" w:name="_Ref125361823"/>
      <w:r>
        <w:rPr/>
        <w:t>Дополнительные требования к Генеральным подрядчикам</w:t>
      </w:r>
      <w:bookmarkEnd w:id="291"/>
      <w:bookmarkEnd w:id="292"/>
      <w:bookmarkEnd w:id="293"/>
      <w:bookmarkEnd w:id="294"/>
      <w:bookmarkEnd w:id="295"/>
      <w:bookmarkEnd w:id="296"/>
      <w:bookmarkEnd w:id="297"/>
      <w:bookmarkEnd w:id="298"/>
      <w:bookmarkEnd w:id="299"/>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0" w:name="_Ref125370187"/>
            <w:bookmarkStart w:id="301" w:name="_Ref125370187"/>
            <w:bookmarkEnd w:id="301"/>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2" w:name="_Ref125370193"/>
            <w:bookmarkStart w:id="303" w:name="_Ref125370193"/>
            <w:bookmarkEnd w:id="303"/>
          </w:p>
        </w:tc>
        <w:tc>
          <w:tcPr>
            <w:tcW w:w="5671"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4" w:name="_Ref125553847"/>
            <w:bookmarkStart w:id="305" w:name="_Ref125553847"/>
            <w:bookmarkEnd w:id="305"/>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6"/>
          <w:headerReference w:type="first" r:id="rId17"/>
          <w:footerReference w:type="default" r:id="rId18"/>
          <w:footerReference w:type="first" r:id="rId1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06" w:name="_Toc48"/>
      <w:bookmarkStart w:id="307" w:name="Прил04_ФормыЗаявки"/>
      <w:bookmarkEnd w:id="307"/>
      <w:r>
        <w:rPr/>
        <w:t>Приложение № 4 – Образцы форм документов, включаемых в состав заявки</w:t>
      </w:r>
      <w:bookmarkEnd w:id="306"/>
    </w:p>
    <w:p>
      <w:pPr>
        <w:pStyle w:val="Style16"/>
        <w:spacing w:before="360" w:after="0"/>
        <w:rPr/>
      </w:pPr>
      <w:bookmarkStart w:id="308" w:name="_Toc49"/>
      <w:r>
        <w:rPr/>
        <w:t>Пояснения к Образцам форм документов, включаемых в состав заявки</w:t>
      </w:r>
      <w:bookmarkEnd w:id="308"/>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09" w:name="_Toc50"/>
      <w:bookmarkStart w:id="310" w:name="Прил05_ФормыПобедителя"/>
      <w:bookmarkEnd w:id="310"/>
      <w:r>
        <w:rPr/>
        <w:t>Приложение № 5 – Образцы форм документов, предоставляемых Победителем</w:t>
      </w:r>
      <w:bookmarkEnd w:id="309"/>
    </w:p>
    <w:p>
      <w:pPr>
        <w:pStyle w:val="Style16"/>
        <w:spacing w:before="360" w:after="0"/>
        <w:rPr/>
      </w:pPr>
      <w:bookmarkStart w:id="311" w:name="_Toc51"/>
      <w:r>
        <w:rPr/>
        <w:t>Пояснения к Образцам форм документов, предоставляемых Победителем</w:t>
      </w:r>
      <w:bookmarkEnd w:id="311"/>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12" w:name="_Toc52"/>
      <w:bookmarkStart w:id="313" w:name="_Ref130395470"/>
      <w:r>
        <w:rPr/>
        <w:t>Форма справки «Сведения о цепочке собственников, включая бенефициаров (в том числе конечных)»</w:t>
      </w:r>
      <w:bookmarkEnd w:id="312"/>
      <w:bookmarkEnd w:id="313"/>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14" w:name="_MON_1805621314"/>
      <w:bookmarkEnd w:id="314"/>
      <w:r>
        <w:rPr/>
        <w:object>
          <v:shapetype id="_x0000_tole_rId20" coordsize="21600,21600" o:spt="ole_rId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 type="_x0000_tole_rId20" style="width:75.65pt;height:48.4pt;mso-wrap-distance-right:0pt" filled="f" o:ole="">
            <v:imagedata r:id="rId21" o:title=""/>
          </v:shape>
          <o:OLEObject Type="Embed" ProgID="Word.Document.12" ShapeID="ole_rId20" DrawAspect="Icon" ObjectID="_438368716" r:id="rId20"/>
        </w:object>
      </w:r>
    </w:p>
    <w:p>
      <w:pPr>
        <w:pStyle w:val="Style16"/>
        <w:spacing w:before="360" w:after="0"/>
        <w:rPr/>
      </w:pPr>
      <w:bookmarkStart w:id="315" w:name="_Toc53"/>
      <w:bookmarkStart w:id="316" w:name="_Ref130395475"/>
      <w:r>
        <w:rPr/>
        <w:t>Форма «Заверение об обстоятельствах»</w:t>
      </w:r>
      <w:bookmarkEnd w:id="315"/>
      <w:bookmarkEnd w:id="316"/>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17"/>
        <w:numPr>
          <w:ilvl w:val="0"/>
          <w:numId w:val="0"/>
        </w:numPr>
        <w:spacing w:before="0" w:after="0"/>
        <w:ind w:hanging="0" w:left="1134"/>
        <w:rPr/>
      </w:pPr>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8.05pt;height:52.05pt;mso-wrap-distance-right:0pt" filled="f" o:ole="">
            <v:imagedata r:id="rId23" o:title=""/>
          </v:shape>
          <o:OLEObject Type="Embed" ProgID="Word.Document.12" ShapeID="ole_rId22" DrawAspect="Icon" ObjectID="_1152345687" r:id="rId22"/>
        </w:object>
      </w:r>
    </w:p>
    <w:p>
      <w:pPr>
        <w:pStyle w:val="Style21"/>
        <w:spacing w:before="120" w:after="120"/>
        <w:jc w:val="center"/>
        <w:rPr/>
      </w:pPr>
      <w:r>
        <w:rPr/>
      </w:r>
      <w:bookmarkStart w:id="317" w:name="_MON_1741074184"/>
      <w:bookmarkStart w:id="318" w:name="_MON_1741074184"/>
      <w:bookmarkEnd w:id="318"/>
    </w:p>
    <w:p>
      <w:pPr>
        <w:pStyle w:val="Style15"/>
        <w:spacing w:before="0" w:after="0"/>
        <w:rPr/>
      </w:pPr>
      <w:bookmarkStart w:id="319" w:name="_Ref125362900"/>
      <w:bookmarkStart w:id="320" w:name="_Ref125362865"/>
      <w:bookmarkStart w:id="321" w:name="_Toc54"/>
      <w:bookmarkStart w:id="322" w:name="Прил06_СоставЗаявки"/>
      <w:bookmarkEnd w:id="322"/>
      <w:r>
        <w:rPr/>
        <w:t>Приложение № 6 – Состав заявки</w:t>
      </w:r>
      <w:bookmarkEnd w:id="319"/>
      <w:bookmarkEnd w:id="320"/>
      <w:bookmarkEnd w:id="321"/>
    </w:p>
    <w:p>
      <w:pPr>
        <w:pStyle w:val="Style16"/>
        <w:spacing w:before="360" w:after="0"/>
        <w:rPr/>
      </w:pPr>
      <w:bookmarkStart w:id="323" w:name="_Toc55"/>
      <w:r>
        <w:rPr/>
        <w:t>Состав заявки</w:t>
      </w:r>
      <w:bookmarkEnd w:id="323"/>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1148"/>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Первая часть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uppressAutoHyphens w:val="true"/>
              <w:spacing w:lineRule="auto" w:line="240" w:before="60" w:after="0"/>
              <w:ind w:hanging="284" w:left="284"/>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4" w:name="_Ref132888537"/>
            <w:bookmarkStart w:id="325" w:name="_Ref132888537"/>
            <w:bookmarkEnd w:id="325"/>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6" w:name="_Ref130389408"/>
            <w:bookmarkStart w:id="327" w:name="_Ref130389408"/>
            <w:bookmarkEnd w:id="327"/>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8" w:name="_Ref130389413"/>
            <w:bookmarkStart w:id="329" w:name="_Ref130389413"/>
            <w:bookmarkEnd w:id="329"/>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0" w:name="_Ref130389419"/>
            <w:bookmarkStart w:id="331" w:name="_Ref130389419"/>
            <w:bookmarkEnd w:id="331"/>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4"/>
          <w:headerReference w:type="first" r:id="rId25"/>
          <w:footerReference w:type="default" r:id="rId26"/>
          <w:footerReference w:type="first" r:id="rId2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32" w:name="_Toc56"/>
      <w:bookmarkStart w:id="333" w:name="_Ref125365264"/>
      <w:bookmarkStart w:id="334" w:name="Прил07_ОтборочныеКритерии"/>
      <w:bookmarkEnd w:id="334"/>
      <w:r>
        <w:rPr/>
        <w:t>Приложение № 7 – Отборочные критерии рассмотрения заявок</w:t>
      </w:r>
      <w:bookmarkEnd w:id="332"/>
      <w:bookmarkEnd w:id="333"/>
    </w:p>
    <w:p>
      <w:pPr>
        <w:pStyle w:val="Style16"/>
        <w:spacing w:before="360" w:after="120"/>
        <w:rPr>
          <w:rStyle w:val="Style3"/>
          <w:i w:val="false"/>
          <w:i w:val="false"/>
          <w:iCs w:val="false"/>
          <w:shd w:fill="auto" w:val="clear"/>
        </w:rPr>
      </w:pPr>
      <w:bookmarkStart w:id="335" w:name="_Toc57"/>
      <w:r>
        <w:rPr>
          <w:rStyle w:val="Style3"/>
          <w:i w:val="false"/>
          <w:iCs w:val="false"/>
          <w:shd w:fill="auto" w:val="clear"/>
        </w:rPr>
        <w:t>Отборочные критерии рассмотрения первых частей заявок</w:t>
      </w:r>
      <w:bookmarkEnd w:id="335"/>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36" w:name="_Toc58"/>
      <w:bookmarkStart w:id="337" w:name="_Hlk132891087"/>
      <w:r>
        <w:rPr>
          <w:rStyle w:val="Style3"/>
          <w:i w:val="false"/>
          <w:iCs w:val="false"/>
          <w:shd w:fill="auto" w:val="clear"/>
        </w:rPr>
        <w:t>Отборочные критерии рассмотрения вторых частей заявок</w:t>
      </w:r>
      <w:bookmarkEnd w:id="336"/>
      <w:bookmarkEnd w:id="337"/>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tc>
          <w:tcPr>
            <w:tcW w:w="140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094"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56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64"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494"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2890414"/>
            <w:bookmarkStart w:id="339" w:name="_Ref132890414"/>
            <w:bookmarkEnd w:id="339"/>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494"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567"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494"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56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val="false"/>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val="false"/>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494"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56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_Ref186219943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40" w:name="_Toc59"/>
      <w:r>
        <w:rPr>
          <w:rStyle w:val="Style3"/>
          <w:i w:val="false"/>
          <w:iCs w:val="false"/>
          <w:shd w:fill="auto" w:val="clear"/>
        </w:rPr>
        <w:t>Отборочные критерии рассмотрения ценовых предложений</w:t>
      </w:r>
      <w:bookmarkEnd w:id="340"/>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val="false"/>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uppressAutoHyphens w:val="tru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rPr>
          <w:rStyle w:val="Style3"/>
          <w:i w:val="false"/>
          <w:i w:val="false"/>
          <w:iCs w:val="false"/>
          <w:shd w:fill="auto" w:val="clear"/>
        </w:rPr>
      </w:pPr>
      <w:bookmarkStart w:id="341" w:name="_Toc60"/>
      <w:r>
        <w:rPr>
          <w:rStyle w:val="Style3"/>
          <w:i w:val="false"/>
          <w:iCs w:val="false"/>
          <w:shd w:fill="auto" w:val="clear"/>
        </w:rPr>
        <w:t>Дополнительные критерии проверки заявок на соответствие условиям Документации о закупке</w:t>
      </w:r>
      <w:bookmarkEnd w:id="341"/>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14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12" w:type="dxa"/>
            <w:tcBorders/>
          </w:tcPr>
          <w:p>
            <w:pPr>
              <w:pStyle w:val="Style21"/>
              <w:widowControl w:val="false"/>
              <w:numPr>
                <w:ilvl w:val="0"/>
                <w:numId w:val="12"/>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42" w:name="_Toc61"/>
      <w:bookmarkStart w:id="343" w:name="_Ref125369438"/>
      <w:bookmarkStart w:id="344" w:name="_Ref125369021"/>
      <w:bookmarkStart w:id="345" w:name="_Ref125368331"/>
      <w:bookmarkStart w:id="346" w:name="_Ref125368313"/>
      <w:bookmarkStart w:id="347" w:name="_Ref125368302"/>
      <w:bookmarkStart w:id="348" w:name="_Ref125368291"/>
      <w:bookmarkStart w:id="349" w:name="_Ref125368283"/>
      <w:bookmarkStart w:id="350" w:name="_Ref125368184"/>
      <w:bookmarkStart w:id="351" w:name="_Ref125368172"/>
      <w:bookmarkStart w:id="352" w:name="_Ref125368165"/>
      <w:bookmarkStart w:id="353" w:name="_Ref125368150"/>
      <w:bookmarkStart w:id="354" w:name="_Ref125368140"/>
      <w:bookmarkStart w:id="355" w:name="_Ref125366285"/>
      <w:bookmarkStart w:id="356" w:name="_Ref125366280"/>
      <w:bookmarkStart w:id="357" w:name="_Ref125366013"/>
      <w:bookmarkStart w:id="358" w:name="_Ref125361951"/>
      <w:bookmarkStart w:id="359" w:name="_Ref125361648"/>
      <w:bookmarkStart w:id="360" w:name="Прил08_ПорядокОценки"/>
      <w:bookmarkEnd w:id="360"/>
      <w:r>
        <w:rPr/>
        <w:t>Приложение № 8 – Порядок и критерии оценки и сопоставления заявок</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Style16"/>
        <w:spacing w:before="360" w:after="0"/>
        <w:rPr/>
      </w:pPr>
      <w:bookmarkStart w:id="361" w:name="_Toc62"/>
      <w:r>
        <w:rPr/>
        <w:t>Порядок и критерии оценки и сопоставления заявок</w:t>
      </w:r>
      <w:bookmarkEnd w:id="361"/>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5138" w:type="dxa"/>
        <w:jc w:val="left"/>
        <w:tblInd w:w="-1" w:type="dxa"/>
        <w:tblLayout w:type="fixed"/>
        <w:tblCellMar>
          <w:top w:w="0" w:type="dxa"/>
          <w:left w:w="108" w:type="dxa"/>
          <w:bottom w:w="0" w:type="dxa"/>
          <w:right w:w="108" w:type="dxa"/>
        </w:tblCellMar>
        <w:tblLook w:val="04a0" w:noHBand="0" w:noVBand="1" w:firstColumn="1" w:lastRow="0" w:lastColumn="0" w:firstRow="1"/>
      </w:tblPr>
      <w:tblGrid>
        <w:gridCol w:w="993"/>
        <w:gridCol w:w="1276"/>
        <w:gridCol w:w="1417"/>
        <w:gridCol w:w="1559"/>
        <w:gridCol w:w="1276"/>
        <w:gridCol w:w="1895"/>
        <w:gridCol w:w="6721"/>
      </w:tblGrid>
      <w:tr>
        <w:trPr>
          <w:cantSplit w:val="true"/>
        </w:trPr>
        <w:tc>
          <w:tcPr>
            <w:tcW w:w="993"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Style21"/>
              <w:widowControl w:val="false"/>
              <w:spacing w:before="40" w:after="40"/>
              <w:jc w:val="center"/>
              <w:rPr>
                <w:sz w:val="18"/>
                <w:szCs w:val="18"/>
              </w:rPr>
            </w:pPr>
            <w:r>
              <w:rPr>
                <w:sz w:val="18"/>
                <w:szCs w:val="18"/>
              </w:rPr>
              <w:t>Номер критерия оценки в</w:t>
            </w:r>
            <w:r>
              <w:rPr>
                <w:sz w:val="18"/>
                <w:szCs w:val="18"/>
                <w:lang w:val="en-US"/>
              </w:rPr>
              <w:t> </w:t>
            </w:r>
            <w:r>
              <w:rPr>
                <w:sz w:val="18"/>
                <w:szCs w:val="18"/>
              </w:rPr>
              <w:t>структуре</w:t>
            </w:r>
          </w:p>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r>
          </w:p>
        </w:tc>
        <w:tc>
          <w:tcPr>
            <w:tcW w:w="1276"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spacing w:before="40" w:after="40"/>
              <w:jc w:val="center"/>
              <w:rPr>
                <w:rFonts w:cs="Times New Roman"/>
                <w:sz w:val="20"/>
                <w:szCs w:val="20"/>
              </w:rPr>
            </w:pPr>
            <w:r>
              <w:rPr>
                <w:rFonts w:cs="Times New Roman"/>
                <w:bCs/>
                <w:sz w:val="20"/>
                <w:szCs w:val="20"/>
              </w:rPr>
              <w:t>Вид критерия оценки / направление оценки заявок</w:t>
            </w:r>
          </w:p>
        </w:tc>
        <w:tc>
          <w:tcPr>
            <w:tcW w:w="2976" w:type="dxa"/>
            <w:gridSpan w:val="2"/>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Наименование критерия оценки</w:t>
            </w:r>
          </w:p>
        </w:tc>
        <w:tc>
          <w:tcPr>
            <w:tcW w:w="1276"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Значимость критерия оценки</w:t>
            </w:r>
          </w:p>
        </w:tc>
        <w:tc>
          <w:tcPr>
            <w:tcW w:w="1895"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Содержание частного критерия оценки</w:t>
            </w:r>
          </w:p>
        </w:tc>
        <w:tc>
          <w:tcPr>
            <w:tcW w:w="6721"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Расчёт оценки предпочтительности заявки</w:t>
            </w:r>
          </w:p>
        </w:tc>
      </w:tr>
      <w:tr>
        <w:trPr>
          <w:cantSplit w:val="true"/>
        </w:trPr>
        <w:tc>
          <w:tcPr>
            <w:tcW w:w="993"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276"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17"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первого уровня</w:t>
            </w:r>
          </w:p>
        </w:tc>
        <w:tc>
          <w:tcPr>
            <w:tcW w:w="1559"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второго уровня</w:t>
            </w:r>
          </w:p>
        </w:tc>
        <w:tc>
          <w:tcPr>
            <w:tcW w:w="1276"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895"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6721"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r>
      <w:tr>
        <w:trPr>
          <w:trHeight w:val="4123" w:hRule="atLeast"/>
        </w:trPr>
        <w:tc>
          <w:tcPr>
            <w:tcW w:w="99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rFonts w:eastAsia="Calibri"/>
                <w:sz w:val="20"/>
                <w:szCs w:val="20"/>
              </w:rPr>
              <w:t>1.</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sz w:val="20"/>
                <w:szCs w:val="20"/>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31"/>
              <w:widowControl w:val="false"/>
              <w:numPr>
                <w:ilvl w:val="7"/>
                <w:numId w:val="24"/>
              </w:numPr>
              <w:tabs>
                <w:tab w:val="clear" w:pos="708"/>
                <w:tab w:val="left" w:pos="1440" w:leader="none"/>
                <w:tab w:val="left" w:pos="2880" w:leader="none"/>
              </w:tabs>
              <w:spacing w:lineRule="auto" w:line="240" w:before="0" w:after="0"/>
              <w:ind w:hanging="0" w:left="0" w:right="0"/>
              <w:contextualSpacing/>
              <w:jc w:val="center"/>
              <w:rPr>
                <w:rFonts w:ascii="Times New Roman" w:hAnsi="Times New Roman"/>
                <w:sz w:val="20"/>
                <w:szCs w:val="20"/>
              </w:rPr>
            </w:pPr>
            <w:r>
              <w:rPr>
                <w:sz w:val="20"/>
                <w:szCs w:val="20"/>
              </w:rPr>
              <w:t>Цена договора (стоимость заявки)</w:t>
            </w:r>
          </w:p>
          <w:p>
            <w:pPr>
              <w:pStyle w:val="31"/>
              <w:widowControl w:val="false"/>
              <w:numPr>
                <w:ilvl w:val="7"/>
                <w:numId w:val="20"/>
              </w:numPr>
              <w:spacing w:lineRule="auto" w:line="240" w:before="40" w:after="40"/>
              <w:ind w:hanging="0" w:left="0" w:right="0"/>
              <w:jc w:val="center"/>
              <w:rPr>
                <w:sz w:val="18"/>
                <w:szCs w:val="18"/>
              </w:rPr>
            </w:pPr>
            <w:r>
              <w:rPr>
                <w:sz w:val="18"/>
                <w:szCs w:val="18"/>
              </w:rPr>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center"/>
              <w:rPr>
                <w:rFonts w:eastAsia="Calibri"/>
                <w:bCs/>
                <w:i/>
                <w:i/>
                <w:sz w:val="20"/>
                <w:szCs w:val="20"/>
                <w:highlight w:val="none"/>
              </w:rPr>
            </w:pPr>
            <w:r>
              <w:rPr>
                <w:rFonts w:eastAsia="Calibri"/>
                <w:i/>
                <w:sz w:val="20"/>
                <w:szCs w:val="20"/>
              </w:rPr>
              <w:t>отсутствует</w:t>
            </w:r>
          </w:p>
          <w:p>
            <w:pPr>
              <w:pStyle w:val="Normal"/>
              <w:widowControl w:val="false"/>
              <w:numPr>
                <w:ilvl w:val="0"/>
                <w:numId w:val="0"/>
              </w:numPr>
              <w:spacing w:lineRule="auto" w:line="240" w:beforeAutospacing="0" w:before="0" w:afterAutospacing="0" w:after="0"/>
              <w:ind w:hanging="0" w:left="0"/>
              <w:jc w:val="center"/>
              <w:rPr>
                <w:rFonts w:eastAsia="Calibri"/>
                <w:bCs/>
                <w:i/>
                <w:i/>
                <w:sz w:val="20"/>
                <w:szCs w:val="20"/>
              </w:rPr>
            </w:pPr>
            <w:r>
              <w:rPr>
                <w:rFonts w:eastAsia="Calibri"/>
                <w:bCs/>
                <w:i/>
                <w:sz w:val="20"/>
                <w:szCs w:val="20"/>
              </w:rPr>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Fonts w:eastAsia="Times New Roman" w:cs="Times New Roman"/>
                <w:sz w:val="20"/>
                <w:szCs w:val="20"/>
              </w:rPr>
              <w:t>90%</w:t>
              <w:br/>
              <w:t>(В</w:t>
            </w:r>
            <w:r>
              <w:rPr>
                <w:rFonts w:eastAsia="Times New Roman" w:cs="Times New Roman"/>
                <w:sz w:val="20"/>
                <w:szCs w:val="20"/>
                <w:vertAlign w:val="subscript"/>
              </w:rPr>
              <w:t>1</w:t>
            </w:r>
            <w:r>
              <w:rPr>
                <w:rFonts w:eastAsia="Times New Roman" w:cs="Times New Roman"/>
                <w:sz w:val="20"/>
                <w:szCs w:val="20"/>
              </w:rPr>
              <w:t xml:space="preserve"> = 0,90)</w:t>
            </w:r>
          </w:p>
        </w:tc>
        <w:tc>
          <w:tcPr>
            <w:tcW w:w="1895" w:type="dxa"/>
            <w:tcBorders>
              <w:top w:val="single" w:sz="4" w:space="0" w:color="000000"/>
              <w:left w:val="single" w:sz="4" w:space="0" w:color="000000"/>
              <w:bottom w:val="single" w:sz="4" w:space="0" w:color="000000"/>
              <w:right w:val="single" w:sz="4" w:space="0" w:color="000000"/>
            </w:tcBorders>
            <w:shd w:color="FFFFFF" w:fill="FFFFFF" w:val="clear"/>
          </w:tcPr>
          <w:p>
            <w:pPr>
              <w:pStyle w:val="31"/>
              <w:widowControl w:val="false"/>
              <w:numPr>
                <w:ilvl w:val="7"/>
                <w:numId w:val="19"/>
              </w:numPr>
              <w:spacing w:lineRule="auto" w:line="240" w:beforeAutospacing="0" w:before="0" w:afterAutospacing="0" w:after="0"/>
              <w:ind w:hanging="0" w:left="0" w:right="0"/>
              <w:jc w:val="center"/>
              <w:rPr>
                <w:sz w:val="18"/>
                <w:szCs w:val="18"/>
              </w:rPr>
            </w:pPr>
            <w:r>
              <w:rPr>
                <w:sz w:val="20"/>
                <w:szCs w:val="20"/>
              </w:rPr>
              <w:t>Чем меньше стоимость заявки Участника, тем выше предпочтительность</w:t>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672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Расчет оценки предпочтительности по частному критерию по методу «Математическая формула, задающая «функцию ценности»:</w:t>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ЦЕНА</m:t>
                    </m:r>
                    <m:r>
                      <w:rPr>
                        <w:rFonts w:ascii="Cambria Math" w:hAnsi="Cambria Math"/>
                      </w:rPr>
                      <m:t xml:space="preserve">min</m:t>
                    </m:r>
                  </m:num>
                  <m:den>
                    <m:r>
                      <w:rPr>
                        <w:rFonts w:ascii="Cambria Math" w:hAnsi="Cambria Math"/>
                      </w:rPr>
                      <m:t xml:space="preserve">ЦЕНА</m:t>
                    </m:r>
                    <m:r>
                      <w:rPr>
                        <w:rFonts w:ascii="Cambria Math" w:hAnsi="Cambria Math"/>
                      </w:rPr>
                      <m:t xml:space="preserve">i</m:t>
                    </m:r>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keepNext w:val="true"/>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где:</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Б</w:t>
            </w:r>
            <w:r>
              <w:rPr>
                <w:rFonts w:eastAsia="Calibri"/>
                <w:sz w:val="20"/>
                <w:szCs w:val="20"/>
                <w:vertAlign w:val="subscript"/>
                <w:lang w:eastAsia="en-US"/>
              </w:rPr>
              <w:t>1</w:t>
            </w:r>
            <w:r>
              <w:rPr>
                <w:rFonts w:eastAsia="Calibri"/>
                <w:sz w:val="20"/>
                <w:szCs w:val="20"/>
                <w:lang w:eastAsia="en-US"/>
              </w:rPr>
              <w:t xml:space="preserve"> – рассчитанная оценка предпочтительности по частному критерию оценки в баллах;</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i/>
                <w:iCs/>
                <w:sz w:val="20"/>
                <w:szCs w:val="20"/>
                <w:vertAlign w:val="subscript"/>
                <w:lang w:val="en-US" w:eastAsia="en-US"/>
              </w:rPr>
              <w:t>i</w:t>
            </w:r>
            <w:r>
              <w:rPr>
                <w:rFonts w:eastAsia="Calibri"/>
                <w:sz w:val="20"/>
                <w:szCs w:val="20"/>
                <w:lang w:eastAsia="en-US"/>
              </w:rPr>
              <w:t>  – цена коммерческого предложения (без НДС), указанная в заявке допущенного участника;</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sz w:val="20"/>
                <w:szCs w:val="20"/>
                <w:vertAlign w:val="subscript"/>
                <w:lang w:val="en-US" w:eastAsia="en-US"/>
              </w:rPr>
              <w:t>min</w:t>
            </w:r>
            <w:r>
              <w:rPr>
                <w:rFonts w:eastAsia="Calibri"/>
                <w:sz w:val="20"/>
                <w:szCs w:val="20"/>
                <w:vertAlign w:val="subscript"/>
                <w:lang w:eastAsia="en-US"/>
              </w:rPr>
              <w:t xml:space="preserve"> </w:t>
            </w:r>
            <w:r>
              <w:rPr>
                <w:rFonts w:eastAsia="Calibri"/>
                <w:sz w:val="20"/>
                <w:szCs w:val="20"/>
                <w:lang w:eastAsia="en-US"/>
              </w:rPr>
              <w:t>– минимальная цена коммерческого предложения (без НДС) среди всех допущенных заявок участников;</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Normal"/>
              <w:widowControl w:val="false"/>
              <w:spacing w:beforeAutospacing="0" w:before="0" w:afterAutospacing="0" w:after="0"/>
              <w:ind w:hanging="0"/>
              <w:jc w:val="both"/>
              <w:rPr>
                <w:rFonts w:eastAsia="Calibri"/>
                <w:sz w:val="20"/>
                <w:szCs w:val="20"/>
              </w:rPr>
            </w:pPr>
            <w:r>
              <w:rPr>
                <w:rFonts w:eastAsia="Calibri"/>
                <w:b/>
                <w:bCs/>
                <w:sz w:val="20"/>
                <w:szCs w:val="20"/>
                <w:lang w:eastAsia="en-US"/>
              </w:rPr>
              <w:t>Шкала оценок от 0 до 5 баллов.</w:t>
            </w:r>
          </w:p>
        </w:tc>
      </w:tr>
      <w:tr>
        <w:trPr>
          <w:trHeight w:val="709" w:hRule="atLeast"/>
        </w:trPr>
        <w:tc>
          <w:tcPr>
            <w:tcW w:w="99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rFonts w:eastAsia="Calibri"/>
                <w:sz w:val="20"/>
                <w:szCs w:val="20"/>
              </w:rPr>
              <w:t>2.</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eastAsia="Calibri" w:cs="Times New Roman"/>
                <w:sz w:val="20"/>
                <w:szCs w:val="20"/>
              </w:rPr>
            </w:pPr>
            <w:r>
              <w:rPr>
                <w:sz w:val="20"/>
                <w:szCs w:val="20"/>
              </w:rPr>
              <w:t>Неценовой критерий оценки первого уровня / ТЕХ</w:t>
            </w:r>
          </w:p>
          <w:p>
            <w:pPr>
              <w:pStyle w:val="Normal"/>
              <w:widowControl w:val="false"/>
              <w:numPr>
                <w:ilvl w:val="0"/>
                <w:numId w:val="0"/>
              </w:numPr>
              <w:spacing w:lineRule="auto" w:line="240"/>
              <w:ind w:hanging="0" w:left="0"/>
              <w:jc w:val="center"/>
              <w:rPr>
                <w:rFonts w:eastAsia="Calibri"/>
                <w:sz w:val="20"/>
                <w:szCs w:val="20"/>
              </w:rPr>
            </w:pPr>
            <w:r>
              <w:rPr>
                <w:rFonts w:eastAsia="Calibri"/>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sz w:val="20"/>
                <w:szCs w:val="20"/>
              </w:rPr>
              <w:t>Квалификация (предпочтительность)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0"/>
              <w:ind w:hanging="0" w:left="0"/>
              <w:jc w:val="center"/>
              <w:rPr>
                <w:rFonts w:eastAsia="Calibri"/>
                <w:sz w:val="20"/>
                <w:szCs w:val="20"/>
              </w:rPr>
            </w:pPr>
            <w:r>
              <w:rPr>
                <w:rFonts w:eastAsia="Calibri"/>
                <w:i/>
                <w:sz w:val="20"/>
                <w:szCs w:val="20"/>
              </w:rPr>
              <w:t>отсутствует</w:t>
            </w:r>
            <w:r>
              <w:rPr>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rFonts w:eastAsia="Times New Roman" w:cs="Times New Roman"/>
                <w:sz w:val="20"/>
                <w:szCs w:val="20"/>
              </w:rPr>
              <w:t>5%</w:t>
              <w:br/>
              <w:t>(В</w:t>
            </w:r>
            <w:r>
              <w:rPr>
                <w:rFonts w:eastAsia="Times New Roman" w:cs="Times New Roman"/>
                <w:sz w:val="20"/>
                <w:szCs w:val="20"/>
                <w:vertAlign w:val="subscript"/>
              </w:rPr>
              <w:t>2</w:t>
            </w:r>
            <w:r>
              <w:rPr>
                <w:rFonts w:eastAsia="Times New Roman" w:cs="Times New Roman"/>
                <w:sz w:val="20"/>
                <w:szCs w:val="20"/>
              </w:rPr>
              <w:t xml:space="preserve"> = 0,05)</w:t>
            </w:r>
          </w:p>
        </w:tc>
        <w:tc>
          <w:tcPr>
            <w:tcW w:w="189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keepNext w:val="true"/>
              <w:keepLines/>
              <w:widowControl w:val="false"/>
              <w:numPr>
                <w:ilvl w:val="0"/>
                <w:numId w:val="0"/>
              </w:numPr>
              <w:spacing w:beforeAutospacing="0" w:before="0" w:afterAutospacing="0" w:after="0"/>
              <w:ind w:hanging="0" w:left="0"/>
              <w:jc w:val="center"/>
              <w:rPr>
                <w:rFonts w:ascii="Times New Roman" w:hAnsi="Times New Roman" w:cs="Times New Roman"/>
                <w:b w:val="false"/>
                <w:bCs w:val="false"/>
                <w:sz w:val="20"/>
                <w:szCs w:val="20"/>
              </w:rPr>
            </w:pPr>
            <w:r>
              <w:rPr>
                <w:rFonts w:eastAsia="Times New Roman" w:cs="Times New Roman"/>
                <w:b w:val="false"/>
                <w:bCs w:val="false"/>
                <w:i w:val="false"/>
                <w:iCs w:val="false"/>
                <w:sz w:val="20"/>
                <w:szCs w:val="20"/>
                <w:shd w:fill="FFFFFF" w:val="clear"/>
              </w:rPr>
              <w:t>Чем больше опыт</w:t>
            </w:r>
            <w:r>
              <w:rPr>
                <w:rFonts w:eastAsia="Times New Roman" w:cs="Times New Roman"/>
                <w:b w:val="false"/>
                <w:bCs w:val="false"/>
                <w:i w:val="false"/>
                <w:iCs w:val="false"/>
                <w:color w:val="FFFFFF"/>
                <w:sz w:val="20"/>
                <w:szCs w:val="20"/>
                <w:shd w:fill="FFFFFF" w:val="clear"/>
              </w:rPr>
              <w:t xml:space="preserve"> </w:t>
            </w:r>
            <w:r>
              <w:rPr>
                <w:rFonts w:eastAsia="Times New Roman" w:cs="Times New Roman"/>
                <w:b w:val="false"/>
                <w:bCs w:val="false"/>
                <w:i w:val="false"/>
                <w:iCs w:val="false"/>
                <w:sz w:val="20"/>
                <w:szCs w:val="20"/>
                <w:shd w:fill="FFFFFF" w:val="clear"/>
              </w:rPr>
              <w:t xml:space="preserve">выполнения </w:t>
            </w:r>
            <w:r>
              <w:rPr>
                <w:rFonts w:eastAsia="Times New Roman" w:cs="Times New Roman"/>
                <w:b w:val="false"/>
                <w:bCs w:val="false"/>
                <w:i w:val="false"/>
                <w:iCs w:val="false"/>
                <w:sz w:val="20"/>
                <w:szCs w:val="20"/>
                <w:u w:val="none"/>
                <w:shd w:fill="FFFFFF" w:val="clear"/>
              </w:rPr>
              <w:t xml:space="preserve"> </w:t>
            </w:r>
            <w:r>
              <w:rPr>
                <w:rFonts w:eastAsia="Calibri" w:cs="Times New Roman"/>
                <w:b w:val="false"/>
                <w:bCs w:val="false"/>
                <w:i w:val="false"/>
                <w:iCs w:val="false"/>
                <w:strike w:val="false"/>
                <w:dstrike w:val="false"/>
                <w:color w:val="000000"/>
                <w:sz w:val="20"/>
                <w:szCs w:val="20"/>
                <w:u w:val="none"/>
                <w:shd w:fill="FFFFFF" w:val="clear"/>
                <w:lang w:val="ru-RU" w:eastAsia="ru-RU" w:bidi="ar-SA"/>
              </w:rPr>
              <w:t>работ</w:t>
            </w:r>
            <w:r>
              <w:rPr>
                <w:rFonts w:eastAsia="Calibri" w:cs="Times New Roman"/>
                <w:b w:val="false"/>
                <w:bCs w:val="false"/>
                <w:i w:val="false"/>
                <w:iCs w:val="false"/>
                <w:strike w:val="false"/>
                <w:dstrike w:val="false"/>
                <w:color w:val="000000"/>
                <w:sz w:val="20"/>
                <w:szCs w:val="20"/>
                <w:highlight w:val="yellow"/>
                <w:u w:val="none"/>
                <w:lang w:val="ru-RU" w:eastAsia="ru-RU" w:bidi="ar-SA"/>
              </w:rPr>
              <w:t xml:space="preserve"> по ремонту дымовых труб</w:t>
            </w:r>
            <w:r>
              <w:rPr>
                <w:rFonts w:eastAsia="Times New Roman" w:cs="Times New Roman"/>
                <w:b w:val="false"/>
                <w:bCs w:val="false"/>
                <w:i w:val="false"/>
                <w:iCs w:val="false"/>
                <w:sz w:val="20"/>
                <w:szCs w:val="20"/>
              </w:rPr>
              <w:t>, тем выше предпочтительность.</w:t>
            </w:r>
          </w:p>
          <w:p>
            <w:pPr>
              <w:pStyle w:val="Normal"/>
              <w:keepNext w:val="true"/>
              <w:keepLines/>
              <w:widowControl w:val="false"/>
              <w:numPr>
                <w:ilvl w:val="0"/>
                <w:numId w:val="0"/>
              </w:numPr>
              <w:spacing w:before="0" w:after="0"/>
              <w:ind w:hanging="0" w:left="0"/>
              <w:jc w:val="center"/>
              <w:rPr>
                <w:rFonts w:ascii="Times New Roman" w:hAnsi="Times New Roman" w:cs="Times New Roman"/>
                <w:b w:val="false"/>
                <w:bCs w:val="false"/>
                <w:sz w:val="20"/>
                <w:szCs w:val="20"/>
              </w:rPr>
            </w:pPr>
            <w:r>
              <w:rPr>
                <w:rFonts w:cs="Times New Roman"/>
                <w:b w:val="false"/>
                <w:bCs w:val="false"/>
                <w:sz w:val="20"/>
                <w:szCs w:val="20"/>
              </w:rPr>
            </w:r>
          </w:p>
          <w:p>
            <w:pPr>
              <w:pStyle w:val="Normal"/>
              <w:widowControl w:val="false"/>
              <w:numPr>
                <w:ilvl w:val="0"/>
                <w:numId w:val="0"/>
              </w:numPr>
              <w:spacing w:lineRule="auto" w:line="240" w:before="120" w:after="0"/>
              <w:ind w:hanging="0" w:left="0"/>
              <w:contextualSpacing/>
              <w:jc w:val="center"/>
              <w:rPr>
                <w:sz w:val="20"/>
                <w:szCs w:val="20"/>
              </w:rPr>
            </w:pPr>
            <w:r>
              <w:rPr>
                <w:sz w:val="20"/>
                <w:szCs w:val="20"/>
              </w:rPr>
            </w:r>
          </w:p>
        </w:tc>
        <w:tc>
          <w:tcPr>
            <w:tcW w:w="672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w:t>
            </w:r>
            <w:r>
              <w:rPr>
                <w:rFonts w:eastAsia="Times New Roman"/>
                <w:color w:val="000000" w:themeColor="text1"/>
                <w:sz w:val="20"/>
                <w:szCs w:val="20"/>
                <w:shd w:fill="FFFF00" w:val="clear"/>
                <w:lang w:eastAsia="ru-RU"/>
              </w:rPr>
              <w:t>работ по ремонту дымовых труб</w:t>
            </w:r>
            <w:r>
              <w:rPr>
                <w:rFonts w:eastAsia="Times New Roman"/>
                <w:color w:val="000000" w:themeColor="text1"/>
                <w:sz w:val="20"/>
                <w:szCs w:val="20"/>
                <w:lang w:eastAsia="ru-RU"/>
              </w:rPr>
              <w:t xml:space="preserve">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 копии договоров, подписанных с обеих сторон и скрепленных печатями каждой из сторон договора;</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 копии актов выполненных работ по форме КС-2 и справки о стоимости выполненных работ и затрат по форме КС-3 подписанных с обеих сторон либо копии актов сдачи-приемки работ/услуг (иных документов, оформляющих, в соответствии с условиями договора, факт выполнения работ/оказания услуг), подписанных с обеих сторон и скрепленных печатями каждой из сторон договора, свидетельствующих о выполнении работ/услуг в рамках каждого предоставленного договора.</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 xml:space="preserve">- и/или копии </w:t>
            </w:r>
            <w:r>
              <w:rPr>
                <w:rFonts w:eastAsia="Times New Roman"/>
                <w:color w:val="000000" w:themeColor="text1"/>
                <w:sz w:val="20"/>
                <w:szCs w:val="20"/>
                <w:lang w:eastAsia="ru-RU"/>
              </w:rPr>
              <w:t xml:space="preserve">иных </w:t>
            </w:r>
            <w:r>
              <w:rPr>
                <w:rFonts w:eastAsia="Times New Roman"/>
                <w:color w:val="000000" w:themeColor="text1"/>
                <w:sz w:val="20"/>
                <w:szCs w:val="20"/>
                <w:lang w:eastAsia="ru-RU"/>
              </w:rPr>
              <w:t>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spacing w:lineRule="auto" w:line="240" w:beforeAutospacing="0" w:before="0" w:after="0"/>
              <w:ind w:hanging="0"/>
              <w:jc w:val="both"/>
              <w:rPr>
                <w:color w:val="000000" w:themeColor="text1"/>
                <w:sz w:val="20"/>
                <w:szCs w:val="20"/>
              </w:rPr>
            </w:pPr>
            <w:r>
              <w:rPr>
                <w:rFonts w:eastAsia="Times New Roman"/>
                <w:color w:val="000000" w:themeColor="text1"/>
                <w:sz w:val="20"/>
                <w:szCs w:val="20"/>
                <w:lang w:eastAsia="ru-RU"/>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highlight w:val="white"/>
              </w:rPr>
            </w:pPr>
            <w:r>
              <w:rPr>
                <w:rFonts w:eastAsia="Calibri" w:eastAsiaTheme="minorHAnsi"/>
                <w:sz w:val="20"/>
                <w:szCs w:val="20"/>
                <w:highlight w:val="white"/>
              </w:rPr>
            </w:r>
          </w:p>
          <w:tbl>
            <w:tblPr>
              <w:tblW w:w="64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2"/>
              <w:gridCol w:w="5670"/>
            </w:tblGrid>
            <w:tr>
              <w:trPr>
                <w:trHeight w:val="346"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0</w:t>
                  </w:r>
                </w:p>
              </w:tc>
              <w:tc>
                <w:tcPr>
                  <w:tcW w:w="5670"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 xml:space="preserve">0 (Опыт отсутствует/Опыт не подтверждён); </w:t>
                  </w:r>
                </w:p>
              </w:tc>
            </w:tr>
            <w:tr>
              <w:trPr>
                <w:trHeight w:val="573"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1</w:t>
                  </w:r>
                </w:p>
              </w:tc>
              <w:tc>
                <w:tcPr>
                  <w:tcW w:w="5670"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0% от НМЦ «без учета НДС» , но менее 20% от НМЦ «без учета НДС» (включительно);</w:t>
                  </w:r>
                </w:p>
              </w:tc>
            </w:tr>
            <w:tr>
              <w:trPr>
                <w:trHeight w:val="573"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2</w:t>
                  </w:r>
                </w:p>
              </w:tc>
              <w:tc>
                <w:tcPr>
                  <w:tcW w:w="5670"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20% от НМЦ «без учета НДС», но менее 40% от НМЦ «без учета НДС» (включительно);</w:t>
                  </w:r>
                </w:p>
              </w:tc>
            </w:tr>
            <w:tr>
              <w:trPr>
                <w:trHeight w:val="573" w:hRule="atLeast"/>
                <w:cantSplit w:val="true"/>
              </w:trPr>
              <w:tc>
                <w:tcPr>
                  <w:tcW w:w="822" w:type="dxa"/>
                  <w:tcBorders>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=3</w:t>
                  </w:r>
                </w:p>
              </w:tc>
              <w:tc>
                <w:tcPr>
                  <w:tcW w:w="5670" w:type="dxa"/>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40% от НМЦ «без учета НДС», но менее 60% от НМЦ «без учета НДС» (включительно);</w:t>
                  </w:r>
                </w:p>
              </w:tc>
            </w:tr>
            <w:tr>
              <w:trPr>
                <w:trHeight w:val="573" w:hRule="atLeast"/>
                <w:cantSplit w:val="true"/>
              </w:trPr>
              <w:tc>
                <w:tcPr>
                  <w:tcW w:w="822" w:type="dxa"/>
                  <w:tcBorders>
                    <w:top w:val="single" w:sz="8" w:space="0" w:color="000000"/>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4</w:t>
                  </w:r>
                </w:p>
              </w:tc>
              <w:tc>
                <w:tcPr>
                  <w:tcW w:w="5670" w:type="dxa"/>
                  <w:tcBorders>
                    <w:top w:val="single" w:sz="8" w:space="0" w:color="000000"/>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60% от НМЦ «без учета НДС», но менее 80% от НМЦ «без учета НДС» (включительно);</w:t>
                  </w:r>
                </w:p>
              </w:tc>
            </w:tr>
            <w:tr>
              <w:trPr>
                <w:trHeight w:val="346" w:hRule="atLeast"/>
                <w:cantSplit w:val="true"/>
              </w:trPr>
              <w:tc>
                <w:tcPr>
                  <w:tcW w:w="822" w:type="dxa"/>
                  <w:tcBorders>
                    <w:top w:val="single" w:sz="8" w:space="0" w:color="000000"/>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5</w:t>
                  </w:r>
                </w:p>
              </w:tc>
              <w:tc>
                <w:tcPr>
                  <w:tcW w:w="5670" w:type="dxa"/>
                  <w:tcBorders>
                    <w:top w:val="single" w:sz="8" w:space="0" w:color="000000"/>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 xml:space="preserve">более 80% от НМЦ «без учета НДС». </w:t>
                  </w:r>
                </w:p>
              </w:tc>
            </w:tr>
          </w:tbl>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где:</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НМЦ – начальная (максимальная) цена договора, установленная в документации о закупке;</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lang w:eastAsia="en-US"/>
              </w:rPr>
              <w:t>2</w:t>
            </w:r>
            <w:r>
              <w:rPr>
                <w:rFonts w:eastAsia="Calibri" w:eastAsiaTheme="minorHAnsi"/>
                <w:sz w:val="20"/>
                <w:szCs w:val="20"/>
                <w:lang w:eastAsia="en-US"/>
              </w:rPr>
              <w:t xml:space="preserve"> – рассчитанная оценка предпочтительности по данному частному критерию оценки в баллах.. </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sz w:val="20"/>
                <w:szCs w:val="20"/>
                <w:lang w:eastAsia="ru-RU"/>
              </w:rPr>
              <w:t>Опыт, не соответствующий установленным выше требованиям, не оценивается</w:t>
            </w:r>
          </w:p>
          <w:p>
            <w:pPr>
              <w:pStyle w:val="Normal"/>
              <w:widowControl w:val="false"/>
              <w:numPr>
                <w:ilvl w:val="0"/>
                <w:numId w:val="0"/>
              </w:numPr>
              <w:spacing w:lineRule="auto" w:line="240" w:beforeAutospacing="0" w:before="0" w:after="0"/>
              <w:ind w:hanging="0" w:left="0"/>
              <w:jc w:val="both"/>
              <w:rPr>
                <w:rFonts w:eastAsia="Calibri" w:eastAsiaTheme="minorHAnsi"/>
                <w:b/>
                <w:bCs/>
                <w:sz w:val="20"/>
                <w:szCs w:val="20"/>
              </w:rPr>
            </w:pPr>
            <w:r>
              <w:rPr>
                <w:rFonts w:eastAsia="Calibri" w:eastAsiaTheme="minorHAnsi"/>
                <w:b/>
                <w:bCs/>
                <w:sz w:val="20"/>
                <w:szCs w:val="20"/>
                <w:lang w:eastAsia="en-US"/>
              </w:rPr>
              <w:t>Шкала оценок от 0 до 5 баллов</w:t>
            </w:r>
          </w:p>
        </w:tc>
      </w:tr>
      <w:tr>
        <w:trPr>
          <w:trHeight w:val="201" w:hRule="atLeast"/>
          <w:cantSplit w:val="true"/>
        </w:trPr>
        <w:tc>
          <w:tcPr>
            <w:tcW w:w="99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cs="Times New Roman"/>
                <w:sz w:val="20"/>
                <w:szCs w:val="20"/>
              </w:rPr>
            </w:pPr>
            <w:r>
              <w:rPr>
                <w:rFonts w:cs="Times New Roman"/>
                <w:sz w:val="20"/>
                <w:szCs w:val="20"/>
              </w:rPr>
              <w:t>Неценовой</w:t>
            </w:r>
          </w:p>
          <w:p>
            <w:pPr>
              <w:pStyle w:val="Normal"/>
              <w:widowControl w:val="false"/>
              <w:spacing w:before="0" w:after="0"/>
              <w:jc w:val="center"/>
              <w:rPr>
                <w:rFonts w:cs="Times New Roman"/>
                <w:sz w:val="20"/>
                <w:szCs w:val="20"/>
              </w:rPr>
            </w:pPr>
            <w:r>
              <w:rPr>
                <w:rFonts w:cs="Times New Roman"/>
                <w:sz w:val="20"/>
                <w:szCs w:val="20"/>
              </w:rPr>
              <w:t>критерий</w:t>
            </w:r>
          </w:p>
          <w:p>
            <w:pPr>
              <w:pStyle w:val="Normal"/>
              <w:widowControl w:val="false"/>
              <w:spacing w:before="0" w:after="0"/>
              <w:jc w:val="center"/>
              <w:rPr>
                <w:rFonts w:cs="Times New Roman"/>
                <w:sz w:val="20"/>
                <w:szCs w:val="20"/>
              </w:rPr>
            </w:pPr>
            <w:r>
              <w:rPr>
                <w:rFonts w:cs="Times New Roman"/>
                <w:sz w:val="20"/>
                <w:szCs w:val="20"/>
              </w:rPr>
              <w:t>оценки первого</w:t>
            </w:r>
          </w:p>
          <w:p>
            <w:pPr>
              <w:pStyle w:val="31"/>
              <w:widowControl w:val="false"/>
              <w:numPr>
                <w:ilvl w:val="7"/>
                <w:numId w:val="23"/>
              </w:numPr>
              <w:spacing w:lineRule="auto" w:line="240" w:before="0" w:after="40"/>
              <w:ind w:hanging="0" w:left="0" w:right="0"/>
              <w:jc w:val="center"/>
              <w:rPr>
                <w:rFonts w:ascii="Times New Roman" w:hAnsi="Times New Roman"/>
                <w:color w:val="0E0101"/>
                <w:sz w:val="20"/>
                <w:szCs w:val="20"/>
              </w:rPr>
            </w:pPr>
            <w:r>
              <w:rPr>
                <w:sz w:val="20"/>
                <w:szCs w:val="20"/>
              </w:rPr>
              <w:t>уровня / ОРГ</w:t>
            </w:r>
          </w:p>
          <w:p>
            <w:pPr>
              <w:pStyle w:val="Normal"/>
              <w:widowControl w:val="false"/>
              <w:numPr>
                <w:ilvl w:val="0"/>
                <w:numId w:val="0"/>
              </w:numPr>
              <w:spacing w:lineRule="auto" w:line="240" w:before="120" w:after="0"/>
              <w:ind w:hanging="0" w:left="0"/>
              <w:contextualSpacing/>
              <w:jc w:val="center"/>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rPr>
              <w:t>Финансовое состояние (устойчивость)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i/>
                <w:i/>
                <w:sz w:val="20"/>
                <w:szCs w:val="20"/>
              </w:rPr>
            </w:pPr>
            <w:r>
              <w:rPr>
                <w:i/>
                <w:sz w:val="20"/>
                <w:szCs w:val="20"/>
              </w:rPr>
              <w:t>отсутствует</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5%</w:t>
            </w:r>
          </w:p>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(В</w:t>
            </w:r>
            <w:r>
              <w:rPr>
                <w:sz w:val="20"/>
                <w:szCs w:val="20"/>
                <w:vertAlign w:val="subscript"/>
                <w:lang w:val="en-US"/>
              </w:rPr>
              <w:t>3</w:t>
            </w:r>
            <w:r>
              <w:rPr>
                <w:sz w:val="20"/>
                <w:szCs w:val="20"/>
                <w:lang w:val="en-US"/>
              </w:rPr>
              <w:t xml:space="preserve"> = 0,05)</w:t>
            </w:r>
          </w:p>
        </w:tc>
        <w:tc>
          <w:tcPr>
            <w:tcW w:w="1895" w:type="dxa"/>
            <w:tcBorders>
              <w:top w:val="single" w:sz="4" w:space="0" w:color="000000"/>
              <w:left w:val="single" w:sz="4" w:space="0" w:color="000000"/>
              <w:bottom w:val="single" w:sz="4" w:space="0" w:color="000000"/>
              <w:right w:val="single" w:sz="4" w:space="0" w:color="000000"/>
            </w:tcBorders>
            <w:shd w:color="FFFFFF" w:fill="FFFFFF" w:val="clear"/>
          </w:tcPr>
          <w:p>
            <w:pPr>
              <w:pStyle w:val="Style21"/>
              <w:widowControl w:val="false"/>
              <w:spacing w:before="40" w:after="40"/>
              <w:jc w:val="center"/>
              <w:rPr>
                <w:sz w:val="18"/>
                <w:szCs w:val="18"/>
                <w:highlight w:val="white"/>
              </w:rPr>
            </w:pPr>
            <w:r>
              <w:rPr>
                <w:sz w:val="20"/>
                <w:szCs w:val="20"/>
                <w:highlight w:val="white"/>
              </w:rPr>
              <w:t>Чем выше оценка финансового состояния (устойчивости) Участника, тем выше предпочтительность</w:t>
            </w:r>
          </w:p>
          <w:p>
            <w:pPr>
              <w:pStyle w:val="Normal"/>
              <w:widowControl w:val="false"/>
              <w:spacing w:lineRule="auto" w:line="240" w:before="120" w:after="0"/>
              <w:ind w:hanging="0"/>
              <w:contextualSpacing/>
              <w:jc w:val="center"/>
              <w:rPr>
                <w:sz w:val="20"/>
                <w:szCs w:val="20"/>
              </w:rPr>
            </w:pPr>
            <w:r>
              <w:rPr>
                <w:sz w:val="20"/>
                <w:szCs w:val="20"/>
              </w:rPr>
            </w:r>
          </w:p>
        </w:tc>
        <w:tc>
          <w:tcPr>
            <w:tcW w:w="672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lang w:eastAsia="ru-RU"/>
              </w:rPr>
              <w:t xml:space="preserve">Порядок осуществления оценки (значение оцениваемого параметра), в зависимости от </w:t>
            </w:r>
            <w:r>
              <w:rPr>
                <w:rFonts w:eastAsia="Times New Roman" w:cs="Times New Roman"/>
                <w:sz w:val="20"/>
                <w:szCs w:val="20"/>
              </w:rPr>
              <w:t>полученного</w:t>
            </w:r>
            <w:r>
              <w:rPr>
                <w:rFonts w:eastAsia="Times New Roman" w:cs="Times New Roman"/>
                <w:sz w:val="20"/>
                <w:szCs w:val="20"/>
                <w:lang w:eastAsia="ru-RU"/>
              </w:rPr>
              <w:t xml:space="preserve"> </w:t>
            </w:r>
            <w:r>
              <w:rPr>
                <w:rFonts w:eastAsia="Times New Roman" w:cs="Times New Roman"/>
                <w:sz w:val="20"/>
                <w:szCs w:val="20"/>
              </w:rPr>
              <w:t xml:space="preserve">Участником (с </w:t>
            </w:r>
            <w:r>
              <w:rPr>
                <w:rFonts w:eastAsia="Times New Roman" w:cs="Times New Roman"/>
                <w:i/>
                <w:sz w:val="20"/>
                <w:szCs w:val="20"/>
                <w:lang w:val="en-US" w:eastAsia="ru-RU"/>
              </w:rPr>
              <w:t>i</w:t>
            </w:r>
            <w:r>
              <w:rPr>
                <w:rFonts w:eastAsia="Times New Roman" w:cs="Times New Roman"/>
                <w:sz w:val="20"/>
                <w:szCs w:val="20"/>
                <w:lang w:eastAsia="ru-RU"/>
              </w:rPr>
              <w:t>-</w:t>
            </w:r>
            <w:r>
              <w:rPr>
                <w:rFonts w:eastAsia="Times New Roman" w:cs="Times New Roman"/>
                <w:sz w:val="20"/>
                <w:szCs w:val="20"/>
              </w:rPr>
              <w:t>ой</w:t>
            </w:r>
            <w:r>
              <w:rPr>
                <w:rFonts w:eastAsia="Times New Roman" w:cs="Times New Roman"/>
                <w:sz w:val="20"/>
                <w:szCs w:val="20"/>
                <w:lang w:eastAsia="ru-RU"/>
              </w:rPr>
              <w:t xml:space="preserve"> заяв</w:t>
            </w:r>
            <w:r>
              <w:rPr>
                <w:rFonts w:eastAsia="Times New Roman" w:cs="Times New Roman"/>
                <w:sz w:val="20"/>
                <w:szCs w:val="20"/>
              </w:rPr>
              <w:t>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удовлетворительное) по результатам проведенной в рамках аккредитации оценки его финансового состояния (устойчивости), при этом:</w:t>
            </w:r>
          </w:p>
          <w:p>
            <w:pPr>
              <w:pStyle w:val="Normal"/>
              <w:widowControl w:val="false"/>
              <w:numPr>
                <w:ilvl w:val="0"/>
                <w:numId w:val="21"/>
              </w:numPr>
              <w:spacing w:before="120" w:after="0"/>
              <w:ind w:hanging="284" w:left="346"/>
              <w:jc w:val="both"/>
              <w:rPr>
                <w:rFonts w:ascii="Times New Roman" w:hAnsi="Times New Roman" w:cs="Times New Roman"/>
                <w:sz w:val="20"/>
                <w:szCs w:val="20"/>
              </w:rPr>
            </w:pPr>
            <w:r>
              <w:rPr>
                <w:rFonts w:eastAsia="Times New Roman" w:cs="Times New Roman"/>
                <w:sz w:val="20"/>
                <w:szCs w:val="20"/>
              </w:rPr>
              <w:t>порядок проведения оценки финансового состояния (устойчивости) Участника</w:t>
            </w:r>
            <w:r>
              <w:rPr>
                <w:rStyle w:val="FootnoteReference"/>
                <w:rFonts w:eastAsia="Times New Roman" w:cs="Times New Roman"/>
                <w:sz w:val="20"/>
                <w:szCs w:val="20"/>
              </w:rPr>
              <w:footnoteReference w:id="13"/>
            </w:r>
            <w:r>
              <w:rPr>
                <w:rFonts w:eastAsia="Times New Roman" w:cs="Times New Roman"/>
                <w:sz w:val="20"/>
                <w:szCs w:val="20"/>
              </w:rPr>
              <w:t xml:space="preserve"> установлен Приложением 4 к Положению об аккредитации;</w:t>
            </w:r>
          </w:p>
          <w:p>
            <w:pPr>
              <w:pStyle w:val="Normal"/>
              <w:widowControl w:val="false"/>
              <w:numPr>
                <w:ilvl w:val="0"/>
                <w:numId w:val="21"/>
              </w:numPr>
              <w:spacing w:before="0" w:after="0"/>
              <w:ind w:hanging="284" w:left="346"/>
              <w:jc w:val="both"/>
              <w:rPr>
                <w:rFonts w:ascii="Times New Roman" w:hAnsi="Times New Roman" w:cs="Times New Roman"/>
                <w:sz w:val="20"/>
                <w:szCs w:val="20"/>
              </w:rPr>
            </w:pPr>
            <w:r>
              <w:rPr>
                <w:rFonts w:eastAsia="Times New Roman" w:cs="Times New Roman"/>
                <w:sz w:val="20"/>
                <w:szCs w:val="20"/>
              </w:rPr>
              <w:t>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28" w:tgtFrame="https://bo.nalog.ru">
              <w:r>
                <w:rPr>
                  <w:rStyle w:val="Hyperlink"/>
                  <w:rFonts w:eastAsia="Times New Roman" w:cs="Times New Roman"/>
                  <w:sz w:val="20"/>
                  <w:szCs w:val="20"/>
                </w:rPr>
                <w:t>https://bo.nalog.ru</w:t>
              </w:r>
            </w:hyperlink>
            <w:r>
              <w:rPr>
                <w:rFonts w:eastAsia="Times New Roman" w:cs="Times New Roman"/>
                <w:sz w:val="20"/>
                <w:szCs w:val="20"/>
              </w:rPr>
              <w:t xml:space="preserve">) за предыдущий отчетный период (год). </w:t>
            </w:r>
          </w:p>
          <w:p>
            <w:pPr>
              <w:pStyle w:val="Normal"/>
              <w:widowControl w:val="false"/>
              <w:spacing w:beforeAutospacing="0" w:before="119" w:afterAutospacing="0" w:after="0"/>
              <w:ind w:firstLine="720" w:left="0"/>
              <w:jc w:val="both"/>
              <w:rPr>
                <w:rFonts w:eastAsia="Calibri"/>
                <w:sz w:val="18"/>
                <w:szCs w:val="18"/>
              </w:rPr>
            </w:pPr>
            <w:r>
              <w:rPr>
                <w:rFonts w:eastAsia="Calibri"/>
                <w:sz w:val="20"/>
                <w:szCs w:val="20"/>
              </w:rPr>
              <w:t xml:space="preserve">Если Участник в соответствии с законодательством РФ не размещает сведения о своей бухгалтерской (финансовой) отчетности </w:t>
            </w:r>
            <w:r>
              <w:rPr>
                <w:sz w:val="20"/>
                <w:szCs w:val="20"/>
              </w:rPr>
              <w:t xml:space="preserve">(по формам ОКУД 0710001, 0710002) </w:t>
            </w:r>
            <w:r>
              <w:rPr>
                <w:rFonts w:eastAsia="Calibri"/>
                <w:sz w:val="20"/>
                <w:szCs w:val="20"/>
              </w:rPr>
              <w:t xml:space="preserve">в упомянутом государственном информационном ресурсе – оценка его финансового состояния производится на основании </w:t>
            </w:r>
            <w:r>
              <w:rPr>
                <w:sz w:val="20"/>
                <w:szCs w:val="20"/>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0"/>
                <w:szCs w:val="20"/>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Autospacing="0" w:before="119" w:afterAutospacing="0" w:after="0"/>
              <w:ind w:firstLine="720" w:left="0"/>
              <w:jc w:val="both"/>
              <w:rPr>
                <w:sz w:val="18"/>
                <w:szCs w:val="18"/>
              </w:rPr>
            </w:pPr>
            <w:r>
              <w:rPr>
                <w:sz w:val="20"/>
                <w:szCs w:val="20"/>
              </w:rPr>
              <w:t>Если Участник в соответствии с законодательством формирует отчетность по </w:t>
            </w:r>
            <w:r>
              <w:rPr>
                <w:rFonts w:eastAsia="Calibri"/>
                <w:sz w:val="20"/>
                <w:szCs w:val="20"/>
              </w:rPr>
              <w:t>формам</w:t>
            </w:r>
            <w:r>
              <w:rPr>
                <w:sz w:val="20"/>
                <w:szCs w:val="20"/>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1"/>
              <w:keepNext w:val="true"/>
              <w:widowControl w:val="false"/>
              <w:numPr>
                <w:ilvl w:val="0"/>
                <w:numId w:val="22"/>
              </w:numPr>
              <w:spacing w:beforeAutospacing="0" w:before="119" w:afterAutospacing="0" w:after="0"/>
              <w:ind w:hanging="283" w:left="627"/>
              <w:jc w:val="both"/>
              <w:rPr>
                <w:sz w:val="18"/>
                <w:szCs w:val="18"/>
              </w:rPr>
            </w:pPr>
            <w:r>
              <w:rPr>
                <w:sz w:val="20"/>
                <w:szCs w:val="20"/>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numPr>
                <w:ilvl w:val="0"/>
                <w:numId w:val="22"/>
              </w:numPr>
              <w:spacing w:beforeAutospacing="0" w:before="0" w:afterAutospacing="0" w:after="0"/>
              <w:ind w:hanging="283" w:left="627"/>
              <w:jc w:val="both"/>
              <w:rPr>
                <w:sz w:val="18"/>
                <w:szCs w:val="18"/>
              </w:rPr>
            </w:pPr>
            <w:r>
              <w:rPr>
                <w:sz w:val="20"/>
                <w:szCs w:val="20"/>
              </w:rPr>
              <w:t>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Times New Roman"/>
                <w:sz w:val="20"/>
                <w:szCs w:val="20"/>
              </w:rPr>
              <w:t>Приложение № 11</w:t>
            </w:r>
            <w:r>
              <w:rPr>
                <w:rFonts w:eastAsia="Times New Roman" w:cs="Times New Roman"/>
                <w:sz w:val="20"/>
                <w:szCs w:val="20"/>
              </w:rPr>
              <w:t xml:space="preserve"> к Документации о закупке</w:t>
            </w:r>
            <w:r>
              <w:rPr>
                <w:sz w:val="20"/>
                <w:szCs w:val="20"/>
              </w:rPr>
              <w:t>).</w:t>
            </w:r>
          </w:p>
          <w:p>
            <w:pPr>
              <w:pStyle w:val="Normal"/>
              <w:widowControl w:val="false"/>
              <w:spacing w:before="120" w:after="120"/>
              <w:jc w:val="both"/>
              <w:rPr>
                <w:sz w:val="20"/>
                <w:szCs w:val="20"/>
              </w:rPr>
            </w:pPr>
            <w:r>
              <w:rPr>
                <w:rFonts w:eastAsia="Calibri"/>
                <w:sz w:val="20"/>
                <w:szCs w:val="20"/>
              </w:rPr>
              <w:t>Оценка предпочтительности по частному критерию</w:t>
            </w:r>
            <w:r>
              <w:rPr>
                <w:sz w:val="20"/>
                <w:szCs w:val="20"/>
                <w:lang w:eastAsia="ru-RU"/>
              </w:rPr>
              <w:t xml:space="preserve"> осуществляется в соответствии со следующей </w:t>
            </w:r>
            <w:r>
              <w:rPr>
                <w:rFonts w:eastAsia="Calibri"/>
                <w:sz w:val="20"/>
                <w:szCs w:val="20"/>
              </w:rPr>
              <w:t>шкалой</w:t>
            </w:r>
            <w:r>
              <w:rPr>
                <w:sz w:val="20"/>
                <w:szCs w:val="20"/>
                <w:lang w:eastAsia="ru-RU"/>
              </w:rPr>
              <w:t>:</w:t>
            </w:r>
          </w:p>
          <w:tbl>
            <w:tblPr>
              <w:tblStyle w:val="1181"/>
              <w:tblW w:w="6500" w:type="dxa"/>
              <w:jc w:val="left"/>
              <w:tblInd w:w="0" w:type="dxa"/>
              <w:tblLayout w:type="fixed"/>
              <w:tblCellMar>
                <w:top w:w="0" w:type="dxa"/>
                <w:left w:w="0" w:type="dxa"/>
                <w:bottom w:w="0" w:type="dxa"/>
                <w:right w:w="5" w:type="dxa"/>
              </w:tblCellMar>
              <w:tblLook w:val="04a0" w:noHBand="0" w:noVBand="1" w:firstColumn="1" w:lastRow="0" w:lastColumn="0" w:firstRow="1"/>
            </w:tblPr>
            <w:tblGrid>
              <w:gridCol w:w="768"/>
              <w:gridCol w:w="5731"/>
            </w:tblGrid>
            <w:tr>
              <w:trPr>
                <w:trHeight w:val="3028" w:hRule="atLeast"/>
              </w:trPr>
              <w:tc>
                <w:tcPr>
                  <w:tcW w:w="768" w:type="dxa"/>
                  <w:tcBorders>
                    <w:top w:val="nil"/>
                    <w:lef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0</w:t>
                  </w:r>
                </w:p>
              </w:tc>
              <w:tc>
                <w:tcPr>
                  <w:tcW w:w="5731" w:type="dxa"/>
                  <w:tcBorders>
                    <w:top w:val="nil"/>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менее</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0,45 балла – Кризисное финансовое состояние;</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или</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 случае отсутствия исходных данных для оценки финансового состояния Участника, в том числе если он является:</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768" w:type="dxa"/>
                  <w:tcBorders>
                    <w:lef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3</w:t>
                  </w:r>
                </w:p>
              </w:tc>
              <w:tc>
                <w:tcPr>
                  <w:tcW w:w="5731" w:type="dxa"/>
                  <w:tcBorders>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768" w:type="dxa"/>
                  <w:tcBorders>
                    <w:left w:val="nil"/>
                    <w:bottom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5</w:t>
                  </w:r>
                </w:p>
              </w:tc>
              <w:tc>
                <w:tcPr>
                  <w:tcW w:w="5731" w:type="dxa"/>
                  <w:tcBorders>
                    <w:bottom w:val="nil"/>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numPr>
                <w:ilvl w:val="0"/>
                <w:numId w:val="0"/>
              </w:numPr>
              <w:spacing w:lineRule="exact" w:line="360" w:before="120" w:after="0"/>
              <w:ind w:hanging="0" w:left="0"/>
              <w:outlineLvl w:val="3"/>
              <w:rPr>
                <w:rFonts w:eastAsia="Calibri" w:eastAsiaTheme="minorHAnsi"/>
                <w:sz w:val="20"/>
                <w:szCs w:val="20"/>
              </w:rPr>
            </w:pPr>
            <w:r>
              <w:rPr>
                <w:sz w:val="20"/>
                <w:szCs w:val="20"/>
                <w:lang w:eastAsia="en-US"/>
              </w:rPr>
              <w:t>где:</w:t>
            </w:r>
          </w:p>
          <w:p>
            <w:pPr>
              <w:pStyle w:val="Normal"/>
              <w:widowControl w:val="false"/>
              <w:numPr>
                <w:ilvl w:val="0"/>
                <w:numId w:val="0"/>
              </w:numPr>
              <w:spacing w:lineRule="auto" w:line="240" w:beforeAutospacing="0" w:before="0" w:afterAutospacing="0" w:after="0"/>
              <w:ind w:hanging="0" w:left="0"/>
              <w:contextualSpacing/>
              <w:jc w:val="both"/>
              <w:rPr>
                <w:rFonts w:eastAsia="Calibri" w:eastAsiaTheme="minorHAnsi"/>
                <w:sz w:val="20"/>
                <w:szCs w:val="20"/>
              </w:rPr>
            </w:pPr>
            <w:r>
              <w:rPr>
                <w:i w:val="false"/>
                <w:iCs w:val="false"/>
                <w:sz w:val="20"/>
                <w:szCs w:val="20"/>
                <w:lang w:eastAsia="en-US"/>
              </w:rPr>
              <w:t>Б</w:t>
            </w:r>
            <w:r>
              <w:rPr>
                <w:i w:val="false"/>
                <w:iCs w:val="false"/>
                <w:sz w:val="20"/>
                <w:szCs w:val="20"/>
                <w:vertAlign w:val="subscript"/>
                <w:lang w:eastAsia="en-US"/>
              </w:rPr>
              <w:t>3</w:t>
            </w:r>
            <w:r>
              <w:rPr>
                <w:i w:val="false"/>
                <w:iCs w:val="false"/>
                <w:sz w:val="20"/>
                <w:szCs w:val="20"/>
                <w:lang w:eastAsia="en-US"/>
              </w:rPr>
              <w:t xml:space="preserve"> – рассчитанная оценка предпочтительности по данному частному критерию оценки в баллах.</w:t>
            </w:r>
          </w:p>
          <w:p>
            <w:pPr>
              <w:pStyle w:val="Style21"/>
              <w:widowControl w:val="false"/>
              <w:spacing w:beforeAutospacing="0" w:before="0" w:afterAutospacing="0" w:after="0"/>
              <w:ind w:hanging="0"/>
              <w:jc w:val="both"/>
              <w:rPr>
                <w:i/>
                <w:i/>
                <w:iCs/>
                <w:sz w:val="18"/>
                <w:szCs w:val="18"/>
              </w:rPr>
            </w:pPr>
            <w:r>
              <w:rPr>
                <w:i w:val="false"/>
                <w:iCs w:val="false"/>
                <w:sz w:val="20"/>
                <w:szCs w:val="20"/>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31"/>
              <w:widowControl w:val="false"/>
              <w:numPr>
                <w:ilvl w:val="7"/>
                <w:numId w:val="18"/>
              </w:numPr>
              <w:spacing w:lineRule="auto" w:line="240" w:beforeAutospacing="0" w:before="0" w:afterAutospacing="0" w:after="0"/>
              <w:ind w:hanging="0" w:left="0" w:right="0"/>
              <w:jc w:val="left"/>
              <w:rPr>
                <w:rFonts w:ascii="Times New Roman" w:hAnsi="Times New Roman" w:cs="Times New Roman"/>
                <w:sz w:val="20"/>
                <w:szCs w:val="20"/>
              </w:rPr>
            </w:pPr>
            <w:r>
              <w:rPr>
                <w:rFonts w:eastAsia="Times New Roman" w:cs="Times New Roman"/>
                <w:b/>
                <w:bCs/>
                <w:sz w:val="20"/>
                <w:szCs w:val="20"/>
                <w:lang w:eastAsia="ru-RU"/>
              </w:rPr>
              <w:t>Шкала оценок от 0 до 5 баллов.</w:t>
            </w:r>
          </w:p>
        </w:tc>
      </w:tr>
      <w:tr>
        <w:trPr>
          <w:trHeight w:val="2969" w:hRule="atLeast"/>
        </w:trPr>
        <w:tc>
          <w:tcPr>
            <w:tcW w:w="5245" w:type="dxa"/>
            <w:gridSpan w:val="4"/>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left"/>
              <w:rPr>
                <w:rFonts w:eastAsia="Calibri"/>
                <w:sz w:val="20"/>
                <w:szCs w:val="20"/>
              </w:rPr>
            </w:pPr>
            <w:r>
              <w:rPr>
                <w:rFonts w:eastAsia="Calibri"/>
                <w:sz w:val="20"/>
                <w:szCs w:val="20"/>
              </w:rPr>
              <w:t>Итоговая оценка предпочтительности заявки:</w:t>
            </w:r>
          </w:p>
          <w:p>
            <w:pPr>
              <w:pStyle w:val="Normal"/>
              <w:widowControl w:val="false"/>
              <w:numPr>
                <w:ilvl w:val="0"/>
                <w:numId w:val="0"/>
              </w:numPr>
              <w:spacing w:lineRule="auto" w:line="240"/>
              <w:ind w:hanging="0" w:left="0"/>
              <w:jc w:val="right"/>
              <w:rPr>
                <w:rFonts w:eastAsia="Calibri"/>
                <w:sz w:val="20"/>
                <w:szCs w:val="20"/>
              </w:rPr>
            </w:pPr>
            <w:r>
              <w:rPr>
                <w:rFonts w:eastAsia="Calibri"/>
                <w:sz w:val="20"/>
                <w:szCs w:val="20"/>
              </w:rPr>
            </w:r>
          </w:p>
        </w:tc>
        <w:tc>
          <w:tcPr>
            <w:tcW w:w="9892" w:type="dxa"/>
            <w:gridSpan w:val="3"/>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 xml:space="preserve">Расчет итоговой оценки предпочтительности </w:t>
            </w:r>
            <w:r>
              <w:rPr>
                <w:rFonts w:eastAsia="Calibri"/>
                <w:i/>
                <w:sz w:val="20"/>
                <w:szCs w:val="20"/>
                <w:lang w:val="en-US" w:eastAsia="en-US"/>
              </w:rPr>
              <w:t>i</w:t>
            </w:r>
            <w:r>
              <w:rPr>
                <w:rFonts w:eastAsia="Calibri"/>
                <w:sz w:val="20"/>
                <w:szCs w:val="20"/>
                <w:lang w:eastAsia="en-US"/>
              </w:rPr>
              <w:t>-ой заявки:</w:t>
            </w:r>
          </w:p>
          <w:p>
            <w:pPr>
              <w:pStyle w:val="Normal"/>
              <w:keepNext w:val="true"/>
              <w:widowControl w:val="false"/>
              <w:numPr>
                <w:ilvl w:val="0"/>
                <w:numId w:val="0"/>
              </w:numPr>
              <w:spacing w:lineRule="exact" w:line="360" w:beforeAutospacing="0" w:before="0" w:after="0"/>
              <w:ind w:hanging="0" w:left="0"/>
              <w:jc w:val="left"/>
              <w:rPr>
                <w:rFonts w:eastAsia="Calibri"/>
                <w:sz w:val="20"/>
                <w:szCs w:val="20"/>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уровнь</m:t>
                                </m:r>
                              </m:e>
                              <m:sub>
                                <m:r>
                                  <w:rPr>
                                    <w:rFonts w:ascii="Cambria Math" w:hAnsi="Cambria Math"/>
                                  </w:rPr>
                                  <m:t xml:space="preserve">k</m:t>
                                </m:r>
                              </m:sub>
                            </m:sSub>
                          </m:sub>
                        </m:sSub>
                      </m:e>
                    </m:d>
                  </m:e>
                </m:nary>
              </m:oMath>
            </m:oMathPara>
          </w:p>
          <w:p>
            <w:pPr>
              <w:pStyle w:val="Normal"/>
              <w:keepNext w:val="true"/>
              <w:widowControl w:val="fals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где:</w:t>
            </w:r>
          </w:p>
          <w:p>
            <w:pPr>
              <w:pStyle w:val="Normal"/>
              <w:widowControl w:val="false"/>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ИТОГ</w:t>
            </w:r>
            <w:r>
              <w:rPr>
                <w:rFonts w:eastAsia="Calibri"/>
                <w:sz w:val="20"/>
                <w:szCs w:val="20"/>
                <w:lang w:eastAsia="en-US"/>
              </w:rPr>
              <w:tab/>
              <w:t>–</w:t>
              <w:tab/>
              <w:t>рассчитанная итоговая оценка предпочтительности в баллах;</w:t>
            </w:r>
          </w:p>
          <w:p>
            <w:pPr>
              <w:pStyle w:val="Normal"/>
              <w:widowControl w:val="false"/>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1 уровень k</w:t>
            </w:r>
            <w:r>
              <w:rPr>
                <w:rFonts w:eastAsia="Calibri"/>
                <w:sz w:val="20"/>
                <w:szCs w:val="20"/>
                <w:lang w:eastAsia="en-US"/>
              </w:rPr>
              <w:tab/>
              <w:t>–</w:t>
              <w:tab/>
              <w:t>оценка предпочтительности по k-тому критерию оценки первого уровня в баллах;</w:t>
            </w:r>
          </w:p>
          <w:p>
            <w:pPr>
              <w:pStyle w:val="Normal"/>
              <w:widowControl w:val="false"/>
              <w:numPr>
                <w:ilvl w:val="0"/>
                <w:numId w:val="0"/>
              </w:numPr>
              <w:tabs>
                <w:tab w:val="clear" w:pos="708"/>
                <w:tab w:val="left" w:pos="742" w:leader="none"/>
                <w:tab w:val="left" w:pos="1167" w:leader="none"/>
              </w:tabs>
              <w:spacing w:lineRule="auto" w:line="240" w:beforeAutospacing="0" w:before="0" w:after="0"/>
              <w:ind w:hanging="0" w:left="0"/>
              <w:jc w:val="left"/>
              <w:rPr>
                <w:rFonts w:eastAsia="Calibri"/>
                <w:spacing w:val="-4"/>
                <w:sz w:val="20"/>
                <w:szCs w:val="20"/>
              </w:rPr>
            </w:pPr>
            <w:r>
              <w:rPr>
                <w:rFonts w:eastAsia="Calibri"/>
                <w:spacing w:val="-4"/>
                <w:sz w:val="20"/>
                <w:szCs w:val="20"/>
                <w:lang w:eastAsia="en-US"/>
              </w:rPr>
              <w:t>В</w:t>
            </w:r>
            <w:r>
              <w:rPr>
                <w:rFonts w:eastAsia="Calibri"/>
                <w:spacing w:val="-4"/>
                <w:sz w:val="20"/>
                <w:szCs w:val="20"/>
                <w:vertAlign w:val="subscript"/>
                <w:lang w:eastAsia="en-US"/>
              </w:rPr>
              <w:t>1 уровень k</w:t>
            </w:r>
            <w:r>
              <w:rPr>
                <w:rFonts w:eastAsia="Calibri"/>
                <w:spacing w:val="-4"/>
                <w:sz w:val="20"/>
                <w:szCs w:val="20"/>
                <w:lang w:eastAsia="en-US"/>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widowControl w:val="false"/>
              <w:numPr>
                <w:ilvl w:val="0"/>
                <w:numId w:val="0"/>
              </w:numPr>
              <w:tabs>
                <w:tab w:val="clear" w:pos="708"/>
                <w:tab w:val="left" w:pos="742" w:leader="none"/>
                <w:tab w:val="left" w:pos="1167" w:leader="none"/>
              </w:tabs>
              <w:spacing w:lineRule="auto" w:line="240" w:beforeAutospacing="0" w:before="0" w:after="0"/>
              <w:ind w:hanging="0" w:left="0"/>
              <w:jc w:val="both"/>
              <w:rPr>
                <w:rFonts w:eastAsia="Calibri"/>
                <w:sz w:val="20"/>
                <w:szCs w:val="20"/>
              </w:rPr>
            </w:pPr>
            <w:r>
              <w:rPr>
                <w:rFonts w:eastAsia="Calibri" w:eastAsiaTheme="minorHAnsi"/>
                <w:i/>
                <w:iCs/>
                <w:sz w:val="20"/>
                <w:szCs w:val="20"/>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9"/>
          <w:headerReference w:type="first" r:id="rId30"/>
          <w:footerReference w:type="default" r:id="rId31"/>
          <w:footerReference w:type="first" r:id="rId3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62" w:name="_Toc63"/>
      <w:bookmarkStart w:id="363" w:name="_Ref125360420"/>
      <w:bookmarkStart w:id="364" w:name="Прил09_ОбоснованиеНМЦ"/>
      <w:bookmarkEnd w:id="364"/>
      <w:r>
        <w:rPr/>
        <w:t>Приложение № 9 – Обоснование НМЦ</w:t>
      </w:r>
      <w:bookmarkEnd w:id="362"/>
      <w:bookmarkEnd w:id="363"/>
    </w:p>
    <w:p>
      <w:pPr>
        <w:pStyle w:val="Style16"/>
        <w:spacing w:before="360" w:after="0"/>
        <w:rPr/>
      </w:pPr>
      <w:bookmarkStart w:id="365" w:name="_Toc64"/>
      <w:r>
        <w:rPr/>
        <w:t>Пояснения к Обоснованию НМЦ</w:t>
      </w:r>
      <w:bookmarkEnd w:id="365"/>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66" w:name="_Toc65"/>
      <w:bookmarkStart w:id="367" w:name="Прил10_ФормаЗаявкиНаАккредитацию"/>
      <w:bookmarkEnd w:id="367"/>
      <w:r>
        <w:rPr/>
        <w:t>Приложение № 10 – Форма Заявки на аккредитацию</w:t>
      </w:r>
      <w:bookmarkEnd w:id="366"/>
    </w:p>
    <w:p>
      <w:pPr>
        <w:pStyle w:val="Style16"/>
        <w:spacing w:before="360" w:after="0"/>
        <w:rPr/>
      </w:pPr>
      <w:bookmarkStart w:id="368" w:name="_Toc66"/>
      <w:r>
        <w:rPr/>
        <w:t>Пояснения к форме Заявки на аккредитацию</w:t>
      </w:r>
      <w:bookmarkEnd w:id="368"/>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69"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69"/>
      <w:r>
        <w:rPr/>
        <w:t>.</w:t>
      </w:r>
    </w:p>
    <w:p>
      <w:pPr>
        <w:pStyle w:val="Style21"/>
        <w:jc w:val="center"/>
        <w:rPr/>
      </w:pPr>
      <w:r>
        <w:rPr/>
        <w:object>
          <v:shapetype id="_x0000_tole_rId33" coordsize="21600,21600" o:spt="ole_rId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3" type="_x0000_tole_rId33" style="width:75.65pt;height:52.05pt;mso-wrap-distance-right:0pt" filled="f" o:ole="">
            <v:imagedata r:id="rId34" o:title=""/>
          </v:shape>
          <o:OLEObject Type="Embed" ProgID="Excel.Sheet.12" ShapeID="ole_rId33" DrawAspect="Icon" ObjectID="_764395808" r:id="rId33"/>
        </w:object>
      </w:r>
    </w:p>
    <w:p>
      <w:pPr>
        <w:pStyle w:val="Style15"/>
        <w:spacing w:before="0" w:after="0"/>
        <w:rPr/>
      </w:pPr>
      <w:bookmarkStart w:id="370" w:name="_Toc67"/>
      <w:bookmarkStart w:id="371" w:name="Прил11_Данные_бухотчетность"/>
      <w:bookmarkStart w:id="372" w:name="_Hlk210644436"/>
      <w:bookmarkEnd w:id="372"/>
      <w:r>
        <w:rPr/>
        <w:t xml:space="preserve">Приложение № 11 </w:t>
      </w:r>
      <w:bookmarkEnd w:id="371"/>
      <w:r>
        <w:rPr/>
        <w:t>– форма Данных бухгалтерской (финансовой) отчетности</w:t>
      </w:r>
      <w:bookmarkEnd w:id="370"/>
    </w:p>
    <w:p>
      <w:pPr>
        <w:pStyle w:val="Style16"/>
        <w:spacing w:before="360" w:after="0"/>
        <w:rPr/>
      </w:pPr>
      <w:bookmarkStart w:id="373" w:name="_Toc68"/>
      <w:r>
        <w:rPr/>
        <w:t xml:space="preserve">Пояснения к форме Данных бухгалтерской (финансовой) отчетности </w:t>
      </w:r>
      <w:bookmarkEnd w:id="373"/>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74" w:name="_Hlk210644436_Копия_1"/>
      <w:bookmarkStart w:id="375" w:name="_MON_1821256687"/>
      <w:bookmarkEnd w:id="374"/>
      <w:bookmarkEnd w:id="375"/>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6.85pt;height:50.2pt;mso-wrap-distance-right:0pt" filled="f" o:ole="">
            <v:imagedata r:id="rId36" o:title=""/>
          </v:shape>
          <o:OLEObject Type="Embed" ProgID="Word.Document.12" ShapeID="ole_rId35" DrawAspect="Icon" ObjectID="_2114089823" r:id="rId35"/>
        </w:object>
      </w:r>
    </w:p>
    <w:p>
      <w:pPr>
        <w:pStyle w:val="Normal"/>
        <w:jc w:val="center"/>
        <w:rPr/>
      </w:pPr>
      <w:r>
        <w:rPr/>
      </w:r>
    </w:p>
    <w:sectPr>
      <w:headerReference w:type="default" r:id="rId37"/>
      <w:headerReference w:type="first" r:id="rId38"/>
      <w:footerReference w:type="default" r:id="rId39"/>
      <w:footerReference w:type="first" r:id="rId4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51</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58</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72</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rPr/>
      </w:pPr>
      <w:r>
        <w:rPr>
          <w:rStyle w:val="Style5"/>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1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hanging="0"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hanging="0"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hanging="0"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hanging="0"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hanging="0"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hanging="0"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hanging="0"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hanging="0"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hanging="0"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hanging="0"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31" w:customStyle="1">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0" w:afterAutospacing="0" w:after="0"/>
      <w:ind w:hanging="0" w:left="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styleId="983">
    <w:name w:val="Table Grid Light"/>
    <w:basedOn w:val="111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84">
    <w:name w:val="Plain Table 1"/>
    <w:basedOn w:val="111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985">
    <w:name w:val="Plain Table 2"/>
    <w:basedOn w:val="111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986">
    <w:name w:val="Plain Table 3"/>
    <w:basedOn w:val="111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987">
    <w:name w:val="Plain Table 4"/>
    <w:basedOn w:val="111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988">
    <w:name w:val="Plain Table 5"/>
    <w:basedOn w:val="111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989">
    <w:name w:val="Grid Table 1 Light"/>
    <w:basedOn w:val="111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990">
    <w:name w:val="Grid Table 1 Light - Accent 1"/>
    <w:basedOn w:val="111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991">
    <w:name w:val="Grid Table 1 Light - Accent 2"/>
    <w:basedOn w:val="111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992">
    <w:name w:val="Grid Table 1 Light - Accent 3"/>
    <w:basedOn w:val="111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993">
    <w:name w:val="Grid Table 1 Light - Accent 4"/>
    <w:basedOn w:val="111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994">
    <w:name w:val="Grid Table 1 Light - Accent 5"/>
    <w:basedOn w:val="111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995">
    <w:name w:val="Grid Table 1 Light - Accent 6"/>
    <w:basedOn w:val="111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996">
    <w:name w:val="Grid Table 2"/>
    <w:basedOn w:val="111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997">
    <w:name w:val="Grid Table 2 - Accent 1"/>
    <w:basedOn w:val="111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998">
    <w:name w:val="Grid Table 2 - Accent 2"/>
    <w:basedOn w:val="111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999">
    <w:name w:val="Grid Table 2 - Accent 3"/>
    <w:basedOn w:val="111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1000">
    <w:name w:val="Grid Table 2 - Accent 4"/>
    <w:basedOn w:val="111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1001">
    <w:name w:val="Grid Table 2 - Accent 5"/>
    <w:basedOn w:val="111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1002">
    <w:name w:val="Grid Table 2 - Accent 6"/>
    <w:basedOn w:val="111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1003">
    <w:name w:val="Grid Table 3"/>
    <w:basedOn w:val="111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4">
    <w:name w:val="Grid Table 3 - Accent 1"/>
    <w:basedOn w:val="111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5">
    <w:name w:val="Grid Table 3 - Accent 2"/>
    <w:basedOn w:val="111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6">
    <w:name w:val="Grid Table 3 - Accent 3"/>
    <w:basedOn w:val="111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7">
    <w:name w:val="Grid Table 3 - Accent 4"/>
    <w:basedOn w:val="111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8">
    <w:name w:val="Grid Table 3 - Accent 5"/>
    <w:basedOn w:val="111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09">
    <w:name w:val="Grid Table 3 - Accent 6"/>
    <w:basedOn w:val="111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0">
    <w:name w:val="Grid Table 4"/>
    <w:basedOn w:val="111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1011">
    <w:name w:val="Grid Table 4 - Accent 1"/>
    <w:basedOn w:val="111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1012">
    <w:name w:val="Grid Table 4 - Accent 2"/>
    <w:basedOn w:val="111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1013">
    <w:name w:val="Grid Table 4 - Accent 3"/>
    <w:basedOn w:val="111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1014">
    <w:name w:val="Grid Table 4 - Accent 4"/>
    <w:basedOn w:val="111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1015">
    <w:name w:val="Grid Table 4 - Accent 5"/>
    <w:basedOn w:val="111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1016">
    <w:name w:val="Grid Table 4 - Accent 6"/>
    <w:basedOn w:val="111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1017">
    <w:name w:val="Grid Table 5 Dark"/>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1018">
    <w:name w:val="Grid Table 5 Dark- Accent 1"/>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1019">
    <w:name w:val="Grid Table 5 Dark - Accent 2"/>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1020">
    <w:name w:val="Grid Table 5 Dark - Accent 3"/>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1021">
    <w:name w:val="Grid Table 5 Dark- Accent 4"/>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1022">
    <w:name w:val="Grid Table 5 Dark - Accent 5"/>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1023">
    <w:name w:val="Grid Table 5 Dark - Accent 6"/>
    <w:basedOn w:val="111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1024">
    <w:name w:val="Grid Table 6 Colorful"/>
    <w:basedOn w:val="111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1025">
    <w:name w:val="Grid Table 6 Colorful - Accent 1"/>
    <w:basedOn w:val="111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1026">
    <w:name w:val="Grid Table 6 Colorful - Accent 2"/>
    <w:basedOn w:val="111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1027">
    <w:name w:val="Grid Table 6 Colorful - Accent 3"/>
    <w:basedOn w:val="111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1028">
    <w:name w:val="Grid Table 6 Colorful - Accent 4"/>
    <w:basedOn w:val="111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1029">
    <w:name w:val="Grid Table 6 Colorful - Accent 5"/>
    <w:basedOn w:val="111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30">
    <w:name w:val="Grid Table 6 Colorful - Accent 6"/>
    <w:basedOn w:val="111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31">
    <w:name w:val="Grid Table 7 Colorful"/>
    <w:basedOn w:val="111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032">
    <w:name w:val="Grid Table 7 Colorful - Accent 1"/>
    <w:basedOn w:val="111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033">
    <w:name w:val="Grid Table 7 Colorful - Accent 2"/>
    <w:basedOn w:val="111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034">
    <w:name w:val="Grid Table 7 Colorful - Accent 3"/>
    <w:basedOn w:val="111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035">
    <w:name w:val="Grid Table 7 Colorful - Accent 4"/>
    <w:basedOn w:val="111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036">
    <w:name w:val="Grid Table 7 Colorful - Accent 5"/>
    <w:basedOn w:val="111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037">
    <w:name w:val="Grid Table 7 Colorful - Accent 6"/>
    <w:basedOn w:val="111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038">
    <w:name w:val="List Table 1 Light"/>
    <w:basedOn w:val="111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39">
    <w:name w:val="List Table 1 Light - Accent 1"/>
    <w:basedOn w:val="1119"/>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40">
    <w:name w:val="List Table 1 Light - Accent 2"/>
    <w:basedOn w:val="1119"/>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41">
    <w:name w:val="List Table 1 Light - Accent 3"/>
    <w:basedOn w:val="1119"/>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42">
    <w:name w:val="List Table 1 Light - Accent 4"/>
    <w:basedOn w:val="1119"/>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43">
    <w:name w:val="List Table 1 Light - Accent 5"/>
    <w:basedOn w:val="1119"/>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044">
    <w:name w:val="List Table 1 Light - Accent 6"/>
    <w:basedOn w:val="1119"/>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045">
    <w:name w:val="List Table 2"/>
    <w:basedOn w:val="111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046">
    <w:name w:val="List Table 2 - Accent 1"/>
    <w:basedOn w:val="111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047">
    <w:name w:val="List Table 2 - Accent 2"/>
    <w:basedOn w:val="111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048">
    <w:name w:val="List Table 2 - Accent 3"/>
    <w:basedOn w:val="111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049">
    <w:name w:val="List Table 2 - Accent 4"/>
    <w:basedOn w:val="111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050">
    <w:name w:val="List Table 2 - Accent 5"/>
    <w:basedOn w:val="111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051">
    <w:name w:val="List Table 2 - Accent 6"/>
    <w:basedOn w:val="111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052">
    <w:name w:val="List Table 3"/>
    <w:basedOn w:val="111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53">
    <w:name w:val="List Table 3 - Accent 1"/>
    <w:basedOn w:val="111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54">
    <w:name w:val="List Table 3 - Accent 2"/>
    <w:basedOn w:val="111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055">
    <w:name w:val="List Table 3 - Accent 3"/>
    <w:basedOn w:val="111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056">
    <w:name w:val="List Table 3 - Accent 4"/>
    <w:basedOn w:val="111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057">
    <w:name w:val="List Table 3 - Accent 5"/>
    <w:basedOn w:val="111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058">
    <w:name w:val="List Table 3 - Accent 6"/>
    <w:basedOn w:val="111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059">
    <w:name w:val="List Table 4"/>
    <w:basedOn w:val="111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60">
    <w:name w:val="List Table 4 - Accent 1"/>
    <w:basedOn w:val="111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61">
    <w:name w:val="List Table 4 - Accent 2"/>
    <w:basedOn w:val="111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062">
    <w:name w:val="List Table 4 - Accent 3"/>
    <w:basedOn w:val="111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063">
    <w:name w:val="List Table 4 - Accent 4"/>
    <w:basedOn w:val="111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064">
    <w:name w:val="List Table 4 - Accent 5"/>
    <w:basedOn w:val="111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065">
    <w:name w:val="List Table 4 - Accent 6"/>
    <w:basedOn w:val="111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066">
    <w:name w:val="List Table 5 Dark"/>
    <w:basedOn w:val="111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67">
    <w:name w:val="List Table 5 Dark - Accent 1"/>
    <w:basedOn w:val="111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68">
    <w:name w:val="List Table 5 Dark - Accent 2"/>
    <w:basedOn w:val="111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69">
    <w:name w:val="List Table 5 Dark - Accent 3"/>
    <w:basedOn w:val="111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0">
    <w:name w:val="List Table 5 Dark - Accent 4"/>
    <w:basedOn w:val="111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1">
    <w:name w:val="List Table 5 Dark - Accent 5"/>
    <w:basedOn w:val="111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2">
    <w:name w:val="List Table 5 Dark - Accent 6"/>
    <w:basedOn w:val="111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3">
    <w:name w:val="List Table 6 Colorful"/>
    <w:basedOn w:val="111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074">
    <w:name w:val="List Table 6 Colorful - Accent 1"/>
    <w:basedOn w:val="111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075">
    <w:name w:val="List Table 6 Colorful - Accent 2"/>
    <w:basedOn w:val="111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076">
    <w:name w:val="List Table 6 Colorful - Accent 3"/>
    <w:basedOn w:val="111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077">
    <w:name w:val="List Table 6 Colorful - Accent 4"/>
    <w:basedOn w:val="111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078">
    <w:name w:val="List Table 6 Colorful - Accent 5"/>
    <w:basedOn w:val="111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079">
    <w:name w:val="List Table 6 Colorful - Accent 6"/>
    <w:basedOn w:val="111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080">
    <w:name w:val="List Table 7 Colorful"/>
    <w:basedOn w:val="111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081">
    <w:name w:val="List Table 7 Colorful - Accent 1"/>
    <w:basedOn w:val="1119"/>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082">
    <w:name w:val="List Table 7 Colorful - Accent 2"/>
    <w:basedOn w:val="111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083">
    <w:name w:val="List Table 7 Colorful - Accent 3"/>
    <w:basedOn w:val="111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084">
    <w:name w:val="List Table 7 Colorful - Accent 4"/>
    <w:basedOn w:val="111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085">
    <w:name w:val="List Table 7 Colorful - Accent 5"/>
    <w:basedOn w:val="111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086">
    <w:name w:val="List Table 7 Colorful - Accent 6"/>
    <w:basedOn w:val="111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087">
    <w:name w:val="Lined - Accent"/>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088">
    <w:name w:val="Lined - Accent 1"/>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089">
    <w:name w:val="Lined - Accent 2"/>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090">
    <w:name w:val="Lined - Accent 3"/>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091">
    <w:name w:val="Lined - Accent 4"/>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092">
    <w:name w:val="Lined - Accent 5"/>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093">
    <w:name w:val="Lined - Accent 6"/>
    <w:basedOn w:val="111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094">
    <w:name w:val="Bordered &amp; Lined - Accent"/>
    <w:basedOn w:val="1119"/>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095">
    <w:name w:val="Bordered &amp; Lined - Accent 1"/>
    <w:basedOn w:val="1119"/>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096">
    <w:name w:val="Bordered &amp; Lined - Accent 2"/>
    <w:basedOn w:val="1119"/>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097">
    <w:name w:val="Bordered &amp; Lined - Accent 3"/>
    <w:basedOn w:val="1119"/>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098">
    <w:name w:val="Bordered &amp; Lined - Accent 4"/>
    <w:basedOn w:val="1119"/>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099">
    <w:name w:val="Bordered &amp; Lined - Accent 5"/>
    <w:basedOn w:val="1119"/>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100">
    <w:name w:val="Bordered &amp; Lined - Accent 6"/>
    <w:basedOn w:val="1119"/>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101">
    <w:name w:val="Bordered"/>
    <w:basedOn w:val="111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102">
    <w:name w:val="Bordered - Accent 1"/>
    <w:basedOn w:val="111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103">
    <w:name w:val="Bordered - Accent 2"/>
    <w:basedOn w:val="111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104">
    <w:name w:val="Bordered - Accent 3"/>
    <w:basedOn w:val="111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105">
    <w:name w:val="Bordered - Accent 4"/>
    <w:basedOn w:val="111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106">
    <w:name w:val="Bordered - Accent 5"/>
    <w:basedOn w:val="111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107">
    <w:name w:val="Bordered - Accent 6"/>
    <w:basedOn w:val="111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1119">
    <w:name w:val="Normal Table"/>
    <w:uiPriority w:val="99"/>
    <w:semiHidden/>
    <w:unhideWhenUsed/>
    <w:tblPr>
      <w:tblCellMar>
        <w:left w:w="108" w:type="dxa"/>
        <w:top w:w="0" w:type="dxa"/>
        <w:right w:w="108" w:type="dxa"/>
        <w:bottom w:w="0" w:type="dxa"/>
      </w:tblCellMar>
    </w:tblPr>
  </w:style>
  <w:style w:type="table" w:customStyle="1" w:styleId="1148">
    <w:name w:val="[РГ] Таблица"/>
    <w:basedOn w:val="1119"/>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149">
    <w:name w:val="Table Grid"/>
    <w:basedOn w:val="1119"/>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81">
    <w:name w:val="Сетка таблицы1"/>
    <w:uiPriority w:val="59"/>
    <w:pPr>
      <w:ind w:right="0"/>
      <w:spacing w:before="0" w:after="0" w:line="240" w:lineRule="auto"/>
      <w:jc w:val="left"/>
    </w:pPr>
    <w:rPr>
      <w:lang w:val="ru-RU" w:eastAsia="ru-RU" w:bidi="ar-SA"/>
      <w:b w:val="0"/>
      <w:bCs w:val="0"/>
      <w:i w:val="0"/>
      <w:caps w:val="0"/>
      <w:smallCaps w:val="0"/>
      <w:color w:val="auto"/>
      <w:spacing w:val="0"/>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orp.roseltorg.ru./" TargetMode="External"/><Relationship Id="rId3" Type="http://schemas.openxmlformats.org/officeDocument/2006/relationships/hyperlink" Target="mailto:dgk@dgk.ru"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package" Target="embeddings/oleObject1.docx"/><Relationship Id="rId11" Type="http://schemas.openxmlformats.org/officeDocument/2006/relationships/image" Target="media/image1.wmf"/><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package" Target="embeddings/oleObject2.docx"/><Relationship Id="rId21" Type="http://schemas.openxmlformats.org/officeDocument/2006/relationships/image" Target="media/image2.wmf"/><Relationship Id="rId22" Type="http://schemas.openxmlformats.org/officeDocument/2006/relationships/package" Target="embeddings/oleObject3.docx"/><Relationship Id="rId23" Type="http://schemas.openxmlformats.org/officeDocument/2006/relationships/image" Target="media/image3.wmf"/><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yperlink" Target="https://bo.nalog.ru/" TargetMode="External"/><Relationship Id="rId29" Type="http://schemas.openxmlformats.org/officeDocument/2006/relationships/header" Target="header10.xml"/><Relationship Id="rId30" Type="http://schemas.openxmlformats.org/officeDocument/2006/relationships/header" Target="header11.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package" Target="embeddings/oleObject4.xlsx"/><Relationship Id="rId34" Type="http://schemas.openxmlformats.org/officeDocument/2006/relationships/image" Target="media/image4.wmf"/><Relationship Id="rId35" Type="http://schemas.openxmlformats.org/officeDocument/2006/relationships/package" Target="embeddings/oleObject5.docx"/><Relationship Id="rId36" Type="http://schemas.openxmlformats.org/officeDocument/2006/relationships/image" Target="media/image5.wmf"/><Relationship Id="rId37" Type="http://schemas.openxmlformats.org/officeDocument/2006/relationships/header" Target="header12.xml"/><Relationship Id="rId38" Type="http://schemas.openxmlformats.org/officeDocument/2006/relationships/header" Target="header13.xml"/><Relationship Id="rId39" Type="http://schemas.openxmlformats.org/officeDocument/2006/relationships/footer" Target="footer12.xml"/><Relationship Id="rId40" Type="http://schemas.openxmlformats.org/officeDocument/2006/relationships/footer" Target="footer1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Relationship Id="rId4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Application>AlterOffice/2026.2.0.0$Linux_X86_64 LibreOffice_project/bc4ef1adf80b36c7a6365f8ed6cbf29021361edd</Application>
  <AppVersion>15.0000</AppVersion>
  <Pages>74</Pages>
  <Words>18946</Words>
  <Characters>130484</Characters>
  <CharactersWithSpaces>147469</CharactersWithSpaces>
  <Paragraphs>1096</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lutfullina_ee@DGK.RU</cp:lastModifiedBy>
  <dcterms:modified xsi:type="dcterms:W3CDTF">2026-09-30T11:14:51Z</dcterms:modified>
  <cp:revision>172</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