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jc w:val="center"/>
      </w:pPr>
      <w:r>
        <w:t xml:space="preserve">Перечень рекомендуемых мероприятий по улучшению условий труда</w:t>
      </w:r>
      <w:r/>
    </w:p>
    <w:p>
      <w:r/>
      <w:r/>
    </w:p>
    <w:p>
      <w:r>
        <w:t xml:space="preserve">Наименование </w:t>
      </w:r>
      <w:r>
        <w:t xml:space="preserve">организации</w:t>
      </w:r>
      <w:r>
        <w:t xml:space="preserve">:</w:t>
      </w:r>
      <w:r>
        <w:rPr>
          <w:rStyle w:val="665"/>
        </w:rPr>
        <w:t xml:space="preserve"> </w:t>
      </w:r>
      <w:r>
        <w:rPr>
          <w:rStyle w:val="665"/>
        </w:rPr>
        <w:fldChar w:fldCharType="begin"/>
      </w:r>
      <w:r>
        <w:rPr>
          <w:rStyle w:val="665"/>
        </w:rPr>
        <w:instrText xml:space="preserve"> DOCVARIABLE </w:instrText>
      </w:r>
      <w:r>
        <w:rPr>
          <w:rStyle w:val="665"/>
          <w:lang w:val="en-US"/>
        </w:rPr>
        <w:instrText xml:space="preserve">ceh</w:instrText>
      </w:r>
      <w:r>
        <w:rPr>
          <w:rStyle w:val="665"/>
        </w:rPr>
        <w:instrText xml:space="preserve">_</w:instrText>
      </w:r>
      <w:r>
        <w:rPr>
          <w:rStyle w:val="665"/>
          <w:lang w:val="en-US"/>
        </w:rPr>
        <w:instrText xml:space="preserve">info</w:instrText>
      </w:r>
      <w:r>
        <w:rPr>
          <w:rStyle w:val="665"/>
        </w:rPr>
        <w:instrText xml:space="preserve"> \* MERGEFORMAT </w:instrText>
      </w:r>
      <w:r>
        <w:rPr>
          <w:rStyle w:val="665"/>
        </w:rPr>
        <w:fldChar w:fldCharType="separate"/>
      </w:r>
      <w:r>
        <w:rPr>
          <w:rStyle w:val="665"/>
        </w:rPr>
        <w:t xml:space="preserve"> Акционерное общество «Дальневосточная генерирующая компания» структурное подразделение «Хабаровская ТЭЦ-3»  </w:t>
      </w:r>
      <w:r>
        <w:rPr>
          <w:rStyle w:val="665"/>
        </w:rPr>
        <w:fldChar w:fldCharType="end"/>
      </w:r>
      <w:r>
        <w:rPr>
          <w:rStyle w:val="665"/>
        </w:rPr>
        <w:t xml:space="preserve"> </w:t>
      </w:r>
      <w:r/>
    </w:p>
    <w:p>
      <w:pPr>
        <w:pStyle w:val="6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5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bookmarkStart w:id="0" w:name="main_table"/>
            <w:r/>
            <w:bookmarkEnd w:id="0"/>
            <w:r>
              <w:t xml:space="preserve">Наименование структурного подразделения, рабочего места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Наименование мероприятия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Цель мероприятия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Срок</w:t>
            </w:r>
            <w:r>
              <w:rPr>
                <w:lang w:val="en-US"/>
              </w:rPr>
              <w:br/>
            </w:r>
            <w:r>
              <w:t xml:space="preserve">выполнения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Структурные подразделения, привлекаемые для выполнения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Отметка о выполнении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1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2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3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4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5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6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Цех топливоподачи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2301016. Сливщик-разливщик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ЦТП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Котлотурбинный цех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2302014. Машинист компрессорных установок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2302017. Ведущий инженер (по оборудованию ТО)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2402051. Ведущий инженер (по оборудованию КО)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2302018. Ведущий инженер (по технической эксплуатации)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Участок гидротехнических сооружений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2302032. Машинист насосных установок (КНС)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2302033. Машинист насосных установок (БНС)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 Участок по ремонту вращающихся механизмов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2502052. Слесарь по ремонту парогазотурбинного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КТЦ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Электрический цех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2303009.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2303010.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2503035.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Электрический цех / Электротехническая лаборатория / Участок главной схемы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2303021.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Электротехническая лаборатория / Участок ППА и охранной сигнализации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2403027. Мастер по ремонту оборудования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Электротехническая лаборатория / Участок собственных нужд главного корпуса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2403030.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Э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Цех тепловой автоматики и измерений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2304007. Мастер участка (группа по ремонту и обслуживанию устройств технической защит и сигнализации)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2304010. Мастер участка (группа по ремонту и обслуживанию устройств электропроводов и кабельного хозяйства)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2304011. Мастер участка (группа по ремонту и обслуживанию АСР)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2304015. Инженер-электроник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2304017. Инженер по механизации и автоматизации прозводственных процессов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ТАИ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Химический цех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2305008. Аппаратчик по приготовлению химреагентов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Химическая лаборатория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2305014. Инженер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2305015. Инженер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2305017. Инженер 2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Х</w:t>
            </w:r>
            <w:r>
              <w:t xml:space="preserve">Ц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Цех информационных технологий и связи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2306012. Электромонтер диспетчерского оборудования и телеавтоматики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АПФД: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ИТиС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ИТиС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/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Микроклимат: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воздействия фактора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ИТиС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Цех обеспечения производства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2308006. Слесарь-сантехник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ОП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2408025. Техник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Пожарная часть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2309009. Инспектор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Шум: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времени  воздействия шума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ПЧ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Центральная химическая лаборатория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Топливно-масляная группа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2420002.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ХЛ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2420003.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ХЛ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2420009. Инженер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ХЛ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Группа ХВО и ВХР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2420004.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2420005.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ХЛ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2420006. Инженер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ХЛ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Водная группа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2420007.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2420008. Инженер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Химический фактор: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Уменьшение времени контакта с вредными веществами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Ц</w:t>
            </w:r>
            <w:r>
              <w:t xml:space="preserve">ХЛ</w:t>
            </w:r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Ремонтно-строительный участок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2325005. Слесарь-сантехник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Тяжесть: Организовать рациональные режимы труда  и отдыха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Снижение тяжести трудового процесса </w:t>
            </w:r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постоянно</w:t>
            </w:r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РСУ</w:t>
            </w:r>
            <w:bookmarkStart w:id="1" w:name="_GoBack"/>
            <w:r/>
            <w:bookmarkEnd w:id="1"/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выполняется</w:t>
            </w:r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Аппарат управления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2511008. Заместитель директора по управлению ресурсами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2411007. Специалист по воинскому учету и бронированию 2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Производственно-технический отдел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Группа учета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2413014. Ведущий инженер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Группа режимов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2413013. Главный специалист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i/>
              </w:rPr>
            </w:pPr>
            <w:r>
              <w:rPr>
                <w:i/>
              </w:rPr>
              <w:t xml:space="preserve">Специалист по договорной работе</w:t>
            </w:r>
            <w:r>
              <w:rPr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2413012. Ведущий инженер по договорной работе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Отдел подготовки и проведения ремонтов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2414012. Инженер-конструктор 1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Группа безопасности и специальных программ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2421006. Техник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2521007. Техник 2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rPr>
                <w:b/>
                <w:i/>
              </w:rPr>
            </w:pPr>
            <w:r>
              <w:rPr>
                <w:b/>
                <w:i/>
              </w:rPr>
              <w:t xml:space="preserve">Группа правового сопровождения</w:t>
            </w:r>
            <w:r>
              <w:rPr>
                <w:b/>
                <w:i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  <w:tr>
        <w:tblPrEx/>
        <w:trPr>
          <w:jc w:val="center"/>
        </w:trPr>
        <w:tc>
          <w:tcPr>
            <w:tcW w:w="3049" w:type="dxa"/>
            <w:vAlign w:val="center"/>
            <w:textDirection w:val="lrTb"/>
            <w:noWrap w:val="false"/>
          </w:tcPr>
          <w:p>
            <w:pPr>
              <w:pStyle w:val="666"/>
              <w:jc w:val="left"/>
            </w:pPr>
            <w:r>
              <w:t xml:space="preserve">2423002. Юрисконсульт 2 категории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666"/>
            </w:pPr>
            <w:r>
              <w:t xml:space="preserve">Рекомендации по улучшению условий труда: не требуются</w:t>
            </w:r>
            <w:r/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3294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  <w:tc>
          <w:tcPr>
            <w:tcW w:w="1315" w:type="dxa"/>
            <w:vAlign w:val="center"/>
            <w:textDirection w:val="lrTb"/>
            <w:noWrap w:val="false"/>
          </w:tcPr>
          <w:p>
            <w:pPr>
              <w:pStyle w:val="666"/>
            </w:pPr>
            <w:r/>
            <w:r/>
          </w:p>
        </w:tc>
      </w:tr>
    </w:tbl>
    <w:p>
      <w:r/>
    </w:p>
    <w:sectPr>
      <w:footnotePr/>
      <w:endnotePr/>
      <w:type w:val="nextPage"/>
      <w:pgSz w:w="16838" w:h="11906" w:orient="landscape"/>
      <w:pgMar w:top="899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5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5"/>
    <w:link w:val="667"/>
    <w:uiPriority w:val="99"/>
  </w:style>
  <w:style w:type="character" w:styleId="45">
    <w:name w:val="Footer Char"/>
    <w:basedOn w:val="655"/>
    <w:link w:val="66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rPr>
      <w:sz w:val="24"/>
    </w:rPr>
  </w:style>
  <w:style w:type="paragraph" w:styleId="654">
    <w:name w:val="Heading 1"/>
    <w:basedOn w:val="653"/>
    <w:next w:val="65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table" w:styleId="658">
    <w:name w:val="Table Grid"/>
    <w:basedOn w:val="65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9">
    <w:name w:val="Hyperlink"/>
    <w:basedOn w:val="655"/>
    <w:rPr>
      <w:color w:val="0000ff"/>
      <w:u w:val="single"/>
    </w:rPr>
  </w:style>
  <w:style w:type="paragraph" w:styleId="660" w:customStyle="1">
    <w:name w:val="Готовый"/>
    <w:basedOn w:val="653"/>
    <w:pPr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661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662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663" w:customStyle="1">
    <w:name w:val="Раздел"/>
    <w:basedOn w:val="653"/>
    <w:link w:val="664"/>
    <w:pPr>
      <w:spacing w:before="60"/>
    </w:pPr>
    <w:rPr>
      <w:b/>
      <w:color w:val="000000"/>
      <w:szCs w:val="24"/>
    </w:rPr>
  </w:style>
  <w:style w:type="character" w:styleId="664" w:customStyle="1">
    <w:name w:val="Раздел Знак"/>
    <w:basedOn w:val="655"/>
    <w:link w:val="663"/>
    <w:rPr>
      <w:b/>
      <w:color w:val="000000"/>
      <w:sz w:val="24"/>
      <w:szCs w:val="24"/>
      <w:lang w:val="ru-RU" w:eastAsia="ru-RU" w:bidi="ar-SA"/>
    </w:rPr>
  </w:style>
  <w:style w:type="character" w:styleId="665" w:customStyle="1">
    <w:name w:val="Поле"/>
    <w:basedOn w:val="655"/>
    <w:rPr>
      <w:rFonts w:ascii="Times New Roman" w:hAnsi="Times New Roman"/>
      <w:sz w:val="24"/>
      <w:u w:val="single"/>
    </w:rPr>
  </w:style>
  <w:style w:type="paragraph" w:styleId="666" w:customStyle="1">
    <w:name w:val="Табличный"/>
    <w:basedOn w:val="653"/>
    <w:pPr>
      <w:jc w:val="center"/>
    </w:pPr>
    <w:rPr>
      <w:sz w:val="20"/>
    </w:rPr>
  </w:style>
  <w:style w:type="paragraph" w:styleId="667">
    <w:name w:val="Header"/>
    <w:basedOn w:val="653"/>
    <w:link w:val="668"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55"/>
    <w:link w:val="667"/>
    <w:rPr>
      <w:sz w:val="24"/>
    </w:rPr>
  </w:style>
  <w:style w:type="paragraph" w:styleId="669">
    <w:name w:val="Footer"/>
    <w:basedOn w:val="653"/>
    <w:link w:val="670"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55"/>
    <w:link w:val="669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sv_docs_date.dotm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Azerty</dc:creator>
  <cp:keywords/>
  <dc:description/>
  <cp:lastModifiedBy>nikonenko_oa</cp:lastModifiedBy>
  <cp:revision>3</cp:revision>
  <dcterms:created xsi:type="dcterms:W3CDTF">2026-01-28T22:17:00Z</dcterms:created>
  <dcterms:modified xsi:type="dcterms:W3CDTF">2026-02-04T05:04:45Z</dcterms:modified>
</cp:coreProperties>
</file>