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xlsx" ContentType="application/vnd.openxmlformats-officedocument.spreadsheetml.sheet"/>
  <Override PartName="/word/embeddings/oleObject4.docx" ContentType="application/vnd.openxmlformats-officedocument.wordprocessingml.document"/>
  <Override PartName="/word/footnotes.xml" ContentType="application/vnd.openxmlformats-officedocument.wordprocessingml.footnotes+xml"/>
  <Override PartName="/word/header4.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media/image1.wmf" ContentType="image/x-wmf"/>
  <Override PartName="/word/media/image2.wmf" ContentType="image/x-wmf"/>
  <Override PartName="/word/media/image3.wmf" ContentType="image/x-wmf"/>
  <Override PartName="/word/media/image4.wmf" ContentType="image/x-wmf"/>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9"/>
        <w:keepNext w:val="true"/>
        <w:spacing w:before="120" w:after="0"/>
        <w:ind w:hanging="0" w:left="4536"/>
        <w:rPr/>
      </w:pPr>
      <w:r>
        <w:rPr/>
        <w:t>«УТВЕРЖДАЮ»</w:t>
      </w:r>
    </w:p>
    <w:p>
      <w:pPr>
        <w:pStyle w:val="Normal"/>
        <w:widowControl w:val="false"/>
        <w:spacing w:before="0" w:after="0"/>
        <w:ind w:hanging="0" w:left="4535"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Pr>
          <w:sz w:val="24"/>
          <w:szCs w:val="24"/>
        </w:rPr>
      </w:pPr>
      <w:r>
        <w:rPr>
          <w:sz w:val="24"/>
          <w:szCs w:val="24"/>
        </w:rPr>
      </w:r>
    </w:p>
    <w:p>
      <w:pPr>
        <w:pStyle w:val="Normal"/>
        <w:widowControl w:val="false"/>
        <w:spacing w:before="0" w:after="0"/>
        <w:ind w:hanging="0" w:left="4535" w:right="0"/>
        <w:rPr>
          <w:sz w:val="24"/>
          <w:szCs w:val="24"/>
        </w:rPr>
      </w:pPr>
      <w:r>
        <w:rPr>
          <w:sz w:val="24"/>
          <w:szCs w:val="24"/>
        </w:rPr>
        <w:t>__________________Д.А. Богонатов</w:t>
      </w:r>
    </w:p>
    <w:p>
      <w:pPr>
        <w:pStyle w:val="Normal"/>
        <w:widowControl w:val="false"/>
        <w:spacing w:lineRule="auto" w:line="276" w:before="0" w:after="0"/>
        <w:ind w:firstLine="4535" w:left="0" w:right="0"/>
        <w:rPr>
          <w:sz w:val="24"/>
          <w:szCs w:val="24"/>
        </w:rPr>
      </w:pPr>
      <w:r>
        <w:rPr>
          <w:sz w:val="24"/>
          <w:szCs w:val="24"/>
        </w:rPr>
        <w:t xml:space="preserve">«___»_______________ 2026 г </w:t>
      </w:r>
    </w:p>
    <w:p>
      <w:pPr>
        <w:pStyle w:val="Style29"/>
        <w:keepNext w:val="true"/>
        <w:ind w:left="4536"/>
        <w:rPr/>
      </w:pPr>
      <w:r>
        <w:rPr/>
      </w:r>
    </w:p>
    <w:p>
      <w:pPr>
        <w:pStyle w:val="Style29"/>
        <w:rPr/>
      </w:pPr>
      <w:r>
        <w:rPr/>
      </w:r>
    </w:p>
    <w:p>
      <w:pPr>
        <w:pStyle w:val="Style29"/>
        <w:rPr/>
      </w:pPr>
      <w:r>
        <w:rPr/>
      </w:r>
    </w:p>
    <w:p>
      <w:pPr>
        <w:pStyle w:val="Style29"/>
        <w:rPr/>
      </w:pPr>
      <w:r>
        <w:rPr/>
      </w:r>
    </w:p>
    <w:p>
      <w:pPr>
        <w:pStyle w:val="Style29"/>
        <w:rPr/>
      </w:pPr>
      <w:r>
        <w:rPr/>
      </w:r>
    </w:p>
    <w:p>
      <w:pPr>
        <w:pStyle w:val="Style29"/>
        <w:rPr/>
      </w:pPr>
      <w:r>
        <w:rPr/>
      </w:r>
    </w:p>
    <w:p>
      <w:pPr>
        <w:pStyle w:val="Style29"/>
        <w:keepNext w:val="true"/>
        <w:numPr>
          <w:ilvl w:val="0"/>
          <w:numId w:val="0"/>
        </w:numPr>
        <w:ind w:hanging="0" w:left="0"/>
        <w:jc w:val="center"/>
        <w:outlineLvl w:val="2"/>
        <w:rPr>
          <w:b/>
          <w:bCs/>
          <w:caps/>
        </w:rPr>
      </w:pPr>
      <w:r>
        <w:rPr>
          <w:b/>
          <w:bCs/>
          <w:caps/>
        </w:rPr>
        <w:t>Документация о закупке</w:t>
      </w:r>
    </w:p>
    <w:p>
      <w:pPr>
        <w:pStyle w:val="Style29"/>
        <w:keepNext w:val="true"/>
        <w:spacing w:before="240" w:after="0"/>
        <w:jc w:val="center"/>
        <w:rPr>
          <w:rStyle w:val="Style10"/>
        </w:rPr>
      </w:pPr>
      <w:r>
        <w:rPr/>
        <w:t>Запрос предложений в электронной форме,</w:t>
        <w:br/>
        <w:t>на право заключения договора на ОКПД2 33.12.15.000 Выполнение работ по ремонту и техническому обслуживанию подъемных сооружений и подкрановых путей Хабаровской ТЭЦ-1 в г. Хабаровск (ПП: 1.69-Рем-2025-ХТЭЦ1)</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9"/>
        <w:keepNext w:val="true"/>
        <w:spacing w:before="240" w:after="0"/>
        <w:jc w:val="center"/>
        <w:rPr/>
      </w:pPr>
      <w:r>
        <w:rPr/>
        <w:t>(Лот № 11020007-РЕМ ПРОД-2027-ДГК-ХТЭЦ1)</w:t>
      </w:r>
    </w:p>
    <w:p>
      <w:pPr>
        <w:pStyle w:val="Style28"/>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9"/>
              <w:vanish w:val="false"/>
            </w:rPr>
            <w:instrText xml:space="preserve"> TOC \z \u \t "[РГ] Перечисление,5,[РГ] Подпункт,4,[РГ] Пункт,3,[РГ] Подраздел,2,[РГ] Раздел,1,[РГ] Раздел,1,[РГ] Раздел,1,[РГ] Раздел,1,[РГ] Раздел,1,[РГ] Подраздел,2,[РГ] Подраздел,2,[РГ] Подраздел,2,[РГ] Подраздел,2,[РГ] Пункт,3,[РГ] Пункт,3,[РГ] Пункт,3,[РГ] Подпункт,4,[РГ] Подпункт,4,[РГ] Подпункт,4,[РГ] Перечисление,5,[РГ] Перечисление,5,[РГ] Перечисление,5" \h</w:instrText>
          </w:r>
          <w:r>
            <w:rPr>
              <w:webHidden/>
              <w:rStyle w:val="Style19"/>
              <w:vanish w:val="false"/>
            </w:rPr>
            <w:fldChar w:fldCharType="separate"/>
          </w:r>
          <w:hyperlink w:anchor="_Toc228976075">
            <w:r>
              <w:rPr>
                <w:webHidden/>
              </w:rPr>
              <w:fldChar w:fldCharType="begin"/>
            </w:r>
            <w:r>
              <w:rPr>
                <w:webHidden/>
              </w:rPr>
              <w:instrText xml:space="preserve">PAGEREF _Toc228976075 \h</w:instrText>
            </w:r>
            <w:r>
              <w:rPr>
                <w:webHidden/>
              </w:rPr>
              <w:fldChar w:fldCharType="separate"/>
            </w:r>
            <w:r>
              <w:rPr>
                <w:webHidden/>
                <w:rStyle w:val="Style19"/>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076">
            <w:r>
              <w:rPr>
                <w:webHidden/>
              </w:rPr>
              <w:fldChar w:fldCharType="begin"/>
            </w:r>
            <w:r>
              <w:rPr>
                <w:webHidden/>
              </w:rPr>
              <w:instrText xml:space="preserve">PAGEREF _Toc228976076 \h</w:instrText>
            </w:r>
            <w:r>
              <w:rPr>
                <w:webHidden/>
              </w:rPr>
              <w:fldChar w:fldCharType="separate"/>
            </w:r>
            <w:r>
              <w:rPr>
                <w:webHidden/>
                <w:rStyle w:val="Style19"/>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077">
            <w:r>
              <w:rPr>
                <w:webHidden/>
                <w:rStyle w:val="Style19"/>
                <w:vanish w:val="false"/>
              </w:rPr>
              <w:t>1.</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Основные сведения о закупке</w:t>
            </w:r>
            <w:r>
              <w:rPr>
                <w:webHidden/>
              </w:rPr>
              <w:fldChar w:fldCharType="begin"/>
            </w:r>
            <w:r>
              <w:rPr>
                <w:webHidden/>
              </w:rPr>
              <w:instrText xml:space="preserve">PAGEREF _Toc228976077 \h</w:instrText>
            </w:r>
            <w:r>
              <w:rPr>
                <w:webHidden/>
              </w:rPr>
              <w:fldChar w:fldCharType="separate"/>
            </w:r>
            <w:r>
              <w:rPr>
                <w:rStyle w:val="Style19"/>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78">
            <w:r>
              <w:rPr>
                <w:webHidden/>
                <w:rStyle w:val="Style19"/>
                <w:vanish w:val="false"/>
              </w:rPr>
              <w:t>1.1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Статус настоящего раздела</w:t>
            </w:r>
            <w:r>
              <w:rPr>
                <w:webHidden/>
              </w:rPr>
              <w:fldChar w:fldCharType="begin"/>
            </w:r>
            <w:r>
              <w:rPr>
                <w:webHidden/>
              </w:rPr>
              <w:instrText xml:space="preserve">PAGEREF _Toc228976078 \h</w:instrText>
            </w:r>
            <w:r>
              <w:rPr>
                <w:webHidden/>
              </w:rPr>
              <w:fldChar w:fldCharType="separate"/>
            </w:r>
            <w:r>
              <w:rPr>
                <w:rStyle w:val="Style19"/>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79">
            <w:r>
              <w:rPr>
                <w:webHidden/>
                <w:rStyle w:val="Style19"/>
                <w:vanish w:val="false"/>
              </w:rPr>
              <w:t>1.2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Информация о проводимой закупке</w:t>
            </w:r>
            <w:r>
              <w:rPr>
                <w:webHidden/>
              </w:rPr>
              <w:fldChar w:fldCharType="begin"/>
            </w:r>
            <w:r>
              <w:rPr>
                <w:webHidden/>
              </w:rPr>
              <w:instrText xml:space="preserve">PAGEREF _Toc228976079 \h</w:instrText>
            </w:r>
            <w:r>
              <w:rPr>
                <w:webHidden/>
              </w:rPr>
              <w:fldChar w:fldCharType="separate"/>
            </w:r>
            <w:r>
              <w:rPr>
                <w:rStyle w:val="Style19"/>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080">
            <w:r>
              <w:rPr>
                <w:webHidden/>
                <w:rStyle w:val="Style19"/>
                <w:vanish w:val="false"/>
              </w:rPr>
              <w:t>2.</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Общие положения</w:t>
            </w:r>
            <w:r>
              <w:rPr>
                <w:webHidden/>
              </w:rPr>
              <w:fldChar w:fldCharType="begin"/>
            </w:r>
            <w:r>
              <w:rPr>
                <w:webHidden/>
              </w:rPr>
              <w:instrText xml:space="preserve">PAGEREF _Toc228976080 \h</w:instrText>
            </w:r>
            <w:r>
              <w:rPr>
                <w:webHidden/>
              </w:rPr>
              <w:fldChar w:fldCharType="separate"/>
            </w:r>
            <w:r>
              <w:rPr>
                <w:rStyle w:val="Style19"/>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1">
            <w:r>
              <w:rPr>
                <w:webHidden/>
                <w:rStyle w:val="Style19"/>
                <w:vanish w:val="false"/>
              </w:rPr>
              <w:t>2.1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Общие сведения о закупке</w:t>
            </w:r>
            <w:r>
              <w:rPr>
                <w:webHidden/>
              </w:rPr>
              <w:fldChar w:fldCharType="begin"/>
            </w:r>
            <w:r>
              <w:rPr>
                <w:webHidden/>
              </w:rPr>
              <w:instrText xml:space="preserve">PAGEREF _Toc228976081 \h</w:instrText>
            </w:r>
            <w:r>
              <w:rPr>
                <w:webHidden/>
              </w:rPr>
              <w:fldChar w:fldCharType="separate"/>
            </w:r>
            <w:r>
              <w:rPr>
                <w:rStyle w:val="Style19"/>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2">
            <w:r>
              <w:rPr>
                <w:webHidden/>
                <w:rStyle w:val="Style19"/>
                <w:vanish w:val="false"/>
              </w:rPr>
              <w:t>2.2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Правовой статус документов</w:t>
            </w:r>
            <w:r>
              <w:rPr>
                <w:webHidden/>
              </w:rPr>
              <w:fldChar w:fldCharType="begin"/>
            </w:r>
            <w:r>
              <w:rPr>
                <w:webHidden/>
              </w:rPr>
              <w:instrText xml:space="preserve">PAGEREF _Toc228976082 \h</w:instrText>
            </w:r>
            <w:r>
              <w:rPr>
                <w:webHidden/>
              </w:rPr>
              <w:fldChar w:fldCharType="separate"/>
            </w:r>
            <w:r>
              <w:rPr>
                <w:rStyle w:val="Style19"/>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3">
            <w:r>
              <w:rPr>
                <w:webHidden/>
                <w:rStyle w:val="Style19"/>
                <w:vanish w:val="false"/>
              </w:rPr>
              <w:t>2.3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Обжалование</w:t>
            </w:r>
            <w:r>
              <w:rPr>
                <w:webHidden/>
              </w:rPr>
              <w:fldChar w:fldCharType="begin"/>
            </w:r>
            <w:r>
              <w:rPr>
                <w:webHidden/>
              </w:rPr>
              <w:instrText xml:space="preserve">PAGEREF _Toc228976083 \h</w:instrText>
            </w:r>
            <w:r>
              <w:rPr>
                <w:webHidden/>
              </w:rPr>
              <w:fldChar w:fldCharType="separate"/>
            </w:r>
            <w:r>
              <w:rPr>
                <w:rStyle w:val="Style19"/>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4">
            <w:r>
              <w:rPr>
                <w:webHidden/>
                <w:rStyle w:val="Style19"/>
                <w:vanish w:val="false"/>
              </w:rPr>
              <w:t>2.4</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Особые положения при проведении закупки с использованием ЭП</w:t>
            </w:r>
            <w:r>
              <w:rPr>
                <w:webHidden/>
              </w:rPr>
              <w:fldChar w:fldCharType="begin"/>
            </w:r>
            <w:r>
              <w:rPr>
                <w:webHidden/>
              </w:rPr>
              <w:instrText xml:space="preserve">PAGEREF _Toc228976084 \h</w:instrText>
            </w:r>
            <w:r>
              <w:rPr>
                <w:webHidden/>
              </w:rPr>
              <w:fldChar w:fldCharType="separate"/>
            </w:r>
            <w:r>
              <w:rPr>
                <w:rStyle w:val="Style19"/>
                <w:vanish w:val="false"/>
              </w:rPr>
              <w:tab/>
              <w:t>27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5">
            <w:r>
              <w:rPr>
                <w:webHidden/>
                <w:rStyle w:val="Style19"/>
                <w:vanish w:val="false"/>
              </w:rPr>
              <w:t>2.5</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Прочие положения</w:t>
            </w:r>
            <w:r>
              <w:rPr>
                <w:webHidden/>
              </w:rPr>
              <w:fldChar w:fldCharType="begin"/>
            </w:r>
            <w:r>
              <w:rPr>
                <w:webHidden/>
              </w:rPr>
              <w:instrText xml:space="preserve">PAGEREF _Toc228976085 \h</w:instrText>
            </w:r>
            <w:r>
              <w:rPr>
                <w:webHidden/>
              </w:rPr>
              <w:fldChar w:fldCharType="separate"/>
            </w:r>
            <w:r>
              <w:rPr>
                <w:rStyle w:val="Style19"/>
                <w:vanish w:val="false"/>
              </w:rPr>
              <w:tab/>
              <w:t>27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086">
            <w:r>
              <w:rPr>
                <w:webHidden/>
                <w:rStyle w:val="Style19"/>
                <w:vanish w:val="false"/>
              </w:rPr>
              <w:t>3.</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Требования к Участникам</w:t>
            </w:r>
            <w:r>
              <w:rPr>
                <w:webHidden/>
              </w:rPr>
              <w:fldChar w:fldCharType="begin"/>
            </w:r>
            <w:r>
              <w:rPr>
                <w:webHidden/>
              </w:rPr>
              <w:instrText xml:space="preserve">PAGEREF _Toc228976086 \h</w:instrText>
            </w:r>
            <w:r>
              <w:rPr>
                <w:webHidden/>
              </w:rPr>
              <w:fldChar w:fldCharType="separate"/>
            </w:r>
            <w:r>
              <w:rPr>
                <w:rStyle w:val="Style19"/>
                <w:vanish w:val="false"/>
              </w:rPr>
              <w:tab/>
              <w:t>29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7">
            <w:r>
              <w:rPr>
                <w:webHidden/>
                <w:rStyle w:val="Style19"/>
                <w:vanish w:val="false"/>
              </w:rPr>
              <w:t>3.1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Общие требования к Участникам</w:t>
            </w:r>
            <w:r>
              <w:rPr>
                <w:webHidden/>
              </w:rPr>
              <w:fldChar w:fldCharType="begin"/>
            </w:r>
            <w:r>
              <w:rPr>
                <w:webHidden/>
              </w:rPr>
              <w:instrText xml:space="preserve">PAGEREF _Toc228976087 \h</w:instrText>
            </w:r>
            <w:r>
              <w:rPr>
                <w:webHidden/>
              </w:rPr>
              <w:fldChar w:fldCharType="separate"/>
            </w:r>
            <w:r>
              <w:rPr>
                <w:rStyle w:val="Style19"/>
                <w:vanish w:val="false"/>
              </w:rPr>
              <w:tab/>
              <w:t>29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8">
            <w:r>
              <w:rPr>
                <w:webHidden/>
                <w:rStyle w:val="Style19"/>
                <w:vanish w:val="false"/>
              </w:rPr>
              <w:t>3.2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Коллективные участники</w:t>
            </w:r>
            <w:r>
              <w:rPr>
                <w:webHidden/>
              </w:rPr>
              <w:fldChar w:fldCharType="begin"/>
            </w:r>
            <w:r>
              <w:rPr>
                <w:webHidden/>
              </w:rPr>
              <w:instrText xml:space="preserve">PAGEREF _Toc228976088 \h</w:instrText>
            </w:r>
            <w:r>
              <w:rPr>
                <w:webHidden/>
              </w:rPr>
              <w:fldChar w:fldCharType="separate"/>
            </w:r>
            <w:r>
              <w:rPr>
                <w:rStyle w:val="Style19"/>
                <w:vanish w:val="false"/>
              </w:rPr>
              <w:tab/>
              <w:t>29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89">
            <w:r>
              <w:rPr>
                <w:webHidden/>
                <w:rStyle w:val="Style19"/>
                <w:vanish w:val="false"/>
              </w:rPr>
              <w:t>3.3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Генеральные подрядчики</w:t>
            </w:r>
            <w:r>
              <w:rPr>
                <w:webHidden/>
              </w:rPr>
              <w:fldChar w:fldCharType="begin"/>
            </w:r>
            <w:r>
              <w:rPr>
                <w:webHidden/>
              </w:rPr>
              <w:instrText xml:space="preserve">PAGEREF _Toc228976089 \h</w:instrText>
            </w:r>
            <w:r>
              <w:rPr>
                <w:webHidden/>
              </w:rPr>
              <w:fldChar w:fldCharType="separate"/>
            </w:r>
            <w:r>
              <w:rPr>
                <w:rStyle w:val="Style19"/>
                <w:vanish w:val="false"/>
              </w:rPr>
              <w:tab/>
              <w:t>31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0">
            <w:r>
              <w:rPr>
                <w:webHidden/>
                <w:rStyle w:val="Style19"/>
                <w:vanish w:val="false"/>
              </w:rPr>
              <w:t>3.4</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Привлечение субподрядчиков (соисполнителей) из числа субъектов МСП</w:t>
            </w:r>
            <w:r>
              <w:rPr>
                <w:webHidden/>
              </w:rPr>
              <w:fldChar w:fldCharType="begin"/>
            </w:r>
            <w:r>
              <w:rPr>
                <w:webHidden/>
              </w:rPr>
              <w:instrText xml:space="preserve">PAGEREF _Toc228976090 \h</w:instrText>
            </w:r>
            <w:r>
              <w:rPr>
                <w:webHidden/>
              </w:rPr>
              <w:fldChar w:fldCharType="separate"/>
            </w:r>
            <w:r>
              <w:rPr>
                <w:rStyle w:val="Style19"/>
                <w:vanish w:val="false"/>
              </w:rPr>
              <w:tab/>
              <w:t>33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091">
            <w:r>
              <w:rPr>
                <w:webHidden/>
                <w:rStyle w:val="Style19"/>
                <w:vanish w:val="false"/>
              </w:rPr>
              <w:t>4.</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Порядок проведения закупки</w:t>
            </w:r>
            <w:r>
              <w:rPr>
                <w:webHidden/>
              </w:rPr>
              <w:fldChar w:fldCharType="begin"/>
            </w:r>
            <w:r>
              <w:rPr>
                <w:webHidden/>
              </w:rPr>
              <w:instrText xml:space="preserve">PAGEREF _Toc228976091 \h</w:instrText>
            </w:r>
            <w:r>
              <w:rPr>
                <w:webHidden/>
              </w:rPr>
              <w:fldChar w:fldCharType="separate"/>
            </w:r>
            <w:r>
              <w:rPr>
                <w:rStyle w:val="Style19"/>
                <w:vanish w:val="false"/>
              </w:rPr>
              <w:tab/>
              <w:t>34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2">
            <w:r>
              <w:rPr>
                <w:webHidden/>
                <w:rStyle w:val="Style19"/>
                <w:vanish w:val="false"/>
              </w:rPr>
              <w:t>4.1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Общий порядок проведения закупки</w:t>
            </w:r>
            <w:r>
              <w:rPr>
                <w:webHidden/>
              </w:rPr>
              <w:fldChar w:fldCharType="begin"/>
            </w:r>
            <w:r>
              <w:rPr>
                <w:webHidden/>
              </w:rPr>
              <w:instrText xml:space="preserve">PAGEREF _Toc228976092 \h</w:instrText>
            </w:r>
            <w:r>
              <w:rPr>
                <w:webHidden/>
              </w:rPr>
              <w:fldChar w:fldCharType="separate"/>
            </w:r>
            <w:r>
              <w:rPr>
                <w:rStyle w:val="Style19"/>
                <w:vanish w:val="false"/>
              </w:rPr>
              <w:tab/>
              <w:t>34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3">
            <w:r>
              <w:rPr>
                <w:webHidden/>
                <w:rStyle w:val="Style19"/>
                <w:vanish w:val="false"/>
              </w:rPr>
              <w:t>4.2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Официальное размещение Извещения и Документации о закупке</w:t>
            </w:r>
            <w:r>
              <w:rPr>
                <w:webHidden/>
              </w:rPr>
              <w:fldChar w:fldCharType="begin"/>
            </w:r>
            <w:r>
              <w:rPr>
                <w:webHidden/>
              </w:rPr>
              <w:instrText xml:space="preserve">PAGEREF _Toc228976093 \h</w:instrText>
            </w:r>
            <w:r>
              <w:rPr>
                <w:webHidden/>
              </w:rPr>
              <w:fldChar w:fldCharType="separate"/>
            </w:r>
            <w:r>
              <w:rPr>
                <w:rStyle w:val="Style19"/>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4">
            <w:r>
              <w:rPr>
                <w:webHidden/>
                <w:rStyle w:val="Style19"/>
                <w:vanish w:val="false"/>
              </w:rPr>
              <w:t>4.3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Подготовка заявки</w:t>
            </w:r>
            <w:r>
              <w:rPr>
                <w:webHidden/>
              </w:rPr>
              <w:fldChar w:fldCharType="begin"/>
            </w:r>
            <w:r>
              <w:rPr>
                <w:webHidden/>
              </w:rPr>
              <w:instrText xml:space="preserve">PAGEREF _Toc228976094 \h</w:instrText>
            </w:r>
            <w:r>
              <w:rPr>
                <w:webHidden/>
              </w:rPr>
              <w:fldChar w:fldCharType="separate"/>
            </w:r>
            <w:r>
              <w:rPr>
                <w:rStyle w:val="Style19"/>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5">
            <w:r>
              <w:rPr>
                <w:webHidden/>
                <w:rStyle w:val="Style19"/>
                <w:vanish w:val="false"/>
              </w:rPr>
              <w:t>4.4</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Разъяснение Документации о закупке</w:t>
            </w:r>
            <w:r>
              <w:rPr>
                <w:webHidden/>
              </w:rPr>
              <w:fldChar w:fldCharType="begin"/>
            </w:r>
            <w:r>
              <w:rPr>
                <w:webHidden/>
              </w:rPr>
              <w:instrText xml:space="preserve">PAGEREF _Toc228976095 \h</w:instrText>
            </w:r>
            <w:r>
              <w:rPr>
                <w:webHidden/>
              </w:rPr>
              <w:fldChar w:fldCharType="separate"/>
            </w:r>
            <w:r>
              <w:rPr>
                <w:rStyle w:val="Style19"/>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6">
            <w:r>
              <w:rPr>
                <w:webHidden/>
                <w:rStyle w:val="Style19"/>
                <w:vanish w:val="false"/>
              </w:rPr>
              <w:t>4.5</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Изменения Извещения и (или) Документации о закупке</w:t>
            </w:r>
            <w:r>
              <w:rPr>
                <w:webHidden/>
              </w:rPr>
              <w:fldChar w:fldCharType="begin"/>
            </w:r>
            <w:r>
              <w:rPr>
                <w:webHidden/>
              </w:rPr>
              <w:instrText xml:space="preserve">PAGEREF _Toc228976096 \h</w:instrText>
            </w:r>
            <w:r>
              <w:rPr>
                <w:webHidden/>
              </w:rPr>
              <w:fldChar w:fldCharType="separate"/>
            </w:r>
            <w:r>
              <w:rPr>
                <w:rStyle w:val="Style19"/>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7">
            <w:r>
              <w:rPr>
                <w:webHidden/>
                <w:rStyle w:val="Style19"/>
                <w:vanish w:val="false"/>
              </w:rPr>
              <w:t>4.6</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Подача заявок и их прием</w:t>
            </w:r>
            <w:r>
              <w:rPr>
                <w:webHidden/>
              </w:rPr>
              <w:fldChar w:fldCharType="begin"/>
            </w:r>
            <w:r>
              <w:rPr>
                <w:webHidden/>
              </w:rPr>
              <w:instrText xml:space="preserve">PAGEREF _Toc228976097 \h</w:instrText>
            </w:r>
            <w:r>
              <w:rPr>
                <w:webHidden/>
              </w:rPr>
              <w:fldChar w:fldCharType="separate"/>
            </w:r>
            <w:r>
              <w:rPr>
                <w:rStyle w:val="Style19"/>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8">
            <w:r>
              <w:rPr>
                <w:webHidden/>
                <w:rStyle w:val="Style19"/>
                <w:vanish w:val="false"/>
              </w:rPr>
              <w:t>4.7</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Изменение и отзыв заявок</w:t>
            </w:r>
            <w:r>
              <w:rPr>
                <w:webHidden/>
              </w:rPr>
              <w:fldChar w:fldCharType="begin"/>
            </w:r>
            <w:r>
              <w:rPr>
                <w:webHidden/>
              </w:rPr>
              <w:instrText xml:space="preserve">PAGEREF _Toc228976098 \h</w:instrText>
            </w:r>
            <w:r>
              <w:rPr>
                <w:webHidden/>
              </w:rPr>
              <w:fldChar w:fldCharType="separate"/>
            </w:r>
            <w:r>
              <w:rPr>
                <w:rStyle w:val="Style19"/>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099">
            <w:r>
              <w:rPr>
                <w:webHidden/>
                <w:rStyle w:val="Style19"/>
                <w:vanish w:val="false"/>
              </w:rPr>
              <w:t>4.8</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Открытие доступа к заявкам</w:t>
            </w:r>
            <w:r>
              <w:rPr>
                <w:webHidden/>
              </w:rPr>
              <w:fldChar w:fldCharType="begin"/>
            </w:r>
            <w:r>
              <w:rPr>
                <w:webHidden/>
              </w:rPr>
              <w:instrText xml:space="preserve">PAGEREF _Toc228976099 \h</w:instrText>
            </w:r>
            <w:r>
              <w:rPr>
                <w:webHidden/>
              </w:rPr>
              <w:fldChar w:fldCharType="separate"/>
            </w:r>
            <w:r>
              <w:rPr>
                <w:rStyle w:val="Style19"/>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0">
            <w:r>
              <w:rPr>
                <w:webHidden/>
                <w:rStyle w:val="Style19"/>
                <w:vanish w:val="false"/>
              </w:rPr>
              <w:t>4.9</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Рассмотрение заявок (отборочная стадия), в том числе (при необходимости) проведение аккредитации</w:t>
            </w:r>
            <w:r>
              <w:rPr>
                <w:webHidden/>
              </w:rPr>
              <w:fldChar w:fldCharType="begin"/>
            </w:r>
            <w:r>
              <w:rPr>
                <w:webHidden/>
              </w:rPr>
              <w:instrText xml:space="preserve">PAGEREF _Toc228976100 \h</w:instrText>
            </w:r>
            <w:r>
              <w:rPr>
                <w:webHidden/>
              </w:rPr>
              <w:fldChar w:fldCharType="separate"/>
            </w:r>
            <w:r>
              <w:rPr>
                <w:rStyle w:val="Style19"/>
                <w:vanish w:val="false"/>
              </w:rPr>
              <w:tab/>
              <w:t>42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1">
            <w:r>
              <w:rPr>
                <w:webHidden/>
                <w:rStyle w:val="Style19"/>
                <w:vanish w:val="false"/>
              </w:rPr>
              <w:t>4.10</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Дополнительные запросы разъяснений заявок</w:t>
            </w:r>
            <w:r>
              <w:rPr>
                <w:webHidden/>
              </w:rPr>
              <w:fldChar w:fldCharType="begin"/>
            </w:r>
            <w:r>
              <w:rPr>
                <w:webHidden/>
              </w:rPr>
              <w:instrText xml:space="preserve">PAGEREF _Toc228976101 \h</w:instrText>
            </w:r>
            <w:r>
              <w:rPr>
                <w:webHidden/>
              </w:rPr>
              <w:fldChar w:fldCharType="separate"/>
            </w:r>
            <w:r>
              <w:rPr>
                <w:rStyle w:val="Style19"/>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2">
            <w:r>
              <w:rPr>
                <w:webHidden/>
                <w:rStyle w:val="Style19"/>
                <w:vanish w:val="false"/>
              </w:rPr>
              <w:t>4.11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Переторжка</w:t>
            </w:r>
            <w:r>
              <w:rPr>
                <w:webHidden/>
              </w:rPr>
              <w:fldChar w:fldCharType="begin"/>
            </w:r>
            <w:r>
              <w:rPr>
                <w:webHidden/>
              </w:rPr>
              <w:instrText xml:space="preserve">PAGEREF _Toc228976102 \h</w:instrText>
            </w:r>
            <w:r>
              <w:rPr>
                <w:webHidden/>
              </w:rPr>
              <w:fldChar w:fldCharType="separate"/>
            </w:r>
            <w:r>
              <w:rPr>
                <w:rStyle w:val="Style19"/>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3">
            <w:r>
              <w:rPr>
                <w:webHidden/>
                <w:rStyle w:val="Style19"/>
                <w:vanish w:val="false"/>
              </w:rPr>
              <w:t>4.12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Оценка и сопоставление заявок</w:t>
            </w:r>
            <w:r>
              <w:rPr>
                <w:webHidden/>
              </w:rPr>
              <w:fldChar w:fldCharType="begin"/>
            </w:r>
            <w:r>
              <w:rPr>
                <w:webHidden/>
              </w:rPr>
              <w:instrText xml:space="preserve">PAGEREF _Toc228976103 \h</w:instrText>
            </w:r>
            <w:r>
              <w:rPr>
                <w:webHidden/>
              </w:rPr>
              <w:fldChar w:fldCharType="separate"/>
            </w:r>
            <w:r>
              <w:rPr>
                <w:rStyle w:val="Style19"/>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4">
            <w:r>
              <w:rPr>
                <w:webHidden/>
                <w:rStyle w:val="Style19"/>
                <w:vanish w:val="false"/>
              </w:rPr>
              <w:t>4.13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Применение законодательства о национальном режиме</w:t>
            </w:r>
            <w:r>
              <w:rPr>
                <w:webHidden/>
              </w:rPr>
              <w:fldChar w:fldCharType="begin"/>
            </w:r>
            <w:r>
              <w:rPr>
                <w:webHidden/>
              </w:rPr>
              <w:instrText xml:space="preserve">PAGEREF _Toc228976104 \h</w:instrText>
            </w:r>
            <w:r>
              <w:rPr>
                <w:webHidden/>
              </w:rPr>
              <w:fldChar w:fldCharType="separate"/>
            </w:r>
            <w:r>
              <w:rPr>
                <w:rStyle w:val="Style19"/>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5">
            <w:r>
              <w:rPr>
                <w:webHidden/>
                <w:rStyle w:val="Style19"/>
                <w:vanish w:val="false"/>
              </w:rPr>
              <w:t>4.14</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Преференции в части использования российского алюминия</w:t>
            </w:r>
            <w:r>
              <w:rPr>
                <w:webHidden/>
              </w:rPr>
              <w:fldChar w:fldCharType="begin"/>
            </w:r>
            <w:r>
              <w:rPr>
                <w:webHidden/>
              </w:rPr>
              <w:instrText xml:space="preserve">PAGEREF _Toc228976105 \h</w:instrText>
            </w:r>
            <w:r>
              <w:rPr>
                <w:webHidden/>
              </w:rPr>
              <w:fldChar w:fldCharType="separate"/>
            </w:r>
            <w:r>
              <w:rPr>
                <w:rStyle w:val="Style19"/>
                <w:vanish w:val="false"/>
              </w:rPr>
              <w:tab/>
              <w:t>51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6">
            <w:r>
              <w:rPr>
                <w:webHidden/>
                <w:rStyle w:val="Style19"/>
                <w:vanish w:val="false"/>
              </w:rPr>
              <w:t>4.15</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Подведение итогов закупки (определение Победителя)</w:t>
            </w:r>
            <w:r>
              <w:rPr>
                <w:webHidden/>
              </w:rPr>
              <w:fldChar w:fldCharType="begin"/>
            </w:r>
            <w:r>
              <w:rPr>
                <w:webHidden/>
              </w:rPr>
              <w:instrText xml:space="preserve">PAGEREF _Toc228976106 \h</w:instrText>
            </w:r>
            <w:r>
              <w:rPr>
                <w:webHidden/>
              </w:rPr>
              <w:fldChar w:fldCharType="separate"/>
            </w:r>
            <w:r>
              <w:rPr>
                <w:rStyle w:val="Style19"/>
                <w:vanish w:val="false"/>
              </w:rPr>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7">
            <w:r>
              <w:rPr>
                <w:webHidden/>
                <w:rStyle w:val="Style19"/>
                <w:vanish w:val="false"/>
              </w:rPr>
              <w:t>4.16</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Признание закупки несостоявшейся</w:t>
            </w:r>
            <w:r>
              <w:rPr>
                <w:webHidden/>
              </w:rPr>
              <w:fldChar w:fldCharType="begin"/>
            </w:r>
            <w:r>
              <w:rPr>
                <w:webHidden/>
              </w:rPr>
              <w:instrText xml:space="preserve">PAGEREF _Toc228976107 \h</w:instrText>
            </w:r>
            <w:r>
              <w:rPr>
                <w:webHidden/>
              </w:rPr>
              <w:fldChar w:fldCharType="separate"/>
            </w:r>
            <w:r>
              <w:rPr>
                <w:rStyle w:val="Style19"/>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8">
            <w:r>
              <w:rPr>
                <w:webHidden/>
                <w:rStyle w:val="Style19"/>
                <w:vanish w:val="false"/>
              </w:rPr>
              <w:t>4.17</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Отказ от проведения закупки (отмена закупки)</w:t>
            </w:r>
            <w:r>
              <w:rPr>
                <w:webHidden/>
              </w:rPr>
              <w:fldChar w:fldCharType="begin"/>
            </w:r>
            <w:r>
              <w:rPr>
                <w:webHidden/>
              </w:rPr>
              <w:instrText xml:space="preserve">PAGEREF _Toc228976108 \h</w:instrText>
            </w:r>
            <w:r>
              <w:rPr>
                <w:webHidden/>
              </w:rPr>
              <w:fldChar w:fldCharType="separate"/>
            </w:r>
            <w:r>
              <w:rPr>
                <w:rStyle w:val="Style19"/>
                <w:vanish w:val="false"/>
              </w:rPr>
              <w:tab/>
              <w:t>55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09">
            <w:r>
              <w:rPr>
                <w:webHidden/>
                <w:rStyle w:val="Style19"/>
                <w:vanish w:val="false"/>
              </w:rPr>
              <w:t>4.18</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Особенности проведения закупки с необходимостью обеспечения заявки</w:t>
            </w:r>
            <w:r>
              <w:rPr>
                <w:webHidden/>
              </w:rPr>
              <w:fldChar w:fldCharType="begin"/>
            </w:r>
            <w:r>
              <w:rPr>
                <w:webHidden/>
              </w:rPr>
              <w:instrText xml:space="preserve">PAGEREF _Toc228976109 \h</w:instrText>
            </w:r>
            <w:r>
              <w:rPr>
                <w:webHidden/>
              </w:rPr>
              <w:fldChar w:fldCharType="separate"/>
            </w:r>
            <w:r>
              <w:rPr>
                <w:rStyle w:val="Style19"/>
                <w:vanish w:val="false"/>
              </w:rPr>
              <w:tab/>
              <w:t>55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0">
            <w:r>
              <w:rPr>
                <w:webHidden/>
                <w:rStyle w:val="Style19"/>
                <w:vanish w:val="false"/>
              </w:rPr>
              <w:t>4.19</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Особенности проведения многолотовой закупки</w:t>
            </w:r>
            <w:r>
              <w:rPr>
                <w:webHidden/>
              </w:rPr>
              <w:fldChar w:fldCharType="begin"/>
            </w:r>
            <w:r>
              <w:rPr>
                <w:webHidden/>
              </w:rPr>
              <w:instrText xml:space="preserve">PAGEREF _Toc228976110 \h</w:instrText>
            </w:r>
            <w:r>
              <w:rPr>
                <w:webHidden/>
              </w:rPr>
              <w:fldChar w:fldCharType="separate"/>
            </w:r>
            <w:r>
              <w:rPr>
                <w:rStyle w:val="Style19"/>
                <w:vanish w:val="false"/>
              </w:rPr>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1">
            <w:r>
              <w:rPr>
                <w:webHidden/>
                <w:rStyle w:val="Style19"/>
                <w:vanish w:val="false"/>
              </w:rPr>
              <w:t>4.20</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Особенности проведения закупки с возможностью подачи альтернативных предложений</w:t>
            </w:r>
            <w:r>
              <w:rPr>
                <w:webHidden/>
              </w:rPr>
              <w:fldChar w:fldCharType="begin"/>
            </w:r>
            <w:r>
              <w:rPr>
                <w:webHidden/>
              </w:rPr>
              <w:instrText xml:space="preserve">PAGEREF _Toc228976111 \h</w:instrText>
            </w:r>
            <w:r>
              <w:rPr>
                <w:webHidden/>
              </w:rPr>
              <w:fldChar w:fldCharType="separate"/>
            </w:r>
            <w:r>
              <w:rPr>
                <w:rStyle w:val="Style19"/>
                <w:vanish w:val="false"/>
              </w:rPr>
              <w:tab/>
              <w:t>59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2">
            <w:r>
              <w:rPr>
                <w:webHidden/>
                <w:rStyle w:val="Style19"/>
                <w:vanish w:val="false"/>
              </w:rPr>
              <w:t>4.21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Особенности проведения закупки с выбором нескольких победителей</w:t>
            </w:r>
            <w:r>
              <w:rPr>
                <w:webHidden/>
              </w:rPr>
              <w:fldChar w:fldCharType="begin"/>
            </w:r>
            <w:r>
              <w:rPr>
                <w:webHidden/>
              </w:rPr>
              <w:instrText xml:space="preserve">PAGEREF _Toc228976112 \h</w:instrText>
            </w:r>
            <w:r>
              <w:rPr>
                <w:webHidden/>
              </w:rPr>
              <w:fldChar w:fldCharType="separate"/>
            </w:r>
            <w:r>
              <w:rPr>
                <w:rStyle w:val="Style19"/>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13">
            <w:r>
              <w:rPr>
                <w:webHidden/>
                <w:rStyle w:val="Style19"/>
                <w:vanish w:val="false"/>
              </w:rPr>
              <w:t>5.</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Порядок заключения Договора</w:t>
            </w:r>
            <w:r>
              <w:rPr>
                <w:webHidden/>
              </w:rPr>
              <w:fldChar w:fldCharType="begin"/>
            </w:r>
            <w:r>
              <w:rPr>
                <w:webHidden/>
              </w:rPr>
              <w:instrText xml:space="preserve">PAGEREF _Toc228976113 \h</w:instrText>
            </w:r>
            <w:r>
              <w:rPr>
                <w:webHidden/>
              </w:rPr>
              <w:fldChar w:fldCharType="separate"/>
            </w:r>
            <w:r>
              <w:rPr>
                <w:rStyle w:val="Style19"/>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4">
            <w:r>
              <w:rPr>
                <w:webHidden/>
                <w:rStyle w:val="Style19"/>
                <w:vanish w:val="false"/>
              </w:rPr>
              <w:t>5.1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Общие положения</w:t>
            </w:r>
            <w:r>
              <w:rPr>
                <w:webHidden/>
              </w:rPr>
              <w:fldChar w:fldCharType="begin"/>
            </w:r>
            <w:r>
              <w:rPr>
                <w:webHidden/>
              </w:rPr>
              <w:instrText xml:space="preserve">PAGEREF _Toc228976114 \h</w:instrText>
            </w:r>
            <w:r>
              <w:rPr>
                <w:webHidden/>
              </w:rPr>
              <w:fldChar w:fldCharType="separate"/>
            </w:r>
            <w:r>
              <w:rPr>
                <w:rStyle w:val="Style19"/>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5">
            <w:r>
              <w:rPr>
                <w:webHidden/>
                <w:rStyle w:val="Style19"/>
                <w:vanish w:val="false"/>
              </w:rPr>
              <w:t>5.2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Заключение Договора</w:t>
            </w:r>
            <w:r>
              <w:rPr>
                <w:webHidden/>
              </w:rPr>
              <w:fldChar w:fldCharType="begin"/>
            </w:r>
            <w:r>
              <w:rPr>
                <w:webHidden/>
              </w:rPr>
              <w:instrText xml:space="preserve">PAGEREF _Toc228976115 \h</w:instrText>
            </w:r>
            <w:r>
              <w:rPr>
                <w:webHidden/>
              </w:rPr>
              <w:fldChar w:fldCharType="separate"/>
            </w:r>
            <w:r>
              <w:rPr>
                <w:rStyle w:val="Style19"/>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6">
            <w:r>
              <w:rPr>
                <w:webHidden/>
                <w:rStyle w:val="Style19"/>
                <w:vanish w:val="false"/>
              </w:rPr>
              <w:t>5.3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Преддоговорные переговоры</w:t>
            </w:r>
            <w:r>
              <w:rPr>
                <w:webHidden/>
              </w:rPr>
              <w:fldChar w:fldCharType="begin"/>
            </w:r>
            <w:r>
              <w:rPr>
                <w:webHidden/>
              </w:rPr>
              <w:instrText xml:space="preserve">PAGEREF _Toc228976116 \h</w:instrText>
            </w:r>
            <w:r>
              <w:rPr>
                <w:webHidden/>
              </w:rPr>
              <w:fldChar w:fldCharType="separate"/>
            </w:r>
            <w:r>
              <w:rPr>
                <w:rStyle w:val="Style19"/>
                <w:vanish w:val="false"/>
              </w:rPr>
              <w:tab/>
              <w:t>64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7">
            <w:r>
              <w:rPr>
                <w:webHidden/>
                <w:rStyle w:val="Style19"/>
                <w:vanish w:val="false"/>
              </w:rPr>
              <w:t>5.4</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Уклонение Победителя от заключения Договора</w:t>
            </w:r>
            <w:r>
              <w:rPr>
                <w:webHidden/>
              </w:rPr>
              <w:fldChar w:fldCharType="begin"/>
            </w:r>
            <w:r>
              <w:rPr>
                <w:webHidden/>
              </w:rPr>
              <w:instrText xml:space="preserve">PAGEREF _Toc228976117 \h</w:instrText>
            </w:r>
            <w:r>
              <w:rPr>
                <w:webHidden/>
              </w:rPr>
              <w:fldChar w:fldCharType="separate"/>
            </w:r>
            <w:r>
              <w:rPr>
                <w:rStyle w:val="Style19"/>
                <w:vanish w:val="false"/>
              </w:rPr>
              <w:tab/>
              <w:t>65</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18">
            <w:r>
              <w:rPr>
                <w:webHidden/>
                <w:rStyle w:val="Style19"/>
                <w:vanish w:val="false"/>
              </w:rPr>
              <w:t>6.</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1 – Технические требования</w:t>
            </w:r>
            <w:r>
              <w:rPr>
                <w:webHidden/>
              </w:rPr>
              <w:fldChar w:fldCharType="begin"/>
            </w:r>
            <w:r>
              <w:rPr>
                <w:webHidden/>
              </w:rPr>
              <w:instrText xml:space="preserve">PAGEREF _Toc228976118 \h</w:instrText>
            </w:r>
            <w:r>
              <w:rPr>
                <w:webHidden/>
              </w:rPr>
              <w:fldChar w:fldCharType="separate"/>
            </w:r>
            <w:r>
              <w:rPr>
                <w:rStyle w:val="Style19"/>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19">
            <w:r>
              <w:rPr>
                <w:webHidden/>
                <w:rStyle w:val="Style19"/>
                <w:vanish w:val="false"/>
              </w:rPr>
              <w:t>6.1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Техническим требованиям</w:t>
            </w:r>
            <w:r>
              <w:rPr>
                <w:webHidden/>
              </w:rPr>
              <w:fldChar w:fldCharType="begin"/>
            </w:r>
            <w:r>
              <w:rPr>
                <w:webHidden/>
              </w:rPr>
              <w:instrText xml:space="preserve">PAGEREF _Toc228976119 \h</w:instrText>
            </w:r>
            <w:r>
              <w:rPr>
                <w:webHidden/>
              </w:rPr>
              <w:fldChar w:fldCharType="separate"/>
            </w:r>
            <w:r>
              <w:rPr>
                <w:rStyle w:val="Style19"/>
                <w:vanish w:val="false"/>
              </w:rPr>
              <w:tab/>
              <w:t>66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20">
            <w:r>
              <w:rPr>
                <w:webHidden/>
                <w:rStyle w:val="Style19"/>
                <w:vanish w:val="false"/>
              </w:rPr>
              <w:t>7.</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2 – Проект договора</w:t>
            </w:r>
            <w:r>
              <w:rPr>
                <w:webHidden/>
              </w:rPr>
              <w:fldChar w:fldCharType="begin"/>
            </w:r>
            <w:r>
              <w:rPr>
                <w:webHidden/>
              </w:rPr>
              <w:instrText xml:space="preserve">PAGEREF _Toc228976120 \h</w:instrText>
            </w:r>
            <w:r>
              <w:rPr>
                <w:webHidden/>
              </w:rPr>
              <w:fldChar w:fldCharType="separate"/>
            </w:r>
            <w:r>
              <w:rPr>
                <w:rStyle w:val="Style19"/>
                <w:vanish w:val="false"/>
              </w:rPr>
              <w:tab/>
              <w:t>67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1">
            <w:r>
              <w:rPr>
                <w:webHidden/>
                <w:rStyle w:val="Style19"/>
                <w:vanish w:val="false"/>
              </w:rPr>
              <w:t>7.1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Проекту договора</w:t>
            </w:r>
            <w:r>
              <w:rPr>
                <w:webHidden/>
              </w:rPr>
              <w:fldChar w:fldCharType="begin"/>
            </w:r>
            <w:r>
              <w:rPr>
                <w:webHidden/>
              </w:rPr>
              <w:instrText xml:space="preserve">PAGEREF _Toc228976121 \h</w:instrText>
            </w:r>
            <w:r>
              <w:rPr>
                <w:webHidden/>
              </w:rPr>
              <w:fldChar w:fldCharType="separate"/>
            </w:r>
            <w:r>
              <w:rPr>
                <w:rStyle w:val="Style19"/>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22">
            <w:r>
              <w:rPr>
                <w:webHidden/>
                <w:rStyle w:val="Style19"/>
                <w:vanish w:val="false"/>
              </w:rPr>
              <w:t>8.</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3 – Требования к Участникам</w:t>
            </w:r>
            <w:r>
              <w:rPr>
                <w:webHidden/>
              </w:rPr>
              <w:fldChar w:fldCharType="begin"/>
            </w:r>
            <w:r>
              <w:rPr>
                <w:webHidden/>
              </w:rPr>
              <w:instrText xml:space="preserve">PAGEREF _Toc228976122 \h</w:instrText>
            </w:r>
            <w:r>
              <w:rPr>
                <w:webHidden/>
              </w:rPr>
              <w:fldChar w:fldCharType="separate"/>
            </w:r>
            <w:r>
              <w:rPr>
                <w:rStyle w:val="Style19"/>
                <w:vanish w:val="false"/>
              </w:rPr>
              <w:tab/>
              <w:t>68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3">
            <w:r>
              <w:rPr>
                <w:webHidden/>
                <w:rStyle w:val="Style19"/>
                <w:vanish w:val="false"/>
              </w:rPr>
              <w:t>8.1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требованиям к Участникам</w:t>
            </w:r>
            <w:r>
              <w:rPr>
                <w:webHidden/>
              </w:rPr>
              <w:fldChar w:fldCharType="begin"/>
            </w:r>
            <w:r>
              <w:rPr>
                <w:webHidden/>
              </w:rPr>
              <w:instrText xml:space="preserve">PAGEREF _Toc228976123 \h</w:instrText>
            </w:r>
            <w:r>
              <w:rPr>
                <w:webHidden/>
              </w:rPr>
              <w:fldChar w:fldCharType="separate"/>
            </w:r>
            <w:r>
              <w:rPr>
                <w:rStyle w:val="Style19"/>
                <w:vanish w:val="false"/>
              </w:rPr>
              <w:tab/>
              <w:t>68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4">
            <w:r>
              <w:rPr>
                <w:webHidden/>
                <w:rStyle w:val="Style19"/>
                <w:vanish w:val="false"/>
              </w:rPr>
              <w:t>8.2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Обязательные требования</w:t>
            </w:r>
            <w:r>
              <w:rPr>
                <w:webHidden/>
              </w:rPr>
              <w:fldChar w:fldCharType="begin"/>
            </w:r>
            <w:r>
              <w:rPr>
                <w:webHidden/>
              </w:rPr>
              <w:instrText xml:space="preserve">PAGEREF _Toc228976124 \h</w:instrText>
            </w:r>
            <w:r>
              <w:rPr>
                <w:webHidden/>
              </w:rPr>
              <w:fldChar w:fldCharType="separate"/>
            </w:r>
            <w:r>
              <w:rPr>
                <w:rStyle w:val="Style19"/>
                <w:vanish w:val="false"/>
              </w:rPr>
              <w:tab/>
              <w:t>68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5">
            <w:r>
              <w:rPr>
                <w:webHidden/>
                <w:rStyle w:val="Style19"/>
                <w:vanish w:val="false"/>
              </w:rPr>
              <w:t>8.3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Специальные требования</w:t>
            </w:r>
            <w:r>
              <w:rPr>
                <w:webHidden/>
              </w:rPr>
              <w:fldChar w:fldCharType="begin"/>
            </w:r>
            <w:r>
              <w:rPr>
                <w:webHidden/>
              </w:rPr>
              <w:instrText xml:space="preserve">PAGEREF _Toc228976125 \h</w:instrText>
            </w:r>
            <w:r>
              <w:rPr>
                <w:webHidden/>
              </w:rPr>
              <w:fldChar w:fldCharType="separate"/>
            </w:r>
            <w:r>
              <w:rPr>
                <w:rStyle w:val="Style19"/>
                <w:vanish w:val="false"/>
              </w:rPr>
              <w:tab/>
              <w:t>71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6">
            <w:r>
              <w:rPr>
                <w:webHidden/>
                <w:rStyle w:val="Style19"/>
                <w:vanish w:val="false"/>
              </w:rPr>
              <w:t>8.4</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Квалификационные требования</w:t>
            </w:r>
            <w:r>
              <w:rPr>
                <w:webHidden/>
              </w:rPr>
              <w:fldChar w:fldCharType="begin"/>
            </w:r>
            <w:r>
              <w:rPr>
                <w:webHidden/>
              </w:rPr>
              <w:instrText xml:space="preserve">PAGEREF _Toc228976126 \h</w:instrText>
            </w:r>
            <w:r>
              <w:rPr>
                <w:webHidden/>
              </w:rPr>
              <w:fldChar w:fldCharType="separate"/>
            </w:r>
            <w:r>
              <w:rPr>
                <w:rStyle w:val="Style19"/>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7">
            <w:r>
              <w:rPr>
                <w:webHidden/>
                <w:rStyle w:val="Style19"/>
                <w:vanish w:val="false"/>
              </w:rPr>
              <w:t>8.5</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Дополнительные требования к Коллективным участникам</w:t>
            </w:r>
            <w:r>
              <w:rPr>
                <w:webHidden/>
              </w:rPr>
              <w:fldChar w:fldCharType="begin"/>
            </w:r>
            <w:r>
              <w:rPr>
                <w:webHidden/>
              </w:rPr>
              <w:instrText xml:space="preserve">PAGEREF _Toc228976127 \h</w:instrText>
            </w:r>
            <w:r>
              <w:rPr>
                <w:webHidden/>
              </w:rPr>
              <w:fldChar w:fldCharType="separate"/>
            </w:r>
            <w:r>
              <w:rPr>
                <w:rStyle w:val="Style19"/>
                <w:vanish w:val="false"/>
              </w:rPr>
              <w:tab/>
              <w:t>73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8">
            <w:r>
              <w:rPr>
                <w:webHidden/>
                <w:rStyle w:val="Style19"/>
                <w:vanish w:val="false"/>
              </w:rPr>
              <w:t>8.6</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Дополнительные требования к Генеральным подрядчикам</w:t>
            </w:r>
            <w:r>
              <w:rPr>
                <w:webHidden/>
              </w:rPr>
              <w:fldChar w:fldCharType="begin"/>
            </w:r>
            <w:r>
              <w:rPr>
                <w:webHidden/>
              </w:rPr>
              <w:instrText xml:space="preserve">PAGEREF _Toc228976128 \h</w:instrText>
            </w:r>
            <w:r>
              <w:rPr>
                <w:webHidden/>
              </w:rPr>
              <w:fldChar w:fldCharType="separate"/>
            </w:r>
            <w:r>
              <w:rPr>
                <w:rStyle w:val="Style19"/>
                <w:vanish w:val="false"/>
              </w:rPr>
              <w:tab/>
              <w:t>74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29">
            <w:r>
              <w:rPr>
                <w:webHidden/>
                <w:rStyle w:val="Style19"/>
                <w:vanish w:val="false"/>
              </w:rPr>
              <w:t>8.7</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r>
              <w:rPr>
                <w:webHidden/>
              </w:rPr>
              <w:fldChar w:fldCharType="begin"/>
            </w:r>
            <w:r>
              <w:rPr>
                <w:webHidden/>
              </w:rPr>
              <w:instrText xml:space="preserve">PAGEREF _Toc228976129 \h</w:instrText>
            </w:r>
            <w:r>
              <w:rPr>
                <w:webHidden/>
              </w:rPr>
              <w:fldChar w:fldCharType="separate"/>
            </w:r>
            <w:r>
              <w:rPr>
                <w:rStyle w:val="Style19"/>
                <w:vanish w:val="false"/>
              </w:rPr>
              <w:tab/>
              <w:t>75</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30">
            <w:r>
              <w:rPr>
                <w:webHidden/>
                <w:rStyle w:val="Style19"/>
                <w:vanish w:val="false"/>
              </w:rPr>
              <w:t>9.</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4 – Образцы форм документов, включаемых в состав заявки</w:t>
            </w:r>
            <w:r>
              <w:rPr>
                <w:webHidden/>
              </w:rPr>
              <w:fldChar w:fldCharType="begin"/>
            </w:r>
            <w:r>
              <w:rPr>
                <w:webHidden/>
              </w:rPr>
              <w:instrText xml:space="preserve">PAGEREF _Toc228976130 \h</w:instrText>
            </w:r>
            <w:r>
              <w:rPr>
                <w:webHidden/>
              </w:rPr>
              <w:fldChar w:fldCharType="separate"/>
            </w:r>
            <w:r>
              <w:rPr>
                <w:rStyle w:val="Style19"/>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31">
            <w:r>
              <w:rPr>
                <w:webHidden/>
                <w:rStyle w:val="Style19"/>
                <w:vanish w:val="false"/>
              </w:rPr>
              <w:t>9.1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Образцам форм документов, включаемых в состав заявки</w:t>
            </w:r>
            <w:r>
              <w:rPr>
                <w:webHidden/>
              </w:rPr>
              <w:fldChar w:fldCharType="begin"/>
            </w:r>
            <w:r>
              <w:rPr>
                <w:webHidden/>
              </w:rPr>
              <w:instrText xml:space="preserve">PAGEREF _Toc228976131 \h</w:instrText>
            </w:r>
            <w:r>
              <w:rPr>
                <w:webHidden/>
              </w:rPr>
              <w:fldChar w:fldCharType="separate"/>
            </w:r>
            <w:r>
              <w:rPr>
                <w:rStyle w:val="Style19"/>
                <w:vanish w:val="false"/>
              </w:rPr>
              <w:tab/>
              <w:t>77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32">
            <w:r>
              <w:rPr>
                <w:webHidden/>
                <w:rStyle w:val="Style19"/>
                <w:vanish w:val="false"/>
              </w:rPr>
              <w:t>10.</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5 – Образцы форм документов, предоставляемых Победителем</w:t>
            </w:r>
            <w:r>
              <w:rPr>
                <w:webHidden/>
              </w:rPr>
              <w:fldChar w:fldCharType="begin"/>
            </w:r>
            <w:r>
              <w:rPr>
                <w:webHidden/>
              </w:rPr>
              <w:instrText xml:space="preserve">PAGEREF _Toc228976132 \h</w:instrText>
            </w:r>
            <w:r>
              <w:rPr>
                <w:webHidden/>
              </w:rPr>
              <w:fldChar w:fldCharType="separate"/>
            </w:r>
            <w:r>
              <w:rPr>
                <w:rStyle w:val="Style19"/>
                <w:vanish w:val="false"/>
              </w:rPr>
              <w:tab/>
              <w:t>78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33">
            <w:r>
              <w:rPr>
                <w:webHidden/>
                <w:rStyle w:val="Style19"/>
                <w:vanish w:val="false"/>
              </w:rPr>
              <w:t>10.1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Образцам форм документов, предоставляемых Победителем</w:t>
            </w:r>
            <w:r>
              <w:rPr>
                <w:webHidden/>
              </w:rPr>
              <w:fldChar w:fldCharType="begin"/>
            </w:r>
            <w:r>
              <w:rPr>
                <w:webHidden/>
              </w:rPr>
              <w:instrText xml:space="preserve">PAGEREF _Toc228976133 \h</w:instrText>
            </w:r>
            <w:r>
              <w:rPr>
                <w:webHidden/>
              </w:rPr>
              <w:fldChar w:fldCharType="separate"/>
            </w:r>
            <w:r>
              <w:rPr>
                <w:rStyle w:val="Style19"/>
                <w:vanish w:val="false"/>
              </w:rPr>
              <w:tab/>
              <w:t>78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34">
            <w:r>
              <w:rPr>
                <w:webHidden/>
                <w:rStyle w:val="Style19"/>
                <w:vanish w:val="false"/>
              </w:rPr>
              <w:t>10.2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_Toc228976134 \h</w:instrText>
            </w:r>
            <w:r>
              <w:rPr>
                <w:webHidden/>
              </w:rPr>
              <w:fldChar w:fldCharType="separate"/>
            </w:r>
            <w:r>
              <w:rPr>
                <w:rStyle w:val="Style19"/>
                <w:vanish w:val="false"/>
              </w:rPr>
              <w:tab/>
              <w:t>78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35">
            <w:r>
              <w:rPr>
                <w:webHidden/>
                <w:rStyle w:val="Style19"/>
                <w:vanish w:val="false"/>
              </w:rPr>
              <w:t>10.3</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Форма «Заверение об обстоятельствах»</w:t>
            </w:r>
            <w:r>
              <w:rPr>
                <w:webHidden/>
              </w:rPr>
              <w:fldChar w:fldCharType="begin"/>
            </w:r>
            <w:r>
              <w:rPr>
                <w:webHidden/>
              </w:rPr>
              <w:instrText xml:space="preserve">PAGEREF _Toc228976135 \h</w:instrText>
            </w:r>
            <w:r>
              <w:rPr>
                <w:webHidden/>
              </w:rPr>
              <w:fldChar w:fldCharType="separate"/>
            </w:r>
            <w:r>
              <w:rPr>
                <w:rStyle w:val="Style19"/>
                <w:vanish w:val="false"/>
              </w:rPr>
              <w:tab/>
              <w:t>78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36">
            <w:r>
              <w:rPr>
                <w:webHidden/>
                <w:rStyle w:val="Style19"/>
                <w:vanish w:val="false"/>
              </w:rPr>
              <w:t>11.</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6 – Состав заявки</w:t>
            </w:r>
            <w:r>
              <w:rPr>
                <w:webHidden/>
              </w:rPr>
              <w:fldChar w:fldCharType="begin"/>
            </w:r>
            <w:r>
              <w:rPr>
                <w:webHidden/>
              </w:rPr>
              <w:instrText xml:space="preserve">PAGEREF _Toc228976136 \h</w:instrText>
            </w:r>
            <w:r>
              <w:rPr>
                <w:webHidden/>
              </w:rPr>
              <w:fldChar w:fldCharType="separate"/>
            </w:r>
            <w:r>
              <w:rPr>
                <w:rStyle w:val="Style19"/>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37">
            <w:r>
              <w:rPr>
                <w:webHidden/>
                <w:rStyle w:val="Style19"/>
                <w:vanish w:val="false"/>
              </w:rPr>
              <w:t>11.1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Состав заявки</w:t>
            </w:r>
            <w:r>
              <w:rPr>
                <w:webHidden/>
              </w:rPr>
              <w:fldChar w:fldCharType="begin"/>
            </w:r>
            <w:r>
              <w:rPr>
                <w:webHidden/>
              </w:rPr>
              <w:instrText xml:space="preserve">PAGEREF _Toc228976137 \h</w:instrText>
            </w:r>
            <w:r>
              <w:rPr>
                <w:webHidden/>
              </w:rPr>
              <w:fldChar w:fldCharType="separate"/>
            </w:r>
            <w:r>
              <w:rPr>
                <w:rStyle w:val="Style19"/>
                <w:vanish w:val="false"/>
              </w:rPr>
              <w:tab/>
              <w:t>80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38">
            <w:r>
              <w:rPr>
                <w:webHidden/>
                <w:rStyle w:val="Style19"/>
                <w:vanish w:val="false"/>
              </w:rPr>
              <w:t>12.</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7 – Отборочные критерии рассмотрения заявок</w:t>
            </w:r>
            <w:r>
              <w:rPr>
                <w:webHidden/>
              </w:rPr>
              <w:fldChar w:fldCharType="begin"/>
            </w:r>
            <w:r>
              <w:rPr>
                <w:webHidden/>
              </w:rPr>
              <w:instrText xml:space="preserve">PAGEREF _Toc228976138 \h</w:instrText>
            </w:r>
            <w:r>
              <w:rPr>
                <w:webHidden/>
              </w:rPr>
              <w:fldChar w:fldCharType="separate"/>
            </w:r>
            <w:r>
              <w:rPr>
                <w:rStyle w:val="Style19"/>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39">
            <w:r>
              <w:rPr>
                <w:webHidden/>
                <w:rStyle w:val="Style19"/>
                <w:vanish w:val="false"/>
              </w:rPr>
              <w:t>12.1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Отборочные критерии рассмотрения заявок</w:t>
            </w:r>
            <w:r>
              <w:rPr>
                <w:webHidden/>
              </w:rPr>
              <w:fldChar w:fldCharType="begin"/>
            </w:r>
            <w:r>
              <w:rPr>
                <w:webHidden/>
              </w:rPr>
              <w:instrText xml:space="preserve">PAGEREF _Toc228976139 \h</w:instrText>
            </w:r>
            <w:r>
              <w:rPr>
                <w:webHidden/>
              </w:rPr>
              <w:fldChar w:fldCharType="separate"/>
            </w:r>
            <w:r>
              <w:rPr>
                <w:rStyle w:val="Style19"/>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40">
            <w:r>
              <w:rPr>
                <w:webHidden/>
                <w:rStyle w:val="Style19"/>
                <w:vanish w:val="false"/>
              </w:rPr>
              <w:t>12.2</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_Toc228976140 \h</w:instrText>
            </w:r>
            <w:r>
              <w:rPr>
                <w:webHidden/>
              </w:rPr>
              <w:fldChar w:fldCharType="separate"/>
            </w:r>
            <w:r>
              <w:rPr>
                <w:rStyle w:val="Style19"/>
                <w:vanish w:val="false"/>
              </w:rPr>
              <w:tab/>
              <w:t>88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41">
            <w:r>
              <w:rPr>
                <w:webHidden/>
                <w:rStyle w:val="Style19"/>
                <w:vanish w:val="false"/>
              </w:rPr>
              <w:t>13.</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8 – Порядок и критерии оценки и сопоставления заявок</w:t>
            </w:r>
            <w:r>
              <w:rPr>
                <w:webHidden/>
              </w:rPr>
              <w:fldChar w:fldCharType="begin"/>
            </w:r>
            <w:r>
              <w:rPr>
                <w:webHidden/>
              </w:rPr>
              <w:instrText xml:space="preserve">PAGEREF _Toc228976141 \h</w:instrText>
            </w:r>
            <w:r>
              <w:rPr>
                <w:webHidden/>
              </w:rPr>
              <w:fldChar w:fldCharType="separate"/>
            </w:r>
            <w:r>
              <w:rPr>
                <w:rStyle w:val="Style19"/>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42">
            <w:r>
              <w:rPr>
                <w:webHidden/>
                <w:rStyle w:val="Style19"/>
                <w:vanish w:val="false"/>
              </w:rPr>
              <w:t>13.1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Порядок и критерии оценки и сопоставления заявок</w:t>
            </w:r>
            <w:r>
              <w:rPr>
                <w:webHidden/>
              </w:rPr>
              <w:fldChar w:fldCharType="begin"/>
            </w:r>
            <w:r>
              <w:rPr>
                <w:webHidden/>
              </w:rPr>
              <w:instrText xml:space="preserve">PAGEREF _Toc228976142 \h</w:instrText>
            </w:r>
            <w:r>
              <w:rPr>
                <w:webHidden/>
              </w:rPr>
              <w:fldChar w:fldCharType="separate"/>
            </w:r>
            <w:r>
              <w:rPr>
                <w:rStyle w:val="Style19"/>
                <w:vanish w:val="false"/>
              </w:rPr>
              <w:tab/>
              <w:t>91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43">
            <w:r>
              <w:rPr>
                <w:webHidden/>
                <w:rStyle w:val="Style19"/>
                <w:vanish w:val="false"/>
              </w:rPr>
              <w:t>14.</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9 – Обоснование НМЦ</w:t>
            </w:r>
            <w:r>
              <w:rPr>
                <w:webHidden/>
              </w:rPr>
              <w:fldChar w:fldCharType="begin"/>
            </w:r>
            <w:r>
              <w:rPr>
                <w:webHidden/>
              </w:rPr>
              <w:instrText xml:space="preserve">PAGEREF _Toc228976143 \h</w:instrText>
            </w:r>
            <w:r>
              <w:rPr>
                <w:webHidden/>
              </w:rPr>
              <w:fldChar w:fldCharType="separate"/>
            </w:r>
            <w:r>
              <w:rPr>
                <w:rStyle w:val="Style19"/>
                <w:vanish w:val="false"/>
              </w:rPr>
              <w:tab/>
              <w:t>98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44">
            <w:r>
              <w:rPr>
                <w:webHidden/>
                <w:rStyle w:val="Style19"/>
                <w:vanish w:val="false"/>
              </w:rPr>
              <w:t>14.1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Обоснованию НМЦ</w:t>
            </w:r>
            <w:r>
              <w:rPr>
                <w:webHidden/>
              </w:rPr>
              <w:fldChar w:fldCharType="begin"/>
            </w:r>
            <w:r>
              <w:rPr>
                <w:webHidden/>
              </w:rPr>
              <w:instrText xml:space="preserve">PAGEREF _Toc228976144 \h</w:instrText>
            </w:r>
            <w:r>
              <w:rPr>
                <w:webHidden/>
              </w:rPr>
              <w:fldChar w:fldCharType="separate"/>
            </w:r>
            <w:r>
              <w:rPr>
                <w:rStyle w:val="Style19"/>
                <w:vanish w:val="false"/>
              </w:rPr>
              <w:tab/>
              <w:t>98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45">
            <w:r>
              <w:rPr>
                <w:webHidden/>
                <w:rStyle w:val="Style19"/>
                <w:vanish w:val="false"/>
              </w:rPr>
              <w:t>15.</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10 – Форма Заявки на аккредитацию</w:t>
            </w:r>
            <w:r>
              <w:rPr>
                <w:webHidden/>
              </w:rPr>
              <w:fldChar w:fldCharType="begin"/>
            </w:r>
            <w:r>
              <w:rPr>
                <w:webHidden/>
              </w:rPr>
              <w:instrText xml:space="preserve">PAGEREF _Toc228976145 \h</w:instrText>
            </w:r>
            <w:r>
              <w:rPr>
                <w:webHidden/>
              </w:rPr>
              <w:fldChar w:fldCharType="separate"/>
            </w:r>
            <w:r>
              <w:rPr>
                <w:rStyle w:val="Style19"/>
                <w:vanish w:val="false"/>
              </w:rPr>
              <w:tab/>
              <w:t>99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46">
            <w:r>
              <w:rPr>
                <w:webHidden/>
                <w:rStyle w:val="Style19"/>
                <w:vanish w:val="false"/>
              </w:rPr>
              <w:t>15.1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форме Заявки на аккредитацию</w:t>
            </w:r>
            <w:r>
              <w:rPr>
                <w:webHidden/>
              </w:rPr>
              <w:fldChar w:fldCharType="begin"/>
            </w:r>
            <w:r>
              <w:rPr>
                <w:webHidden/>
              </w:rPr>
              <w:instrText xml:space="preserve">PAGEREF _Toc228976146 \h</w:instrText>
            </w:r>
            <w:r>
              <w:rPr>
                <w:webHidden/>
              </w:rPr>
              <w:fldChar w:fldCharType="separate"/>
            </w:r>
            <w:r>
              <w:rPr>
                <w:rStyle w:val="Style19"/>
                <w:vanish w:val="false"/>
              </w:rPr>
              <w:tab/>
              <w:t>99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147">
            <w:r>
              <w:rPr>
                <w:webHidden/>
                <w:rStyle w:val="Style19"/>
                <w:vanish w:val="false"/>
              </w:rPr>
              <w:t>16.</w:t>
            </w:r>
            <w:r>
              <w:rPr>
                <w:rStyle w:val="Style19"/>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9"/>
              </w:rPr>
              <w:t>Приложение № 11 – форма Данных бухгалтерской (финансовой) отчетности</w:t>
            </w:r>
            <w:r>
              <w:rPr>
                <w:webHidden/>
              </w:rPr>
              <w:fldChar w:fldCharType="begin"/>
            </w:r>
            <w:r>
              <w:rPr>
                <w:webHidden/>
              </w:rPr>
              <w:instrText xml:space="preserve">PAGEREF _Toc228976147 \h</w:instrText>
            </w:r>
            <w:r>
              <w:rPr>
                <w:webHidden/>
              </w:rPr>
              <w:fldChar w:fldCharType="separate"/>
            </w:r>
            <w:r>
              <w:rPr>
                <w:rStyle w:val="Style19"/>
                <w:vanish w:val="false"/>
              </w:rPr>
              <w:tab/>
              <w:t>100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148">
            <w:r>
              <w:rPr>
                <w:webHidden/>
                <w:rStyle w:val="Style19"/>
                <w:vanish w:val="false"/>
              </w:rPr>
              <w:t>16.1</w:t>
            </w:r>
            <w:r>
              <w:rPr>
                <w:rStyle w:val="Style19"/>
                <w:rFonts w:eastAsia="" w:ascii="Calibri" w:hAnsi="Calibri" w:asciiTheme="minorHAnsi" w:eastAsiaTheme="minorEastAsia" w:hAnsiTheme="minorHAnsi"/>
                <w:kern w:val="2"/>
                <w:sz w:val="24"/>
                <w:szCs w:val="24"/>
                <w:lang w:eastAsia="ru-RU"/>
                <w14:ligatures w14:val="standardContextual"/>
              </w:rPr>
              <w:tab/>
            </w:r>
            <w:r>
              <w:rPr>
                <w:rStyle w:val="Style19"/>
              </w:rPr>
              <w:t>Пояснения к форме Данных бухгалтерской (финансовой) отчетности</w:t>
            </w:r>
            <w:r>
              <w:rPr>
                <w:webHidden/>
              </w:rPr>
              <w:fldChar w:fldCharType="begin"/>
            </w:r>
            <w:r>
              <w:rPr>
                <w:webHidden/>
              </w:rPr>
              <w:instrText xml:space="preserve">PAGEREF _Toc228976148 \h</w:instrText>
            </w:r>
            <w:r>
              <w:rPr>
                <w:webHidden/>
              </w:rPr>
              <w:fldChar w:fldCharType="separate"/>
            </w:r>
            <w:r>
              <w:rPr>
                <w:rStyle w:val="Style19"/>
                <w:vanish w:val="false"/>
              </w:rPr>
              <w:tab/>
              <w:t>100</w:t>
            </w:r>
            <w:r>
              <w:rPr>
                <w:webHidden/>
              </w:rPr>
              <w:fldChar w:fldCharType="end"/>
            </w:r>
          </w:hyperlink>
          <w:r>
            <w:rPr>
              <w:rStyle w:val="Style19"/>
              <w:vanish w:val="false"/>
            </w:rPr>
            <w:fldChar w:fldCharType="end"/>
          </w:r>
        </w:p>
      </w:sdtContent>
    </w:sdt>
    <w:p>
      <w:pPr>
        <w:pStyle w:val="Style29"/>
        <w:jc w:val="both"/>
        <w:rPr/>
      </w:pPr>
      <w:r>
        <w:rPr/>
      </w:r>
    </w:p>
    <w:p>
      <w:pPr>
        <w:pStyle w:val="Style29"/>
        <w:keepNext w:val="true"/>
        <w:spacing w:before="60" w:after="0"/>
        <w:rPr>
          <w:rStyle w:val="Style16"/>
        </w:rPr>
      </w:pPr>
      <w:r>
        <w:rPr>
          <w:rStyle w:val="Style16"/>
        </w:rPr>
        <w:t xml:space="preserve">[Примечание (дополнительные удобства работы с Документацией о закупке; Microsoft Word | </w:t>
      </w:r>
      <w:r>
        <w:rPr>
          <w:rStyle w:val="Style16"/>
          <w:color w:val="4472C4" w:themeColor="accent1"/>
        </w:rPr>
        <w:t>AlterOffice AText – отмечены отличая для данного текстового редактора</w:t>
      </w:r>
      <w:r>
        <w:rPr>
          <w:rStyle w:val="Style16"/>
        </w:rPr>
        <w:t>):</w:t>
      </w:r>
    </w:p>
    <w:p>
      <w:pPr>
        <w:pStyle w:val="Style29"/>
        <w:numPr>
          <w:ilvl w:val="0"/>
          <w:numId w:val="13"/>
        </w:numPr>
        <w:spacing w:before="60" w:after="0"/>
        <w:ind w:hanging="284" w:left="284"/>
        <w:rPr>
          <w:rStyle w:val="Style16"/>
        </w:rPr>
      </w:pPr>
      <w:r>
        <w:rPr>
          <w:rStyle w:val="Style16"/>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6"/>
          <w:color w:val="4472C4" w:themeColor="accent1"/>
        </w:rPr>
        <w:t>включается на вкладке «Вид» опцией «Навигатор»</w:t>
      </w:r>
      <w:r>
        <w:rPr>
          <w:rStyle w:val="Style16"/>
        </w:rPr>
        <w:t>;</w:t>
      </w:r>
    </w:p>
    <w:p>
      <w:pPr>
        <w:pStyle w:val="Style29"/>
        <w:numPr>
          <w:ilvl w:val="0"/>
          <w:numId w:val="13"/>
        </w:numPr>
        <w:spacing w:before="60" w:after="0"/>
        <w:ind w:hanging="284" w:left="284"/>
        <w:rPr>
          <w:rStyle w:val="Style16"/>
        </w:rPr>
      </w:pPr>
      <w:r>
        <w:rPr>
          <w:rStyle w:val="Style16"/>
        </w:rPr>
        <w:t>переход по перекрестным и другим ссылкам осуществляется левым кликом мыши с</w:t>
      </w:r>
      <w:r>
        <w:rPr>
          <w:rStyle w:val="Style16"/>
          <w:lang w:val="en-US"/>
        </w:rPr>
        <w:t> </w:t>
      </w:r>
      <w:r>
        <w:rPr>
          <w:rStyle w:val="Style16"/>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6"/>
          <w:color w:val="4472C4" w:themeColor="accent1"/>
        </w:rPr>
        <w:t>(обратный переход функционально не реализован в AlterOffice AText, пользуйтесь функциональностью «Навигатор»)</w:t>
      </w:r>
      <w:r>
        <w:rPr>
          <w:rStyle w:val="Style16"/>
        </w:rPr>
        <w:t>;</w:t>
      </w:r>
    </w:p>
    <w:p>
      <w:pPr>
        <w:pStyle w:val="Style29"/>
        <w:numPr>
          <w:ilvl w:val="0"/>
          <w:numId w:val="13"/>
        </w:numPr>
        <w:spacing w:before="60" w:after="0"/>
        <w:ind w:hanging="284" w:left="284"/>
        <w:rPr>
          <w:rStyle w:val="Style16"/>
        </w:rPr>
      </w:pPr>
      <w:r>
        <w:rPr>
          <w:rStyle w:val="Style16"/>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6"/>
          <w:lang w:val="en-US"/>
        </w:rPr>
        <w:t> </w:t>
      </w:r>
      <w:r>
        <w:rPr>
          <w:rStyle w:val="Style16"/>
        </w:rPr>
        <w:t>тексте;</w:t>
      </w:r>
    </w:p>
    <w:p>
      <w:pPr>
        <w:pStyle w:val="Style29"/>
        <w:numPr>
          <w:ilvl w:val="0"/>
          <w:numId w:val="13"/>
        </w:numPr>
        <w:spacing w:before="60" w:after="0"/>
        <w:ind w:hanging="284" w:left="284"/>
        <w:rPr>
          <w:rStyle w:val="Style16"/>
        </w:rPr>
      </w:pPr>
      <w:r>
        <w:rPr>
          <w:rStyle w:val="Style16"/>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6"/>
        </w:rPr>
        <w:t>.]</w:t>
      </w:r>
    </w:p>
    <w:p>
      <w:pPr>
        <w:pStyle w:val="Style28"/>
        <w:numPr>
          <w:ilvl w:val="0"/>
          <w:numId w:val="0"/>
        </w:numPr>
        <w:ind w:hanging="0" w:left="0"/>
        <w:outlineLvl w:val="0"/>
        <w:rPr/>
      </w:pPr>
      <w:bookmarkStart w:id="0" w:name="_Toc228976075"/>
      <w:r>
        <w:rPr/>
        <w:t>Сокращения</w:t>
      </w:r>
      <w:bookmarkEnd w:id="0"/>
    </w:p>
    <w:p>
      <w:pPr>
        <w:pStyle w:val="Style29"/>
        <w:ind w:firstLine="567"/>
        <w:rPr/>
      </w:pPr>
      <w:r>
        <w:rPr>
          <w:b/>
          <w:bCs/>
        </w:rPr>
        <w:t>ГК РФ</w:t>
      </w:r>
      <w:r>
        <w:rPr/>
        <w:t xml:space="preserve"> – Гражданской кодекс Российской Федерации.</w:t>
      </w:r>
    </w:p>
    <w:p>
      <w:pPr>
        <w:pStyle w:val="Style29"/>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9"/>
        <w:ind w:firstLine="567"/>
        <w:rPr/>
      </w:pPr>
      <w:r>
        <w:rPr>
          <w:b/>
          <w:bCs/>
        </w:rPr>
        <w:t>ЕАЭС</w:t>
      </w:r>
      <w:r>
        <w:rPr/>
        <w:t xml:space="preserve"> – Евразийский экономический союз.</w:t>
      </w:r>
    </w:p>
    <w:p>
      <w:pPr>
        <w:pStyle w:val="Style29"/>
        <w:ind w:firstLine="567"/>
        <w:rPr/>
      </w:pPr>
      <w:r>
        <w:rPr>
          <w:b/>
          <w:bCs/>
        </w:rPr>
        <w:t>ЕГРИП</w:t>
      </w:r>
      <w:r>
        <w:rPr/>
        <w:t xml:space="preserve"> – Единый государственный реестр индивидуальных предпринимателей.</w:t>
      </w:r>
    </w:p>
    <w:p>
      <w:pPr>
        <w:pStyle w:val="Style29"/>
        <w:ind w:firstLine="567"/>
        <w:rPr/>
      </w:pPr>
      <w:r>
        <w:rPr>
          <w:b/>
          <w:bCs/>
        </w:rPr>
        <w:t>ЕГРЮЛ</w:t>
      </w:r>
      <w:r>
        <w:rPr/>
        <w:t xml:space="preserve"> – Единый государственный реестр юридических лиц.</w:t>
      </w:r>
    </w:p>
    <w:p>
      <w:pPr>
        <w:pStyle w:val="Style29"/>
        <w:ind w:firstLine="567"/>
        <w:rPr/>
      </w:pPr>
      <w:r>
        <w:rPr>
          <w:b/>
          <w:bCs/>
        </w:rPr>
        <w:t>ЕИС</w:t>
      </w:r>
      <w:r>
        <w:rPr/>
        <w:t xml:space="preserve"> – Единая информационная система в сфере закупок.</w:t>
      </w:r>
    </w:p>
    <w:p>
      <w:pPr>
        <w:pStyle w:val="Style29"/>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9"/>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9"/>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9"/>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9"/>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9"/>
        <w:ind w:firstLine="567"/>
        <w:rPr/>
      </w:pPr>
      <w:r>
        <w:rPr>
          <w:b/>
          <w:bCs/>
        </w:rPr>
        <w:t>Извещение</w:t>
      </w:r>
      <w:r>
        <w:rPr/>
        <w:t xml:space="preserve"> – извещение о проведении настоящей закупки.</w:t>
      </w:r>
    </w:p>
    <w:p>
      <w:pPr>
        <w:pStyle w:val="Style29"/>
        <w:ind w:firstLine="567"/>
        <w:rPr/>
      </w:pPr>
      <w:r>
        <w:rPr>
          <w:b/>
          <w:bCs/>
        </w:rPr>
        <w:t>ИНН</w:t>
      </w:r>
      <w:r>
        <w:rPr/>
        <w:t xml:space="preserve"> – идентификационный номер налогоплательщика.</w:t>
      </w:r>
    </w:p>
    <w:p>
      <w:pPr>
        <w:pStyle w:val="Style29"/>
        <w:ind w:firstLine="567"/>
        <w:rPr/>
      </w:pPr>
      <w:r>
        <w:rPr>
          <w:b/>
          <w:bCs/>
        </w:rPr>
        <w:t>ИФНС</w:t>
      </w:r>
      <w:r>
        <w:rPr/>
        <w:t xml:space="preserve"> – инспекция Федеральной налоговой службы Российской Федерации.</w:t>
      </w:r>
    </w:p>
    <w:p>
      <w:pPr>
        <w:pStyle w:val="Style29"/>
        <w:ind w:firstLine="567"/>
        <w:rPr/>
      </w:pPr>
      <w:r>
        <w:rPr>
          <w:b/>
          <w:bCs/>
        </w:rPr>
        <w:t>МТР</w:t>
      </w:r>
      <w:r>
        <w:rPr/>
        <w:t xml:space="preserve"> – материально-технические ресурсы.</w:t>
      </w:r>
    </w:p>
    <w:p>
      <w:pPr>
        <w:pStyle w:val="Style29"/>
        <w:ind w:firstLine="567"/>
        <w:rPr/>
      </w:pPr>
      <w:r>
        <w:rPr>
          <w:b/>
          <w:bCs/>
        </w:rPr>
        <w:t>НДС</w:t>
      </w:r>
      <w:r>
        <w:rPr/>
        <w:t xml:space="preserve"> – налог на добавленную стоимость.</w:t>
      </w:r>
    </w:p>
    <w:p>
      <w:pPr>
        <w:pStyle w:val="Style29"/>
        <w:ind w:firstLine="567"/>
        <w:rPr/>
      </w:pPr>
      <w:r>
        <w:rPr>
          <w:b/>
          <w:bCs/>
        </w:rPr>
        <w:t>НМЦ</w:t>
      </w:r>
      <w:r>
        <w:rPr/>
        <w:t xml:space="preserve"> – начальная (максимальная) цена договора.</w:t>
      </w:r>
    </w:p>
    <w:p>
      <w:pPr>
        <w:pStyle w:val="Style29"/>
        <w:ind w:firstLine="567"/>
        <w:rPr/>
      </w:pPr>
      <w:r>
        <w:rPr>
          <w:b/>
          <w:bCs/>
        </w:rPr>
        <w:t>Оператор ЭП</w:t>
      </w:r>
      <w:r>
        <w:rPr/>
        <w:t xml:space="preserve"> – оператор электронной площадки.</w:t>
      </w:r>
    </w:p>
    <w:p>
      <w:pPr>
        <w:pStyle w:val="Style29"/>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9"/>
        <w:ind w:firstLine="567"/>
        <w:rPr/>
      </w:pPr>
      <w:r>
        <w:rPr>
          <w:b/>
          <w:bCs/>
        </w:rPr>
        <w:t>Положение о закупке</w:t>
      </w:r>
      <w:r>
        <w:rPr/>
        <w:t xml:space="preserve"> – Единое Положение о закупке продукции для нужд Группы РусГидро.</w:t>
      </w:r>
    </w:p>
    <w:p>
      <w:pPr>
        <w:pStyle w:val="Style29"/>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9"/>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9"/>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9"/>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9"/>
        <w:ind w:firstLine="567"/>
        <w:rPr/>
      </w:pPr>
      <w:r>
        <w:rPr>
          <w:b/>
          <w:bCs/>
        </w:rPr>
        <w:t>ПП 1875</w:t>
      </w:r>
      <w:r>
        <w:rPr/>
        <w:t xml:space="preserve"> – постановление Правительства Российской Федерации от 23.12.2024 №</w:t>
      </w:r>
      <w:r>
        <w:rPr>
          <w:lang w:val="en-US"/>
        </w:rPr>
        <w:t> </w:t>
      </w:r>
      <w:r>
        <w:rPr/>
        <w:t>1875 «О мерах по</w:t>
      </w:r>
      <w:r>
        <w:rPr>
          <w:lang w:val="en-US"/>
        </w:rPr>
        <w:t> </w:t>
      </w:r>
      <w:r>
        <w:rPr/>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9"/>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9"/>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29"/>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9"/>
        <w:ind w:firstLine="567"/>
        <w:rPr/>
      </w:pPr>
      <w:r>
        <w:rPr>
          <w:b/>
          <w:bCs/>
        </w:rPr>
        <w:t>Субъект МСП</w:t>
      </w:r>
      <w:r>
        <w:rPr/>
        <w:t xml:space="preserve"> – субъект малого и среднего предпринимательства.</w:t>
      </w:r>
    </w:p>
    <w:p>
      <w:pPr>
        <w:pStyle w:val="Style29"/>
        <w:ind w:firstLine="567"/>
        <w:rPr/>
      </w:pPr>
      <w:r>
        <w:rPr>
          <w:b/>
          <w:bCs/>
        </w:rPr>
        <w:t>ЭП</w:t>
      </w:r>
      <w:r>
        <w:rPr/>
        <w:t xml:space="preserve"> – электронная площадка.</w:t>
      </w:r>
    </w:p>
    <w:p>
      <w:pPr>
        <w:pStyle w:val="Style28"/>
        <w:numPr>
          <w:ilvl w:val="0"/>
          <w:numId w:val="0"/>
        </w:numPr>
        <w:ind w:hanging="0" w:left="0"/>
        <w:outlineLvl w:val="0"/>
        <w:rPr/>
      </w:pPr>
      <w:bookmarkStart w:id="1" w:name="_Toc228976076"/>
      <w:r>
        <w:rPr/>
        <w:t>Термины и определения</w:t>
      </w:r>
      <w:bookmarkEnd w:id="1"/>
    </w:p>
    <w:p>
      <w:pPr>
        <w:pStyle w:val="Style29"/>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9"/>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9"/>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29"/>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9"/>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9"/>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9"/>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9"/>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9"/>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9"/>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9"/>
        <w:ind w:firstLine="567"/>
        <w:rPr/>
      </w:pPr>
      <w:r>
        <w:rPr>
          <w:b/>
          <w:bCs/>
        </w:rPr>
        <w:t>Заявка (заявка на участие в закупке)</w:t>
      </w:r>
      <w:r>
        <w:rPr/>
        <w:t xml:space="preserve"> – </w:t>
      </w:r>
      <w:bookmarkStart w:id="2" w:name="_Hlk187326951"/>
      <w:r>
        <w:rPr/>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Pr>
          <w:lang w:val="en-US"/>
        </w:rPr>
        <w:t> </w:t>
      </w:r>
      <w:r>
        <w:rPr/>
        <w:t>конкурентных закупок – в Извещении и</w:t>
      </w:r>
      <w:r>
        <w:rPr>
          <w:lang w:val="en-US"/>
        </w:rPr>
        <w:t> </w:t>
      </w:r>
      <w:r>
        <w:rPr/>
        <w:t>(или) Документацией о закупке.</w:t>
      </w:r>
      <w:bookmarkEnd w:id="2"/>
    </w:p>
    <w:p>
      <w:pPr>
        <w:pStyle w:val="Style29"/>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9"/>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9"/>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9"/>
        <w:ind w:firstLine="567"/>
        <w:rPr/>
      </w:pPr>
      <w:r>
        <w:rPr>
          <w:b/>
          <w:bCs/>
        </w:rPr>
        <w:t>Коллективный участник</w:t>
      </w:r>
      <w:r>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29"/>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9"/>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9"/>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9"/>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9"/>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9"/>
        <w:ind w:firstLine="567"/>
        <w:rPr/>
      </w:pPr>
      <w:r>
        <w:rPr>
          <w:b/>
          <w:bCs/>
        </w:rPr>
        <w:t>Официальное размещение</w:t>
      </w:r>
      <w:r>
        <w:rPr/>
        <w:t xml:space="preserve"> – размещение информации о закупке в ЕИС, на</w:t>
      </w:r>
      <w:r>
        <w:rPr>
          <w:lang w:val="en-US"/>
        </w:rPr>
        <w:t> </w:t>
      </w:r>
      <w:r>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9"/>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29"/>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9"/>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9"/>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29"/>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9"/>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9"/>
        <w:ind w:firstLine="567"/>
        <w:rPr/>
      </w:pPr>
      <w:bookmarkStart w:id="3" w:name="_Hlk187326985"/>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w:t>
      </w:r>
      <w:r>
        <w:rPr>
          <w:lang w:val="en-US"/>
        </w:rPr>
        <w:t> </w:t>
      </w:r>
      <w:r>
        <w:rPr/>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rPr>
          <w:lang w:val="en-US"/>
        </w:rPr>
        <w:t> </w:t>
      </w:r>
      <w:r>
        <w:rPr/>
        <w:t>соответствии с нормами, установленными законодательством.</w:t>
      </w:r>
      <w:bookmarkEnd w:id="3"/>
    </w:p>
    <w:p>
      <w:pPr>
        <w:pStyle w:val="Style29"/>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9"/>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9"/>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9"/>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29"/>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9"/>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3"/>
        <w:rPr/>
      </w:pPr>
      <w:bookmarkStart w:id="4" w:name="_Toc228976077"/>
      <w:bookmarkStart w:id="5" w:name="_Ref125359988"/>
      <w:r>
        <w:rPr/>
        <w:t>Основные сведения о закупке</w:t>
      </w:r>
      <w:bookmarkEnd w:id="4"/>
      <w:bookmarkEnd w:id="5"/>
    </w:p>
    <w:p>
      <w:pPr>
        <w:pStyle w:val="Style24"/>
        <w:rPr/>
      </w:pPr>
      <w:bookmarkStart w:id="6" w:name="_Toc228976078"/>
      <w:r>
        <w:rPr/>
        <w:t>Статус настоящего раздела</w:t>
      </w:r>
      <w:bookmarkEnd w:id="6"/>
    </w:p>
    <w:p>
      <w:pPr>
        <w:pStyle w:val="Style25"/>
        <w:rPr/>
      </w:pPr>
      <w:r>
        <w:rPr/>
        <w:t>В настоящем разделе содержатся основные сведения о предмете, способе и иных ключевых условиях проводимой закупки.</w:t>
      </w:r>
    </w:p>
    <w:p>
      <w:pPr>
        <w:pStyle w:val="Style25"/>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3"/>
          </w:rPr>
          <w:t>Технических требованиях (Приложение № 1)</w:t>
        </w:r>
      </w:hyperlink>
      <w:r>
        <w:rPr>
          <w:rStyle w:val="Style13"/>
        </w:rPr>
        <w:t>,</w:t>
      </w:r>
      <w:r>
        <w:rPr/>
        <w:t xml:space="preserve"> в </w:t>
      </w:r>
      <w:hyperlink w:anchor="Прил02_ПроектДоговора">
        <w:r>
          <w:rPr>
            <w:rStyle w:val="Style13"/>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5"/>
        <w:rPr/>
      </w:pPr>
      <w:bookmarkStart w:id="7"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7"/>
    </w:p>
    <w:p>
      <w:pPr>
        <w:pStyle w:val="Style24"/>
        <w:spacing w:before="360" w:after="120"/>
        <w:rPr/>
      </w:pPr>
      <w:bookmarkStart w:id="8" w:name="_Toc228976079"/>
      <w:bookmarkStart w:id="9" w:name="_Ref127270076"/>
      <w:bookmarkStart w:id="10" w:name="_Ref125359973"/>
      <w:r>
        <w:rPr/>
        <w:t>Информация о проводимой закупке</w:t>
      </w:r>
      <w:bookmarkEnd w:id="8"/>
      <w:bookmarkEnd w:id="9"/>
      <w:bookmarkEnd w:id="10"/>
    </w:p>
    <w:tbl>
      <w:tblPr>
        <w:tblStyle w:val="af6"/>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1"/>
        <w:gridCol w:w="3237"/>
        <w:gridCol w:w="5676"/>
      </w:tblGrid>
      <w:tr>
        <w:trPr>
          <w:cnfStyle w:val="100000000000" w:firstRow="1" w:lastRow="0" w:firstColumn="0" w:lastColumn="0" w:oddVBand="0" w:evenVBand="0" w:oddHBand="0" w:evenHBand="0" w:firstRowFirstColumn="0" w:firstRowLastColumn="0" w:lastRowFirstColumn="0" w:lastRowLastColumn="0"/>
        </w:trPr>
        <w:tc>
          <w:tcPr>
            <w:tcW w:w="841"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237"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676"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1" w:name="_Ref125360980"/>
            <w:bookmarkStart w:id="12" w:name="_Ref125360980"/>
            <w:bookmarkEnd w:id="12"/>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3" w:name="_Ref125360996"/>
            <w:bookmarkStart w:id="14" w:name="_Ref125360996"/>
            <w:bookmarkEnd w:id="14"/>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676" w:type="dxa"/>
            <w:tcBorders/>
          </w:tcPr>
          <w:p>
            <w:pPr>
              <w:pStyle w:val="Style29"/>
              <w:widowControl/>
              <w:suppressAutoHyphens w:val="true"/>
              <w:spacing w:before="60" w:after="60"/>
              <w:rPr/>
            </w:pPr>
            <w:r>
              <w:rPr>
                <w:rFonts w:eastAsia="Calibri" w:cs=""/>
                <w:kern w:val="0"/>
                <w:sz w:val="26"/>
                <w:szCs w:val="22"/>
                <w:lang w:val="ru-RU" w:eastAsia="en-US" w:bidi="ar-SA"/>
              </w:rPr>
              <w:t>Лот № </w:t>
            </w:r>
            <w:r>
              <w:rPr>
                <w:rStyle w:val="Style10"/>
                <w:rFonts w:eastAsia="Calibri" w:cs=""/>
                <w:i w:val="false"/>
                <w:iCs w:val="false"/>
                <w:kern w:val="0"/>
                <w:sz w:val="26"/>
                <w:szCs w:val="22"/>
                <w:shd w:fill="auto" w:val="clear"/>
                <w:lang w:val="ru-RU" w:eastAsia="en-US" w:bidi="ar-SA"/>
              </w:rPr>
              <w:t>11020007-РЕМ ПРОД-2027-ДГК-ХТЭЦ1</w:t>
            </w:r>
            <w:r>
              <w:rPr>
                <w:rFonts w:eastAsia="Calibri" w:cs=""/>
                <w:kern w:val="0"/>
                <w:sz w:val="26"/>
                <w:szCs w:val="22"/>
                <w:lang w:val="ru-RU" w:eastAsia="en-US" w:bidi="ar-SA"/>
              </w:rPr>
              <w:t>: ОКПД2 33.12.15.000 Выполнение работ по ремонту и техническому обслуживанию подъемных сооружений и подкрановых путей Хабаровской ТЭЦ-1 в г. Хабаровск (ПП: 1.69-Рем-2025-ХТЭЦ1).</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5" w:name="_Ref135729276"/>
            <w:bookmarkStart w:id="16" w:name="_Ref135729276"/>
            <w:bookmarkEnd w:id="16"/>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676" w:type="dxa"/>
            <w:tcBorders/>
          </w:tcPr>
          <w:p>
            <w:pPr>
              <w:pStyle w:val="Style29"/>
              <w:widowControl/>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3"/>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7" w:name="_Ref125367124"/>
            <w:bookmarkStart w:id="18" w:name="_Ref125367124"/>
            <w:bookmarkEnd w:id="18"/>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9" w:name="_Ref125360764"/>
            <w:bookmarkStart w:id="20" w:name="_Ref125360764"/>
            <w:bookmarkEnd w:id="20"/>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676"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Электронная площадка: </w:t>
            </w:r>
            <w:hyperlink r:id="rId2" w:tgtFrame="https://rushydro.roseltorg.ru">
              <w:r>
                <w:rPr>
                  <w:rStyle w:val="Hyperlink"/>
                  <w:rFonts w:eastAsia="Calibri" w:cs="Arial"/>
                  <w:kern w:val="0"/>
                  <w:sz w:val="26"/>
                  <w:szCs w:val="22"/>
                  <w:lang w:val="ru-RU" w:eastAsia="en-US" w:bidi="ar-SA"/>
                </w:rPr>
                <w:t>https://rushydro.roseltorg.ru</w:t>
              </w:r>
            </w:hyperlink>
            <w:r>
              <w:rPr>
                <w:rFonts w:eastAsia="Calibri" w:cs=""/>
                <w:kern w:val="0"/>
                <w:sz w:val="26"/>
                <w:szCs w:val="22"/>
                <w:lang w:val="ru-RU" w:eastAsia="en-US" w:bidi="ar-SA"/>
              </w:rPr>
              <w:t>.</w:t>
            </w:r>
          </w:p>
          <w:p>
            <w:pPr>
              <w:pStyle w:val="Style29"/>
              <w:widowControl/>
              <w:suppressAutoHyphens w:val="true"/>
              <w:spacing w:before="60" w:after="60"/>
              <w:rPr/>
            </w:pPr>
            <w:r>
              <w:rPr>
                <w:rFonts w:eastAsia="Calibri" w:cs=""/>
                <w:kern w:val="0"/>
                <w:sz w:val="26"/>
                <w:szCs w:val="22"/>
                <w:lang w:val="ru-RU" w:eastAsia="en-US" w:bidi="ar-SA"/>
              </w:rPr>
              <w:t xml:space="preserve">Регламент ЭП, в соответствии с которым проводится закупка, размещен по адресу: </w:t>
            </w:r>
            <w:r>
              <w:rPr>
                <w:rFonts w:eastAsia="Calibri" w:cs="Arial"/>
                <w:color w:val="000000" w:themeColor="text1"/>
                <w:kern w:val="0"/>
                <w:sz w:val="26"/>
                <w:szCs w:val="22"/>
                <w:lang w:val="ru-RU" w:eastAsia="en-US" w:bidi="ar-SA"/>
              </w:rPr>
              <w:t>https://rushydro.roseltorg.ru/#com/procedure/index</w:t>
            </w:r>
            <w:r>
              <w:rPr>
                <w:rFonts w:eastAsia="Calibri" w:cs=""/>
                <w:kern w:val="0"/>
                <w:sz w:val="26"/>
                <w:szCs w:val="22"/>
                <w:lang w:val="ru-RU" w:eastAsia="en-US" w:bidi="ar-SA"/>
              </w:rPr>
              <w:t>.</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1" w:name="_Ref125360970"/>
            <w:bookmarkStart w:id="22" w:name="_Ref125360970"/>
            <w:bookmarkEnd w:id="22"/>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любые лица, заинтересованные в предмете закупки.</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3" w:name="_Ref125360988"/>
            <w:bookmarkStart w:id="24" w:name="_Ref125360988"/>
            <w:bookmarkEnd w:id="24"/>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676" w:type="dxa"/>
            <w:tcBorders/>
          </w:tcPr>
          <w:p>
            <w:pPr>
              <w:pStyle w:val="Normal"/>
              <w:widowControl w:val="false"/>
              <w:suppressAutoHyphens w:val="true"/>
              <w:spacing w:lineRule="auto" w:line="240" w:before="0" w:after="60"/>
              <w:jc w:val="both"/>
              <w:rPr>
                <w:rFonts w:eastAsia="Calibri" w:cs=""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60"/>
              <w:jc w:val="both"/>
              <w:rPr>
                <w:rFonts w:eastAsia="Calibri" w:cs=""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Место нахождения: 680000, г. Хабаровск, ул. Фрунзе, д. 49</w:t>
            </w:r>
          </w:p>
          <w:p>
            <w:pPr>
              <w:pStyle w:val="Normal"/>
              <w:widowControl w:val="false"/>
              <w:suppressAutoHyphens w:val="true"/>
              <w:spacing w:lineRule="auto" w:line="240" w:before="0" w:after="60"/>
              <w:jc w:val="both"/>
              <w:rPr>
                <w:rFonts w:eastAsia="Calibri" w:cs=""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Почтовый адрес: 680000, г. Хабаровск, ул. Фрунзе, д. 49</w:t>
            </w:r>
          </w:p>
          <w:p>
            <w:pPr>
              <w:pStyle w:val="Normal"/>
              <w:widowControl w:val="false"/>
              <w:suppressAutoHyphens w:val="true"/>
              <w:spacing w:lineRule="auto" w:line="240" w:before="0" w:after="60"/>
              <w:jc w:val="both"/>
              <w:rPr/>
            </w:pPr>
            <w:r>
              <w:rPr>
                <w:rFonts w:eastAsia="Times New Roman" w:cs="Times New Roman"/>
                <w:i w:val="false"/>
                <w:iCs w:val="false"/>
                <w:kern w:val="0"/>
                <w:sz w:val="26"/>
                <w:szCs w:val="26"/>
                <w:shd w:fill="FFFFFF" w:val="clear"/>
                <w:lang w:val="ru-RU" w:eastAsia="en-US" w:bidi="ar-SA"/>
              </w:rPr>
              <w:t xml:space="preserve">Адрес электронной почты: </w:t>
            </w:r>
            <w:hyperlink r:id="rId3" w:tgtFrame="mailto:dgk@dgk.ru">
              <w:r>
                <w:rPr>
                  <w:rStyle w:val="Hyperlink"/>
                  <w:rFonts w:eastAsia="Times New Roman" w:cs="Times New Roman"/>
                  <w:i w:val="false"/>
                  <w:iCs w:val="false"/>
                  <w:kern w:val="0"/>
                  <w:sz w:val="26"/>
                  <w:szCs w:val="26"/>
                  <w:shd w:fill="FFFFFF" w:val="clear"/>
                  <w:lang w:val="en-US" w:eastAsia="en-US" w:bidi="ar-SA"/>
                </w:rPr>
                <w:t>dgk</w:t>
              </w:r>
              <w:r>
                <w:rPr>
                  <w:rStyle w:val="Hyperlink"/>
                  <w:rFonts w:eastAsia="Times New Roman" w:cs="Times New Roman"/>
                  <w:i w:val="false"/>
                  <w:iCs w:val="false"/>
                  <w:kern w:val="0"/>
                  <w:sz w:val="26"/>
                  <w:szCs w:val="26"/>
                  <w:shd w:fill="FFFFFF" w:val="clear"/>
                  <w:lang w:val="ru-RU" w:eastAsia="en-US" w:bidi="ar-SA"/>
                </w:rPr>
                <w:t>@</w:t>
              </w:r>
              <w:r>
                <w:rPr>
                  <w:rStyle w:val="Hyperlink"/>
                  <w:rFonts w:eastAsia="Times New Roman" w:cs="Times New Roman"/>
                  <w:i w:val="false"/>
                  <w:iCs w:val="false"/>
                  <w:kern w:val="0"/>
                  <w:sz w:val="26"/>
                  <w:szCs w:val="26"/>
                  <w:shd w:fill="FFFFFF" w:val="clear"/>
                  <w:lang w:val="en-US" w:eastAsia="en-US" w:bidi="ar-SA"/>
                </w:rPr>
                <w:t>dgk</w:t>
              </w:r>
              <w:r>
                <w:rPr>
                  <w:rStyle w:val="Hyperlink"/>
                  <w:rFonts w:eastAsia="Times New Roman" w:cs="Times New Roman"/>
                  <w:i w:val="false"/>
                  <w:iCs w:val="false"/>
                  <w:kern w:val="0"/>
                  <w:sz w:val="26"/>
                  <w:szCs w:val="26"/>
                  <w:shd w:fill="FFFFFF" w:val="clear"/>
                  <w:lang w:val="ru-RU" w:eastAsia="en-US" w:bidi="ar-SA"/>
                </w:rPr>
                <w:t>.</w:t>
              </w:r>
              <w:r>
                <w:rPr>
                  <w:rStyle w:val="Hyperlink"/>
                  <w:rFonts w:eastAsia="Times New Roman" w:cs="Times New Roman"/>
                  <w:i w:val="false"/>
                  <w:iCs w:val="false"/>
                  <w:kern w:val="0"/>
                  <w:sz w:val="26"/>
                  <w:szCs w:val="26"/>
                  <w:shd w:fill="FFFFFF" w:val="clear"/>
                  <w:lang w:val="en-US" w:eastAsia="en-US" w:bidi="ar-SA"/>
                </w:rPr>
                <w:t>ru</w:t>
              </w:r>
            </w:hyperlink>
            <w:r>
              <w:rPr>
                <w:rFonts w:eastAsia="Times New Roman" w:cs="Times New Roman"/>
                <w:i w:val="false"/>
                <w:iCs w:val="false"/>
                <w:kern w:val="0"/>
                <w:sz w:val="26"/>
                <w:szCs w:val="26"/>
                <w:shd w:fill="FFFFFF" w:val="clear"/>
                <w:lang w:val="ru-RU" w:eastAsia="en-US" w:bidi="ar-SA"/>
              </w:rPr>
              <w:t xml:space="preserve"> </w:t>
            </w:r>
          </w:p>
          <w:p>
            <w:pPr>
              <w:pStyle w:val="Normal"/>
              <w:widowControl w:val="false"/>
              <w:suppressAutoHyphens w:val="true"/>
              <w:spacing w:lineRule="auto" w:line="240" w:before="0" w:after="60"/>
              <w:jc w:val="both"/>
              <w:rPr>
                <w:rFonts w:eastAsia="Calibri" w:cs=""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Контактный телефон: +7(4212) 26-46-09</w:t>
            </w:r>
          </w:p>
          <w:p>
            <w:pPr>
              <w:pStyle w:val="ListParagraph"/>
              <w:widowControl w:val="false"/>
              <w:tabs>
                <w:tab w:val="clear" w:pos="708"/>
                <w:tab w:val="left" w:pos="295" w:leader="none"/>
              </w:tabs>
              <w:suppressAutoHyphens w:val="true"/>
              <w:spacing w:lineRule="auto" w:line="240" w:beforeAutospacing="0" w:before="0" w:afterAutospacing="0" w:after="0"/>
              <w:ind w:hanging="0" w:left="0"/>
              <w:contextualSpacing/>
              <w:jc w:val="both"/>
              <w:rPr>
                <w:rFonts w:eastAsia="Calibri" w:cs="" w:cstheme="minorBidi" w:eastAsiaTheme="minorHAnsi"/>
                <w:highlight w:val="none"/>
                <w:shd w:fill="FFFFFF" w:val="clear"/>
              </w:rPr>
            </w:pPr>
            <w:r>
              <w:rPr>
                <w:rStyle w:val="Style10"/>
                <w:rFonts w:eastAsia="Calibri" w:cs="" w:cstheme="minorBidi" w:eastAsiaTheme="minorHAnsi"/>
                <w:b w:val="false"/>
                <w:bCs w:val="false"/>
                <w:i w:val="false"/>
                <w:iCs w:val="false"/>
                <w:kern w:val="0"/>
                <w:sz w:val="26"/>
                <w:szCs w:val="26"/>
                <w:u w:val="single"/>
                <w:shd w:fill="FFFFFF" w:val="clear"/>
                <w:lang w:val="ru-RU" w:eastAsia="en-US" w:bidi="ar-SA"/>
              </w:rPr>
              <w:t>По вопросам  заключения Договора обращаться</w:t>
            </w:r>
            <w:r>
              <w:rPr>
                <w:rStyle w:val="Style10"/>
                <w:rFonts w:eastAsia="Times New Roman" w:cs="Times New Roman"/>
                <w:b w:val="false"/>
                <w:bCs w:val="false"/>
                <w:i w:val="false"/>
                <w:iCs w:val="false"/>
                <w:kern w:val="0"/>
                <w:sz w:val="26"/>
                <w:szCs w:val="26"/>
                <w:u w:val="single"/>
                <w:shd w:fill="FFFFFF" w:val="clear"/>
                <w:lang w:val="ru-RU" w:eastAsia="en-US" w:bidi="ar-SA"/>
              </w:rPr>
              <w:t xml:space="preserve"> к Ведущему инженеру Отдела подготовки и проведения ремонтов СП «Хабаровская ТЭЦ-1» – Коломин Олег Станиславович, тел </w:t>
            </w:r>
            <w:r>
              <w:rPr>
                <w:rStyle w:val="Style10"/>
                <w:rFonts w:eastAsia="Times New Roman" w:cs="Times New Roman"/>
                <w:b w:val="false"/>
                <w:bCs w:val="false"/>
                <w:i/>
                <w:iCs w:val="false"/>
                <w:kern w:val="0"/>
                <w:sz w:val="26"/>
                <w:szCs w:val="26"/>
                <w:u w:val="single"/>
                <w:shd w:fill="FFFFFF" w:val="clear"/>
                <w:lang w:val="ru-RU" w:eastAsia="en-US" w:bidi="ar-SA"/>
              </w:rPr>
              <w:t>+</w:t>
            </w:r>
            <w:r>
              <w:rPr>
                <w:rStyle w:val="Style10"/>
                <w:rFonts w:eastAsia="Times New Roman" w:cs="Times New Roman"/>
                <w:b w:val="false"/>
                <w:bCs w:val="false"/>
                <w:i w:val="false"/>
                <w:iCs w:val="false"/>
                <w:kern w:val="0"/>
                <w:sz w:val="26"/>
                <w:szCs w:val="26"/>
                <w:u w:val="single"/>
                <w:shd w:fill="FFFFFF" w:val="clear"/>
                <w:lang w:val="ru-RU" w:eastAsia="en-US" w:bidi="ar-SA"/>
              </w:rPr>
              <w:t>7(4212) 26-15-39</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5" w:name="_Ref125360954"/>
            <w:bookmarkStart w:id="26" w:name="_Ref125360954"/>
            <w:bookmarkEnd w:id="26"/>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676" w:type="dxa"/>
            <w:tcBorders/>
          </w:tcPr>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 xml:space="preserve">Место нахождения: </w:t>
            </w:r>
            <w:r>
              <w:rPr>
                <w:rFonts w:eastAsia="Calibri" w:cs="Times New Roman" w:eastAsiaTheme="minorHAnsi"/>
                <w:kern w:val="0"/>
                <w:sz w:val="26"/>
                <w:szCs w:val="26"/>
                <w:lang w:val="ru-RU" w:eastAsia="en-US" w:bidi="ar-SA"/>
              </w:rPr>
              <w:t>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 xml:space="preserve">Почтовый адрес: </w:t>
            </w:r>
            <w:r>
              <w:rPr>
                <w:rFonts w:eastAsia="Calibri" w:cs="Times New Roman" w:eastAsiaTheme="minorHAnsi"/>
                <w:kern w:val="0"/>
                <w:sz w:val="26"/>
                <w:szCs w:val="26"/>
                <w:lang w:val="ru-RU" w:eastAsia="en-US" w:bidi="ar-SA"/>
              </w:rPr>
              <w:t>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 xml:space="preserve">Адрес электронной почты: </w:t>
            </w:r>
            <w:r>
              <w:rPr>
                <w:rFonts w:eastAsia="Times New Roman" w:cs="Times New Roman"/>
                <w:color w:val="2F5696" w:themeColor="accent1" w:themeShade="bf"/>
                <w:kern w:val="0"/>
                <w:sz w:val="26"/>
                <w:szCs w:val="26"/>
                <w:lang w:val="ru-RU" w:eastAsia="en-US" w:bidi="ar-SA"/>
              </w:rPr>
              <w:t>muraveva-sb@dgk.ru</w:t>
            </w:r>
          </w:p>
          <w:p>
            <w:pPr>
              <w:pStyle w:val="Tableheader"/>
              <w:widowControl w:val="false"/>
              <w:suppressAutoHyphens w:val="true"/>
              <w:spacing w:before="0" w:after="0"/>
              <w:jc w:val="both"/>
              <w:rPr>
                <w:rFonts w:ascii="Times New Roman" w:hAnsi="Times New Roman" w:cs="Times New Roman"/>
                <w:b/>
                <w:sz w:val="26"/>
                <w:szCs w:val="26"/>
              </w:rPr>
            </w:pPr>
            <w:r>
              <w:rPr>
                <w:rFonts w:eastAsia="Times New Roman" w:cs="Times New Roman"/>
                <w:b w:val="false"/>
                <w:kern w:val="0"/>
                <w:sz w:val="26"/>
                <w:szCs w:val="26"/>
                <w:lang w:val="ru-RU" w:eastAsia="en-US" w:bidi="ar-SA"/>
              </w:rPr>
              <w:t>Контактный телефон: +7(4212) 26-46-09</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7" w:name="_Ref125361238"/>
            <w:bookmarkStart w:id="28" w:name="_Ref125361238"/>
            <w:bookmarkEnd w:id="28"/>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676" w:type="dxa"/>
            <w:tcBorders/>
          </w:tcPr>
          <w:p>
            <w:pPr>
              <w:pStyle w:val="Tableheader"/>
              <w:widowControl w:val="false"/>
              <w:suppressAutoHyphens w:val="true"/>
              <w:bidi w:val="0"/>
              <w:spacing w:lineRule="auto" w:line="240" w:before="0" w:after="60"/>
              <w:jc w:val="both"/>
              <w:rPr/>
            </w:pPr>
            <w:r>
              <w:rPr>
                <w:rStyle w:val="Style10"/>
                <w:rFonts w:cs="Times New Roman"/>
                <w:b w:val="false"/>
                <w:bCs w:val="false"/>
                <w:i w:val="false"/>
                <w:iCs w:val="false"/>
                <w:kern w:val="0"/>
                <w:sz w:val="26"/>
                <w:szCs w:val="26"/>
                <w:shd w:fill="auto" w:val="clear"/>
                <w:lang w:val="ru-RU" w:eastAsia="en-US" w:bidi="ar-SA"/>
              </w:rPr>
              <w:t>По вопросам организации и проведения закупочной процедуры: начальник отдела проведения закупок работ и услуг АО «ДГК» Муравьева Светлана Борисовна, контактный телефон (4212) 26-46-09, адрес электронной почты: muraveva-sb@dgk.ru</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 w:name="_Ref125362694"/>
            <w:bookmarkStart w:id="30" w:name="_Ref125362694"/>
            <w:bookmarkEnd w:id="30"/>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1" w:name="_Ref125360963"/>
            <w:bookmarkStart w:id="32" w:name="_Ref125360963"/>
            <w:bookmarkEnd w:id="32"/>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«20» октября 2026 г.</w:t>
            </w:r>
          </w:p>
          <w:p>
            <w:pPr>
              <w:pStyle w:val="Style29"/>
              <w:widowControl/>
              <w:suppressAutoHyphens w:val="true"/>
              <w:spacing w:before="60" w:after="60"/>
              <w:rPr>
                <w:rStyle w:val="Style10"/>
              </w:rPr>
            </w:pPr>
            <w:r>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 w:name="_Ref125362837"/>
            <w:bookmarkStart w:id="34" w:name="_Ref125362837"/>
            <w:bookmarkEnd w:id="34"/>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676" w:type="dxa"/>
            <w:tcBorders/>
          </w:tcPr>
          <w:p>
            <w:pPr>
              <w:pStyle w:val="Style29"/>
              <w:widowControl/>
              <w:suppressAutoHyphens w:val="true"/>
              <w:spacing w:before="60" w:after="60"/>
              <w:rPr/>
            </w:pPr>
            <w:r>
              <w:rPr>
                <w:rFonts w:eastAsia="Calibri" w:cs=""/>
                <w:kern w:val="0"/>
                <w:sz w:val="26"/>
                <w:szCs w:val="22"/>
                <w:lang w:val="ru-RU" w:eastAsia="en-US" w:bidi="ar-SA"/>
              </w:rPr>
              <w:t>НМЦ составляет 6 750 000,00 руб., без учета НДС.</w:t>
            </w:r>
          </w:p>
          <w:p>
            <w:pPr>
              <w:pStyle w:val="Style29"/>
              <w:widowControl/>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3"/>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 w:name="_Ref125363076"/>
            <w:bookmarkStart w:id="36" w:name="_Ref125363076"/>
            <w:bookmarkEnd w:id="36"/>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Требуется.</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Размер обеспечения заявок: 259 807,62 (двести пятьдесят девять тысяч восемьсот семь) рублей 62 копейки, НДС не облагается.</w:t>
            </w:r>
          </w:p>
          <w:p>
            <w:pPr>
              <w:pStyle w:val="Style29"/>
              <w:widowControl/>
              <w:suppressAutoHyphens w:val="true"/>
              <w:spacing w:before="60" w:after="60"/>
              <w:rPr/>
            </w:pPr>
            <w:r>
              <w:rPr>
                <w:rFonts w:eastAsia="Calibri" w:cs=""/>
                <w:kern w:val="0"/>
                <w:sz w:val="26"/>
                <w:szCs w:val="22"/>
                <w:lang w:val="ru-RU" w:eastAsia="en-US" w:bidi="ar-SA"/>
              </w:rPr>
              <w:t>Допустимые формы обеспечения заявок:</w:t>
            </w:r>
          </w:p>
          <w:p>
            <w:pPr>
              <w:pStyle w:val="Style29"/>
              <w:widowControl/>
              <w:numPr>
                <w:ilvl w:val="0"/>
                <w:numId w:val="2"/>
              </w:numPr>
              <w:suppressAutoHyphens w:val="true"/>
              <w:spacing w:before="120" w:after="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внесение денежных средств на индивидуальные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1.2.18</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9"/>
              <w:widowControl/>
              <w:numPr>
                <w:ilvl w:val="0"/>
                <w:numId w:val="2"/>
              </w:numPr>
              <w:suppressAutoHyphens w:val="true"/>
              <w:spacing w:before="120" w:after="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9"/>
              <w:widowControl/>
              <w:suppressAutoHyphens w:val="true"/>
              <w:spacing w:before="60" w:after="60"/>
              <w:rPr>
                <w:rStyle w:val="Style10"/>
                <w:i w:val="false"/>
                <w:i w:val="false"/>
                <w:iCs w:val="false"/>
                <w:shd w:fill="auto" w:val="clear"/>
              </w:rPr>
            </w:pPr>
            <w:r>
              <w:rPr>
                <w:rStyle w:val="Style10"/>
                <w:rFonts w:eastAsia="Calibri" w:cs=""/>
                <w:i w:val="false"/>
                <w:iCs w:val="false"/>
                <w:kern w:val="0"/>
                <w:sz w:val="26"/>
                <w:szCs w:val="22"/>
                <w:shd w:fill="auto" w:val="clear"/>
                <w:lang w:val="ru-RU" w:eastAsia="en-US" w:bidi="ar-SA"/>
              </w:rPr>
              <w:t>Выбор формы (способа) обеспечения заявки из числа указанных осуществляется Участником самостоятельно.</w:t>
            </w:r>
          </w:p>
          <w:p>
            <w:pPr>
              <w:pStyle w:val="Style29"/>
              <w:widowControl/>
              <w:suppressAutoHyphens w:val="true"/>
              <w:spacing w:before="60" w:after="60"/>
              <w:rPr>
                <w:rStyle w:val="Style10"/>
              </w:rPr>
            </w:pPr>
            <w:r>
              <w:rPr>
                <w:rStyle w:val="Style10"/>
                <w:rFonts w:eastAsia="Calibri" w:cs=""/>
                <w:i w:val="false"/>
                <w:iCs w:val="false"/>
                <w:kern w:val="0"/>
                <w:sz w:val="26"/>
                <w:szCs w:val="22"/>
                <w:shd w:fill="auto" w:val="clear"/>
                <w:lang w:val="ru-RU" w:eastAsia="en-US" w:bidi="ar-SA"/>
              </w:rPr>
              <w:t>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p>
          <w:p>
            <w:pPr>
              <w:pStyle w:val="Style29"/>
              <w:keepNext w:val="true"/>
              <w:widowControl/>
              <w:suppressAutoHyphens w:val="true"/>
              <w:spacing w:before="60" w:after="60"/>
              <w:rPr/>
            </w:pPr>
            <w:r>
              <w:rPr>
                <w:rFonts w:eastAsia="Calibri" w:cs=""/>
                <w:kern w:val="0"/>
                <w:sz w:val="26"/>
                <w:szCs w:val="22"/>
                <w:lang w:val="ru-RU" w:eastAsia="en-US" w:bidi="ar-SA"/>
              </w:rPr>
              <w:t>Наименование получателя:</w:t>
            </w:r>
          </w:p>
          <w:p>
            <w:pPr>
              <w:pStyle w:val="Normal"/>
              <w:widowControl w:val="false"/>
              <w:suppressAutoHyphens w:val="true"/>
              <w:spacing w:lineRule="auto" w:line="240" w:before="60" w:after="60"/>
              <w:jc w:val="both"/>
              <w:rPr/>
            </w:pPr>
            <w:r>
              <w:rPr>
                <w:rStyle w:val="Style10"/>
                <w:rFonts w:eastAsia="Calibri" w:cs="Arial"/>
                <w:i w:val="false"/>
                <w:kern w:val="0"/>
                <w:sz w:val="26"/>
                <w:szCs w:val="26"/>
                <w:shd w:fill="auto" w:val="clear"/>
                <w:lang w:eastAsia="en-US" w:bidi="ar-SA"/>
              </w:rPr>
              <w:t>Акционерное общество «Дальневосточная генерирующая компания»</w:t>
            </w:r>
          </w:p>
          <w:p>
            <w:pPr>
              <w:pStyle w:val="Normal"/>
              <w:widowControl w:val="false"/>
              <w:suppressAutoHyphens w:val="true"/>
              <w:spacing w:lineRule="auto" w:line="240" w:before="60" w:after="60"/>
              <w:jc w:val="both"/>
              <w:rPr/>
            </w:pPr>
            <w:r>
              <w:rPr>
                <w:rStyle w:val="Style10"/>
                <w:rFonts w:eastAsia="Calibri" w:cs="Arial"/>
                <w:i w:val="false"/>
                <w:kern w:val="0"/>
                <w:sz w:val="26"/>
                <w:szCs w:val="26"/>
                <w:shd w:fill="auto" w:val="clear"/>
                <w:lang w:eastAsia="en-US" w:bidi="ar-SA"/>
              </w:rPr>
              <w:t>(АО «ДГК»)</w:t>
            </w:r>
          </w:p>
          <w:p>
            <w:pPr>
              <w:pStyle w:val="Normal"/>
              <w:widowControl w:val="false"/>
              <w:suppressAutoHyphens w:val="true"/>
              <w:spacing w:lineRule="auto" w:line="240" w:before="60" w:after="60"/>
              <w:jc w:val="both"/>
              <w:rPr/>
            </w:pPr>
            <w:r>
              <w:rPr>
                <w:rStyle w:val="Style10"/>
                <w:rFonts w:eastAsia="Calibri" w:cs="Arial"/>
                <w:i w:val="false"/>
                <w:kern w:val="0"/>
                <w:sz w:val="26"/>
                <w:szCs w:val="26"/>
                <w:shd w:fill="auto" w:val="clear"/>
                <w:lang w:eastAsia="en-US" w:bidi="ar-SA"/>
              </w:rPr>
              <w:t>ИНН 1434031363 КПП 997650001</w:t>
            </w:r>
          </w:p>
          <w:p>
            <w:pPr>
              <w:pStyle w:val="Normal"/>
              <w:widowControl w:val="false"/>
              <w:suppressAutoHyphens w:val="true"/>
              <w:spacing w:lineRule="auto" w:line="240" w:before="60" w:after="60"/>
              <w:jc w:val="both"/>
              <w:rPr/>
            </w:pPr>
            <w:r>
              <w:rPr>
                <w:rStyle w:val="Style10"/>
                <w:rFonts w:eastAsia="Calibri" w:cs="Arial"/>
                <w:i w:val="false"/>
                <w:kern w:val="0"/>
                <w:sz w:val="26"/>
                <w:szCs w:val="26"/>
                <w:shd w:fill="auto" w:val="clear"/>
                <w:lang w:eastAsia="en-US" w:bidi="ar-SA"/>
              </w:rPr>
              <w:t>Р/с 40702810270000008818 в Дальневосточном Банке ПАО «Сбербанк России» г. Хабаровск</w:t>
            </w:r>
          </w:p>
          <w:p>
            <w:pPr>
              <w:pStyle w:val="Normal"/>
              <w:widowControl w:val="false"/>
              <w:suppressAutoHyphens w:val="true"/>
              <w:spacing w:lineRule="auto" w:line="240" w:before="60" w:after="60"/>
              <w:jc w:val="both"/>
              <w:rPr/>
            </w:pPr>
            <w:r>
              <w:rPr>
                <w:rStyle w:val="Style10"/>
                <w:rFonts w:eastAsia="Calibri" w:cs="Arial"/>
                <w:i w:val="false"/>
                <w:kern w:val="0"/>
                <w:sz w:val="26"/>
                <w:szCs w:val="26"/>
                <w:shd w:fill="auto" w:val="clear"/>
                <w:lang w:eastAsia="en-US" w:bidi="ar-SA"/>
              </w:rPr>
              <w:t>К/с 30101810600000000608</w:t>
            </w:r>
          </w:p>
          <w:p>
            <w:pPr>
              <w:pStyle w:val="Style29"/>
              <w:widowControl/>
              <w:suppressAutoHyphens w:val="true"/>
              <w:spacing w:lineRule="auto" w:line="240" w:before="60" w:after="60"/>
              <w:jc w:val="both"/>
              <w:rPr/>
            </w:pPr>
            <w:r>
              <w:rPr>
                <w:rStyle w:val="Style10"/>
                <w:rFonts w:cs="Arial"/>
                <w:i w:val="false"/>
                <w:sz w:val="26"/>
                <w:szCs w:val="26"/>
                <w:shd w:fill="auto" w:val="clear"/>
              </w:rPr>
              <w:t>БИК 040813608</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 xml:space="preserve">Внимание! </w:t>
            </w:r>
            <w:r>
              <w:rPr>
                <w:rFonts w:eastAsia="Calibri" w:cs=""/>
                <w:kern w:val="0"/>
                <w:sz w:val="26"/>
                <w:szCs w:val="22"/>
                <w:lang w:val="ru-RU" w:eastAsia="en-US" w:bidi="ar-SA"/>
              </w:rPr>
              <w:t>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7" w:name="_Ref125362995"/>
            <w:bookmarkStart w:id="38" w:name="_Ref125362995"/>
            <w:bookmarkEnd w:id="38"/>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676" w:type="dxa"/>
            <w:tcBorders/>
          </w:tcPr>
          <w:p>
            <w:pPr>
              <w:pStyle w:val="Style29"/>
              <w:widowControl/>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rHeight w:val="1178" w:hRule="atLeast"/>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 w:name="_Ref125533737"/>
            <w:bookmarkStart w:id="40" w:name="_Ref125533737"/>
            <w:bookmarkEnd w:id="40"/>
          </w:p>
        </w:tc>
        <w:tc>
          <w:tcPr>
            <w:tcW w:w="3237" w:type="dxa"/>
            <w:tcBorders/>
          </w:tcPr>
          <w:p>
            <w:pPr>
              <w:pStyle w:val="Normal"/>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подачи альтернативных предложений:</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предусмотрена.</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1" w:name="_Ref125475086"/>
            <w:bookmarkStart w:id="42" w:name="_Ref125475086"/>
            <w:bookmarkEnd w:id="42"/>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 подачи заявок:</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3" w:name="_Ref125360779"/>
            <w:bookmarkStart w:id="44" w:name="_Ref125360779"/>
            <w:bookmarkEnd w:id="44"/>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«20» октября 2026 г.</w:t>
            </w:r>
          </w:p>
          <w:p>
            <w:pPr>
              <w:pStyle w:val="Style29"/>
              <w:widowControl/>
              <w:suppressAutoHyphens w:val="true"/>
              <w:spacing w:before="60" w:after="60"/>
              <w:rPr/>
            </w:pPr>
            <w:r>
              <w:rPr>
                <w:rFonts w:eastAsia="Calibri" w:cs=""/>
                <w:kern w:val="0"/>
                <w:sz w:val="26"/>
                <w:szCs w:val="22"/>
                <w:lang w:val="ru-RU" w:eastAsia="en-US" w:bidi="ar-SA"/>
              </w:rPr>
              <w:t>Дата и время окончания срока подачи заявок:</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«30» октября 2026г. в 15 ч. 00 мин.</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«30» октября 2026г. в 15 ч. 00 мин.</w:t>
            </w:r>
          </w:p>
          <w:p>
            <w:pPr>
              <w:pStyle w:val="Style29"/>
              <w:widowControl/>
              <w:suppressAutoHyphens w:val="true"/>
              <w:spacing w:before="60" w:after="60"/>
              <w:rPr/>
            </w:pPr>
            <w:r>
              <w:rPr>
                <w:rFonts w:eastAsia="Calibri" w:cs=""/>
                <w:kern w:val="0"/>
                <w:sz w:val="26"/>
                <w:szCs w:val="22"/>
                <w:lang w:val="ru-RU" w:eastAsia="en-US" w:bidi="ar-SA"/>
              </w:rPr>
              <w:t>(по местному времени Организатора).</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1.2.18</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5" w:name="_Ref125476197"/>
            <w:bookmarkStart w:id="46" w:name="_Ref125476197"/>
            <w:bookmarkEnd w:id="46"/>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7" w:name="_Ref125362733"/>
            <w:bookmarkStart w:id="48" w:name="_Ref125362733"/>
            <w:bookmarkEnd w:id="48"/>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заявок:</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«19» ноября 2026 г.</w:t>
            </w:r>
          </w:p>
          <w:p>
            <w:pPr>
              <w:pStyle w:val="Style29"/>
              <w:widowControl/>
              <w:suppressAutoHyphens w:val="true"/>
              <w:spacing w:before="60" w:after="60"/>
              <w:rPr>
                <w:rStyle w:val="Style10"/>
              </w:rPr>
            </w:pPr>
            <w:r>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проведения процедуры переторжки:</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9" w:name="_Ref125362757"/>
            <w:bookmarkStart w:id="50" w:name="_Ref125362757"/>
            <w:bookmarkEnd w:id="50"/>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«19» ноября  2026 г.</w:t>
            </w:r>
          </w:p>
          <w:p>
            <w:pPr>
              <w:pStyle w:val="Style29"/>
              <w:widowControl/>
              <w:suppressAutoHyphens w:val="true"/>
              <w:spacing w:before="60" w:after="60"/>
              <w:rPr>
                <w:rStyle w:val="Style10"/>
              </w:rPr>
            </w:pPr>
            <w:r>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1" w:name="_Ref125366047"/>
            <w:bookmarkStart w:id="52" w:name="_Ref125366047"/>
            <w:bookmarkEnd w:id="52"/>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3" w:name="_Ref125361769"/>
            <w:bookmarkStart w:id="54" w:name="_Ref125361769"/>
            <w:bookmarkEnd w:id="54"/>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w:t>
              <w:br/>
              <w:t>итогов закупки:</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5" w:name="_Ref125366606"/>
            <w:bookmarkStart w:id="56" w:name="_Ref125366606"/>
            <w:bookmarkEnd w:id="56"/>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7" w:name="_Ref125533374"/>
            <w:bookmarkStart w:id="58" w:name="_Ref125533374"/>
            <w:bookmarkEnd w:id="58"/>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Форма заключения Договора:</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бумажной или электронной форме (подробный порядок заключения Договора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9"/>
              <w:widowControl/>
              <w:suppressAutoHyphens w:val="true"/>
              <w:spacing w:before="60" w:after="60"/>
              <w:rPr/>
            </w:pPr>
            <w:r>
              <w:rPr>
                <w:rFonts w:eastAsia="Calibri" w:cs=""/>
                <w:kern w:val="0"/>
                <w:sz w:val="26"/>
                <w:szCs w:val="22"/>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Fonts w:eastAsia="Calibri" w:cs=""/>
                <w:i w:val="false"/>
                <w:iCs w:val="false"/>
                <w:kern w:val="0"/>
                <w:sz w:val="26"/>
                <w:szCs w:val="26"/>
                <w:lang w:val="ru-RU" w:eastAsia="en-US" w:bidi="ar-SA"/>
              </w:rPr>
              <w:t>Контур Диадок</w:t>
            </w:r>
            <w:r>
              <w:rPr>
                <w:rFonts w:eastAsia="Calibri" w:cs=""/>
                <w:kern w:val="0"/>
                <w:sz w:val="26"/>
                <w:szCs w:val="22"/>
                <w:lang w:val="ru-RU" w:eastAsia="en-US" w:bidi="ar-SA"/>
              </w:rPr>
              <w:t xml:space="preserve"> </w:t>
            </w:r>
            <w:r>
              <w:rPr>
                <w:rStyle w:val="Style10"/>
                <w:rFonts w:eastAsia="Times New Roman" w:cs="Times New Roman"/>
                <w:i w:val="false"/>
                <w:iCs w:val="false"/>
                <w:kern w:val="0"/>
                <w:sz w:val="26"/>
                <w:szCs w:val="26"/>
                <w:shd w:fill="auto" w:val="clear"/>
                <w:lang w:val="ru-RU" w:eastAsia="en-US" w:bidi="ar-SA"/>
              </w:rPr>
              <w:t>https://diadoc.kontur.ru</w:t>
            </w:r>
            <w:r>
              <w:rPr>
                <w:rStyle w:val="Style10"/>
                <w:rFonts w:eastAsia="Calibri" w:cs="Arial"/>
                <w:i w:val="false"/>
                <w:iCs w:val="false"/>
                <w:kern w:val="0"/>
                <w:sz w:val="26"/>
                <w:szCs w:val="26"/>
                <w:shd w:fill="auto" w:val="clear"/>
                <w:lang w:val="ru-RU" w:eastAsia="en-US" w:bidi="ar-SA"/>
              </w:rPr>
              <w:t>,</w:t>
            </w:r>
            <w:r>
              <w:rPr>
                <w:rFonts w:eastAsia="Calibri" w:cs=""/>
                <w:i/>
                <w:iCs/>
                <w:kern w:val="0"/>
                <w:sz w:val="26"/>
                <w:szCs w:val="22"/>
                <w:shd w:fill="auto" w:val="clear"/>
                <w:lang w:val="ru-RU" w:eastAsia="en-US" w:bidi="ar-SA"/>
              </w:rPr>
              <w:t xml:space="preserve"> </w:t>
            </w:r>
            <w:r>
              <w:rPr>
                <w:rFonts w:eastAsia="Calibri" w:cs=""/>
                <w:kern w:val="0"/>
                <w:sz w:val="26"/>
                <w:szCs w:val="22"/>
                <w:lang w:val="ru-RU" w:eastAsia="en-US" w:bidi="ar-SA"/>
              </w:rPr>
              <w:t>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9" w:name="_Ref125366813"/>
            <w:bookmarkStart w:id="60" w:name="_Ref125366813"/>
            <w:bookmarkEnd w:id="60"/>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29"/>
              <w:keepNext w:val="true"/>
              <w:widowControl/>
              <w:suppressAutoHyphens w:val="true"/>
              <w:spacing w:before="60" w:after="60"/>
              <w:rPr/>
            </w:pPr>
            <w:r>
              <w:rPr>
                <w:rFonts w:eastAsia="Calibri" w:cs=""/>
                <w:kern w:val="0"/>
                <w:sz w:val="26"/>
                <w:szCs w:val="22"/>
                <w:lang w:val="ru-RU" w:eastAsia="en-US" w:bidi="ar-SA"/>
              </w:rPr>
              <w:t>Для подачи документов в бумажной форме:</w:t>
            </w:r>
          </w:p>
          <w:p>
            <w:pPr>
              <w:pStyle w:val="Style29"/>
              <w:keepNext w:val="true"/>
              <w:widowControl/>
              <w:suppressAutoHyphens w:val="true"/>
              <w:spacing w:before="60" w:after="60"/>
              <w:rPr/>
            </w:pPr>
            <w:r>
              <w:rPr>
                <w:rFonts w:eastAsia="Calibri" w:cs=""/>
                <w:kern w:val="0"/>
                <w:sz w:val="26"/>
                <w:szCs w:val="22"/>
                <w:lang w:val="ru-RU" w:eastAsia="en-US" w:bidi="ar-SA"/>
              </w:rPr>
              <w:t>Контактное лицо (Ф.И.О.):Ведущий инженер ОППР СП «Хабаровская ТЭЦ-1» - Коломин Олег Станиславович, тел. +7(4212) 26-15-39</w:t>
            </w:r>
          </w:p>
          <w:p>
            <w:pPr>
              <w:pStyle w:val="Style29"/>
              <w:keepNext w:val="true"/>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Почтовый адрес:</w:t>
            </w:r>
          </w:p>
          <w:p>
            <w:pPr>
              <w:pStyle w:val="Normal"/>
              <w:suppressAutoHyphens w:val="true"/>
              <w:spacing w:lineRule="auto" w:line="240" w:before="60" w:after="60"/>
              <w:ind w:hanging="0"/>
              <w:rPr>
                <w:sz w:val="26"/>
                <w:szCs w:val="26"/>
              </w:rPr>
            </w:pPr>
            <w:r>
              <w:rPr>
                <w:i w:val="false"/>
                <w:iCs w:val="false"/>
                <w:sz w:val="26"/>
                <w:szCs w:val="26"/>
              </w:rPr>
              <w:t>680015, Российская Федерация, г. Хабаровск, ул. Узловая, 15а.</w:t>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1" w:name="_Ref125368490"/>
            <w:bookmarkStart w:id="62" w:name="_Ref125368490"/>
            <w:bookmarkEnd w:id="62"/>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1" w:type="dxa"/>
            <w:tcBorders/>
          </w:tcPr>
          <w:p>
            <w:pPr>
              <w:pStyle w:val="Style25"/>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7" w:type="dxa"/>
            <w:tcBorders/>
          </w:tcPr>
          <w:p>
            <w:pPr>
              <w:pStyle w:val="Style29"/>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67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pStyle w:val="Style23"/>
        <w:rPr/>
      </w:pPr>
      <w:bookmarkStart w:id="63" w:name="_Toc228976080"/>
      <w:bookmarkStart w:id="64" w:name="_Ref125360337"/>
      <w:bookmarkStart w:id="65" w:name="_Ref125360073"/>
      <w:r>
        <w:rPr/>
        <w:t>Общие положения</w:t>
      </w:r>
      <w:bookmarkEnd w:id="63"/>
      <w:bookmarkEnd w:id="64"/>
      <w:bookmarkEnd w:id="65"/>
    </w:p>
    <w:p>
      <w:pPr>
        <w:pStyle w:val="Style24"/>
        <w:rPr/>
      </w:pPr>
      <w:bookmarkStart w:id="66" w:name="_Toc228976081"/>
      <w:r>
        <w:rPr/>
        <w:t>Общие сведения о закупке</w:t>
      </w:r>
      <w:bookmarkEnd w:id="66"/>
    </w:p>
    <w:p>
      <w:pPr>
        <w:pStyle w:val="Style25"/>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5"/>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5"/>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3"/>
          </w:rPr>
          <w:t>Технических требованиях (Приложение № 1)</w:t>
        </w:r>
      </w:hyperlink>
      <w:r>
        <w:rPr/>
        <w:t xml:space="preserve">. </w:t>
      </w:r>
      <w:hyperlink w:anchor="Прил02_ПроектДоговора">
        <w:r>
          <w:rPr>
            <w:rStyle w:val="Style13"/>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3"/>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3"/>
          </w:rPr>
          <w:t>Приложение № 4</w:t>
        </w:r>
      </w:hyperlink>
      <w:r>
        <w:rPr/>
        <w:t>)).</w:t>
      </w:r>
    </w:p>
    <w:p>
      <w:pPr>
        <w:pStyle w:val="Style25"/>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3"/>
          </w:rPr>
          <w:t>№ 4</w:t>
        </w:r>
      </w:hyperlink>
      <w:r>
        <w:rPr/>
        <w:t xml:space="preserve">, </w:t>
      </w:r>
      <w:hyperlink w:anchor="Прил05_ФормыПобедителя">
        <w:r>
          <w:rPr>
            <w:rStyle w:val="Style13"/>
          </w:rPr>
          <w:t>№ 5</w:t>
        </w:r>
      </w:hyperlink>
      <w:r>
        <w:rPr/>
        <w:t>.</w:t>
      </w:r>
    </w:p>
    <w:p>
      <w:pPr>
        <w:pStyle w:val="Style24"/>
        <w:rPr/>
      </w:pPr>
      <w:bookmarkStart w:id="67" w:name="_Toc228976082"/>
      <w:r>
        <w:rPr/>
        <w:t>Правовой статус документов</w:t>
      </w:r>
      <w:bookmarkEnd w:id="67"/>
    </w:p>
    <w:p>
      <w:pPr>
        <w:pStyle w:val="Style25"/>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5"/>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5"/>
        <w:keepNext w:val="true"/>
        <w:rPr/>
      </w:pPr>
      <w:bookmarkStart w:id="68"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8"/>
      <w:r>
        <w:rPr/>
        <w:t>.</w:t>
      </w:r>
    </w:p>
    <w:p>
      <w:pPr>
        <w:pStyle w:val="Style25"/>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5"/>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5"/>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5"/>
        <w:rPr/>
      </w:pPr>
      <w:r>
        <w:rPr/>
        <w:t>Иные документы Организатора и Участников не определяют права и обязанности сторон в связи с данной закупкой.</w:t>
      </w:r>
    </w:p>
    <w:p>
      <w:pPr>
        <w:pStyle w:val="Style25"/>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4"/>
        <w:rPr/>
      </w:pPr>
      <w:bookmarkStart w:id="69" w:name="_Toc228976083"/>
      <w:bookmarkStart w:id="70" w:name="_Ref125363536"/>
      <w:r>
        <w:rPr/>
        <w:t>Обжалование</w:t>
      </w:r>
      <w:bookmarkEnd w:id="69"/>
      <w:bookmarkEnd w:id="70"/>
    </w:p>
    <w:p>
      <w:pPr>
        <w:pStyle w:val="Style25"/>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5"/>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5"/>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6"/>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6"/>
        <w:rPr/>
      </w:pPr>
      <w:r>
        <w:rPr/>
        <w:t>признать заявление Участника необоснованным.</w:t>
      </w:r>
    </w:p>
    <w:p>
      <w:pPr>
        <w:pStyle w:val="Style25"/>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5"/>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6"/>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6"/>
        <w:rPr/>
      </w:pPr>
      <w:r>
        <w:rPr/>
        <w:t>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p>
    <w:p>
      <w:pPr>
        <w:pStyle w:val="Style29"/>
        <w:ind w:left="1134"/>
        <w:rPr/>
      </w:pPr>
      <w:r>
        <w:rPr/>
        <w:t>Закупочная комиссия определяется в соответствии с Положением о закупке.</w:t>
      </w:r>
    </w:p>
    <w:p>
      <w:pPr>
        <w:pStyle w:val="Style24"/>
        <w:rPr/>
      </w:pPr>
      <w:bookmarkStart w:id="71" w:name="_Toc228976084"/>
      <w:bookmarkStart w:id="72" w:name="_Ref125472658"/>
      <w:r>
        <w:rPr/>
        <w:t>Особые положения при проведении закупки с использованием ЭП</w:t>
      </w:r>
      <w:bookmarkEnd w:id="71"/>
      <w:bookmarkEnd w:id="72"/>
    </w:p>
    <w:p>
      <w:pPr>
        <w:pStyle w:val="Style25"/>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5"/>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5"/>
        <w:rPr/>
      </w:pPr>
      <w:bookmarkStart w:id="73"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73"/>
    </w:p>
    <w:p>
      <w:pPr>
        <w:pStyle w:val="Style25"/>
        <w:rPr/>
      </w:pPr>
      <w:bookmarkStart w:id="74"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4"/>
    </w:p>
    <w:p>
      <w:pPr>
        <w:pStyle w:val="Style24"/>
        <w:rPr/>
      </w:pPr>
      <w:bookmarkStart w:id="75" w:name="_Toc228976085"/>
      <w:r>
        <w:rPr/>
        <w:t>Прочие положения</w:t>
      </w:r>
      <w:bookmarkEnd w:id="75"/>
    </w:p>
    <w:p>
      <w:pPr>
        <w:pStyle w:val="Style25"/>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5"/>
        <w:rPr/>
      </w:pPr>
      <w:bookmarkStart w:id="76"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6"/>
    </w:p>
    <w:p>
      <w:pPr>
        <w:pStyle w:val="Style25"/>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3"/>
        <w:rPr/>
      </w:pPr>
      <w:bookmarkStart w:id="77" w:name="_Toc228976086"/>
      <w:bookmarkStart w:id="78" w:name="_Ref125361210"/>
      <w:r>
        <w:rPr/>
        <w:t>Требования к Участникам</w:t>
      </w:r>
      <w:bookmarkEnd w:id="77"/>
      <w:bookmarkEnd w:id="78"/>
    </w:p>
    <w:p>
      <w:pPr>
        <w:pStyle w:val="Style24"/>
        <w:rPr/>
      </w:pPr>
      <w:bookmarkStart w:id="79" w:name="_Toc228976087"/>
      <w:bookmarkStart w:id="80" w:name="_Ref127524530"/>
      <w:r>
        <w:rPr/>
        <w:t>Общие требования к Участникам</w:t>
      </w:r>
      <w:bookmarkEnd w:id="79"/>
      <w:bookmarkEnd w:id="80"/>
    </w:p>
    <w:p>
      <w:pPr>
        <w:pStyle w:val="Style25"/>
        <w:rPr/>
      </w:pPr>
      <w:bookmarkStart w:id="81"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81"/>
    </w:p>
    <w:p>
      <w:pPr>
        <w:pStyle w:val="Style25"/>
        <w:rPr/>
      </w:pPr>
      <w:r>
        <w:rPr/>
        <w:t>Однако, чтобы претендовать на победу в закупке Участник самостоятельно или Коллективный участник (подраздел </w:t>
      </w:r>
      <w:r>
        <w:rPr/>
        <w:fldChar w:fldCharType="begin"/>
      </w:r>
      <w:r>
        <w:rPr/>
        <w:instrText xml:space="preserve"> REF _Ref130308062 \r \h </w:instrText>
      </w:r>
      <w:r>
        <w:rPr/>
        <w:fldChar w:fldCharType="separate"/>
      </w:r>
      <w:r>
        <w:rPr/>
        <w:t>3.2</w:t>
      </w:r>
      <w:r>
        <w:rPr/>
        <w:fldChar w:fldCharType="end"/>
      </w:r>
      <w:r>
        <w:rPr/>
        <w:t>) в целом должен отвечать требованиям, установленным в Документации о закупке.</w:t>
      </w:r>
    </w:p>
    <w:p>
      <w:pPr>
        <w:pStyle w:val="Style25"/>
        <w:rPr/>
      </w:pPr>
      <w:r>
        <w:rPr/>
        <w:t xml:space="preserve">Требования к Участникам установлены с учетом предмета договора, </w:t>
      </w:r>
      <w:hyperlink w:anchor="Прил01_ТехТребования">
        <w:r>
          <w:rPr>
            <w:rStyle w:val="Style13"/>
          </w:rPr>
          <w:t>Технических требований (Приложение № 1)</w:t>
        </w:r>
      </w:hyperlink>
      <w:r>
        <w:rPr/>
        <w:t xml:space="preserve"> и </w:t>
      </w:r>
      <w:hyperlink w:anchor="Прил02_ПроектДоговора">
        <w:r>
          <w:rPr>
            <w:rStyle w:val="Style13"/>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3"/>
          </w:rPr>
          <w:t>Приложение № 4</w:t>
        </w:r>
      </w:hyperlink>
      <w:r>
        <w:rPr/>
        <w:t>)).</w:t>
      </w:r>
    </w:p>
    <w:p>
      <w:pPr>
        <w:pStyle w:val="Style25"/>
        <w:keepNext w:val="true"/>
        <w:rPr/>
      </w:pPr>
      <w:r>
        <w:rPr/>
        <w:t>Установлены следующие требования к Участникам, которые приведены в </w:t>
      </w:r>
      <w:hyperlink w:anchor="Прил03_ТребованияУчастникам">
        <w:r>
          <w:rPr>
            <w:rStyle w:val="Style13"/>
          </w:rPr>
          <w:t>Приложении № 3</w:t>
        </w:r>
      </w:hyperlink>
      <w:r>
        <w:rPr/>
        <w:t>:</w:t>
      </w:r>
    </w:p>
    <w:p>
      <w:pPr>
        <w:pStyle w:val="Style26"/>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6"/>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6"/>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25"/>
        <w:keepNext w:val="true"/>
        <w:rPr/>
      </w:pPr>
      <w:r>
        <w:rPr/>
        <w:t>В рамках требований к Участникам могут быть установлены дополнительные требования:</w:t>
      </w:r>
    </w:p>
    <w:p>
      <w:pPr>
        <w:pStyle w:val="Style26"/>
        <w:rPr/>
      </w:pPr>
      <w:r>
        <w:rPr/>
        <w:t>к Коллективным участникам (подраздел </w:t>
      </w:r>
      <w:r>
        <w:rPr/>
        <w:fldChar w:fldCharType="begin"/>
      </w:r>
      <w:r>
        <w:rPr/>
        <w:instrText xml:space="preserve"> REF _Ref130308111 \r \h </w:instrText>
      </w:r>
      <w:r>
        <w:rPr/>
        <w:fldChar w:fldCharType="separate"/>
      </w:r>
      <w:r>
        <w:rPr/>
        <w:t>3.2</w:t>
      </w:r>
      <w:r>
        <w:rPr/>
        <w:fldChar w:fldCharType="end"/>
      </w:r>
      <w:r>
        <w:rPr/>
        <w:t>);</w:t>
      </w:r>
    </w:p>
    <w:p>
      <w:pPr>
        <w:pStyle w:val="Style26"/>
        <w:rPr/>
      </w:pPr>
      <w:r>
        <w:rPr/>
        <w:t>к Генеральным подрядчикам (подраздел </w:t>
      </w:r>
      <w:r>
        <w:rPr/>
        <w:fldChar w:fldCharType="begin"/>
      </w:r>
      <w:r>
        <w:rPr/>
        <w:instrText xml:space="preserve"> REF _Ref125361702 \r \h </w:instrText>
      </w:r>
      <w:r>
        <w:rPr/>
        <w:fldChar w:fldCharType="separate"/>
      </w:r>
      <w:r>
        <w:rPr/>
        <w:t>3.3</w:t>
      </w:r>
      <w:r>
        <w:rPr/>
        <w:fldChar w:fldCharType="end"/>
      </w:r>
      <w:r>
        <w:rPr/>
        <w:t>);</w:t>
      </w:r>
    </w:p>
    <w:p>
      <w:pPr>
        <w:pStyle w:val="Style26"/>
        <w:rPr/>
      </w:pPr>
      <w:r>
        <w:rPr/>
        <w:t>к привлечению субподрядчиков (соисполнителей) из числа субъектов МСП (подраздел </w:t>
      </w:r>
      <w:r>
        <w:rPr/>
        <w:fldChar w:fldCharType="begin"/>
      </w:r>
      <w:r>
        <w:rPr/>
        <w:instrText xml:space="preserve"> REF _Ref127524203 \r \h </w:instrText>
      </w:r>
      <w:r>
        <w:rPr/>
        <w:fldChar w:fldCharType="separate"/>
      </w:r>
      <w:r>
        <w:rPr/>
        <w:t>3.4</w:t>
      </w:r>
      <w:r>
        <w:rPr/>
        <w:fldChar w:fldCharType="end"/>
      </w:r>
      <w:r>
        <w:rPr/>
        <w:t>).</w:t>
      </w:r>
    </w:p>
    <w:p>
      <w:pPr>
        <w:pStyle w:val="Style25"/>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3"/>
          </w:rPr>
          <w:t>Требованиях к Участникам (Приложение № 3)</w:t>
        </w:r>
      </w:hyperlink>
      <w:r>
        <w:rPr/>
        <w:t>, если иное не установлено в Документации о закупке.</w:t>
      </w:r>
    </w:p>
    <w:p>
      <w:pPr>
        <w:pStyle w:val="Style24"/>
        <w:rPr/>
      </w:pPr>
      <w:bookmarkStart w:id="82" w:name="_Ref125361976"/>
      <w:bookmarkStart w:id="83" w:name="_Ref125361969"/>
      <w:bookmarkStart w:id="84" w:name="_Toc228976088"/>
      <w:bookmarkStart w:id="85" w:name="_Ref130308255"/>
      <w:bookmarkStart w:id="86" w:name="_Ref130308203"/>
      <w:bookmarkStart w:id="87" w:name="_Ref130308111"/>
      <w:bookmarkStart w:id="88" w:name="_Ref130308062"/>
      <w:bookmarkStart w:id="89" w:name="_Ref130305355"/>
      <w:r>
        <w:rPr/>
        <w:t>Коллективные участники</w:t>
      </w:r>
      <w:bookmarkEnd w:id="82"/>
      <w:bookmarkEnd w:id="83"/>
      <w:bookmarkEnd w:id="84"/>
      <w:bookmarkEnd w:id="85"/>
      <w:bookmarkEnd w:id="86"/>
      <w:bookmarkEnd w:id="87"/>
      <w:bookmarkEnd w:id="88"/>
      <w:bookmarkEnd w:id="89"/>
    </w:p>
    <w:p>
      <w:pPr>
        <w:pStyle w:val="Style25"/>
        <w:rPr/>
      </w:pPr>
      <w:r>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25"/>
        <w:rPr/>
      </w:pPr>
      <w:r>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fldChar w:fldCharType="begin"/>
      </w:r>
      <w:r>
        <w:rPr/>
        <w:instrText xml:space="preserve"> REF _Ref125552455 \r \h </w:instrText>
      </w:r>
      <w:r>
        <w:rPr/>
        <w:fldChar w:fldCharType="separate"/>
      </w:r>
      <w:r>
        <w:rPr/>
        <w:t>8.5</w:t>
      </w:r>
      <w:r>
        <w:rPr/>
        <w:fldChar w:fldCharType="end"/>
      </w:r>
      <w:r>
        <w:rPr/>
        <w:t xml:space="preserve"> </w:t>
      </w:r>
      <w:hyperlink w:anchor="Прил03_ТребованияУчастникам">
        <w:r>
          <w:rPr>
            <w:rStyle w:val="Style13"/>
          </w:rPr>
          <w:t>Требований к Участникам (Приложение № 3)</w:t>
        </w:r>
      </w:hyperlink>
      <w:r>
        <w:rPr/>
        <w:t>.</w:t>
      </w:r>
    </w:p>
    <w:p>
      <w:pPr>
        <w:pStyle w:val="Style25"/>
        <w:keepNext w:val="true"/>
        <w:rPr/>
      </w:pPr>
      <w:bookmarkStart w:id="90" w:name="_Ref125366972"/>
      <w:r>
        <w:rPr/>
        <w:t>Члены Коллективного участника заключают между собой соглашение, соответствующее нормам ГК РФ, и отвечающее следующим требованиям:</w:t>
      </w:r>
      <w:bookmarkEnd w:id="90"/>
    </w:p>
    <w:p>
      <w:pPr>
        <w:pStyle w:val="Style26"/>
        <w:rPr/>
      </w:pPr>
      <w:r>
        <w:rPr/>
        <w:t>в соглашении должны быть определены права и обязанности сторон как в рамках участия в закупке, так и в рамках исполнения Договора;</w:t>
      </w:r>
    </w:p>
    <w:p>
      <w:pPr>
        <w:pStyle w:val="Style26"/>
        <w:rPr/>
      </w:pPr>
      <w:r>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26"/>
        <w:rPr/>
      </w:pPr>
      <w:r>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p>
    <w:p>
      <w:pPr>
        <w:pStyle w:val="Style26"/>
        <w:rPr/>
      </w:pPr>
      <w:r>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26"/>
        <w:rPr/>
      </w:pPr>
      <w:r>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26"/>
        <w:rPr/>
      </w:pPr>
      <w:r>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25"/>
        <w:rPr/>
      </w:pPr>
      <w:r>
        <w:rPr/>
        <w:t>Заявка подготавливается и подается лидером от своего имени со ссылкой в Письме о подаче оферты (форма 2) (</w:t>
      </w:r>
      <w:hyperlink w:anchor="Прил04_ФормыЗаявки">
        <w:r>
          <w:rPr>
            <w:rStyle w:val="Style13"/>
          </w:rPr>
          <w:t>Приложение № 4</w:t>
        </w:r>
      </w:hyperlink>
      <w:r>
        <w:rPr/>
        <w:t>) на то, что он представляет интересы Коллективного участника.</w:t>
      </w:r>
    </w:p>
    <w:p>
      <w:pPr>
        <w:pStyle w:val="Style25"/>
        <w:rPr/>
      </w:pPr>
      <w:bookmarkStart w:id="91" w:name="_Ref125368791"/>
      <w:r>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bookmarkEnd w:id="91"/>
    </w:p>
    <w:p>
      <w:pPr>
        <w:pStyle w:val="Style25"/>
        <w:rPr/>
      </w:pPr>
      <w:r>
        <w:rPr/>
        <w:t>При рассмотрении и оценке Коллективного участника на соответствие специальным требованиям к Участникам (подраздел </w:t>
      </w:r>
      <w:r>
        <w:rPr/>
        <w:fldChar w:fldCharType="begin"/>
      </w:r>
      <w:r>
        <w:rPr/>
        <w:instrText xml:space="preserve"> REF _Ref125709153 \r \h </w:instrText>
      </w:r>
      <w:r>
        <w:rPr/>
        <w:fldChar w:fldCharType="separate"/>
      </w:r>
      <w:r>
        <w:rPr/>
        <w:t>8.3</w:t>
      </w:r>
      <w:r>
        <w:rPr/>
        <w:fldChar w:fldCharType="end"/>
      </w:r>
      <w:r>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11) (</w:t>
      </w:r>
      <w:hyperlink w:anchor="Прил04_ФормыЗаявки">
        <w:r>
          <w:rPr>
            <w:rStyle w:val="Style13"/>
          </w:rPr>
          <w:t>Приложение № 4</w:t>
        </w:r>
      </w:hyperlink>
      <w:r>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25"/>
        <w:rPr/>
      </w:pPr>
      <w:bookmarkStart w:id="92" w:name="_Ref134705077"/>
      <w:r>
        <w:rPr/>
        <w:t>При рассмотрении и оценке Коллективного участника на соответствие квалификационным требованиям (подраздел </w:t>
      </w:r>
      <w:r>
        <w:rPr/>
        <w:fldChar w:fldCharType="begin"/>
      </w:r>
      <w:r>
        <w:rPr/>
        <w:instrText xml:space="preserve"> REF _Ref125550270 \r \h </w:instrText>
      </w:r>
      <w:r>
        <w:rPr/>
        <w:fldChar w:fldCharType="separate"/>
      </w:r>
      <w:r>
        <w:rPr/>
        <w:t>8.4</w:t>
      </w:r>
      <w:r>
        <w:rPr/>
        <w:fldChar w:fldCharType="end"/>
      </w:r>
      <w:r>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3"/>
          </w:rPr>
          <w:t>Приложение № 4</w:t>
        </w:r>
      </w:hyperlink>
      <w:r>
        <w:rPr/>
        <w:t>) будет поручена непосредственная поставка продукции, требующая наличия указанного опыта.</w:t>
      </w:r>
      <w:bookmarkEnd w:id="92"/>
    </w:p>
    <w:p>
      <w:pPr>
        <w:pStyle w:val="Style25"/>
        <w:keepNext w:val="true"/>
        <w:rPr/>
      </w:pPr>
      <w:bookmarkStart w:id="93" w:name="_Ref125361726"/>
      <w:r>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93"/>
    </w:p>
    <w:p>
      <w:pPr>
        <w:pStyle w:val="Style26"/>
        <w:rPr/>
      </w:pPr>
      <w:r>
        <w:rPr/>
        <w:t>принимать участие в этой же закупке самостоятельно;</w:t>
      </w:r>
    </w:p>
    <w:p>
      <w:pPr>
        <w:pStyle w:val="Style26"/>
        <w:rPr/>
      </w:pPr>
      <w:r>
        <w:rPr/>
        <w:t>принимать участие в этой же закупке в качестве Генерального подрядчика или субподрядчика (подраздел </w:t>
      </w:r>
      <w:r>
        <w:rPr/>
        <w:fldChar w:fldCharType="begin"/>
      </w:r>
      <w:r>
        <w:rPr/>
        <w:instrText xml:space="preserve"> REF _Ref125361702 \r \h </w:instrText>
      </w:r>
      <w:r>
        <w:rPr/>
        <w:fldChar w:fldCharType="separate"/>
      </w:r>
      <w:r>
        <w:rPr/>
        <w:t>3.3</w:t>
      </w:r>
      <w:r>
        <w:rPr/>
        <w:fldChar w:fldCharType="end"/>
      </w:r>
      <w:r>
        <w:rPr/>
        <w:t>).</w:t>
      </w:r>
    </w:p>
    <w:p>
      <w:pPr>
        <w:pStyle w:val="Style29"/>
        <w:ind w:left="1134"/>
        <w:rPr/>
      </w:pPr>
      <w:r>
        <w:rPr/>
        <w:t>В случае невыполнения данного требования все заявки с участием таких лиц будут отклонены.</w:t>
      </w:r>
    </w:p>
    <w:p>
      <w:pPr>
        <w:pStyle w:val="Style25"/>
        <w:rPr/>
      </w:pPr>
      <w:r>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r>
          <w:rPr>
            <w:rStyle w:val="Style13"/>
          </w:rPr>
          <w:t>Приложение № 3</w:t>
        </w:r>
      </w:hyperlink>
      <w:r>
        <w:rPr>
          <w:rStyle w:val="Style13"/>
        </w:rPr>
        <w:t>)</w:t>
      </w:r>
      <w:r>
        <w:rPr/>
        <w:t>, а также при несоблюдении вышеуказанных норм настоящего подраздела, заявка такого Коллективного участника отклоняется.</w:t>
      </w:r>
    </w:p>
    <w:p>
      <w:pPr>
        <w:pStyle w:val="Style25"/>
        <w:rPr/>
      </w:pPr>
      <w:r>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25"/>
        <w:rPr/>
      </w:pPr>
      <w:r>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24"/>
        <w:rPr/>
      </w:pPr>
      <w:bookmarkStart w:id="94" w:name="_Toc228976089"/>
      <w:bookmarkStart w:id="95" w:name="_Ref125361702"/>
      <w:r>
        <w:rPr/>
        <w:t>Генеральные подрядчики</w:t>
      </w:r>
      <w:bookmarkEnd w:id="94"/>
      <w:bookmarkEnd w:id="95"/>
    </w:p>
    <w:p>
      <w:pPr>
        <w:pStyle w:val="Style25"/>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25"/>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8.6</w:t>
      </w:r>
      <w:r>
        <w:rPr/>
        <w:fldChar w:fldCharType="end"/>
      </w:r>
      <w:r>
        <w:rPr/>
        <w:t xml:space="preserve"> </w:t>
      </w:r>
      <w:hyperlink w:anchor="Прил03_ТребованияУчастникам">
        <w:r>
          <w:rPr>
            <w:rStyle w:val="Style13"/>
          </w:rPr>
          <w:t>Требований к Участникам (Приложение № 3)</w:t>
        </w:r>
      </w:hyperlink>
      <w:r>
        <w:rPr/>
        <w:t>.</w:t>
      </w:r>
    </w:p>
    <w:p>
      <w:pPr>
        <w:pStyle w:val="Style25"/>
        <w:keepNext w:val="true"/>
        <w:rPr/>
      </w:pPr>
      <w:r>
        <w:rPr/>
        <w:t>Генеральный подрядчик:</w:t>
      </w:r>
    </w:p>
    <w:p>
      <w:pPr>
        <w:pStyle w:val="Style26"/>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6"/>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6"/>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3"/>
          </w:rPr>
          <w:t>Приложение № 4</w:t>
        </w:r>
      </w:hyperlink>
      <w:r>
        <w:rPr/>
        <w:t>).</w:t>
      </w:r>
    </w:p>
    <w:p>
      <w:pPr>
        <w:pStyle w:val="Style25"/>
        <w:keepNext w:val="true"/>
        <w:rPr/>
      </w:pPr>
      <w:r>
        <w:rPr/>
        <w:t>Каждый субподрядчик из привлекаемых Генеральным подрядчиком должен отвечать:</w:t>
      </w:r>
    </w:p>
    <w:p>
      <w:pPr>
        <w:pStyle w:val="Style26"/>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6"/>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6"/>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29"/>
        <w:ind w:left="1134"/>
        <w:rPr/>
      </w:pPr>
      <w:bookmarkStart w:id="96"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6"/>
      <w:r>
        <w:rPr/>
        <w:t>в соответствии с Планом распределения объемов поставки продукции (форма 10) (</w:t>
      </w:r>
      <w:hyperlink w:anchor="Прил04_ФормыЗаявки">
        <w:r>
          <w:rPr>
            <w:rStyle w:val="Style13"/>
          </w:rPr>
          <w:t>Приложение № 4</w:t>
        </w:r>
      </w:hyperlink>
      <w:r>
        <w:rPr/>
        <w:t>).</w:t>
      </w:r>
    </w:p>
    <w:p>
      <w:pPr>
        <w:pStyle w:val="Style25"/>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3"/>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5"/>
        <w:rPr/>
      </w:pPr>
      <w:bookmarkStart w:id="9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fldChar w:fldCharType="begin"/>
      </w:r>
      <w:r>
        <w:rPr/>
        <w:instrText xml:space="preserve"> REF _Ref130308203 \r \h </w:instrText>
      </w:r>
      <w:r>
        <w:rPr/>
        <w:fldChar w:fldCharType="separate"/>
      </w:r>
      <w:r>
        <w:rPr/>
        <w:t>3.2</w:t>
      </w:r>
      <w:r>
        <w:rPr/>
        <w:fldChar w:fldCharType="end"/>
      </w:r>
      <w:r>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7"/>
    </w:p>
    <w:p>
      <w:pPr>
        <w:pStyle w:val="Style25"/>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8.6</w:t>
      </w:r>
      <w:r>
        <w:rPr/>
        <w:fldChar w:fldCharType="end"/>
      </w:r>
      <w:r>
        <w:rPr/>
        <w:t xml:space="preserve"> </w:t>
      </w:r>
      <w:hyperlink w:anchor="Прил03_ТребованияУчастникам">
        <w:r>
          <w:rPr>
            <w:rStyle w:val="Style13"/>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98" w:name="_Toc228976090"/>
      <w:bookmarkStart w:id="99" w:name="_Ref127524203"/>
      <w:r>
        <w:rPr/>
        <w:t>Привлечение субподрядчиков (соисполнителей) из числа субъектов МСП</w:t>
      </w:r>
      <w:bookmarkEnd w:id="98"/>
      <w:bookmarkEnd w:id="99"/>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25"/>
        <w:rPr/>
      </w:pPr>
      <w:r>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r>
          <w:rPr>
            <w:rStyle w:val="Style13"/>
          </w:rPr>
          <w:t>Требований к Участникам (Приложение № 3)</w:t>
        </w:r>
      </w:hyperlink>
      <w:r>
        <w:rPr/>
        <w:t>. При этом в Плане распределения объемов поставки продукции (форма 10) (</w:t>
      </w:r>
      <w:hyperlink w:anchor="Прил04_ФормыЗаявки">
        <w:r>
          <w:rPr>
            <w:rStyle w:val="Style13"/>
          </w:rPr>
          <w:t>Приложение № 4</w:t>
        </w:r>
      </w:hyperlink>
      <w:r>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25"/>
        <w:rPr/>
      </w:pPr>
      <w:r>
        <w:rPr/>
        <w:t>При этом требования подраздела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r>
          <w:rPr>
            <w:rStyle w:val="Style13"/>
          </w:rPr>
          <w:t>Требований к Участникам (Приложение № 3)</w:t>
        </w:r>
      </w:hyperlink>
      <w:r>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fldChar w:fldCharType="begin"/>
      </w:r>
      <w:r>
        <w:rPr/>
        <w:instrText xml:space="preserve"> REF _Ref125361702 \r \h </w:instrText>
      </w:r>
      <w:r>
        <w:rPr/>
        <w:fldChar w:fldCharType="separate"/>
      </w:r>
      <w:r>
        <w:rPr/>
        <w:t>3.3</w:t>
      </w:r>
      <w:r>
        <w:rPr/>
        <w:fldChar w:fldCharType="end"/>
      </w:r>
      <w:r>
        <w:rPr/>
        <w:t>).</w:t>
      </w:r>
    </w:p>
    <w:p>
      <w:pPr>
        <w:pStyle w:val="Style25"/>
        <w:rPr/>
      </w:pPr>
      <w:bookmarkStart w:id="100" w:name="_Ref125473377"/>
      <w:r>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r>
          <w:rPr>
            <w:rStyle w:val="Style13"/>
          </w:rPr>
          <w:t>Приложение № 4</w:t>
        </w:r>
      </w:hyperlink>
      <w:r>
        <w:rPr/>
        <w:t>).</w:t>
      </w:r>
      <w:bookmarkEnd w:id="100"/>
      <w:r>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headerReference w:type="default" r:id="rId4"/>
          <w:footerReference w:type="default" r:id="rId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5"/>
        <w:rPr/>
      </w:pPr>
      <w:r>
        <w:rPr/>
        <w:t>Если привлекаемые субъекты МСП входят в состав Коллективного участника (подраздел </w:t>
      </w:r>
      <w:r>
        <w:rPr/>
        <w:fldChar w:fldCharType="begin"/>
      </w:r>
      <w:r>
        <w:rPr/>
        <w:instrText xml:space="preserve"> REF _Ref130308255 \r \h </w:instrText>
      </w:r>
      <w:r>
        <w:rPr/>
        <w:fldChar w:fldCharType="separate"/>
      </w:r>
      <w:r>
        <w:rPr/>
        <w:t>3.2</w:t>
      </w:r>
      <w:r>
        <w:rPr/>
        <w:fldChar w:fldCharType="end"/>
      </w:r>
      <w:r>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23"/>
        <w:rPr/>
      </w:pPr>
      <w:bookmarkStart w:id="101" w:name="_Toc228976091"/>
      <w:bookmarkStart w:id="102" w:name="_Ref125367974"/>
      <w:bookmarkStart w:id="103" w:name="_Ref125367107"/>
      <w:bookmarkStart w:id="104" w:name="_Ref125367098"/>
      <w:bookmarkStart w:id="105" w:name="_Ref125361211"/>
      <w:r>
        <w:rPr/>
        <w:t>Порядок проведения закупки</w:t>
      </w:r>
      <w:bookmarkEnd w:id="101"/>
      <w:bookmarkEnd w:id="102"/>
      <w:bookmarkEnd w:id="103"/>
      <w:bookmarkEnd w:id="104"/>
      <w:bookmarkEnd w:id="105"/>
    </w:p>
    <w:p>
      <w:pPr>
        <w:pStyle w:val="Style24"/>
        <w:rPr/>
      </w:pPr>
      <w:bookmarkStart w:id="106" w:name="_Toc228976092"/>
      <w:bookmarkStart w:id="107" w:name="_Ref126141932"/>
      <w:r>
        <w:rPr/>
        <w:t>Общий порядок проведения закупки</w:t>
      </w:r>
      <w:bookmarkEnd w:id="106"/>
      <w:bookmarkEnd w:id="107"/>
    </w:p>
    <w:p>
      <w:pPr>
        <w:pStyle w:val="Style25"/>
        <w:keepNext w:val="true"/>
        <w:spacing w:before="120" w:after="120"/>
        <w:rPr/>
      </w:pPr>
      <w:r>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2221"/>
        <w:gridCol w:w="1109"/>
        <w:gridCol w:w="1112"/>
        <w:gridCol w:w="2226"/>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29"/>
              <w:keepNext w:val="true"/>
              <w:keepLines w:val="false"/>
              <w:widowControl/>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574" w:type="dxa"/>
            <w:gridSpan w:val="7"/>
            <w:tcBorders>
              <w:right w:val="nil"/>
            </w:tcBorders>
          </w:tcPr>
          <w:p>
            <w:pPr>
              <w:pStyle w:val="Style29"/>
              <w:keepNext w:val="true"/>
              <w:keepLines w:val="false"/>
              <w:widowControl/>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4"/>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0" w:type="dxa"/>
            <w:gridSpan w:val="2"/>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8" w:type="dxa"/>
            <w:gridSpan w:val="2"/>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29"/>
              <w:widowControl/>
              <w:suppressAutoHyphens w:val="true"/>
              <w:spacing w:before="40" w:after="40"/>
              <w:jc w:val="center"/>
              <w:rPr>
                <w:bCs/>
                <w:sz w:val="24"/>
                <w:szCs w:val="24"/>
              </w:rPr>
            </w:pPr>
            <w:r>
              <w:rPr>
                <w:bCs/>
                <w:sz w:val="24"/>
                <w:szCs w:val="24"/>
              </w:rPr>
            </w:r>
          </w:p>
        </w:tc>
        <w:tc>
          <w:tcPr>
            <w:tcW w:w="2267" w:type="dxa"/>
            <w:vMerge w:val="continue"/>
            <w:tcBorders/>
          </w:tcPr>
          <w:p>
            <w:pPr>
              <w:pStyle w:val="Style29"/>
              <w:widowControl/>
              <w:suppressAutoHyphens w:val="true"/>
              <w:spacing w:before="40" w:after="40"/>
              <w:jc w:val="center"/>
              <w:rPr>
                <w:bCs/>
                <w:sz w:val="24"/>
                <w:szCs w:val="24"/>
              </w:rPr>
            </w:pPr>
            <w:r>
              <w:rPr>
                <w:bCs/>
                <w:sz w:val="24"/>
                <w:szCs w:val="24"/>
              </w:rPr>
            </w:r>
          </w:p>
        </w:tc>
        <w:tc>
          <w:tcPr>
            <w:tcW w:w="2230" w:type="dxa"/>
            <w:vMerge w:val="continue"/>
            <w:tcBorders>
              <w:right w:val="nil"/>
            </w:tcBorders>
            <w:vAlign w:val="bottom"/>
          </w:tcPr>
          <w:p>
            <w:pPr>
              <w:pStyle w:val="Style29"/>
              <w:widowControl/>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44" w:type="dxa"/>
            <w:gridSpan w:val="6"/>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0" w:type="dxa"/>
            <w:gridSpan w:val="2"/>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8" w:type="dxa"/>
            <w:gridSpan w:val="2"/>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vAlign w:val="center"/>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vAlign w:val="center"/>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29"/>
              <w:widowControl/>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4"/>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Переторжка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_Ref127536359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29"/>
              <w:widowControl/>
              <w:suppressAutoHyphens w:val="true"/>
              <w:spacing w:before="40" w:after="40"/>
              <w:jc w:val="center"/>
              <w:rPr>
                <w:bCs/>
                <w:sz w:val="24"/>
                <w:szCs w:val="24"/>
              </w:rPr>
            </w:pPr>
            <w:r>
              <w:rPr>
                <w:bCs/>
                <w:sz w:val="24"/>
                <w:szCs w:val="24"/>
              </w:rPr>
            </w:r>
          </w:p>
        </w:tc>
        <w:tc>
          <w:tcPr>
            <w:tcW w:w="2267" w:type="dxa"/>
            <w:vMerge w:val="continue"/>
            <w:tcBorders/>
          </w:tcPr>
          <w:p>
            <w:pPr>
              <w:pStyle w:val="Style29"/>
              <w:widowControl/>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29"/>
              <w:widowControl/>
              <w:suppressAutoHyphens w:val="true"/>
              <w:spacing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221" w:type="dxa"/>
            <w:tcBorders/>
            <w:vAlign w:val="center"/>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447" w:type="dxa"/>
            <w:gridSpan w:val="3"/>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continue"/>
            <w:tcBorders/>
          </w:tcPr>
          <w:p>
            <w:pPr>
              <w:pStyle w:val="Style29"/>
              <w:widowControl/>
              <w:suppressAutoHyphens w:val="true"/>
              <w:spacing w:before="40" w:after="40"/>
              <w:jc w:val="center"/>
              <w:rPr>
                <w:bCs/>
                <w:sz w:val="24"/>
                <w:szCs w:val="24"/>
              </w:rPr>
            </w:pPr>
            <w:r>
              <w:rPr>
                <w:bCs/>
                <w:sz w:val="24"/>
                <w:szCs w:val="24"/>
              </w:rPr>
            </w:r>
          </w:p>
        </w:tc>
        <w:tc>
          <w:tcPr>
            <w:tcW w:w="2267" w:type="dxa"/>
            <w:vMerge w:val="continue"/>
            <w:tcBorders/>
          </w:tcPr>
          <w:p>
            <w:pPr>
              <w:pStyle w:val="Style29"/>
              <w:widowControl/>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29"/>
              <w:widowControl/>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29"/>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077" w:type="dxa"/>
            <w:gridSpan w:val="5"/>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7" w:type="dxa"/>
            <w:vMerge w:val="continue"/>
            <w:tcBorders/>
          </w:tcPr>
          <w:p>
            <w:pPr>
              <w:pStyle w:val="Style29"/>
              <w:widowControl/>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29"/>
              <w:widowControl/>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29"/>
              <w:widowControl/>
              <w:suppressAutoHyphens w:val="true"/>
              <w:spacing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sym w:font="Wingdings 3" w:char="f0d4"/>
            </w:r>
          </w:p>
        </w:tc>
        <w:tc>
          <w:tcPr>
            <w:tcW w:w="4442" w:type="dxa"/>
            <w:gridSpan w:val="3"/>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9"/>
              <w:widowControl/>
              <w:suppressAutoHyphens w:val="true"/>
              <w:spacing w:before="40" w:after="40"/>
              <w:jc w:val="center"/>
              <w:rPr>
                <w:bCs/>
                <w:sz w:val="24"/>
                <w:szCs w:val="24"/>
              </w:rPr>
            </w:pPr>
            <w:r>
              <w:rPr>
                <w:bCs/>
                <w:sz w:val="24"/>
                <w:szCs w:val="24"/>
              </w:rPr>
            </w:r>
          </w:p>
        </w:tc>
        <w:tc>
          <w:tcPr>
            <w:tcW w:w="4635" w:type="dxa"/>
            <w:gridSpan w:val="2"/>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Проведение преддоговорных переговоров</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_Ref125552570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4497" w:type="dxa"/>
            <w:gridSpan w:val="2"/>
            <w:tcBorders>
              <w:right w:val="nil"/>
            </w:tcBorders>
          </w:tcPr>
          <w:p>
            <w:pPr>
              <w:pStyle w:val="Style29"/>
              <w:widowControl/>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6"/>
          <w:headerReference w:type="first" r:id="rId7"/>
          <w:footerReference w:type="default" r:id="rId8"/>
          <w:footerReference w:type="first" r:id="rId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108" w:name="_Toc228976093"/>
      <w:bookmarkStart w:id="109" w:name="_Ref130286532"/>
      <w:r>
        <w:rPr/>
        <w:t>Официальное размещение Извещения и Документации о закупке</w:t>
      </w:r>
      <w:bookmarkEnd w:id="108"/>
      <w:bookmarkEnd w:id="109"/>
    </w:p>
    <w:p>
      <w:pPr>
        <w:pStyle w:val="Style25"/>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5"/>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5"/>
        <w:rPr/>
      </w:pPr>
      <w:bookmarkStart w:id="110"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0"/>
    </w:p>
    <w:p>
      <w:pPr>
        <w:pStyle w:val="Style25"/>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4"/>
        <w:rPr/>
      </w:pPr>
      <w:bookmarkStart w:id="111" w:name="_Toc228976094"/>
      <w:bookmarkStart w:id="112" w:name="_Ref130394681"/>
      <w:bookmarkStart w:id="113" w:name="_Ref130281199"/>
      <w:r>
        <w:rPr/>
        <w:t>Подготовка заявки</w:t>
      </w:r>
      <w:bookmarkEnd w:id="111"/>
      <w:bookmarkEnd w:id="112"/>
      <w:bookmarkEnd w:id="113"/>
    </w:p>
    <w:p>
      <w:pPr>
        <w:pStyle w:val="Style25"/>
        <w:rPr/>
      </w:pPr>
      <w:r>
        <w:rPr/>
        <w:t>Участник должен подготовить заявку с учетом требований Документации о закупке.</w:t>
      </w:r>
    </w:p>
    <w:p>
      <w:pPr>
        <w:pStyle w:val="Style25"/>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5"/>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3"/>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3"/>
          </w:rPr>
          <w:t>Приложение № 4</w:t>
        </w:r>
      </w:hyperlink>
      <w:r>
        <w:rPr/>
        <w:t>.</w:t>
      </w:r>
    </w:p>
    <w:p>
      <w:pPr>
        <w:pStyle w:val="Style25"/>
        <w:rPr/>
      </w:pPr>
      <w:bookmarkStart w:id="114" w:name="_Ref125365866"/>
      <w:bookmarkStart w:id="115"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4"/>
      <w:bookmarkEnd w:id="115"/>
    </w:p>
    <w:p>
      <w:pPr>
        <w:pStyle w:val="Style25"/>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3"/>
          </w:rPr>
          <w:t>Приложение № 4</w:t>
        </w:r>
      </w:hyperlink>
      <w:r>
        <w:rPr/>
        <w:t>) может служить основанием для отклонения заявки.</w:t>
      </w:r>
    </w:p>
    <w:p>
      <w:pPr>
        <w:pStyle w:val="Style25"/>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5"/>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5"/>
        <w:rPr/>
      </w:pPr>
      <w:bookmarkStart w:id="116" w:name="_Ref125370708"/>
      <w:bookmarkStart w:id="117"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5"/>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3"/>
          </w:rPr>
          <w:t>Техническими требованиями (Приложение № 1)</w:t>
        </w:r>
      </w:hyperlink>
      <w:r>
        <w:rPr/>
        <w:t xml:space="preserve"> и </w:t>
      </w:r>
      <w:hyperlink w:anchor="Прил02_ПроектДоговора">
        <w:r>
          <w:rPr>
            <w:rStyle w:val="Style13"/>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16"/>
      <w:bookmarkEnd w:id="117"/>
    </w:p>
    <w:p>
      <w:pPr>
        <w:pStyle w:val="Style25"/>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3"/>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3"/>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5"/>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5"/>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6"/>
        <w:rPr/>
      </w:pPr>
      <w:r>
        <w:rPr/>
        <w:t>внутренние противоречия между различными частями и (или) документами заявки, в том числе по тексту внутри одного документа;</w:t>
      </w:r>
    </w:p>
    <w:p>
      <w:pPr>
        <w:pStyle w:val="Style26"/>
        <w:rPr/>
      </w:pPr>
      <w:bookmarkStart w:id="118" w:name="_Ref125714384"/>
      <w:bookmarkStart w:id="119" w:name="_Ref125370398"/>
      <w:r>
        <w:rPr/>
        <w:t>противоречия между документами заявки и сведениями, указанными Участником в структурированных формах на ЭП.</w:t>
      </w:r>
      <w:bookmarkEnd w:id="118"/>
      <w:bookmarkEnd w:id="119"/>
    </w:p>
    <w:p>
      <w:pPr>
        <w:pStyle w:val="Style25"/>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6"/>
        <w:rPr/>
      </w:pPr>
      <w:r>
        <w:rPr/>
        <w:t>полномочий таких органов / лиц на оформление этих документов;</w:t>
      </w:r>
    </w:p>
    <w:p>
      <w:pPr>
        <w:pStyle w:val="Style26"/>
        <w:rPr/>
      </w:pPr>
      <w:r>
        <w:rPr/>
        <w:t>формы, объема и содержания этих документов.</w:t>
      </w:r>
    </w:p>
    <w:p>
      <w:pPr>
        <w:pStyle w:val="Style25"/>
        <w:keepNext w:val="true"/>
        <w:rPr/>
      </w:pPr>
      <w:r>
        <w:rPr/>
        <w:t>Участник должен подготовить заявку с соблюдением следующих условий:</w:t>
      </w:r>
    </w:p>
    <w:p>
      <w:pPr>
        <w:pStyle w:val="Style26"/>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6"/>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6"/>
        <w:rPr/>
      </w:pPr>
      <w:r>
        <w:rPr/>
        <w:t>все файлы не должны иметь защиты от их открытия, изменения, копирования их содержимого или их печати;</w:t>
      </w:r>
    </w:p>
    <w:p>
      <w:pPr>
        <w:pStyle w:val="Style26"/>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6"/>
        <w:rPr/>
      </w:pPr>
      <w:r>
        <w:rPr/>
        <w:t>если какой-либо документ представлен в нечитаемом виде, данный документ считается непредставленным.</w:t>
      </w:r>
    </w:p>
    <w:p>
      <w:pPr>
        <w:pStyle w:val="Style25"/>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4"/>
        <w:rPr/>
      </w:pPr>
      <w:bookmarkStart w:id="120" w:name="_Ref125366672"/>
      <w:bookmarkStart w:id="121" w:name="_Ref125362071"/>
      <w:bookmarkStart w:id="122" w:name="_Ref125361260"/>
      <w:bookmarkStart w:id="123" w:name="_Toc228976095"/>
      <w:bookmarkStart w:id="124" w:name="_Ref130394802"/>
      <w:bookmarkStart w:id="125" w:name="_Ref130394785"/>
      <w:bookmarkStart w:id="126" w:name="_Ref130394205"/>
      <w:r>
        <w:rPr/>
        <w:t>Разъяснение Документации о закупке</w:t>
      </w:r>
      <w:bookmarkEnd w:id="120"/>
      <w:bookmarkEnd w:id="121"/>
      <w:bookmarkEnd w:id="122"/>
      <w:bookmarkEnd w:id="123"/>
      <w:bookmarkEnd w:id="124"/>
      <w:bookmarkEnd w:id="125"/>
      <w:bookmarkEnd w:id="126"/>
    </w:p>
    <w:p>
      <w:pPr>
        <w:pStyle w:val="Style25"/>
        <w:rPr/>
      </w:pPr>
      <w:r>
        <w:rPr/>
        <w:t>Участники вправе обратиться к Организатору за разъяснениями Документации о закупке.</w:t>
      </w:r>
    </w:p>
    <w:p>
      <w:pPr>
        <w:pStyle w:val="Style25"/>
        <w:rPr/>
      </w:pPr>
      <w:r>
        <w:rPr/>
        <w:t>Запросы подаются в соответствии с Регламентами и инструкциями Оператора ЭП, опубликованными на сайте соответствующей ЭП.</w:t>
      </w:r>
    </w:p>
    <w:p>
      <w:pPr>
        <w:pStyle w:val="Style25"/>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5"/>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5"/>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5"/>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3"/>
          </w:rPr>
          <w:t>Проекта договора (Приложения № 2)</w:t>
        </w:r>
      </w:hyperlink>
      <w:r>
        <w:rPr>
          <w:rStyle w:val="Style13"/>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5"/>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4"/>
        <w:rPr/>
      </w:pPr>
      <w:bookmarkStart w:id="127" w:name="_Toc228976096"/>
      <w:bookmarkStart w:id="128" w:name="_Ref125364404"/>
      <w:bookmarkStart w:id="129" w:name="_Ref125363891"/>
      <w:bookmarkStart w:id="130" w:name="_Ref125362076"/>
      <w:r>
        <w:rPr/>
        <w:t>Изменения Извещения и (или) Документации о закупке</w:t>
      </w:r>
      <w:bookmarkEnd w:id="127"/>
      <w:bookmarkEnd w:id="128"/>
      <w:bookmarkEnd w:id="129"/>
      <w:bookmarkEnd w:id="130"/>
    </w:p>
    <w:p>
      <w:pPr>
        <w:pStyle w:val="Style25"/>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5"/>
        <w:rPr/>
      </w:pPr>
      <w:bookmarkStart w:id="131"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31"/>
    </w:p>
    <w:p>
      <w:pPr>
        <w:pStyle w:val="Style25"/>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5"/>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4</w:t>
      </w:r>
      <w:r>
        <w:rPr>
          <w:lang w:val="en-US"/>
        </w:rPr>
        <w:t> </w:t>
      </w:r>
      <w:r>
        <w:rPr/>
        <w:t>(четырех) рабочих дней.</w:t>
      </w:r>
    </w:p>
    <w:p>
      <w:pPr>
        <w:pStyle w:val="Style25"/>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4"/>
        <w:rPr/>
      </w:pPr>
      <w:bookmarkStart w:id="132" w:name="_Toc228976097"/>
      <w:bookmarkStart w:id="133" w:name="_Ref125362119"/>
      <w:r>
        <w:rPr/>
        <w:t>Подача заявок и их прием</w:t>
      </w:r>
      <w:bookmarkEnd w:id="132"/>
      <w:bookmarkEnd w:id="133"/>
    </w:p>
    <w:p>
      <w:pPr>
        <w:pStyle w:val="Style25"/>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25"/>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5"/>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5"/>
        <w:rPr/>
      </w:pPr>
      <w:r>
        <w:rPr/>
        <w:t>Заявка должна быть подписана усиленной квалифицированной электронной подписью лица, которое является уполномоченным представителем Участника.</w:t>
      </w:r>
    </w:p>
    <w:p>
      <w:pPr>
        <w:pStyle w:val="Style25"/>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5"/>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5"/>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4"/>
        <w:rPr/>
      </w:pPr>
      <w:bookmarkStart w:id="134" w:name="_Toc228976098"/>
      <w:bookmarkStart w:id="135" w:name="_Ref125365136"/>
      <w:bookmarkStart w:id="136" w:name="_Ref125363819"/>
      <w:bookmarkStart w:id="137" w:name="_Ref125362192"/>
      <w:bookmarkStart w:id="138" w:name="_Ref125362130"/>
      <w:r>
        <w:rPr/>
        <w:t>Изменение и отзыв заявок</w:t>
      </w:r>
      <w:bookmarkEnd w:id="134"/>
      <w:bookmarkEnd w:id="135"/>
      <w:bookmarkEnd w:id="136"/>
      <w:bookmarkEnd w:id="137"/>
      <w:bookmarkEnd w:id="138"/>
    </w:p>
    <w:p>
      <w:pPr>
        <w:pStyle w:val="Style25"/>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5"/>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5"/>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5"/>
        <w:rPr/>
      </w:pPr>
      <w:r>
        <w:rPr/>
        <w:t>Изменения и отзыв заявки осуществляется посредством функционала ЭП (подробный порядок определяется Регламентом ЭП).</w:t>
      </w:r>
    </w:p>
    <w:p>
      <w:pPr>
        <w:pStyle w:val="Style24"/>
        <w:rPr/>
      </w:pPr>
      <w:bookmarkStart w:id="139" w:name="_Toc228976099"/>
      <w:bookmarkStart w:id="140" w:name="_Ref130221619"/>
      <w:bookmarkStart w:id="141" w:name="_Ref125364340"/>
      <w:bookmarkEnd w:id="141"/>
      <w:r>
        <w:rPr/>
        <w:t>Открытие доступа к заявкам</w:t>
      </w:r>
      <w:bookmarkEnd w:id="139"/>
      <w:bookmarkEnd w:id="140"/>
    </w:p>
    <w:p>
      <w:pPr>
        <w:pStyle w:val="Style25"/>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Оператор ЭП предоставляет Организатору доступ одновременно ко всем поданным заявкам в полном объеме.</w:t>
      </w:r>
    </w:p>
    <w:p>
      <w:pPr>
        <w:pStyle w:val="Style25"/>
        <w:keepNext w:val="true"/>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26"/>
        <w:rPr/>
      </w:pPr>
      <w:r>
        <w:rPr/>
        <w:t>дата подписания протокола;</w:t>
      </w:r>
    </w:p>
    <w:p>
      <w:pPr>
        <w:pStyle w:val="Style26"/>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6"/>
        <w:rPr/>
      </w:pPr>
      <w:r>
        <w:rPr/>
        <w:t>наименование и адрес регистрации Участников, подавших заявки, и (или) их идентификационные номера, присваиваемые Оператором ЭП;</w:t>
      </w:r>
    </w:p>
    <w:p>
      <w:pPr>
        <w:pStyle w:val="Style26"/>
        <w:rPr/>
      </w:pPr>
      <w:r>
        <w:rPr/>
        <w:t>стоимости заявок (или иное указание на общую стоимость заявки);</w:t>
      </w:r>
    </w:p>
    <w:p>
      <w:pPr>
        <w:pStyle w:val="Style26"/>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9"/>
        <w:ind w:left="1134"/>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5"/>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5"/>
        <w:rPr/>
      </w:pPr>
      <w:r>
        <w:rPr/>
        <w:t>Порядок получения Участниками информации о поступивших заявках через ЭП определяется Регламентом ЭП.</w:t>
      </w:r>
    </w:p>
    <w:p>
      <w:pPr>
        <w:pStyle w:val="Style24"/>
        <w:rPr/>
      </w:pPr>
      <w:bookmarkStart w:id="142" w:name="_Toc228976100"/>
      <w:bookmarkStart w:id="143" w:name="_Ref135749133"/>
      <w:bookmarkStart w:id="144" w:name="_Ref125366689"/>
      <w:bookmarkStart w:id="145" w:name="_Ref125362364"/>
      <w:bookmarkStart w:id="146" w:name="_Ref125364340_Копия_1"/>
      <w:bookmarkEnd w:id="146"/>
      <w:r>
        <w:rPr/>
        <w:t>Рассмотрение заявок (отборочная стадия)</w:t>
      </w:r>
      <w:bookmarkEnd w:id="144"/>
      <w:bookmarkEnd w:id="145"/>
      <w:r>
        <w:rPr/>
        <w:t>, в том числе (при необходимости) проведение аккредитации</w:t>
      </w:r>
      <w:bookmarkEnd w:id="142"/>
      <w:bookmarkEnd w:id="143"/>
    </w:p>
    <w:p>
      <w:pPr>
        <w:pStyle w:val="Style25"/>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5"/>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3"/>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5"/>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5"/>
        <w:keepNext w:val="true"/>
        <w:rPr/>
      </w:pPr>
      <w:bookmarkStart w:id="147" w:name="_Ref224833939"/>
      <w:r>
        <w:rPr/>
        <w:t>При выявлении в рамках рассмотрения заявок наличия арифметических ошибок, в том числе:</w:t>
      </w:r>
      <w:bookmarkEnd w:id="147"/>
    </w:p>
    <w:p>
      <w:pPr>
        <w:pStyle w:val="Style26"/>
        <w:rPr/>
      </w:pPr>
      <w:r>
        <w:rPr/>
        <w:t>в результате суммирования единичных расценок;</w:t>
      </w:r>
    </w:p>
    <w:p>
      <w:pPr>
        <w:pStyle w:val="Style26"/>
        <w:rPr/>
      </w:pPr>
      <w:r>
        <w:rPr/>
        <w:t>в итогах умножения единичных расценок на объем продукции;</w:t>
      </w:r>
    </w:p>
    <w:p>
      <w:pPr>
        <w:pStyle w:val="Style26"/>
        <w:rPr/>
      </w:pPr>
      <w:r>
        <w:rPr/>
        <w:t>в вычислении суммы НДС и итоговой стоимости заявки с учетом НДС;</w:t>
      </w:r>
    </w:p>
    <w:p>
      <w:pPr>
        <w:pStyle w:val="Style26"/>
        <w:rPr/>
      </w:pPr>
      <w:r>
        <w:rPr/>
        <w:t>иных внутренних противоречий в составе заявки,</w:t>
      </w:r>
    </w:p>
    <w:p>
      <w:pPr>
        <w:pStyle w:val="Style29"/>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5"/>
        <w:keepNext w:val="true"/>
        <w:rPr/>
      </w:pPr>
      <w:bookmarkStart w:id="148"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48"/>
    </w:p>
    <w:p>
      <w:pPr>
        <w:pStyle w:val="Style26"/>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7"/>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27"/>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_Ref224833939 \r \h </w:instrText>
      </w:r>
      <w:r>
        <w:rPr/>
        <w:fldChar w:fldCharType="separate"/>
      </w:r>
      <w:r>
        <w:rPr/>
        <w:t>4.9.4</w:t>
      </w:r>
      <w:r>
        <w:rPr/>
        <w:fldChar w:fldCharType="end"/>
      </w:r>
      <w:r>
        <w:rPr/>
        <w:t>);</w:t>
      </w:r>
    </w:p>
    <w:p>
      <w:pPr>
        <w:pStyle w:val="Style26"/>
        <w:rPr/>
      </w:pPr>
      <w:r>
        <w:rPr/>
        <w:t>несоответствие Участников требованиям Документации о закупке;</w:t>
      </w:r>
    </w:p>
    <w:p>
      <w:pPr>
        <w:pStyle w:val="Style26"/>
        <w:rPr/>
      </w:pPr>
      <w:r>
        <w:rPr/>
        <w:t>несоответствие привлекаемых субподрядчиков (соисполнителей) требованиям Документации о закупке;</w:t>
      </w:r>
    </w:p>
    <w:p>
      <w:pPr>
        <w:pStyle w:val="Style26"/>
        <w:rPr/>
      </w:pPr>
      <w:r>
        <w:rPr/>
        <w:t>несоответствие предлагаемой продукции требованиям Документации о закупке, в том числе порядка описания такой продукции;</w:t>
      </w:r>
    </w:p>
    <w:p>
      <w:pPr>
        <w:pStyle w:val="Style26"/>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6"/>
        <w:rPr/>
      </w:pPr>
      <w:r>
        <w:rPr/>
        <w:t>несоответствие размера, формы, условий и порядка предоставления обеспечения заявки.</w:t>
      </w:r>
    </w:p>
    <w:p>
      <w:pPr>
        <w:pStyle w:val="Style25"/>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_Ref125359973 \r \h </w:instrText>
      </w:r>
      <w:r>
        <w:rPr/>
        <w:fldChar w:fldCharType="separate"/>
      </w:r>
      <w:r>
        <w:rPr/>
        <w:t>1.2</w:t>
      </w:r>
      <w:r>
        <w:rPr/>
        <w:fldChar w:fldCharType="end"/>
      </w:r>
      <w:r>
        <w:rPr/>
        <w:t>,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25"/>
        <w:keepNext w:val="true"/>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26"/>
        <w:rPr/>
      </w:pPr>
      <w:r>
        <w:rPr/>
        <w:t>дата подписания протокола;</w:t>
      </w:r>
    </w:p>
    <w:p>
      <w:pPr>
        <w:pStyle w:val="Style26"/>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6"/>
        <w:rPr/>
      </w:pPr>
      <w:r>
        <w:rPr/>
        <w:t>наименования Участников, подавших заявки, и (или) их идентификационные номера, присваиваемые Оператором ЭП;</w:t>
      </w:r>
    </w:p>
    <w:p>
      <w:pPr>
        <w:pStyle w:val="Style26"/>
        <w:keepNext w:val="true"/>
        <w:rPr/>
      </w:pPr>
      <w:r>
        <w:rPr/>
        <w:t>результаты рассмотрения заявок с указанием, в том числе:</w:t>
      </w:r>
    </w:p>
    <w:p>
      <w:pPr>
        <w:pStyle w:val="Style27"/>
        <w:rPr/>
      </w:pPr>
      <w:r>
        <w:rPr/>
        <w:t>количества заявок, которые были отклонены;</w:t>
      </w:r>
    </w:p>
    <w:p>
      <w:pPr>
        <w:pStyle w:val="Style27"/>
        <w:rPr/>
      </w:pPr>
      <w:r>
        <w:rPr/>
        <w:t>оснований отклонения каждой заявки с указанием положений Документации о закупке, которым не соответствует такая заявка;</w:t>
      </w:r>
    </w:p>
    <w:p>
      <w:pPr>
        <w:pStyle w:val="Style26"/>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6"/>
        <w:keepNext w:val="true"/>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7"/>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порядкового номера каждой допущенной заявки в предварительной ранжировке заявок, включая стоимость заявки (цену Договора);</w:t>
      </w:r>
    </w:p>
    <w:p>
      <w:pPr>
        <w:pStyle w:val="Style26"/>
        <w:rPr/>
      </w:pPr>
      <w:bookmarkStart w:id="149" w:name="_Ref125551524"/>
      <w:r>
        <w:rPr/>
        <w:t>решение о проведении или непроведении переторжки,</w:t>
      </w:r>
      <w:bookmarkEnd w:id="149"/>
    </w:p>
    <w:p>
      <w:pPr>
        <w:pStyle w:val="Style29"/>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5"/>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5"/>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4"/>
        <w:rPr/>
      </w:pPr>
      <w:bookmarkStart w:id="150" w:name="_Toc228976101"/>
      <w:bookmarkStart w:id="151" w:name="_Ref125362610"/>
      <w:bookmarkStart w:id="152" w:name="_Ref125362464"/>
      <w:bookmarkStart w:id="153" w:name="_Ref125362425"/>
      <w:bookmarkStart w:id="154" w:name="_Ref125362381"/>
      <w:r>
        <w:rPr/>
        <w:t>Дополнительные запросы разъяснений заявок</w:t>
      </w:r>
      <w:bookmarkEnd w:id="150"/>
      <w:bookmarkEnd w:id="151"/>
      <w:bookmarkEnd w:id="152"/>
      <w:bookmarkEnd w:id="153"/>
      <w:bookmarkEnd w:id="154"/>
    </w:p>
    <w:p>
      <w:pPr>
        <w:pStyle w:val="Style25"/>
        <w:rPr/>
      </w:pPr>
      <w:bookmarkStart w:id="155"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5"/>
    </w:p>
    <w:p>
      <w:pPr>
        <w:pStyle w:val="Style26"/>
        <w:keepNext w:val="true"/>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7"/>
        <w:rPr/>
      </w:pPr>
      <w:r>
        <w:rPr/>
        <w:t>соответствия Участника требованиям Документации о закупке;</w:t>
      </w:r>
    </w:p>
    <w:p>
      <w:pPr>
        <w:pStyle w:val="Style27"/>
        <w:rPr/>
      </w:pPr>
      <w:r>
        <w:rPr/>
        <w:t>наличия соответствующих полномочий на подписание заявки от имени Участника у лица, подписавшего заявку;</w:t>
      </w:r>
    </w:p>
    <w:p>
      <w:pPr>
        <w:pStyle w:val="Style27"/>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_Ref186120147 \r \h </w:instrText>
      </w:r>
      <w:r>
        <w:rPr/>
        <w:fldChar w:fldCharType="separate"/>
      </w:r>
      <w:r>
        <w:rPr/>
        <w:t>4.13</w:t>
      </w:r>
      <w:r>
        <w:rPr/>
        <w:fldChar w:fldCharType="end"/>
      </w:r>
      <w:r>
        <w:rPr/>
        <w:t>)), договорных условий и расчета цены Договора;</w:t>
      </w:r>
    </w:p>
    <w:p>
      <w:pPr>
        <w:pStyle w:val="Style26"/>
        <w:rPr/>
      </w:pPr>
      <w:bookmarkStart w:id="156"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6"/>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56"/>
    </w:p>
    <w:p>
      <w:pPr>
        <w:pStyle w:val="Style25"/>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25"/>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5"/>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5"/>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25"/>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5"/>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5"/>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24"/>
        <w:rPr/>
      </w:pPr>
      <w:bookmarkStart w:id="157" w:name="_Toc228976102"/>
      <w:bookmarkStart w:id="158" w:name="_Ref127536359"/>
      <w:bookmarkStart w:id="159" w:name="_Ref125362537"/>
      <w:bookmarkStart w:id="160" w:name="_Ref125362430"/>
      <w:r>
        <w:rPr/>
        <w:t>Переторжка</w:t>
      </w:r>
      <w:bookmarkEnd w:id="157"/>
      <w:bookmarkEnd w:id="158"/>
      <w:bookmarkEnd w:id="159"/>
      <w:bookmarkEnd w:id="160"/>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5"/>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5"/>
        <w:keepNext w:val="true"/>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6"/>
        <w:rPr/>
      </w:pPr>
      <w:r>
        <w:rPr/>
        <w:t>стоимость заявки (цена Договора) / цена за единицу продукции;</w:t>
      </w:r>
    </w:p>
    <w:p>
      <w:pPr>
        <w:pStyle w:val="Style26"/>
        <w:rPr/>
      </w:pPr>
      <w:r>
        <w:rPr/>
        <w:t>сроки поставки продукции;</w:t>
      </w:r>
    </w:p>
    <w:p>
      <w:pPr>
        <w:pStyle w:val="Style26"/>
        <w:rPr/>
      </w:pPr>
      <w:r>
        <w:rPr/>
        <w:t>условия оплаты;</w:t>
      </w:r>
    </w:p>
    <w:p>
      <w:pPr>
        <w:pStyle w:val="Style26"/>
        <w:rPr/>
      </w:pPr>
      <w:r>
        <w:rPr/>
        <w:t>иные условия, которые являются критериями оценки заявок.</w:t>
      </w:r>
    </w:p>
    <w:p>
      <w:pPr>
        <w:pStyle w:val="Style29"/>
        <w:ind w:left="1134"/>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5"/>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5"/>
        <w:rPr/>
      </w:pPr>
      <w:r>
        <w:rPr/>
        <w:t>В переторжке может принять участие любой Участник, заявка которого не была отклонена по результатам рассмотрения заявок.</w:t>
      </w:r>
    </w:p>
    <w:p>
      <w:pPr>
        <w:pStyle w:val="Style25"/>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3"/>
          </w:rPr>
          <w:t>Приложение № 4</w:t>
        </w:r>
      </w:hyperlink>
      <w:r>
        <w:rPr/>
        <w:t>).</w:t>
      </w:r>
    </w:p>
    <w:p>
      <w:pPr>
        <w:pStyle w:val="Style25"/>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5"/>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5"/>
        <w:rPr/>
      </w:pPr>
      <w:r>
        <w:rPr/>
        <w:t>Участник не вправе изменять и (или) отзывать поданные предложения на переторжку после окончания ее проведения.</w:t>
      </w:r>
    </w:p>
    <w:p>
      <w:pPr>
        <w:pStyle w:val="Style25"/>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5"/>
        <w:rPr/>
      </w:pPr>
      <w:r>
        <w:rPr/>
        <w:t>Процедура переторжки проводится на ЭП в порядке, предусмотренном настоящим подразделом и Регламентом ЭП.</w:t>
      </w:r>
    </w:p>
    <w:p>
      <w:pPr>
        <w:pStyle w:val="Style25"/>
        <w:keepNext w:val="true"/>
        <w:rPr/>
      </w:pPr>
      <w:r>
        <w:rPr/>
        <w:t>В зависимости от правил, предусмотренных Регламентом ЭП, переторжка может проводиться:</w:t>
      </w:r>
    </w:p>
    <w:p>
      <w:pPr>
        <w:pStyle w:val="Style26"/>
        <w:rPr/>
      </w:pPr>
      <w:r>
        <w:rPr/>
        <w:t>в заочной форме путем однократной подачи предложения на переторжку к установленному сроку;</w:t>
      </w:r>
    </w:p>
    <w:p>
      <w:pPr>
        <w:pStyle w:val="Style26"/>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5"/>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5"/>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5"/>
        <w:rPr/>
      </w:pPr>
      <w:bookmarkStart w:id="161"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61"/>
    </w:p>
    <w:p>
      <w:pPr>
        <w:pStyle w:val="Style25"/>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5"/>
        <w:keepNext w:val="true"/>
        <w:rPr/>
      </w:pPr>
      <w:bookmarkStart w:id="162" w:name="_Ref136244167"/>
      <w:r>
        <w:rPr/>
        <w:t>Документы заявки, подлежащие корректировке по результатам переторжки:</w:t>
      </w:r>
      <w:bookmarkEnd w:id="162"/>
    </w:p>
    <w:p>
      <w:pPr>
        <w:pStyle w:val="Style26"/>
        <w:rPr/>
      </w:pPr>
      <w:r>
        <w:rPr/>
        <w:t>Письмо о подаче оферты (форма 2) (</w:t>
      </w:r>
      <w:hyperlink w:anchor="Прил04_ФормыЗаявки">
        <w:r>
          <w:rPr>
            <w:rStyle w:val="Style13"/>
          </w:rPr>
          <w:t>Приложение № 4</w:t>
        </w:r>
      </w:hyperlink>
      <w:r>
        <w:rPr/>
        <w:t>);</w:t>
      </w:r>
    </w:p>
    <w:p>
      <w:pPr>
        <w:pStyle w:val="Style26"/>
        <w:rPr/>
      </w:pPr>
      <w:r>
        <w:rPr/>
        <w:t>Коммерческое предложение (форма 3) (</w:t>
      </w:r>
      <w:hyperlink w:anchor="Прил04_ФормыЗаявки">
        <w:r>
          <w:rPr>
            <w:rStyle w:val="Style13"/>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3"/>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6"/>
        <w:rPr/>
      </w:pPr>
      <w:r>
        <w:rPr/>
        <w:t>План распределения объемов поставки продукции (форма 10) (</w:t>
      </w:r>
      <w:hyperlink w:anchor="Прил04_ФормыЗаявки">
        <w:r>
          <w:rPr>
            <w:rStyle w:val="Style13"/>
          </w:rPr>
          <w:t>Приложение № 4</w:t>
        </w:r>
      </w:hyperlink>
      <w:r>
        <w:rPr/>
        <w:t>) – только если заявка подана Коллективным участником или Генеральным подрядчиком;</w:t>
      </w:r>
    </w:p>
    <w:p>
      <w:pPr>
        <w:pStyle w:val="Style26"/>
        <w:rPr/>
      </w:pPr>
      <w:bookmarkStart w:id="163" w:name="_Ref130376111"/>
      <w:r>
        <w:rPr/>
        <w:t>иной документ, указанный в протоколе закупки (которым назначена переторжка), связанный с предметом проводимой переторжки.</w:t>
      </w:r>
      <w:bookmarkEnd w:id="163"/>
    </w:p>
    <w:p>
      <w:pPr>
        <w:pStyle w:val="Style25"/>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5"/>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5"/>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4"/>
        <w:rPr/>
      </w:pPr>
      <w:bookmarkStart w:id="164" w:name="_Toc228976103"/>
      <w:bookmarkStart w:id="165" w:name="_Ref125369308"/>
      <w:bookmarkStart w:id="166" w:name="_Ref125369041"/>
      <w:bookmarkStart w:id="167" w:name="_Ref125366534"/>
      <w:bookmarkStart w:id="168" w:name="_Ref125365519"/>
      <w:bookmarkStart w:id="169" w:name="_Ref125365335"/>
      <w:bookmarkStart w:id="170" w:name="_Ref125362626"/>
      <w:r>
        <w:rPr/>
        <w:t>Оценка и сопоставление заявок</w:t>
      </w:r>
      <w:bookmarkEnd w:id="164"/>
      <w:bookmarkEnd w:id="165"/>
      <w:bookmarkEnd w:id="166"/>
      <w:bookmarkEnd w:id="167"/>
      <w:bookmarkEnd w:id="168"/>
      <w:bookmarkEnd w:id="169"/>
      <w:bookmarkEnd w:id="170"/>
    </w:p>
    <w:p>
      <w:pPr>
        <w:pStyle w:val="Style25"/>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r>
          <w:rPr>
            <w:rStyle w:val="Style13"/>
          </w:rPr>
          <w:t>Порядком и критериями оценки и сопоставления заявок (Приложение № 8)</w:t>
        </w:r>
      </w:hyperlink>
      <w:r>
        <w:rPr>
          <w:rStyle w:val="Style13"/>
        </w:rPr>
        <w:t>.</w:t>
      </w:r>
      <w:r>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25"/>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5"/>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5"/>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25"/>
        <w:rPr/>
      </w:pPr>
      <w:r>
        <w:rPr/>
        <w:t>Результаты оценки и сопоставления заявок вносятся в итоговый протокол по результатам закупки.</w:t>
      </w:r>
    </w:p>
    <w:p>
      <w:pPr>
        <w:pStyle w:val="Style24"/>
        <w:rPr/>
      </w:pPr>
      <w:bookmarkStart w:id="171" w:name="_Toc228976104"/>
      <w:bookmarkStart w:id="172" w:name="_Ref186120147"/>
      <w:bookmarkStart w:id="173" w:name="_Ref130458671"/>
      <w:bookmarkStart w:id="174" w:name="_Ref125370507"/>
      <w:bookmarkStart w:id="175" w:name="_Ref125369991"/>
      <w:bookmarkStart w:id="176" w:name="_Ref125366064"/>
      <w:bookmarkStart w:id="177" w:name="_Ref132894111"/>
      <w:bookmarkStart w:id="178" w:name="_Ref132894106"/>
      <w:bookmarkStart w:id="179" w:name="_Ref130985951"/>
      <w:r>
        <w:rPr/>
        <w:t xml:space="preserve">Применение </w:t>
      </w:r>
      <w:bookmarkEnd w:id="173"/>
      <w:bookmarkEnd w:id="174"/>
      <w:bookmarkEnd w:id="175"/>
      <w:bookmarkEnd w:id="176"/>
      <w:bookmarkEnd w:id="177"/>
      <w:bookmarkEnd w:id="178"/>
      <w:bookmarkEnd w:id="179"/>
      <w:r>
        <w:rPr/>
        <w:t>законодательства о национальном режиме</w:t>
      </w:r>
      <w:bookmarkEnd w:id="171"/>
      <w:bookmarkEnd w:id="172"/>
    </w:p>
    <w:p>
      <w:pPr>
        <w:pStyle w:val="Style25"/>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bookmarkStart w:id="180" w:name="_Ref207799884"/>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0"/>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25"/>
        <w:rPr/>
      </w:pPr>
      <w:bookmarkStart w:id="181" w:name="_Ref1921010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w:t>
      </w:r>
      <w:bookmarkStart w:id="182" w:name="_Hlk198907172"/>
      <w:r>
        <w:rPr/>
        <w:t>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183" w:name="_Hlk198901350"/>
      <w:r>
        <w:rPr/>
        <w:t>(в том числе поставляемых при выполнении закупаемых работ, оказании закупаемых услуг))</w:t>
      </w:r>
      <w:bookmarkEnd w:id="183"/>
      <w:r>
        <w:rPr/>
        <w:t>, при условии наличия допущенной заявки с иностранной продукцией (на поставку товара иностранного происхождения)</w:t>
      </w:r>
      <w:bookmarkEnd w:id="182"/>
      <w:r>
        <w:rPr/>
        <w:t>.</w:t>
      </w:r>
      <w:bookmarkEnd w:id="181"/>
    </w:p>
    <w:p>
      <w:pPr>
        <w:pStyle w:val="Style25"/>
        <w:rPr/>
      </w:pPr>
      <w:bookmarkStart w:id="184" w:name="_Ref196303561"/>
      <w:bookmarkStart w:id="185" w:name="_Ref19270078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4"/>
      <w:bookmarkEnd w:id="185"/>
    </w:p>
    <w:p>
      <w:pPr>
        <w:pStyle w:val="Style25"/>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_Ref207799884 \r \h </w:instrText>
      </w:r>
      <w:r>
        <w:rPr/>
        <w:fldChar w:fldCharType="separate"/>
      </w:r>
      <w:r>
        <w:rPr/>
        <w:t>4.13.2</w:t>
      </w:r>
      <w:r>
        <w:rPr/>
        <w:fldChar w:fldCharType="end"/>
      </w:r>
      <w:r>
        <w:rPr/>
        <w:t>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r>
          <w:rPr>
            <w:rStyle w:val="Style13"/>
          </w:rPr>
          <w:t>Приложение № 4</w:t>
        </w:r>
      </w:hyperlink>
      <w:r>
        <w:rPr/>
        <w:t xml:space="preserve">), </w:t>
      </w:r>
      <w:bookmarkStart w:id="186" w:name="_Hlk207281039"/>
      <w:r>
        <w:rPr/>
        <w:t>а также в Технических требованиях (Приложение №1) в части установления требований к подтверждающим документам</w:t>
      </w:r>
      <w:bookmarkEnd w:id="186"/>
      <w:r>
        <w:rPr/>
        <w:t>.</w:t>
      </w:r>
    </w:p>
    <w:p>
      <w:pPr>
        <w:pStyle w:val="Style25"/>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6"/>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6"/>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5"/>
        <w:rPr/>
      </w:pPr>
      <w:bookmarkStart w:id="187"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7"/>
      <w:r>
        <w:rPr/>
        <w:t>.</w:t>
      </w:r>
    </w:p>
    <w:p>
      <w:pPr>
        <w:pStyle w:val="Style25"/>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5"/>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4"/>
        <w:rPr/>
      </w:pPr>
      <w:bookmarkStart w:id="188" w:name="_Toc228976106"/>
      <w:bookmarkStart w:id="189" w:name="_Ref125367242"/>
      <w:bookmarkStart w:id="190" w:name="_Ref125366091"/>
      <w:bookmarkStart w:id="191" w:name="_Ref125362658"/>
      <w:r>
        <w:rPr/>
        <w:t>Подведение итогов закупки (определение Победителя)</w:t>
      </w:r>
      <w:bookmarkEnd w:id="188"/>
      <w:bookmarkEnd w:id="189"/>
      <w:bookmarkEnd w:id="190"/>
      <w:bookmarkEnd w:id="191"/>
    </w:p>
    <w:p>
      <w:pPr>
        <w:pStyle w:val="Style25"/>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5"/>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5"/>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3"/>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25"/>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5"/>
        <w:keepNext w:val="true"/>
        <w:rPr/>
      </w:pPr>
      <w:bookmarkStart w:id="192"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192"/>
    </w:p>
    <w:p>
      <w:pPr>
        <w:pStyle w:val="Style26"/>
        <w:rPr/>
      </w:pPr>
      <w:r>
        <w:rPr/>
        <w:t>дата подписания протокола;</w:t>
      </w:r>
    </w:p>
    <w:p>
      <w:pPr>
        <w:pStyle w:val="Style26"/>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6"/>
        <w:rPr/>
      </w:pPr>
      <w:r>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26"/>
        <w:keepNext w:val="true"/>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7"/>
        <w:rPr/>
      </w:pPr>
      <w:r>
        <w:rPr/>
        <w:t>количества заявок, которые были отклонены;</w:t>
      </w:r>
    </w:p>
    <w:p>
      <w:pPr>
        <w:pStyle w:val="Style27"/>
        <w:rPr/>
      </w:pPr>
      <w:r>
        <w:rPr/>
        <w:t>оснований отклонения каждой заявки с указанием положений Документации о закупке, которым не соответствует такая заявка;</w:t>
      </w:r>
    </w:p>
    <w:p>
      <w:pPr>
        <w:pStyle w:val="Style26"/>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6"/>
        <w:rPr/>
      </w:pPr>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pPr>
        <w:pStyle w:val="Style26"/>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6"/>
        <w:rPr/>
      </w:pPr>
      <w:r>
        <w:rPr/>
        <w:t>причины, по которым закупка признана несостоявшейся (в случае ее признания таковой),</w:t>
      </w:r>
    </w:p>
    <w:p>
      <w:pPr>
        <w:pStyle w:val="Style29"/>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5"/>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5"/>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4"/>
        <w:rPr/>
      </w:pPr>
      <w:bookmarkStart w:id="193" w:name="_Toc228976107"/>
      <w:bookmarkStart w:id="194" w:name="_Ref125366796"/>
      <w:bookmarkStart w:id="195" w:name="_Ref125366631"/>
      <w:bookmarkStart w:id="196" w:name="_Ref125365570"/>
      <w:bookmarkStart w:id="197" w:name="_Ref125365305"/>
      <w:bookmarkStart w:id="198" w:name="_Ref125364187"/>
      <w:bookmarkStart w:id="199" w:name="_Ref125364149"/>
      <w:r>
        <w:rPr/>
        <w:t>Признание закупки несостоявшейся</w:t>
      </w:r>
      <w:bookmarkEnd w:id="193"/>
      <w:bookmarkEnd w:id="194"/>
      <w:bookmarkEnd w:id="195"/>
      <w:bookmarkEnd w:id="196"/>
      <w:bookmarkEnd w:id="197"/>
      <w:bookmarkEnd w:id="198"/>
      <w:bookmarkEnd w:id="199"/>
    </w:p>
    <w:p>
      <w:pPr>
        <w:pStyle w:val="Style25"/>
        <w:keepNext w:val="true"/>
        <w:rPr/>
      </w:pPr>
      <w:r>
        <w:rPr/>
        <w:t>Закупка признается несостоявшейся в следующих случаях:</w:t>
      </w:r>
    </w:p>
    <w:p>
      <w:pPr>
        <w:pStyle w:val="Style26"/>
        <w:rPr/>
      </w:pPr>
      <w:r>
        <w:rPr/>
        <w:t>если по окончанию срока подачи заявок поступило менее 2 (двух) заявок (с учетом возможных отзывов заявок);</w:t>
      </w:r>
    </w:p>
    <w:p>
      <w:pPr>
        <w:pStyle w:val="Style26"/>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6"/>
        <w:rPr/>
      </w:pPr>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r>
        <w:rPr/>
        <w:t>).</w:t>
      </w:r>
    </w:p>
    <w:p>
      <w:pPr>
        <w:pStyle w:val="Style25"/>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5"/>
        <w:keepNext w:val="true"/>
        <w:rPr/>
      </w:pPr>
      <w:r>
        <w:rPr/>
        <w:t>В случае признания закупки несостоявшейся (с учетом условий, предусмотренных Положением о закупке):</w:t>
      </w:r>
    </w:p>
    <w:p>
      <w:pPr>
        <w:pStyle w:val="Style26"/>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3"/>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9"/>
        </w:numPr>
        <w:tabs>
          <w:tab w:val="clear" w:pos="2552"/>
        </w:tabs>
        <w:ind w:hanging="426" w:left="2127"/>
        <w:rPr>
          <w:sz w:val="26"/>
          <w:szCs w:val="26"/>
        </w:rPr>
      </w:pPr>
      <w:r>
        <w:rPr>
          <w:sz w:val="26"/>
          <w:szCs w:val="26"/>
        </w:rPr>
        <w:t>повторное проведение закупки;</w:t>
      </w:r>
    </w:p>
    <w:p>
      <w:pPr>
        <w:pStyle w:val="-1"/>
        <w:numPr>
          <w:ilvl w:val="0"/>
          <w:numId w:val="19"/>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20"/>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0"/>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20"/>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9"/>
        </w:numPr>
        <w:tabs>
          <w:tab w:val="clear" w:pos="2552"/>
        </w:tabs>
        <w:ind w:hanging="426" w:left="2127"/>
        <w:rPr>
          <w:sz w:val="26"/>
          <w:szCs w:val="26"/>
        </w:rPr>
      </w:pPr>
      <w:bookmarkStart w:id="200"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0"/>
    </w:p>
    <w:p>
      <w:pPr>
        <w:pStyle w:val="Style26"/>
        <w:rPr/>
      </w:pPr>
      <w:r>
        <w:rPr/>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w:t>
      </w:r>
    </w:p>
    <w:p>
      <w:pPr>
        <w:pStyle w:val="Style33"/>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20"/>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0"/>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20"/>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4"/>
        <w:rPr/>
      </w:pPr>
      <w:bookmarkStart w:id="201" w:name="_Toc228976108"/>
      <w:bookmarkStart w:id="202" w:name="_Ref126141962"/>
      <w:r>
        <w:rPr/>
        <w:t>Отказ от проведения закупки</w:t>
      </w:r>
      <w:bookmarkEnd w:id="202"/>
      <w:r>
        <w:rPr/>
        <w:t xml:space="preserve"> (отмена закупки)</w:t>
      </w:r>
      <w:bookmarkEnd w:id="201"/>
    </w:p>
    <w:p>
      <w:pPr>
        <w:pStyle w:val="Style25"/>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5"/>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5"/>
        <w:rPr/>
      </w:pPr>
      <w:r>
        <w:rPr/>
        <w:t>Дополнительно организатор уведомляет всех Участников об отмене закупки посредством ЭП.</w:t>
      </w:r>
    </w:p>
    <w:p>
      <w:pPr>
        <w:pStyle w:val="Style25"/>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4"/>
        <w:rPr/>
      </w:pPr>
      <w:bookmarkStart w:id="203" w:name="_Toc228976109"/>
      <w:bookmarkStart w:id="204" w:name="_Ref130455226"/>
      <w:r>
        <w:rPr/>
        <w:t>Особенности проведения закупки с необходимостью обеспечения заявки</w:t>
      </w:r>
      <w:bookmarkEnd w:id="203"/>
      <w:bookmarkEnd w:id="204"/>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5"/>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5"/>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5"/>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5"/>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6"/>
        <w:rPr/>
      </w:pPr>
      <w:r>
        <w:rPr/>
        <w:t>банковская гарантия должна быть безотзывной и безусловной (гарантия по первому требованию);</w:t>
      </w:r>
    </w:p>
    <w:p>
      <w:pPr>
        <w:pStyle w:val="Style26"/>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6"/>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_Ref228967834 \r \h </w:instrText>
      </w:r>
      <w:r>
        <w:rPr/>
        <w:fldChar w:fldCharType="separate"/>
      </w:r>
      <w:r>
        <w:rPr/>
        <w:t>4.17.11</w:t>
      </w:r>
      <w:r>
        <w:rPr/>
        <w:fldChar w:fldCharType="end"/>
      </w:r>
      <w:r>
        <w:rPr/>
        <w:t>;</w:t>
      </w:r>
    </w:p>
    <w:p>
      <w:pPr>
        <w:pStyle w:val="Style26"/>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6"/>
        <w:rPr/>
      </w:pPr>
      <w:r>
        <w:rPr/>
        <w:t>платеж по банковской гарантии должен быть осуществлен в течение 10 (десяти) рабочих дней после обращения бенефициара;</w:t>
      </w:r>
    </w:p>
    <w:p>
      <w:pPr>
        <w:pStyle w:val="Style26"/>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6"/>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6"/>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rPr>
        <w:footnoteReference w:id="12"/>
      </w:r>
      <w:r>
        <w:rPr/>
        <w:t xml:space="preserve"> в качестве органа, компетентного разрешать споры из банковской гарантии.</w:t>
      </w:r>
    </w:p>
    <w:p>
      <w:pPr>
        <w:pStyle w:val="Style25"/>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5"/>
        <w:rPr/>
      </w:pPr>
      <w:r>
        <w:rPr/>
        <w:t>При многолотовой закупке (подраздел </w:t>
      </w:r>
      <w:r>
        <w:rPr/>
        <w:fldChar w:fldCharType="begin"/>
      </w:r>
      <w:r>
        <w:rPr/>
        <w:instrText xml:space="preserve"> REF _Ref149317346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5"/>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5"/>
        <w:rPr/>
      </w:pPr>
      <w:r>
        <w:rPr/>
        <w:t>Подать заявку (принять участие в закупке) могут только Участники, предоставившие надлежащее обеспечение их заявок.</w:t>
      </w:r>
    </w:p>
    <w:p>
      <w:pPr>
        <w:pStyle w:val="Style25"/>
        <w:rPr/>
      </w:pPr>
      <w:r>
        <w:rPr/>
        <w:t>Требование об обеспечении заявки в равной мере распространяется на всех Участников.</w:t>
      </w:r>
    </w:p>
    <w:p>
      <w:pPr>
        <w:pStyle w:val="Style25"/>
        <w:keepNext w:val="true"/>
        <w:rPr/>
      </w:pPr>
      <w:bookmarkStart w:id="205" w:name="_Ref228967834"/>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5"/>
    </w:p>
    <w:p>
      <w:pPr>
        <w:pStyle w:val="Style26"/>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3"/>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26"/>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3"/>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3"/>
          </w:rPr>
          <w:t>Проектом договора</w:t>
        </w:r>
      </w:hyperlink>
      <w:r>
        <w:rPr/>
        <w:t>).</w:t>
      </w:r>
    </w:p>
    <w:p>
      <w:pPr>
        <w:pStyle w:val="Style25"/>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5"/>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26"/>
        <w:rPr/>
      </w:pPr>
      <w:r>
        <w:rPr/>
        <w:t>принятия решения об отказе от проведения закупки – всем Участникам, подавшим заявки к моменту принятия такого решения;</w:t>
      </w:r>
    </w:p>
    <w:p>
      <w:pPr>
        <w:pStyle w:val="Style26"/>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6"/>
        <w:rPr/>
      </w:pPr>
      <w:r>
        <w:rPr/>
        <w:t>официального размещения протокола рассмотрения заявок (при условии его оформления) – Участникам, чьи заявки были отклонены;</w:t>
      </w:r>
    </w:p>
    <w:p>
      <w:pPr>
        <w:pStyle w:val="Style26"/>
        <w:rPr/>
      </w:pPr>
      <w:r>
        <w:rPr/>
        <w:t>официального размещения итогового протокола по результатам закупки – всем Участникам, кроме Победителя;</w:t>
      </w:r>
    </w:p>
    <w:p>
      <w:pPr>
        <w:pStyle w:val="Style26"/>
        <w:rPr/>
      </w:pPr>
      <w:r>
        <w:rPr/>
        <w:t>заключения Договора по результатам закупки – Победителю, с которым заключен Договор;</w:t>
      </w:r>
    </w:p>
    <w:p>
      <w:pPr>
        <w:pStyle w:val="Style26"/>
        <w:rPr/>
      </w:pPr>
      <w:r>
        <w:rPr/>
        <w:t>признания закупки несостоявшейся – Участнику, которому обеспечение не было возвращено по иным основаниям.</w:t>
      </w:r>
    </w:p>
    <w:p>
      <w:pPr>
        <w:pStyle w:val="Style25"/>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4"/>
        <w:rPr/>
      </w:pPr>
      <w:bookmarkStart w:id="206" w:name="_Ref130225422"/>
      <w:bookmarkStart w:id="207" w:name="_Toc228976110"/>
      <w:bookmarkStart w:id="208" w:name="_Ref149317346"/>
      <w:r>
        <w:rPr/>
        <w:t>Особенности проведения многолотовой закупки</w:t>
      </w:r>
      <w:bookmarkEnd w:id="206"/>
      <w:bookmarkEnd w:id="207"/>
      <w:bookmarkEnd w:id="208"/>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5"/>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5"/>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5"/>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5"/>
        <w:keepNext w:val="true"/>
        <w:rPr/>
      </w:pPr>
      <w:r>
        <w:rPr/>
        <w:t>В случае подачи заявки на несколько лотов дополнительно должны быть соблюдены следующие требования:</w:t>
      </w:r>
    </w:p>
    <w:p>
      <w:pPr>
        <w:pStyle w:val="Style26"/>
        <w:rPr/>
      </w:pPr>
      <w:r>
        <w:rPr/>
        <w:t>Письмо о подаче оферты (форма 2) (</w:t>
      </w:r>
      <w:hyperlink w:anchor="Прил04_ФормыЗаявки">
        <w:r>
          <w:rPr>
            <w:rStyle w:val="Style13"/>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26"/>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3"/>
          </w:rPr>
          <w:t>Приложение № 4</w:t>
        </w:r>
      </w:hyperlink>
      <w:r>
        <w:rPr/>
        <w:t>, должны быть подготовлены отдельно по каждому из лотов с указанием номера и названия лота.</w:t>
      </w:r>
    </w:p>
    <w:p>
      <w:pPr>
        <w:pStyle w:val="Style25"/>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4"/>
        <w:rPr/>
      </w:pPr>
      <w:bookmarkStart w:id="209" w:name="_Toc228976111"/>
      <w:bookmarkStart w:id="210" w:name="_Ref125550863"/>
      <w:r>
        <w:rPr/>
        <w:t>Особенности проведения закупки с возможностью подачи альтернативных предложений</w:t>
      </w:r>
      <w:bookmarkEnd w:id="209"/>
      <w:bookmarkEnd w:id="210"/>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25"/>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5"/>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5"/>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25"/>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3"/>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5"/>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25"/>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32"/>
        <w:keepNext w:val="true"/>
        <w:rPr/>
      </w:pPr>
      <w:r>
        <w:rPr/>
      </w:r>
    </w:p>
    <w:p>
      <w:pPr>
        <w:pStyle w:val="Style23"/>
        <w:rPr/>
      </w:pPr>
      <w:bookmarkStart w:id="211" w:name="_Ref125367087"/>
      <w:bookmarkStart w:id="212" w:name="_Ref125367083"/>
      <w:bookmarkStart w:id="213" w:name="_Ref125366769"/>
      <w:bookmarkStart w:id="214" w:name="_Ref125363439"/>
      <w:bookmarkStart w:id="215" w:name="_Ref125362671"/>
      <w:bookmarkStart w:id="216" w:name="_Ref125361212"/>
      <w:bookmarkStart w:id="217" w:name="_Toc228976113"/>
      <w:bookmarkStart w:id="218" w:name="_Ref130224037"/>
      <w:bookmarkStart w:id="219" w:name="_Ref126142429"/>
      <w:r>
        <w:rPr/>
        <w:t>Порядок заключения Договора</w:t>
      </w:r>
      <w:bookmarkEnd w:id="211"/>
      <w:bookmarkEnd w:id="212"/>
      <w:bookmarkEnd w:id="213"/>
      <w:bookmarkEnd w:id="214"/>
      <w:bookmarkEnd w:id="215"/>
      <w:bookmarkEnd w:id="216"/>
      <w:bookmarkEnd w:id="217"/>
      <w:bookmarkEnd w:id="218"/>
      <w:bookmarkEnd w:id="219"/>
    </w:p>
    <w:p>
      <w:pPr>
        <w:pStyle w:val="Style24"/>
        <w:rPr/>
      </w:pPr>
      <w:bookmarkStart w:id="220" w:name="_Toc228976114"/>
      <w:bookmarkStart w:id="221" w:name="_Ref139028625"/>
      <w:r>
        <w:rPr/>
        <w:t>Общие положения</w:t>
      </w:r>
      <w:bookmarkEnd w:id="220"/>
      <w:bookmarkEnd w:id="221"/>
    </w:p>
    <w:p>
      <w:pPr>
        <w:pStyle w:val="Style25"/>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4"/>
        <w:rPr/>
      </w:pPr>
      <w:bookmarkStart w:id="222" w:name="_Ref135736094"/>
      <w:bookmarkStart w:id="223" w:name="_Ref125368755"/>
      <w:bookmarkStart w:id="224" w:name="_Ref125366947"/>
      <w:bookmarkStart w:id="225" w:name="_Toc228976115"/>
      <w:bookmarkStart w:id="226" w:name="_Ref138232981"/>
      <w:r>
        <w:rPr/>
        <w:t>Заключение Договора</w:t>
      </w:r>
      <w:bookmarkEnd w:id="222"/>
      <w:bookmarkEnd w:id="223"/>
      <w:bookmarkEnd w:id="224"/>
      <w:bookmarkEnd w:id="225"/>
      <w:bookmarkEnd w:id="226"/>
    </w:p>
    <w:p>
      <w:pPr>
        <w:pStyle w:val="Style25"/>
        <w:rPr/>
      </w:pPr>
      <w:bookmarkStart w:id="227" w:name="_Ref130293821"/>
      <w:bookmarkStart w:id="228"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7"/>
      <w:bookmarkEnd w:id="228"/>
    </w:p>
    <w:p>
      <w:pPr>
        <w:pStyle w:val="Style25"/>
        <w:rPr/>
      </w:pPr>
      <w:r>
        <w:rPr/>
        <w:t>Договор не может быть заключен, если это запрещено законодательством о национальном режиме .</w:t>
      </w:r>
    </w:p>
    <w:p>
      <w:pPr>
        <w:pStyle w:val="Style25"/>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5"/>
        <w:rPr/>
      </w:pPr>
      <w:bookmarkStart w:id="229" w:name="_Ref125363464"/>
      <w:bookmarkStart w:id="230" w:name="_Hlk207281494"/>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3"/>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5"/>
        <w:numPr>
          <w:ilvl w:val="0"/>
          <w:numId w:val="17"/>
        </w:numPr>
        <w:ind w:hanging="567" w:left="1701"/>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30"/>
    </w:p>
    <w:p>
      <w:pPr>
        <w:pStyle w:val="Style25"/>
        <w:numPr>
          <w:ilvl w:val="0"/>
          <w:numId w:val="17"/>
        </w:numPr>
        <w:ind w:hanging="567" w:left="1701"/>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3"/>
          </w:rPr>
          <w:t>Приложения № 4</w:t>
        </w:r>
      </w:hyperlink>
      <w:r>
        <w:rPr/>
        <w:t>)) адрес электронной почты ответственного лица).</w:t>
      </w:r>
      <w:bookmarkEnd w:id="229"/>
    </w:p>
    <w:p>
      <w:pPr>
        <w:pStyle w:val="Style25"/>
        <w:keepNext w:val="true"/>
        <w:rPr/>
      </w:pPr>
      <w:bookmarkStart w:id="231" w:name="_Ref125551776"/>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32" w:name="_Hlk207281699"/>
      <w:r>
        <w:rPr/>
        <w:t xml:space="preserve">Portable Document Format </w:t>
      </w:r>
      <w:bookmarkEnd w:id="232"/>
      <w:r>
        <w:rPr/>
        <w:t>(*.</w:t>
      </w:r>
      <w:r>
        <w:rPr>
          <w:lang w:val="en-US"/>
        </w:rPr>
        <w:t>pdf</w:t>
      </w:r>
      <w:r>
        <w:rPr/>
        <w:t>)):</w:t>
      </w:r>
      <w:bookmarkEnd w:id="231"/>
    </w:p>
    <w:p>
      <w:pPr>
        <w:pStyle w:val="Style26"/>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3"/>
          </w:rPr>
          <w:t>Приложением № 5</w:t>
        </w:r>
      </w:hyperlink>
      <w:r>
        <w:rPr/>
        <w:t>;</w:t>
      </w:r>
    </w:p>
    <w:p>
      <w:pPr>
        <w:pStyle w:val="Style26"/>
        <w:rPr/>
      </w:pPr>
      <w:bookmarkStart w:id="233"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33"/>
      <w:r>
        <w:rPr/>
        <w:t>.</w:t>
      </w:r>
    </w:p>
    <w:p>
      <w:pPr>
        <w:pStyle w:val="Style25"/>
        <w:keepNext w:val="true"/>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3"/>
          </w:rPr>
          <w:t>Приложение № 3</w:t>
        </w:r>
      </w:hyperlink>
      <w:r>
        <w:rPr/>
        <w:t>), следующие документы (скан-копии в формате Portable Document Format (*.</w:t>
      </w:r>
      <w:r>
        <w:rPr>
          <w:lang w:val="en-US"/>
        </w:rPr>
        <w:t>pdf</w:t>
      </w:r>
      <w:r>
        <w:rPr/>
        <w:t>))</w:t>
      </w:r>
      <w:r>
        <w:rPr>
          <w:rStyle w:val="FootnoteReference"/>
        </w:rPr>
        <w:footnoteReference w:id="13"/>
      </w:r>
      <w:r>
        <w:rPr/>
        <w:t>:</w:t>
      </w:r>
      <w:bookmarkEnd w:id="234"/>
    </w:p>
    <w:p>
      <w:pPr>
        <w:pStyle w:val="Style26"/>
        <w:keepNext w:val="true"/>
        <w:rPr/>
      </w:pPr>
      <w:r>
        <w:rPr/>
        <w:t>для юридического лица:</w:t>
      </w:r>
    </w:p>
    <w:p>
      <w:pPr>
        <w:pStyle w:val="Style27"/>
        <w:rPr/>
      </w:pPr>
      <w:r>
        <w:rPr/>
        <w:t>копия устава в действующей редакции с отметкой ИФНС либо копия нотариально заверенного устава (с отметкой нотариуса);</w:t>
      </w:r>
    </w:p>
    <w:p>
      <w:pPr>
        <w:pStyle w:val="Style27"/>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27"/>
        <w:rPr/>
      </w:pPr>
      <w:r>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27"/>
        <w:rPr/>
      </w:pPr>
      <w:r>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26"/>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6"/>
        <w:rPr/>
      </w:pPr>
      <w:r>
        <w:rPr/>
        <w:t>для физического лица: нотариально заверенная копия всех страниц документа, удостоверяющего личность (паспорта);</w:t>
      </w:r>
    </w:p>
    <w:p>
      <w:pPr>
        <w:pStyle w:val="Style26"/>
        <w:rPr/>
      </w:pPr>
      <w:bookmarkStart w:id="236" w:name="_Ref125361554"/>
      <w:r>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fldChar w:fldCharType="begin"/>
      </w:r>
      <w:r>
        <w:rPr/>
        <w:instrText xml:space="preserve"> REF _Ref125366972 \r \h </w:instrText>
      </w:r>
      <w:r>
        <w:rPr/>
        <w:fldChar w:fldCharType="separate"/>
      </w:r>
      <w:r>
        <w:rPr/>
        <w:t>3.2.3</w:t>
      </w:r>
      <w:r>
        <w:rPr/>
        <w:fldChar w:fldCharType="end"/>
      </w:r>
      <w:r>
        <w:rPr/>
        <w:t>.</w:t>
      </w:r>
      <w:bookmarkEnd w:id="236"/>
    </w:p>
    <w:p>
      <w:pPr>
        <w:pStyle w:val="Style25"/>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5"/>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5"/>
        <w:keepNext w:val="true"/>
        <w:rPr/>
      </w:pPr>
      <w:bookmarkStart w:id="23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7"/>
    </w:p>
    <w:p>
      <w:pPr>
        <w:pStyle w:val="Style26"/>
        <w:rPr/>
      </w:pPr>
      <w:r>
        <w:rPr/>
        <w:t>протокол преддоговорных переговоров между Заказчиком и Победителем (при проведении таковых);</w:t>
      </w:r>
    </w:p>
    <w:p>
      <w:pPr>
        <w:pStyle w:val="Style26"/>
        <w:rPr/>
      </w:pPr>
      <w:r>
        <w:rPr/>
        <w:t>итоговый протокол по результатам закупки;</w:t>
      </w:r>
    </w:p>
    <w:p>
      <w:pPr>
        <w:pStyle w:val="Style26"/>
        <w:rPr/>
      </w:pPr>
      <w:r>
        <w:rPr/>
        <w:t>Извещение и Документация о закупке со всеми изменениями;</w:t>
      </w:r>
    </w:p>
    <w:p>
      <w:pPr>
        <w:pStyle w:val="Style26"/>
        <w:rPr/>
      </w:pPr>
      <w:r>
        <w:rPr/>
        <w:t>заявка Победителя со всеми дополнениями и разъяснениями.</w:t>
      </w:r>
    </w:p>
    <w:p>
      <w:pPr>
        <w:pStyle w:val="Style25"/>
        <w:rPr/>
      </w:pPr>
      <w:bookmarkStart w:id="238"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8"/>
    </w:p>
    <w:p>
      <w:pPr>
        <w:pStyle w:val="Style25"/>
        <w:keepNext w:val="true"/>
        <w:rPr/>
      </w:pPr>
      <w:r>
        <w:rPr/>
        <w:t>Если Договор заключается в электронной форме:</w:t>
      </w:r>
    </w:p>
    <w:p>
      <w:pPr>
        <w:pStyle w:val="Style26"/>
        <w:rPr/>
      </w:pPr>
      <w:bookmarkStart w:id="239" w:name="_Ref125552524"/>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39"/>
      <w:r>
        <w:rPr/>
        <w:t>;</w:t>
      </w:r>
    </w:p>
    <w:p>
      <w:pPr>
        <w:pStyle w:val="Style26"/>
        <w:rPr/>
      </w:pPr>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25"/>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4"/>
        <w:rPr/>
      </w:pPr>
      <w:bookmarkStart w:id="240" w:name="_Toc228976116"/>
      <w:bookmarkStart w:id="241" w:name="_Ref125552570"/>
      <w:r>
        <w:rPr/>
        <w:t>Преддоговорные переговоры</w:t>
      </w:r>
      <w:bookmarkEnd w:id="240"/>
      <w:bookmarkEnd w:id="241"/>
    </w:p>
    <w:p>
      <w:pPr>
        <w:pStyle w:val="Style25"/>
        <w:keepNext w:val="true"/>
        <w:rPr/>
      </w:pPr>
      <w:r>
        <w:rPr/>
        <w:t>Проведение преддоговорных переговоров между Заказчиком и Победителем допускается только в отношении следующих вопросов:</w:t>
      </w:r>
    </w:p>
    <w:p>
      <w:pPr>
        <w:pStyle w:val="Style26"/>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6"/>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6"/>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6"/>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6"/>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5"/>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5"/>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5"/>
        <w:rPr/>
      </w:pPr>
      <w:r>
        <w:rPr/>
        <w:t>Результаты преддоговорных переговоров фиксируются в форме протокола</w:t>
      </w:r>
      <w:r>
        <w:rPr>
          <w:rStyle w:val="FootnoteReference"/>
        </w:rPr>
        <w:footnoteReference w:id="14"/>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5"/>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4"/>
        <w:rPr/>
      </w:pPr>
      <w:bookmarkStart w:id="242" w:name="_Toc228976117"/>
      <w:bookmarkStart w:id="243" w:name="_Ref125367068"/>
      <w:r>
        <w:rPr/>
        <w:t>Уклонение Победителя от заключения Договора</w:t>
      </w:r>
      <w:bookmarkEnd w:id="242"/>
      <w:bookmarkEnd w:id="243"/>
    </w:p>
    <w:p>
      <w:pPr>
        <w:pStyle w:val="Style25"/>
        <w:keepNext w:val="true"/>
        <w:rPr/>
      </w:pPr>
      <w:r>
        <w:rPr/>
        <w:t>Если Победитель закупки:</w:t>
      </w:r>
    </w:p>
    <w:p>
      <w:pPr>
        <w:pStyle w:val="Style26"/>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6"/>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6"/>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3"/>
          </w:rPr>
          <w:t>Приложение № 5</w:t>
        </w:r>
      </w:hyperlink>
      <w:r>
        <w:rPr/>
        <w:t>), с приложением подтверждающих документов;</w:t>
      </w:r>
    </w:p>
    <w:p>
      <w:pPr>
        <w:pStyle w:val="Style26"/>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3"/>
          </w:rPr>
          <w:t>Приложением № 5</w:t>
        </w:r>
      </w:hyperlink>
      <w:r>
        <w:rPr/>
        <w:t>;</w:t>
      </w:r>
    </w:p>
    <w:p>
      <w:pPr>
        <w:pStyle w:val="Style26"/>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26"/>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26"/>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3"/>
          </w:rPr>
          <w:t>Приложения № 1 – Технические требования</w:t>
        </w:r>
      </w:hyperlink>
      <w:r>
        <w:rPr/>
        <w:t xml:space="preserve"> (в случае установления таковых);</w:t>
      </w:r>
    </w:p>
    <w:p>
      <w:pPr>
        <w:pStyle w:val="Style26"/>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6"/>
        <w:rPr/>
      </w:pPr>
      <w:r>
        <w:rPr/>
        <w:t>не выполнит другие условия, прямо предусмотренные Документацией о закупке,</w:t>
      </w:r>
    </w:p>
    <w:p>
      <w:pPr>
        <w:pStyle w:val="Style29"/>
        <w:ind w:left="1134"/>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3"/>
        <w:rPr/>
      </w:pPr>
      <w:bookmarkStart w:id="244" w:name="_Toc228976118"/>
      <w:bookmarkStart w:id="245" w:name="Прил01_ТехТребования"/>
      <w:bookmarkStart w:id="246" w:name="_Ref125370843"/>
      <w:bookmarkStart w:id="247" w:name="_Ref125370750"/>
      <w:bookmarkStart w:id="248" w:name="_Ref125370746"/>
      <w:bookmarkStart w:id="249" w:name="_Ref125370741"/>
      <w:bookmarkStart w:id="250" w:name="_Ref125370732"/>
      <w:bookmarkStart w:id="251" w:name="_Ref125364201"/>
      <w:bookmarkStart w:id="252" w:name="_Ref125364088"/>
      <w:bookmarkStart w:id="253" w:name="_Ref125363752"/>
      <w:bookmarkStart w:id="254" w:name="_Ref125363600"/>
      <w:bookmarkStart w:id="255" w:name="_Ref125363034"/>
      <w:bookmarkStart w:id="256" w:name="_Ref125363023"/>
      <w:bookmarkStart w:id="257" w:name="_Ref125363016"/>
      <w:r>
        <w:rPr/>
        <w:t>Приложение № 1 – Технические требования</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Style24"/>
        <w:rPr/>
      </w:pPr>
      <w:bookmarkStart w:id="258" w:name="_Toc228976119"/>
      <w:r>
        <w:rPr/>
        <w:t>Пояснения к Техническим требованиям</w:t>
      </w:r>
      <w:bookmarkEnd w:id="258"/>
    </w:p>
    <w:p>
      <w:pPr>
        <w:pStyle w:val="Style25"/>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3"/>
        <w:rPr/>
      </w:pPr>
      <w:bookmarkStart w:id="259" w:name="_Toc228976120"/>
      <w:bookmarkStart w:id="260" w:name="Прил02_ПроектДоговора"/>
      <w:bookmarkStart w:id="261" w:name="_Ref125370754"/>
      <w:bookmarkStart w:id="262" w:name="_Ref125364206"/>
      <w:bookmarkStart w:id="263" w:name="_Ref125364081"/>
      <w:bookmarkStart w:id="264" w:name="_Ref125363759"/>
      <w:bookmarkStart w:id="265" w:name="_Ref125363605"/>
      <w:bookmarkStart w:id="266" w:name="_Ref125363040"/>
      <w:bookmarkStart w:id="267" w:name="_Ref125361746"/>
      <w:r>
        <w:rPr/>
        <w:t>Приложение № 2 – Проект договора</w:t>
      </w:r>
      <w:bookmarkEnd w:id="259"/>
      <w:bookmarkEnd w:id="260"/>
      <w:bookmarkEnd w:id="261"/>
      <w:bookmarkEnd w:id="262"/>
      <w:bookmarkEnd w:id="263"/>
      <w:bookmarkEnd w:id="264"/>
      <w:bookmarkEnd w:id="265"/>
      <w:bookmarkEnd w:id="266"/>
      <w:bookmarkEnd w:id="267"/>
    </w:p>
    <w:p>
      <w:pPr>
        <w:pStyle w:val="Style24"/>
        <w:rPr/>
      </w:pPr>
      <w:bookmarkStart w:id="268" w:name="_Toc228976121"/>
      <w:r>
        <w:rPr/>
        <w:t>Пояснения к Проекту договора</w:t>
      </w:r>
      <w:bookmarkEnd w:id="268"/>
    </w:p>
    <w:p>
      <w:pPr>
        <w:pStyle w:val="Style25"/>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5"/>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269" w:name="_Hlk132883778"/>
      <w:r>
        <w:rPr/>
        <w:t>как «Некритичные пункты Проекта договора»</w:t>
      </w:r>
      <w:bookmarkEnd w:id="269"/>
      <w:r>
        <w:rPr/>
        <w:t>.</w:t>
      </w:r>
    </w:p>
    <w:p>
      <w:pPr>
        <w:pStyle w:val="Style25"/>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sectPr>
          <w:headerReference w:type="default" r:id="rId10"/>
          <w:headerReference w:type="first" r:id="rId11"/>
          <w:footerReference w:type="default" r:id="rId12"/>
          <w:footerReference w:type="first" r:id="rId1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5"/>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0" w:name="_MON_1736255517"/>
      <w:r>
        <w:rPr/>
        <w:t>:</w:t>
      </w:r>
      <w:bookmarkEnd w:id="270"/>
    </w:p>
    <w:p>
      <w:pPr>
        <w:pStyle w:val="Style23"/>
        <w:rPr/>
      </w:pPr>
      <w:bookmarkStart w:id="271" w:name="_Toc228976122"/>
      <w:bookmarkStart w:id="272" w:name="Прил03_ТребованияУчастникам"/>
      <w:bookmarkStart w:id="273" w:name="_Ref125370013"/>
      <w:bookmarkStart w:id="274" w:name="_Ref125365476"/>
      <w:bookmarkStart w:id="275" w:name="_Ref125361908"/>
      <w:bookmarkStart w:id="276" w:name="_Ref125361494"/>
      <w:r>
        <w:rPr/>
        <w:t>Приложение № 3 – Требования к Участникам</w:t>
      </w:r>
      <w:bookmarkEnd w:id="271"/>
      <w:bookmarkEnd w:id="272"/>
      <w:bookmarkEnd w:id="273"/>
      <w:bookmarkEnd w:id="274"/>
      <w:bookmarkEnd w:id="275"/>
      <w:bookmarkEnd w:id="276"/>
    </w:p>
    <w:p>
      <w:pPr>
        <w:pStyle w:val="Style24"/>
        <w:rPr/>
      </w:pPr>
      <w:bookmarkStart w:id="277" w:name="_Toc228976123"/>
      <w:r>
        <w:rPr/>
        <w:t>Пояснения к требованиям к Участникам</w:t>
      </w:r>
      <w:bookmarkEnd w:id="277"/>
    </w:p>
    <w:p>
      <w:pPr>
        <w:pStyle w:val="Style25"/>
        <w:rPr/>
      </w:pPr>
      <w:bookmarkStart w:id="278" w:name="_Hlk125628168"/>
      <w:r>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8"/>
    </w:p>
    <w:p>
      <w:pPr>
        <w:pStyle w:val="Style24"/>
        <w:spacing w:before="360" w:after="120"/>
        <w:rPr/>
      </w:pPr>
      <w:bookmarkStart w:id="279" w:name="_Toc228976124"/>
      <w:bookmarkStart w:id="280" w:name="_Ref125370071"/>
      <w:bookmarkStart w:id="281" w:name="_Ref125370064"/>
      <w:bookmarkStart w:id="282" w:name="_Ref125370058"/>
      <w:bookmarkStart w:id="283" w:name="_Ref125369088"/>
      <w:bookmarkStart w:id="284" w:name="_Ref125368895"/>
      <w:bookmarkStart w:id="285" w:name="_Ref125368812"/>
      <w:bookmarkStart w:id="286" w:name="_Ref125366879"/>
      <w:bookmarkStart w:id="287" w:name="_Ref125361926"/>
      <w:bookmarkStart w:id="288" w:name="_Ref125361846"/>
      <w:bookmarkStart w:id="289" w:name="_Ref125361832"/>
      <w:bookmarkStart w:id="290" w:name="_Ref125361617"/>
      <w:bookmarkStart w:id="291" w:name="_Ref125361590"/>
      <w:bookmarkStart w:id="292" w:name="_Ref125361435"/>
      <w:r>
        <w:rPr/>
        <w:t>Обязательные требования</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9"/>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3" w:name="_Ref125552433"/>
            <w:bookmarkStart w:id="294" w:name="_Ref125552433"/>
            <w:bookmarkEnd w:id="294"/>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9"/>
              <w:widowControl/>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9"/>
              <w:widowControl/>
              <w:numPr>
                <w:ilvl w:val="0"/>
                <w:numId w:val="16"/>
              </w:numPr>
              <w:suppressAutoHyphens w:val="true"/>
              <w:spacing w:before="60" w:after="60"/>
              <w:ind w:hanging="284" w:left="568"/>
              <w:rPr>
                <w:rFonts w:ascii="Times New Roman" w:hAnsi="Times New Roman" w:eastAsia="Calibri" w:cs=""/>
                <w:kern w:val="0"/>
                <w:sz w:val="26"/>
                <w:szCs w:val="22"/>
                <w:lang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6"/>
                <w:szCs w:val="22"/>
                <w:lang w:val="en-US" w:eastAsia="en-US" w:bidi="ar-SA"/>
              </w:rPr>
              <w:t>pdf</w:t>
            </w:r>
            <w:r>
              <w:rPr>
                <w:rFonts w:eastAsia="Calibri" w:cs=""/>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29"/>
              <w:widowControl/>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9"/>
              <w:widowControl/>
              <w:numPr>
                <w:ilvl w:val="0"/>
                <w:numId w:val="16"/>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3"/>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9"/>
              <w:widowControl/>
              <w:numPr>
                <w:ilvl w:val="0"/>
                <w:numId w:val="16"/>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предоставление Заявки на аккредитацию не требуется;</w:t>
            </w:r>
          </w:p>
          <w:p>
            <w:pPr>
              <w:pStyle w:val="Style29"/>
              <w:widowControl/>
              <w:numPr>
                <w:ilvl w:val="0"/>
                <w:numId w:val="16"/>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3"/>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9"/>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9"/>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9"/>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9"/>
              <w:widowControl/>
              <w:suppressAutoHyphens w:val="true"/>
              <w:spacing w:before="60" w:after="60"/>
              <w:ind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9"/>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9"/>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5" w:name="_Ref139028406"/>
            <w:bookmarkStart w:id="296" w:name="_Ref139028406"/>
            <w:bookmarkEnd w:id="296"/>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5"/>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6"/>
            </w:r>
            <w:r>
              <w:rPr>
                <w:rFonts w:eastAsia="Calibri" w:cs=""/>
                <w:kern w:val="0"/>
                <w:sz w:val="26"/>
                <w:szCs w:val="22"/>
                <w:lang w:val="ru-RU" w:eastAsia="en-US" w:bidi="ar-SA"/>
              </w:rPr>
              <w:t>:</w:t>
            </w:r>
          </w:p>
        </w:tc>
        <w:tc>
          <w:tcPr>
            <w:tcW w:w="8327" w:type="dxa"/>
            <w:tcBorders/>
          </w:tcPr>
          <w:p>
            <w:pPr>
              <w:pStyle w:val="Style29"/>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9"/>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9"/>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7" w:name="_Ref186120456"/>
            <w:bookmarkStart w:id="298" w:name="_Ref186120456"/>
            <w:bookmarkEnd w:id="298"/>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9"/>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9"/>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9"/>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9" w:name="_Ref186120461"/>
            <w:bookmarkStart w:id="300" w:name="_Ref186120461"/>
            <w:bookmarkEnd w:id="300"/>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9"/>
              <w:widowControl/>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9"/>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4"/>
        <w:spacing w:before="360" w:after="120"/>
        <w:rPr/>
      </w:pPr>
      <w:bookmarkStart w:id="301" w:name="_Toc228976125"/>
      <w:bookmarkStart w:id="302" w:name="_Ref125709888"/>
      <w:bookmarkStart w:id="303" w:name="_Ref125709401"/>
      <w:bookmarkStart w:id="304" w:name="_Ref125709250"/>
      <w:bookmarkStart w:id="305" w:name="_Ref125709153"/>
      <w:bookmarkStart w:id="306" w:name="_Ref125370079"/>
      <w:bookmarkStart w:id="307" w:name="_Ref125369099"/>
      <w:bookmarkStart w:id="308" w:name="_Ref125368916"/>
      <w:bookmarkStart w:id="309" w:name="_Ref125368901"/>
      <w:bookmarkStart w:id="310" w:name="_Ref125368818"/>
      <w:bookmarkStart w:id="311" w:name="_Ref125367539"/>
      <w:bookmarkStart w:id="312" w:name="_Ref125367521"/>
      <w:bookmarkStart w:id="313" w:name="_Ref125365459"/>
      <w:bookmarkStart w:id="314" w:name="_Ref125361937"/>
      <w:bookmarkStart w:id="315" w:name="_Ref125361869"/>
      <w:bookmarkStart w:id="316" w:name="_Ref125361671"/>
      <w:bookmarkStart w:id="317" w:name="_Ref125361633"/>
      <w:bookmarkStart w:id="318" w:name="_Ref125361442"/>
      <w:r>
        <w:rPr/>
        <w:t>Специальные требования</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9"/>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9"/>
              <w:widowControl/>
              <w:suppressAutoHyphens w:val="true"/>
              <w:spacing w:before="60" w:after="60"/>
              <w:rPr>
                <w:rStyle w:val="Style10"/>
              </w:rPr>
            </w:pPr>
            <w:r>
              <w:rPr/>
            </w:r>
          </w:p>
        </w:tc>
        <w:tc>
          <w:tcPr>
            <w:tcW w:w="8327" w:type="dxa"/>
            <w:tcBorders/>
          </w:tcPr>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2"/>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pStyle w:val="Style24"/>
        <w:spacing w:before="360" w:after="120"/>
        <w:rPr/>
      </w:pPr>
      <w:bookmarkStart w:id="319" w:name="_Toc228976126"/>
      <w:bookmarkStart w:id="320" w:name="_Ref125709895"/>
      <w:bookmarkStart w:id="321" w:name="_Ref125709541"/>
      <w:bookmarkStart w:id="322" w:name="_Ref125709256"/>
      <w:bookmarkStart w:id="323" w:name="_Ref125709154"/>
      <w:bookmarkStart w:id="324" w:name="_Ref125553681"/>
      <w:bookmarkStart w:id="325" w:name="_Ref125553475"/>
      <w:bookmarkStart w:id="326" w:name="_Ref125553296"/>
      <w:bookmarkStart w:id="327" w:name="_Ref125553242"/>
      <w:bookmarkStart w:id="328" w:name="_Ref125550353"/>
      <w:bookmarkStart w:id="329" w:name="_Ref125550270"/>
      <w:r>
        <w:rPr/>
        <w:t>Квалификационные требования</w:t>
      </w:r>
      <w:bookmarkEnd w:id="319"/>
      <w:bookmarkEnd w:id="320"/>
      <w:bookmarkEnd w:id="321"/>
      <w:bookmarkEnd w:id="322"/>
      <w:bookmarkEnd w:id="323"/>
      <w:bookmarkEnd w:id="324"/>
      <w:bookmarkEnd w:id="325"/>
      <w:bookmarkEnd w:id="326"/>
      <w:bookmarkEnd w:id="327"/>
      <w:bookmarkEnd w:id="328"/>
      <w:bookmarkEnd w:id="329"/>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9"/>
              <w:widowControl/>
              <w:numPr>
                <w:ilvl w:val="0"/>
                <w:numId w:val="11"/>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Квалификационные требования не установлены.</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Квалификационные требования не установлены.</w:t>
            </w:r>
          </w:p>
        </w:tc>
      </w:tr>
    </w:tbl>
    <w:p>
      <w:pPr>
        <w:pStyle w:val="Style24"/>
        <w:spacing w:before="360" w:after="120"/>
        <w:rPr/>
      </w:pPr>
      <w:bookmarkStart w:id="330" w:name="_Toc228976127"/>
      <w:bookmarkStart w:id="331" w:name="_Ref125709228"/>
      <w:bookmarkStart w:id="332" w:name="_Ref125553703"/>
      <w:bookmarkStart w:id="333" w:name="_Ref125553692"/>
      <w:bookmarkStart w:id="334" w:name="_Ref125553500"/>
      <w:bookmarkStart w:id="335" w:name="_Ref125552455"/>
      <w:r>
        <w:rPr/>
        <w:t>Дополнительные требования к Коллективным участникам</w:t>
      </w:r>
      <w:bookmarkEnd w:id="330"/>
      <w:bookmarkEnd w:id="331"/>
      <w:bookmarkEnd w:id="332"/>
      <w:bookmarkEnd w:id="333"/>
      <w:bookmarkEnd w:id="334"/>
      <w:bookmarkEnd w:id="335"/>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Коллективному участнику</w:t>
            </w:r>
          </w:p>
        </w:tc>
        <w:tc>
          <w:tcPr>
            <w:tcW w:w="8327"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29"/>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6" w:name="_Ref125370156"/>
            <w:bookmarkStart w:id="337" w:name="_Ref125370156"/>
            <w:bookmarkEnd w:id="337"/>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_Ref125366972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3.2.3</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8" w:type="dxa"/>
            <w:tcBorders/>
          </w:tcPr>
          <w:p>
            <w:pPr>
              <w:pStyle w:val="Style29"/>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8" w:name="_Ref125553738"/>
            <w:bookmarkStart w:id="339" w:name="_Ref125553738"/>
            <w:bookmarkEnd w:id="339"/>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29"/>
              <w:widowControl/>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29"/>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0" w:name="_Ref125370162"/>
            <w:bookmarkStart w:id="341" w:name="_Ref125370162"/>
            <w:bookmarkEnd w:id="341"/>
          </w:p>
        </w:tc>
        <w:tc>
          <w:tcPr>
            <w:tcW w:w="5671" w:type="dxa"/>
            <w:tcBorders/>
          </w:tcPr>
          <w:p>
            <w:pPr>
              <w:pStyle w:val="Style29"/>
              <w:widowControl/>
              <w:suppressAutoHyphens w:val="true"/>
              <w:spacing w:before="60" w:after="60"/>
              <w:rPr/>
            </w:pPr>
            <w:r>
              <w:rPr>
                <w:rFonts w:eastAsia="Calibri" w:cs=""/>
                <w:kern w:val="0"/>
                <w:sz w:val="26"/>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_Ref125368791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_Ref134705077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3.2.7</w:t>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24"/>
        <w:spacing w:before="360" w:after="120"/>
        <w:rPr/>
      </w:pPr>
      <w:bookmarkStart w:id="342" w:name="_Toc228976128"/>
      <w:bookmarkStart w:id="343" w:name="_Ref125709973"/>
      <w:bookmarkStart w:id="344" w:name="_Ref125709777"/>
      <w:bookmarkStart w:id="345" w:name="_Ref125370209"/>
      <w:bookmarkStart w:id="346" w:name="_Ref125370180"/>
      <w:bookmarkStart w:id="347" w:name="_Ref125370173"/>
      <w:bookmarkStart w:id="348" w:name="_Ref125369117"/>
      <w:bookmarkStart w:id="349" w:name="_Ref125362031"/>
      <w:bookmarkStart w:id="350" w:name="_Ref125361823"/>
      <w:r>
        <w:rPr/>
        <w:t>Дополнительные требования к Генеральным подрядчикам</w:t>
      </w:r>
      <w:bookmarkEnd w:id="342"/>
      <w:bookmarkEnd w:id="343"/>
      <w:bookmarkEnd w:id="344"/>
      <w:bookmarkEnd w:id="345"/>
      <w:bookmarkEnd w:id="346"/>
      <w:bookmarkEnd w:id="347"/>
      <w:bookmarkEnd w:id="348"/>
      <w:bookmarkEnd w:id="349"/>
      <w:bookmarkEnd w:id="350"/>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9"/>
              <w:widowControl/>
              <w:numPr>
                <w:ilvl w:val="0"/>
                <w:numId w:val="6"/>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25370187"/>
            <w:bookmarkStart w:id="352" w:name="_Ref125370187"/>
            <w:bookmarkEnd w:id="352"/>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9"/>
              <w:widowControl/>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29"/>
              <w:widowControl/>
              <w:numPr>
                <w:ilvl w:val="0"/>
                <w:numId w:val="6"/>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25370199"/>
            <w:bookmarkStart w:id="354" w:name="_Ref125370199"/>
            <w:bookmarkEnd w:id="354"/>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Генеральный подрядчик должен доказать, что каждый из привлекаемых им субподрядчиков:</w:t>
            </w:r>
          </w:p>
          <w:p>
            <w:pPr>
              <w:pStyle w:val="Style29"/>
              <w:widowControl/>
              <w:numPr>
                <w:ilvl w:val="0"/>
                <w:numId w:val="15"/>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осведомлен о привлечении его в качестве субподрядчика;</w:t>
            </w:r>
          </w:p>
          <w:p>
            <w:pPr>
              <w:pStyle w:val="Style29"/>
              <w:widowControl/>
              <w:numPr>
                <w:ilvl w:val="0"/>
                <w:numId w:val="15"/>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29"/>
              <w:widowControl/>
              <w:numPr>
                <w:ilvl w:val="0"/>
                <w:numId w:val="6"/>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25370193"/>
            <w:bookmarkStart w:id="356" w:name="_Ref125370193"/>
            <w:bookmarkEnd w:id="356"/>
          </w:p>
        </w:tc>
        <w:tc>
          <w:tcPr>
            <w:tcW w:w="5671" w:type="dxa"/>
            <w:tcBorders/>
          </w:tcPr>
          <w:p>
            <w:pPr>
              <w:pStyle w:val="Style29"/>
              <w:widowControl/>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9"/>
              <w:widowControl/>
              <w:numPr>
                <w:ilvl w:val="0"/>
                <w:numId w:val="6"/>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25553847"/>
            <w:bookmarkStart w:id="358" w:name="_Ref125553847"/>
            <w:bookmarkEnd w:id="358"/>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pStyle w:val="Style24"/>
        <w:spacing w:before="360" w:after="120"/>
        <w:rPr/>
      </w:pPr>
      <w:bookmarkStart w:id="359" w:name="_Toc228976129"/>
      <w:bookmarkStart w:id="360" w:name="_Ref125710517"/>
      <w:bookmarkStart w:id="361" w:name="_Ref125710480"/>
      <w:bookmarkStart w:id="362" w:name="_Ref125710459"/>
      <w:bookmarkStart w:id="363" w:name="_Ref125553821"/>
      <w:bookmarkStart w:id="364" w:name="_Ref125553513"/>
      <w:bookmarkStart w:id="365" w:name="_Ref125550566"/>
      <w:bookmarkStart w:id="366" w:name="_Ref125550560"/>
      <w:bookmarkStart w:id="367" w:name="_Ref125550523"/>
      <w:r>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59"/>
      <w:bookmarkEnd w:id="360"/>
      <w:bookmarkEnd w:id="361"/>
      <w:bookmarkEnd w:id="362"/>
      <w:bookmarkEnd w:id="363"/>
      <w:bookmarkEnd w:id="364"/>
      <w:bookmarkEnd w:id="365"/>
      <w:bookmarkEnd w:id="366"/>
      <w:bookmarkEnd w:id="367"/>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9"/>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9"/>
              <w:widowControl/>
              <w:numPr>
                <w:ilvl w:val="0"/>
                <w:numId w:val="1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4"/>
          <w:headerReference w:type="first" r:id="rId15"/>
          <w:footerReference w:type="default" r:id="rId16"/>
          <w:footerReference w:type="first" r:id="rId17"/>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3"/>
        <w:rPr/>
      </w:pPr>
      <w:bookmarkStart w:id="368" w:name="_Toc228976130"/>
      <w:bookmarkStart w:id="369" w:name="Прил04_ФормыЗаявки"/>
      <w:bookmarkEnd w:id="369"/>
      <w:r>
        <w:rPr/>
        <w:t>Приложение № 4 – Образцы форм документов, включаемых в состав заявки</w:t>
      </w:r>
      <w:bookmarkEnd w:id="368"/>
    </w:p>
    <w:p>
      <w:pPr>
        <w:pStyle w:val="Style24"/>
        <w:rPr/>
      </w:pPr>
      <w:bookmarkStart w:id="370" w:name="_Toc228976131"/>
      <w:r>
        <w:rPr/>
        <w:t>Пояснения к Образцам форм документов, включаемых в состав заявки</w:t>
      </w:r>
      <w:bookmarkEnd w:id="370"/>
    </w:p>
    <w:p>
      <w:pPr>
        <w:pStyle w:val="Style25"/>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3"/>
        <w:rPr/>
      </w:pPr>
      <w:bookmarkStart w:id="371" w:name="_Toc228976132"/>
      <w:bookmarkStart w:id="372" w:name="Прил05_ФормыПобедителя"/>
      <w:bookmarkEnd w:id="372"/>
      <w:r>
        <w:rPr/>
        <w:t>Приложение № 5 – Образцы форм документов, предоставляемых Победителем</w:t>
      </w:r>
      <w:bookmarkEnd w:id="371"/>
    </w:p>
    <w:p>
      <w:pPr>
        <w:pStyle w:val="Style24"/>
        <w:rPr/>
      </w:pPr>
      <w:bookmarkStart w:id="373" w:name="_Toc228976133"/>
      <w:r>
        <w:rPr/>
        <w:t>Пояснения к Образцам форм документов, предоставляемых Победителем</w:t>
      </w:r>
      <w:bookmarkEnd w:id="373"/>
    </w:p>
    <w:p>
      <w:pPr>
        <w:pStyle w:val="Style25"/>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4"/>
        <w:rPr/>
      </w:pPr>
      <w:bookmarkStart w:id="374" w:name="_Toc228976134"/>
      <w:bookmarkStart w:id="375" w:name="_Ref130395470"/>
      <w:r>
        <w:rPr/>
        <w:t>Форма справки «Сведения о цепочке собственников, включая бенефициаров (в том числе конечных)»</w:t>
      </w:r>
      <w:bookmarkEnd w:id="374"/>
      <w:bookmarkEnd w:id="375"/>
    </w:p>
    <w:p>
      <w:pPr>
        <w:pStyle w:val="Style25"/>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5"/>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9"/>
        <w:jc w:val="center"/>
        <w:rPr/>
      </w:pPr>
      <w:r>
        <w:rPr/>
        <w:object>
          <v:shapetype id="_x0000_tole_rId18" coordsize="21600,21600" o:spt="ole_rId1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 type="_x0000_tole_rId18" style="width:72pt;height:50.2pt;mso-wrap-distance-right:0pt" filled="f" o:ole="">
            <v:imagedata r:id="rId19" o:title=""/>
          </v:shape>
          <o:OLEObject Type="Embed" ProgID="Word.Document.12" ShapeID="ole_rId18" DrawAspect="Icon" ObjectID="_1416239296" r:id="rId18"/>
        </w:object>
      </w:r>
    </w:p>
    <w:p>
      <w:pPr>
        <w:pStyle w:val="Style24"/>
        <w:rPr/>
      </w:pPr>
      <w:bookmarkStart w:id="376" w:name="_Toc228976135"/>
      <w:bookmarkStart w:id="377" w:name="_Ref130395475"/>
      <w:r>
        <w:rPr/>
        <w:t>Форма «Заверение об обстоятельствах»</w:t>
      </w:r>
      <w:bookmarkEnd w:id="376"/>
      <w:bookmarkEnd w:id="377"/>
    </w:p>
    <w:p>
      <w:pPr>
        <w:pStyle w:val="Style25"/>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5"/>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5"/>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5"/>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78" w:name="_MON_1741074184"/>
    </w:p>
    <w:p>
      <w:pPr>
        <w:pStyle w:val="Style29"/>
        <w:spacing w:before="120" w:after="120"/>
        <w:jc w:val="center"/>
        <w:rPr/>
      </w:pPr>
      <w:bookmarkEnd w:id="378"/>
      <w:r>
        <w:rPr/>
        <w:object>
          <v:shapetype id="_x0000_tole_rId20" coordsize="21600,21600" o:spt="ole_rId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 type="_x0000_tole_rId20" style="width:79.25pt;height:50.2pt;mso-wrap-distance-right:0pt;mso-wrap-distance-bottom:6pt" filled="f" o:ole="">
            <v:imagedata r:id="rId21" o:title=""/>
          </v:shape>
          <o:OLEObject Type="Embed" ProgID="Word.Document.12" ShapeID="ole_rId20" DrawAspect="Icon" ObjectID="_321108472" r:id="rId20"/>
        </w:object>
      </w:r>
    </w:p>
    <w:p>
      <w:pPr>
        <w:pStyle w:val="Style23"/>
        <w:rPr/>
      </w:pPr>
      <w:bookmarkStart w:id="379" w:name="_Ref125362900"/>
      <w:bookmarkStart w:id="380" w:name="_Ref125362865"/>
      <w:bookmarkStart w:id="381" w:name="_Toc228976136"/>
      <w:bookmarkStart w:id="382" w:name="Прил06_СоставЗаявки"/>
      <w:bookmarkEnd w:id="382"/>
      <w:r>
        <w:rPr/>
        <w:t>Приложение № 6 – Состав заявки</w:t>
      </w:r>
      <w:bookmarkEnd w:id="379"/>
      <w:bookmarkEnd w:id="380"/>
      <w:bookmarkEnd w:id="381"/>
    </w:p>
    <w:p>
      <w:pPr>
        <w:pStyle w:val="Style24"/>
        <w:rPr/>
      </w:pPr>
      <w:bookmarkStart w:id="383" w:name="_Toc228976137"/>
      <w:r>
        <w:rPr/>
        <w:t>Состав заявки</w:t>
      </w:r>
      <w:bookmarkEnd w:id="383"/>
    </w:p>
    <w:p>
      <w:pPr>
        <w:pStyle w:val="Style25"/>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3"/>
          </w:rPr>
          <w:t>Приложении № 4</w:t>
        </w:r>
      </w:hyperlink>
      <w:r>
        <w:rPr/>
        <w:t>):</w:t>
      </w:r>
    </w:p>
    <w:tbl>
      <w:tblPr>
        <w:tblStyle w:val="af6"/>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3"/>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Техническое предложение (форма 4);</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4" w:name="_Ref130389408"/>
            <w:bookmarkStart w:id="385" w:name="_Ref130389408"/>
            <w:bookmarkEnd w:id="385"/>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3"/>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6" w:name="_Ref130389413"/>
            <w:bookmarkStart w:id="387" w:name="_Ref130389413"/>
            <w:bookmarkEnd w:id="387"/>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3"/>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8" w:name="_Ref130389419"/>
            <w:bookmarkStart w:id="389" w:name="_Ref130389419"/>
            <w:bookmarkEnd w:id="389"/>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3"/>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3"/>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Normal"/>
              <w:widowControl/>
              <w:suppressAutoHyphens w:val="true"/>
              <w:spacing w:before="120" w:after="0"/>
              <w:jc w:val="both"/>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_Ref125709228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Коллективного участника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_Ref130305355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План распределения объемов поставки продукции (форма 10);</w:t>
            </w:r>
          </w:p>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_Ref125366972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Документации о закупке;</w:t>
            </w:r>
          </w:p>
          <w:p>
            <w:pPr>
              <w:pStyle w:val="Style29"/>
              <w:widowControl/>
              <w:numPr>
                <w:ilvl w:val="0"/>
                <w:numId w:val="10"/>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_Ref125709228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Style w:val="Style13"/>
                <w:rFonts w:eastAsia="Calibri" w:cs=""/>
                <w:kern w:val="0"/>
                <w:sz w:val="26"/>
                <w:szCs w:val="22"/>
                <w:lang w:val="ru-RU" w:eastAsia="en-US" w:bidi="ar-SA"/>
              </w:rPr>
              <w:t>;</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3.3</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План распределения объемов поставки продукции (форма 10);</w:t>
            </w:r>
          </w:p>
          <w:p>
            <w:pPr>
              <w:pStyle w:val="Style29"/>
              <w:widowControl/>
              <w:numPr>
                <w:ilvl w:val="0"/>
                <w:numId w:val="10"/>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Style w:val="Style13"/>
                <w:rFonts w:eastAsia="Calibri" w:cs=""/>
                <w:kern w:val="0"/>
                <w:sz w:val="26"/>
                <w:szCs w:val="22"/>
                <w:lang w:val="ru-RU" w:eastAsia="en-US" w:bidi="ar-SA"/>
              </w:rPr>
              <w:t>;</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_Ref125710459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8.7</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3"/>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_Ref127524203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3.4</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 План распределения объемов поставки продукции (форма 10);</w:t>
            </w:r>
          </w:p>
        </w:tc>
      </w:tr>
      <w:tr>
        <w:trPr/>
        <w:tc>
          <w:tcPr>
            <w:tcW w:w="707" w:type="dxa"/>
            <w:tcBorders/>
          </w:tcPr>
          <w:p>
            <w:pPr>
              <w:pStyle w:val="Style29"/>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bl>
    <w:p>
      <w:pPr>
        <w:sectPr>
          <w:headerReference w:type="default" r:id="rId22"/>
          <w:headerReference w:type="first" r:id="rId23"/>
          <w:footerReference w:type="default" r:id="rId24"/>
          <w:footerReference w:type="first" r:id="rId2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5"/>
        <w:rPr>
          <w:rStyle w:val="Style10"/>
          <w:i w:val="false"/>
          <w:i w:val="false"/>
          <w:iCs w:val="false"/>
          <w:shd w:fill="auto" w:val="clear"/>
        </w:rPr>
      </w:pPr>
      <w:r>
        <w:rPr>
          <w:rStyle w:val="Style10"/>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3"/>
        <w:rPr/>
      </w:pPr>
      <w:bookmarkStart w:id="390" w:name="_Toc228976138"/>
      <w:bookmarkStart w:id="391" w:name="_Ref125365264"/>
      <w:bookmarkStart w:id="392" w:name="Прил07_ОтборочныеКритерии"/>
      <w:bookmarkEnd w:id="392"/>
      <w:r>
        <w:rPr>
          <w:rStyle w:val="Style10"/>
          <w:i w:val="false"/>
          <w:iCs w:val="false"/>
          <w:shd w:fill="auto" w:val="clear"/>
        </w:rPr>
        <w:t>Приложение №</w:t>
      </w:r>
      <w:r>
        <w:rPr/>
        <w:t> 7 – Отборочные критерии рассмотрения заявок</w:t>
      </w:r>
      <w:bookmarkEnd w:id="390"/>
      <w:bookmarkEnd w:id="391"/>
    </w:p>
    <w:p>
      <w:pPr>
        <w:pStyle w:val="Style24"/>
        <w:spacing w:before="360" w:after="120"/>
        <w:rPr>
          <w:rStyle w:val="Style10"/>
          <w:i w:val="false"/>
          <w:i w:val="false"/>
          <w:iCs w:val="false"/>
          <w:shd w:fill="auto" w:val="clear"/>
        </w:rPr>
      </w:pPr>
      <w:bookmarkStart w:id="393" w:name="_Toc228976139"/>
      <w:r>
        <w:rPr>
          <w:rStyle w:val="Style10"/>
          <w:i w:val="false"/>
          <w:iCs w:val="false"/>
          <w:shd w:fill="auto" w:val="clear"/>
        </w:rPr>
        <w:t>Отборочные критерии рассмотрения заявок</w:t>
      </w:r>
      <w:bookmarkEnd w:id="393"/>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9"/>
              <w:keepNext w:val="true"/>
              <w:widowControl/>
              <w:suppressAutoHyphens w:val="true"/>
              <w:spacing w:before="60" w:after="60"/>
              <w:rPr>
                <w:b/>
                <w:bCs/>
              </w:rPr>
            </w:pPr>
            <w:r>
              <w:rPr>
                <w:rFonts w:eastAsia="Calibri" w:cs=""/>
                <w:b/>
                <w:bCs/>
                <w:kern w:val="0"/>
                <w:sz w:val="26"/>
                <w:szCs w:val="22"/>
                <w:lang w:val="ru-RU" w:eastAsia="en-US" w:bidi="ar-SA"/>
              </w:rPr>
              <w:t>Состав заявки и правильность ее оформления, в том числе:</w:t>
            </w:r>
          </w:p>
        </w:tc>
        <w:tc>
          <w:tcPr>
            <w:tcW w:w="3117" w:type="dxa"/>
            <w:tcBorders/>
          </w:tcPr>
          <w:p>
            <w:pPr>
              <w:pStyle w:val="Style29"/>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3"/>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29"/>
              <w:widowControl/>
              <w:suppressAutoHyphens w:val="true"/>
              <w:spacing w:before="60" w:after="60"/>
              <w:jc w:val="center"/>
              <w:rPr>
                <w:rStyle w:val="Style13"/>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3"/>
                  <w:rFonts w:eastAsia="Calibri" w:cs=""/>
                  <w:kern w:val="0"/>
                  <w:sz w:val="26"/>
                  <w:szCs w:val="22"/>
                  <w:lang w:val="ru-RU" w:eastAsia="en-US" w:bidi="ar-SA"/>
                </w:rPr>
                <w:t>Приложение № 6</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9918" w:type="dxa"/>
            <w:gridSpan w:val="2"/>
            <w:tcBorders/>
          </w:tcPr>
          <w:p>
            <w:pPr>
              <w:pStyle w:val="Style29"/>
              <w:keepNext w:val="true"/>
              <w:widowControl/>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29"/>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29"/>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3"/>
                  <w:rFonts w:eastAsia="Calibri" w:cs=""/>
                  <w:kern w:val="0"/>
                  <w:sz w:val="26"/>
                  <w:szCs w:val="22"/>
                  <w:lang w:val="ru-RU" w:eastAsia="en-US" w:bidi="ar-SA"/>
                </w:rPr>
                <w:t>Приложение № 4</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29"/>
              <w:keepNext w:val="true"/>
              <w:widowControl/>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9"/>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9"/>
              <w:widowControl/>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6"/>
                <w:szCs w:val="22"/>
                <w:lang w:val="en-US" w:eastAsia="en-US" w:bidi="ar-SA"/>
              </w:rPr>
              <w:t> </w:t>
            </w:r>
            <w:r>
              <w:rPr>
                <w:rFonts w:eastAsia="Calibri" w:cs=""/>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_Ref139028406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_Ref186120456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9"/>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_Ref186120147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_Ref186120147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_Ref186120461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9"/>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_Ref186120147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_Ref186120147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квалификационным требованиям к Участникам</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_Ref125550270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Коллективного участника установленным в отношении его требованиям:</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_Ref130305355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29"/>
              <w:widowControl/>
              <w:numPr>
                <w:ilvl w:val="1"/>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_Ref125370156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p>
          <w:p>
            <w:pPr>
              <w:pStyle w:val="Style29"/>
              <w:widowControl/>
              <w:suppressAutoHyphens w:val="true"/>
              <w:spacing w:before="60" w:after="60"/>
              <w:ind w:left="219"/>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Юр</w:t>
            </w:r>
          </w:p>
        </w:tc>
      </w:tr>
      <w:tr>
        <w:trPr/>
        <w:tc>
          <w:tcPr>
            <w:tcW w:w="1412" w:type="dxa"/>
            <w:tcBorders/>
          </w:tcPr>
          <w:p>
            <w:pPr>
              <w:pStyle w:val="Style29"/>
              <w:widowControl/>
              <w:numPr>
                <w:ilvl w:val="1"/>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_Ref125553738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1"/>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_Ref125370162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p>
            <w:pPr>
              <w:pStyle w:val="Style29"/>
              <w:widowControl/>
              <w:suppressAutoHyphens w:val="true"/>
              <w:spacing w:before="60" w:after="60"/>
              <w:ind w:left="219"/>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9"/>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29"/>
              <w:widowControl/>
              <w:numPr>
                <w:ilvl w:val="1"/>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_Ref125370199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1"/>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numPr>
                <w:ilvl w:val="0"/>
                <w:numId w:val="10"/>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29"/>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_Ref127524203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_Ref125550523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8.7</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3"/>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29"/>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3"/>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9"/>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9"/>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исполнения Заказчиком</w:t>
            </w:r>
            <w:r>
              <w:rPr>
                <w:rFonts w:eastAsia="Calibri" w:cs=""/>
                <w:kern w:val="0"/>
                <w:sz w:val="26"/>
                <w:szCs w:val="22"/>
                <w:lang w:val="ru-RU" w:eastAsia="en-US" w:bidi="ar-SA"/>
              </w:rPr>
              <w:t xml:space="preserve"> </w:t>
            </w:r>
            <w:r>
              <w:rPr>
                <w:rFonts w:eastAsia="Calibri" w:cs=""/>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_Ref186120147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_Ref186120147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3"/>
                  <w:rFonts w:eastAsia="Calibri" w:cs=""/>
                  <w:kern w:val="0"/>
                  <w:sz w:val="26"/>
                  <w:szCs w:val="22"/>
                  <w:lang w:val="ru-RU" w:eastAsia="en-US" w:bidi="ar-SA"/>
                </w:rPr>
                <w:t>Приложение № 1</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3"/>
                  <w:rFonts w:eastAsia="Calibri" w:cs=""/>
                  <w:kern w:val="0"/>
                  <w:sz w:val="26"/>
                  <w:szCs w:val="22"/>
                  <w:lang w:val="ru-RU" w:eastAsia="en-US" w:bidi="ar-SA"/>
                </w:rPr>
                <w:t>Приложение № 1</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_Ref186120147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3"/>
                  <w:rFonts w:eastAsia="Calibri" w:cs=""/>
                  <w:kern w:val="0"/>
                  <w:sz w:val="26"/>
                  <w:szCs w:val="22"/>
                  <w:lang w:val="ru-RU" w:eastAsia="en-US" w:bidi="ar-SA"/>
                </w:rPr>
                <w:t>Приложение № 1</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3"/>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9"/>
              <w:widowControl/>
              <w:suppressAutoHyphens w:val="true"/>
              <w:spacing w:before="60" w:after="60"/>
              <w:jc w:val="center"/>
              <w:rPr/>
            </w:pPr>
            <w:hyperlink w:anchor="Прил01_ТехТребования">
              <w:r>
                <w:rPr>
                  <w:rStyle w:val="Style13"/>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3"/>
                  <w:rFonts w:eastAsia="Calibri" w:cs=""/>
                  <w:kern w:val="0"/>
                  <w:sz w:val="26"/>
                  <w:szCs w:val="22"/>
                  <w:lang w:val="ru-RU" w:eastAsia="en-US" w:bidi="ar-SA"/>
                </w:rPr>
                <w:t>Приложение № 2</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3"/>
                  <w:rFonts w:eastAsia="Calibri" w:cs=""/>
                  <w:kern w:val="0"/>
                  <w:sz w:val="26"/>
                  <w:szCs w:val="22"/>
                  <w:lang w:val="ru-RU" w:eastAsia="en-US" w:bidi="ar-SA"/>
                </w:rPr>
                <w:t>Проекте договора (Приложение № 2)</w:t>
              </w:r>
            </w:hyperlink>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9"/>
              <w:widowControl/>
              <w:suppressAutoHyphens w:val="true"/>
              <w:spacing w:before="60" w:after="60"/>
              <w:jc w:val="center"/>
              <w:rPr/>
            </w:pPr>
            <w:hyperlink w:anchor="Прил01_ТехТребования">
              <w:r>
                <w:rPr>
                  <w:rStyle w:val="Style13"/>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3"/>
                  <w:rFonts w:eastAsia="Calibri" w:cs=""/>
                  <w:kern w:val="0"/>
                  <w:sz w:val="26"/>
                  <w:szCs w:val="22"/>
                  <w:lang w:val="ru-RU" w:eastAsia="en-US" w:bidi="ar-SA"/>
                </w:rPr>
                <w:t>Приложение № 2</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9"/>
              <w:widowControl/>
              <w:suppressAutoHyphens w:val="true"/>
              <w:spacing w:before="60" w:after="60"/>
              <w:jc w:val="center"/>
              <w:rPr/>
            </w:pPr>
            <w:hyperlink w:anchor="Прил01_ТехТребования">
              <w:r>
                <w:rPr>
                  <w:rStyle w:val="Style13"/>
                  <w:rFonts w:eastAsia="Calibri" w:cs=""/>
                  <w:kern w:val="0"/>
                  <w:sz w:val="26"/>
                  <w:szCs w:val="22"/>
                  <w:lang w:val="ru-RU" w:eastAsia="en-US" w:bidi="ar-SA"/>
                </w:rPr>
                <w:t>Приложение № 1</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9"/>
              <w:keepNext w:val="true"/>
              <w:widowControl/>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p>
            <w:pPr>
              <w:pStyle w:val="Style29"/>
              <w:widowControl/>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3"/>
                  <w:rFonts w:eastAsia="Calibri" w:cs=""/>
                  <w:kern w:val="0"/>
                  <w:sz w:val="26"/>
                  <w:szCs w:val="22"/>
                  <w:lang w:val="ru-RU" w:eastAsia="en-US" w:bidi="ar-SA"/>
                </w:rPr>
                <w:t>Приложение № 4</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_Ref186120147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_Ref130985951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3"/>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numPr>
                <w:ilvl w:val="0"/>
                <w:numId w:val="8"/>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 xml:space="preserve">Коммерческому приложению, требованиям, указанным в </w:t>
            </w:r>
            <w:hyperlink w:anchor="Прил01_ТехТребования">
              <w:r>
                <w:rPr>
                  <w:rStyle w:val="Style13"/>
                  <w:rFonts w:eastAsia="Calibri" w:cs=""/>
                  <w:kern w:val="0"/>
                  <w:sz w:val="26"/>
                  <w:szCs w:val="22"/>
                  <w:lang w:val="ru-RU" w:eastAsia="en-US" w:bidi="ar-SA"/>
                </w:rPr>
                <w:t>Технических требованиях (Приложение № 1)</w:t>
              </w:r>
            </w:hyperlink>
          </w:p>
          <w:p>
            <w:pPr>
              <w:pStyle w:val="Style29"/>
              <w:widowControl/>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3"/>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9"/>
              <w:widowControl/>
              <w:suppressAutoHyphens w:val="true"/>
              <w:spacing w:before="60" w:after="60"/>
              <w:jc w:val="center"/>
              <w:rPr/>
            </w:pPr>
            <w:hyperlink w:anchor="Прил01_ТехТребования">
              <w:r>
                <w:rPr>
                  <w:rStyle w:val="Style13"/>
                  <w:rFonts w:eastAsia="Calibri" w:cs=""/>
                  <w:kern w:val="0"/>
                  <w:sz w:val="26"/>
                  <w:szCs w:val="22"/>
                  <w:lang w:val="ru-RU" w:eastAsia="en-US" w:bidi="ar-SA"/>
                </w:rPr>
                <w:t>Приложение № 1</w:t>
              </w:r>
            </w:hyperlink>
          </w:p>
        </w:tc>
        <w:tc>
          <w:tcPr>
            <w:tcW w:w="2090" w:type="dxa"/>
            <w:tcBorders/>
          </w:tcPr>
          <w:p>
            <w:pPr>
              <w:pStyle w:val="Style29"/>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4"/>
        <w:rPr>
          <w:rStyle w:val="Style10"/>
          <w:i w:val="false"/>
          <w:i w:val="false"/>
          <w:iCs w:val="false"/>
          <w:shd w:fill="auto" w:val="clear"/>
        </w:rPr>
      </w:pPr>
      <w:bookmarkStart w:id="394" w:name="_Toc228976140"/>
      <w:bookmarkStart w:id="395" w:name="_Ref207643210"/>
      <w:r>
        <w:rPr>
          <w:rStyle w:val="Style10"/>
          <w:i w:val="false"/>
          <w:iCs w:val="false"/>
          <w:shd w:fill="auto" w:val="clear"/>
        </w:rPr>
        <w:t>Дополнительные критерии проверки заявок на соответствие условиям Документации о закупке</w:t>
      </w:r>
      <w:bookmarkEnd w:id="394"/>
      <w:bookmarkEnd w:id="395"/>
    </w:p>
    <w:p>
      <w:pPr>
        <w:pStyle w:val="Style29"/>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критерия проверки</w:t>
            </w:r>
          </w:p>
        </w:tc>
        <w:tc>
          <w:tcPr>
            <w:tcW w:w="3117"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9"/>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29"/>
              <w:widowControl/>
              <w:numPr>
                <w:ilvl w:val="0"/>
                <w:numId w:val="14"/>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tc>
        <w:tc>
          <w:tcPr>
            <w:tcW w:w="3117" w:type="dxa"/>
            <w:tcBorders/>
          </w:tcPr>
          <w:p>
            <w:pPr>
              <w:pStyle w:val="Style29"/>
              <w:widowControl/>
              <w:suppressAutoHyphens w:val="true"/>
              <w:spacing w:before="60" w:after="60"/>
              <w:jc w:val="center"/>
              <w:rPr>
                <w:bCs/>
              </w:rPr>
            </w:pPr>
            <w:r>
              <w:rPr>
                <w:rFonts w:eastAsia="Calibri" w:cs=""/>
                <w:bCs/>
                <w:kern w:val="0"/>
                <w:sz w:val="26"/>
                <w:szCs w:val="22"/>
                <w:lang w:val="ru-RU" w:eastAsia="en-US" w:bidi="ar-SA"/>
              </w:rPr>
              <w:t>подраздел </w:t>
            </w:r>
            <w:r>
              <w:rPr>
                <w:rFonts w:eastAsia="Calibri" w:cs=""/>
                <w:bCs/>
                <w:kern w:val="0"/>
                <w:sz w:val="26"/>
                <w:szCs w:val="22"/>
                <w:lang w:val="ru-RU" w:eastAsia="en-US" w:bidi="ar-SA"/>
              </w:rPr>
              <w:fldChar w:fldCharType="begin"/>
            </w:r>
            <w:r>
              <w:rPr>
                <w:sz w:val="26"/>
                <w:kern w:val="0"/>
                <w:szCs w:val="22"/>
                <w:bCs/>
                <w:rFonts w:eastAsia="Calibri" w:cs=""/>
                <w:lang w:val="ru-RU" w:eastAsia="en-US" w:bidi="ar-SA"/>
              </w:rPr>
              <w:instrText xml:space="preserve"> REF _Ref186120147 \r \h </w:instrText>
            </w:r>
            <w:r>
              <w:rPr>
                <w:sz w:val="26"/>
                <w:kern w:val="0"/>
                <w:szCs w:val="22"/>
                <w:bCs/>
                <w:rFonts w:eastAsia="Calibri" w:cs=""/>
                <w:lang w:val="ru-RU" w:eastAsia="en-US" w:bidi="ar-SA"/>
              </w:rPr>
              <w:fldChar w:fldCharType="separate"/>
            </w:r>
            <w:r>
              <w:rPr>
                <w:sz w:val="26"/>
                <w:kern w:val="0"/>
                <w:szCs w:val="22"/>
                <w:bCs/>
                <w:rFonts w:eastAsia="Calibri" w:cs=""/>
                <w:lang w:val="ru-RU" w:eastAsia="en-US" w:bidi="ar-SA"/>
              </w:rPr>
              <w:t>4.13</w:t>
            </w:r>
            <w:r>
              <w:rPr>
                <w:sz w:val="26"/>
                <w:kern w:val="0"/>
                <w:szCs w:val="22"/>
                <w:bCs/>
                <w:rFonts w:eastAsia="Calibri" w:cs=""/>
                <w:lang w:val="ru-RU" w:eastAsia="en-US" w:bidi="ar-SA"/>
              </w:rPr>
              <w:fldChar w:fldCharType="end"/>
            </w:r>
          </w:p>
        </w:tc>
        <w:tc>
          <w:tcPr>
            <w:tcW w:w="2090" w:type="dxa"/>
            <w:tcBorders/>
          </w:tcPr>
          <w:p>
            <w:pPr>
              <w:pStyle w:val="Style29"/>
              <w:widowControl/>
              <w:suppressAutoHyphens w:val="true"/>
              <w:spacing w:before="60" w:after="60"/>
              <w:jc w:val="center"/>
              <w:rPr>
                <w:bCs/>
              </w:rPr>
            </w:pPr>
            <w:r>
              <w:rPr>
                <w:rFonts w:eastAsia="Calibri" w:cs=""/>
                <w:bCs/>
                <w:kern w:val="0"/>
                <w:sz w:val="26"/>
                <w:szCs w:val="22"/>
                <w:lang w:val="ru-RU" w:eastAsia="en-US" w:bidi="ar-SA"/>
              </w:rPr>
              <w:t>Тех</w:t>
            </w:r>
          </w:p>
        </w:tc>
      </w:tr>
    </w:tbl>
    <w:p>
      <w:pPr>
        <w:pStyle w:val="Style29"/>
        <w:keepNext w:val="true"/>
        <w:tabs>
          <w:tab w:val="clear" w:pos="708"/>
          <w:tab w:val="left" w:pos="851" w:leader="none"/>
        </w:tabs>
        <w:spacing w:before="240" w:after="0"/>
        <w:rPr>
          <w:b/>
          <w:bCs/>
        </w:rPr>
      </w:pPr>
      <w:r>
        <w:rPr>
          <w:b/>
          <w:bCs/>
        </w:rPr>
        <w:t>* Направления оценки заявок:</w:t>
      </w:r>
    </w:p>
    <w:p>
      <w:pPr>
        <w:pStyle w:val="Style29"/>
        <w:tabs>
          <w:tab w:val="clear" w:pos="708"/>
          <w:tab w:val="left" w:pos="1134" w:leader="none"/>
        </w:tabs>
        <w:ind w:hanging="1701" w:left="1701"/>
        <w:rPr/>
      </w:pPr>
      <w:r>
        <w:rPr>
          <w:b/>
          <w:bCs/>
        </w:rPr>
        <w:t>Орг</w:t>
      </w:r>
      <w:r>
        <w:rPr/>
        <w:tab/>
        <w:t>–</w:t>
        <w:tab/>
      </w:r>
      <w:bookmarkStart w:id="396" w:name="_Hlk138342484"/>
      <w:r>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396"/>
      <w:r>
        <w:rPr/>
        <w:t xml:space="preserve">; </w:t>
      </w:r>
      <w:bookmarkStart w:id="397" w:name="_Hlk138342546"/>
      <w:r>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w:t>
      </w:r>
      <w:bookmarkEnd w:id="397"/>
      <w:r>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398" w:name="_Hlk138342572"/>
      <w:r>
        <w:rPr/>
        <w:t>–</w:t>
      </w:r>
      <w:bookmarkEnd w:id="398"/>
      <w:r>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9"/>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99" w:name="_Hlk207284070"/>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99"/>
      <w:r>
        <w:rP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400"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00"/>
      <w:r>
        <w:rPr/>
        <w:t>;</w:t>
      </w:r>
    </w:p>
    <w:p>
      <w:pPr>
        <w:pStyle w:val="Style29"/>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9"/>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9"/>
        <w:tabs>
          <w:tab w:val="clear" w:pos="708"/>
          <w:tab w:val="left" w:pos="1134" w:leader="none"/>
        </w:tabs>
        <w:ind w:hanging="1701" w:left="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pStyle w:val="Style29"/>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3"/>
        <w:rPr/>
      </w:pPr>
      <w:bookmarkStart w:id="401" w:name="_Toc228976141"/>
      <w:bookmarkStart w:id="402" w:name="_Ref125369438"/>
      <w:bookmarkStart w:id="403" w:name="_Ref125369021"/>
      <w:bookmarkStart w:id="404" w:name="_Ref125368331"/>
      <w:bookmarkStart w:id="405" w:name="_Ref125368313"/>
      <w:bookmarkStart w:id="406" w:name="_Ref125368302"/>
      <w:bookmarkStart w:id="407" w:name="_Ref125368291"/>
      <w:bookmarkStart w:id="408" w:name="_Ref125368283"/>
      <w:bookmarkStart w:id="409" w:name="_Ref125368184"/>
      <w:bookmarkStart w:id="410" w:name="_Ref125368172"/>
      <w:bookmarkStart w:id="411" w:name="_Ref125368165"/>
      <w:bookmarkStart w:id="412" w:name="_Ref125368150"/>
      <w:bookmarkStart w:id="413" w:name="_Ref125368140"/>
      <w:bookmarkStart w:id="414" w:name="_Ref125366285"/>
      <w:bookmarkStart w:id="415" w:name="_Ref125366280"/>
      <w:bookmarkStart w:id="416" w:name="_Ref125366013"/>
      <w:bookmarkStart w:id="417" w:name="_Ref125361951"/>
      <w:bookmarkStart w:id="418" w:name="_Ref125361648"/>
      <w:bookmarkStart w:id="419" w:name="Прил08_ПорядокОценки"/>
      <w:bookmarkEnd w:id="419"/>
      <w:r>
        <w:rPr/>
        <w:t>Приложение № 8 – Порядок и критерии оценки и сопоставления заявок</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Style29"/>
        <w:ind w:left="1134"/>
        <w:rPr>
          <w:rStyle w:val="Style10"/>
        </w:rPr>
      </w:pPr>
      <w:r>
        <w:rPr/>
      </w:r>
    </w:p>
    <w:p>
      <w:pPr>
        <w:pStyle w:val="Style24"/>
        <w:rPr/>
      </w:pPr>
      <w:bookmarkStart w:id="420" w:name="_Toc228976142"/>
      <w:r>
        <w:rPr/>
        <w:t>Порядок и критерии оценки и сопоставления заявок</w:t>
      </w:r>
      <w:bookmarkEnd w:id="420"/>
    </w:p>
    <w:p>
      <w:pPr>
        <w:pStyle w:val="Style25"/>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5"/>
        <w:numPr>
          <w:ilvl w:val="0"/>
          <w:numId w:val="0"/>
        </w:numPr>
        <w:ind w:hanging="0" w:left="1134"/>
        <w:rPr/>
      </w:pPr>
      <w:r>
        <w:rPr/>
      </w:r>
    </w:p>
    <w:tbl>
      <w:tblPr>
        <w:tblW w:w="15137" w:type="dxa"/>
        <w:jc w:val="left"/>
        <w:tblInd w:w="-114" w:type="dxa"/>
        <w:tblLayout w:type="fixed"/>
        <w:tblCellMar>
          <w:top w:w="0" w:type="dxa"/>
          <w:left w:w="108" w:type="dxa"/>
          <w:bottom w:w="0" w:type="dxa"/>
          <w:right w:w="108" w:type="dxa"/>
        </w:tblCellMar>
        <w:tblLook w:val="04a0" w:noHBand="0" w:noVBand="1" w:firstColumn="1" w:lastRow="0" w:lastColumn="0" w:firstRow="1"/>
      </w:tblPr>
      <w:tblGrid>
        <w:gridCol w:w="850"/>
        <w:gridCol w:w="1276"/>
        <w:gridCol w:w="1417"/>
        <w:gridCol w:w="1559"/>
        <w:gridCol w:w="1263"/>
        <w:gridCol w:w="2051"/>
        <w:gridCol w:w="6720"/>
      </w:tblGrid>
      <w:tr>
        <w:trPr>
          <w:cantSplit w:val="true"/>
        </w:trPr>
        <w:tc>
          <w:tcPr>
            <w:tcW w:w="85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Style29"/>
              <w:spacing w:before="40" w:after="40"/>
              <w:jc w:val="center"/>
              <w:rPr>
                <w:sz w:val="18"/>
                <w:szCs w:val="18"/>
              </w:rPr>
            </w:pPr>
            <w:r>
              <w:rPr>
                <w:sz w:val="18"/>
                <w:szCs w:val="18"/>
              </w:rPr>
              <w:t>Номер критерия оценки в</w:t>
            </w:r>
            <w:r>
              <w:rPr>
                <w:sz w:val="18"/>
                <w:szCs w:val="18"/>
                <w:lang w:val="en-US"/>
              </w:rPr>
              <w:t> </w:t>
            </w:r>
            <w:r>
              <w:rPr>
                <w:sz w:val="18"/>
                <w:szCs w:val="18"/>
              </w:rPr>
              <w:t>структуре</w:t>
            </w:r>
          </w:p>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r>
          </w:p>
        </w:tc>
        <w:tc>
          <w:tcPr>
            <w:tcW w:w="1276"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spacing w:before="40" w:after="40"/>
              <w:jc w:val="center"/>
              <w:rPr>
                <w:rFonts w:cs="Times New Roman"/>
                <w:sz w:val="20"/>
                <w:szCs w:val="20"/>
              </w:rPr>
            </w:pPr>
            <w:r>
              <w:rPr>
                <w:rFonts w:cs="Times New Roman"/>
                <w:bCs/>
                <w:sz w:val="20"/>
                <w:szCs w:val="20"/>
              </w:rPr>
              <w:t>Вид критерия оценки / направление оценки заявок</w:t>
            </w:r>
          </w:p>
        </w:tc>
        <w:tc>
          <w:tcPr>
            <w:tcW w:w="2976" w:type="dxa"/>
            <w:gridSpan w:val="2"/>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Наименование критерия оценки</w:t>
            </w:r>
          </w:p>
        </w:tc>
        <w:tc>
          <w:tcPr>
            <w:tcW w:w="1263"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Значимость критерия оценки</w:t>
            </w:r>
          </w:p>
        </w:tc>
        <w:tc>
          <w:tcPr>
            <w:tcW w:w="2051"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Содержание частного критерия оценки</w:t>
            </w:r>
          </w:p>
        </w:tc>
        <w:tc>
          <w:tcPr>
            <w:tcW w:w="672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Расчёт оценки предпочтительности заявки</w:t>
            </w:r>
          </w:p>
        </w:tc>
      </w:tr>
      <w:tr>
        <w:trPr>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276"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417"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первого уровня</w:t>
            </w:r>
          </w:p>
        </w:tc>
        <w:tc>
          <w:tcPr>
            <w:tcW w:w="1559"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второго уровня</w:t>
            </w:r>
          </w:p>
        </w:tc>
        <w:tc>
          <w:tcPr>
            <w:tcW w:w="1263"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2051"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672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r>
      <w:tr>
        <w:trPr>
          <w:trHeight w:val="4123"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rFonts w:eastAsia="Calibri"/>
                <w:sz w:val="20"/>
                <w:szCs w:val="20"/>
              </w:rPr>
              <w:t>1.</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sz w:val="20"/>
                <w:szCs w:val="20"/>
              </w:rPr>
            </w:pPr>
            <w:r>
              <w:rPr>
                <w:sz w:val="20"/>
                <w:szCs w:val="20"/>
              </w:rPr>
              <w:t>Ценовой (стоимостный) частный критерий оценки первого уровня / ЦЕНА</w:t>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3"/>
              <w:widowControl w:val="false"/>
              <w:numPr>
                <w:ilvl w:val="7"/>
                <w:numId w:val="21"/>
              </w:numPr>
              <w:tabs>
                <w:tab w:val="clear" w:pos="708"/>
                <w:tab w:val="left" w:pos="1440" w:leader="none"/>
                <w:tab w:val="left" w:pos="2880" w:leader="none"/>
              </w:tabs>
              <w:spacing w:lineRule="auto" w:line="240" w:beforeAutospacing="0" w:before="119" w:after="0"/>
              <w:ind w:hanging="0" w:left="0" w:right="0"/>
              <w:contextualSpacing/>
              <w:jc w:val="center"/>
              <w:rPr>
                <w:rFonts w:ascii="Times New Roman" w:hAnsi="Times New Roman"/>
                <w:sz w:val="20"/>
                <w:szCs w:val="20"/>
              </w:rPr>
            </w:pPr>
            <w:r>
              <w:rPr>
                <w:sz w:val="20"/>
                <w:szCs w:val="20"/>
              </w:rPr>
              <w:t>Цена договора (стоимость заявки)</w:t>
            </w:r>
          </w:p>
          <w:p>
            <w:pPr>
              <w:pStyle w:val="3"/>
              <w:numPr>
                <w:ilvl w:val="7"/>
                <w:numId w:val="22"/>
              </w:numPr>
              <w:spacing w:lineRule="auto" w:line="240" w:before="40" w:after="40"/>
              <w:ind w:hanging="0" w:left="0" w:right="0"/>
              <w:jc w:val="center"/>
              <w:rPr>
                <w:sz w:val="18"/>
                <w:szCs w:val="18"/>
              </w:rPr>
            </w:pPr>
            <w:r>
              <w:rPr>
                <w:sz w:val="18"/>
                <w:szCs w:val="18"/>
              </w:rPr>
            </w:r>
          </w:p>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bCs/>
                <w:i/>
                <w:i/>
                <w:sz w:val="20"/>
                <w:szCs w:val="20"/>
                <w:highlight w:val="none"/>
              </w:rPr>
            </w:pPr>
            <w:r>
              <w:rPr>
                <w:rFonts w:eastAsia="Calibri"/>
                <w:i/>
                <w:sz w:val="20"/>
                <w:szCs w:val="20"/>
              </w:rPr>
              <w:t>отсутствует</w:t>
            </w:r>
          </w:p>
          <w:p>
            <w:pPr>
              <w:pStyle w:val="Normal"/>
              <w:numPr>
                <w:ilvl w:val="0"/>
                <w:numId w:val="0"/>
              </w:numPr>
              <w:spacing w:lineRule="auto" w:line="240" w:beforeAutospacing="0" w:before="0" w:afterAutospacing="0" w:after="0"/>
              <w:ind w:hanging="0" w:left="0"/>
              <w:jc w:val="center"/>
              <w:rPr>
                <w:rFonts w:eastAsia="Calibri"/>
                <w:bCs/>
                <w:i/>
                <w:i/>
                <w:sz w:val="20"/>
                <w:szCs w:val="20"/>
              </w:rPr>
            </w:pPr>
            <w:r>
              <w:rPr>
                <w:rFonts w:eastAsia="Calibri"/>
                <w:bCs/>
                <w:i/>
                <w:sz w:val="20"/>
                <w:szCs w:val="20"/>
              </w:rPr>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Times New Roman" w:cs="Times New Roman"/>
                <w:sz w:val="20"/>
                <w:szCs w:val="20"/>
              </w:rPr>
              <w:t>90%</w:t>
              <w:br/>
              <w:t>(В</w:t>
            </w:r>
            <w:r>
              <w:rPr>
                <w:rFonts w:eastAsia="Times New Roman" w:cs="Times New Roman"/>
                <w:sz w:val="20"/>
                <w:szCs w:val="20"/>
                <w:vertAlign w:val="subscript"/>
              </w:rPr>
              <w:t>1</w:t>
            </w:r>
            <w:r>
              <w:rPr>
                <w:rFonts w:eastAsia="Times New Roman" w:cs="Times New Roman"/>
                <w:sz w:val="20"/>
                <w:szCs w:val="20"/>
              </w:rPr>
              <w:t xml:space="preserve"> = 0,90)</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3"/>
              <w:numPr>
                <w:ilvl w:val="7"/>
                <w:numId w:val="20"/>
              </w:numPr>
              <w:spacing w:lineRule="auto" w:line="240" w:beforeAutospacing="0" w:before="0" w:afterAutospacing="0" w:after="0"/>
              <w:ind w:hanging="0" w:left="0" w:right="0"/>
              <w:jc w:val="center"/>
              <w:rPr>
                <w:sz w:val="18"/>
                <w:szCs w:val="18"/>
              </w:rPr>
            </w:pPr>
            <w:r>
              <w:rPr>
                <w:sz w:val="20"/>
                <w:szCs w:val="20"/>
              </w:rPr>
              <w:t>Чем меньше стоимость заявки Участника, тем выше предпочтительность</w:t>
            </w:r>
          </w:p>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both"/>
              <w:rPr>
                <w:rFonts w:eastAsia="Calibri"/>
                <w:sz w:val="20"/>
                <w:szCs w:val="20"/>
                <w:highlight w:val="none"/>
              </w:rPr>
            </w:pPr>
            <w:r>
              <w:rPr>
                <w:rFonts w:eastAsia="Calibri"/>
                <w:sz w:val="20"/>
                <w:szCs w:val="20"/>
              </w:rPr>
              <w:t>Расчет оценки предпочтительности по частному критерию по методу «Математическая формула, задающая «функцию ценности»:</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r>
          </w:p>
          <w:p>
            <w:pPr>
              <w:pStyle w:val="Normal"/>
              <w:numPr>
                <w:ilvl w:val="0"/>
                <w:numId w:val="0"/>
              </w:numPr>
              <w:spacing w:lineRule="auto" w:line="240" w:beforeAutospacing="0" w:before="0" w:afterAutospacing="0" w:after="0"/>
              <w:ind w:hanging="0" w:left="0"/>
              <w:jc w:val="center"/>
              <w:rPr>
                <w:rFonts w:eastAsia="Calibri"/>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ЦЕНА</m:t>
                    </m:r>
                    <m:r>
                      <w:rPr>
                        <w:rFonts w:ascii="Cambria Math" w:hAnsi="Cambria Math"/>
                      </w:rPr>
                      <m:t xml:space="preserve">min</m:t>
                    </m:r>
                  </m:num>
                  <m:den>
                    <m:r>
                      <w:rPr>
                        <w:rFonts w:ascii="Cambria Math" w:hAnsi="Cambria Math"/>
                      </w:rPr>
                      <m:t xml:space="preserve">Ц</m:t>
                    </m:r>
                    <m:r>
                      <w:rPr>
                        <w:rFonts w:ascii="Cambria Math" w:hAnsi="Cambria Math"/>
                      </w:rPr>
                      <m:t xml:space="preserve">ЕНА</m:t>
                    </m:r>
                    <m:r>
                      <w:rPr>
                        <w:rFonts w:ascii="Cambria Math" w:hAnsi="Cambria Math"/>
                      </w:rPr>
                      <m:t xml:space="preserve">i</m:t>
                    </m:r>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keepNext w:val="tru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где:</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Б</w:t>
            </w:r>
            <w:r>
              <w:rPr>
                <w:rFonts w:eastAsia="Calibri"/>
                <w:sz w:val="20"/>
                <w:szCs w:val="20"/>
                <w:vertAlign w:val="subscript"/>
                <w:lang w:eastAsia="en-US"/>
              </w:rPr>
              <w:t>1</w:t>
            </w:r>
            <w:r>
              <w:rPr>
                <w:rFonts w:eastAsia="Calibri"/>
                <w:sz w:val="20"/>
                <w:szCs w:val="20"/>
                <w:lang w:eastAsia="en-US"/>
              </w:rPr>
              <w:t xml:space="preserve"> – рассчитанная оценка предпочтительности по частному критерию оценки в баллах;</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i/>
                <w:iCs/>
                <w:sz w:val="20"/>
                <w:szCs w:val="20"/>
                <w:vertAlign w:val="subscript"/>
                <w:lang w:val="en-US" w:eastAsia="en-US"/>
              </w:rPr>
              <w:t>i</w:t>
            </w:r>
            <w:r>
              <w:rPr>
                <w:rFonts w:eastAsia="Calibri"/>
                <w:sz w:val="20"/>
                <w:szCs w:val="20"/>
                <w:lang w:eastAsia="en-US"/>
              </w:rPr>
              <w:t>  – цена коммерческого предложения (без НДС), указанная в заявке допущенного участника;</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sz w:val="20"/>
                <w:szCs w:val="20"/>
                <w:vertAlign w:val="subscript"/>
                <w:lang w:val="en-US" w:eastAsia="en-US"/>
              </w:rPr>
              <w:t>min</w:t>
            </w:r>
            <w:r>
              <w:rPr>
                <w:rFonts w:eastAsia="Calibri"/>
                <w:sz w:val="20"/>
                <w:szCs w:val="20"/>
                <w:vertAlign w:val="subscript"/>
                <w:lang w:eastAsia="en-US"/>
              </w:rPr>
              <w:t xml:space="preserve"> </w:t>
            </w:r>
            <w:r>
              <w:rPr>
                <w:rFonts w:eastAsia="Calibri"/>
                <w:sz w:val="20"/>
                <w:szCs w:val="20"/>
                <w:lang w:eastAsia="en-US"/>
              </w:rPr>
              <w:t>– минимальная цена коммерческого предложения (без НДС) среди всех допущенных заявок участников;</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pPr>
              <w:pStyle w:val="Normal"/>
              <w:spacing w:beforeAutospacing="0" w:before="0" w:afterAutospacing="0" w:after="0"/>
              <w:ind w:hanging="0"/>
              <w:jc w:val="both"/>
              <w:rPr>
                <w:rFonts w:eastAsia="Calibri"/>
                <w:sz w:val="20"/>
                <w:szCs w:val="20"/>
              </w:rPr>
            </w:pPr>
            <w:r>
              <w:rPr>
                <w:rFonts w:eastAsia="Calibri"/>
                <w:b/>
                <w:bCs/>
                <w:sz w:val="20"/>
                <w:szCs w:val="20"/>
                <w:lang w:eastAsia="en-US"/>
              </w:rPr>
              <w:t>Шкала оценок от 0 до 5 баллов.</w:t>
            </w:r>
          </w:p>
        </w:tc>
      </w:tr>
      <w:tr>
        <w:trPr>
          <w:trHeight w:val="709"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rFonts w:eastAsia="Calibri"/>
                <w:sz w:val="20"/>
                <w:szCs w:val="20"/>
              </w:rPr>
              <w:t>2.</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eastAsia="Calibri" w:cs="Times New Roman"/>
                <w:sz w:val="20"/>
                <w:szCs w:val="20"/>
              </w:rPr>
            </w:pPr>
            <w:r>
              <w:rPr>
                <w:sz w:val="20"/>
                <w:szCs w:val="20"/>
              </w:rPr>
              <w:t>Неценовой критерий оценки первого уровня / ТЕХ</w:t>
            </w:r>
          </w:p>
          <w:p>
            <w:pPr>
              <w:pStyle w:val="Normal"/>
              <w:numPr>
                <w:ilvl w:val="0"/>
                <w:numId w:val="0"/>
              </w:numPr>
              <w:spacing w:lineRule="auto" w:line="240"/>
              <w:ind w:hanging="0" w:left="0"/>
              <w:jc w:val="center"/>
              <w:rPr>
                <w:rFonts w:eastAsia="Calibri"/>
                <w:sz w:val="20"/>
                <w:szCs w:val="20"/>
              </w:rPr>
            </w:pPr>
            <w:r>
              <w:rPr>
                <w:rFonts w:eastAsia="Calibri"/>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sz w:val="20"/>
                <w:szCs w:val="20"/>
              </w:rPr>
              <w:t>Квалификация (предпочтительность)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0"/>
              <w:ind w:hanging="0" w:left="0"/>
              <w:jc w:val="center"/>
              <w:rPr>
                <w:rFonts w:eastAsia="Calibri"/>
                <w:sz w:val="20"/>
                <w:szCs w:val="20"/>
              </w:rPr>
            </w:pPr>
            <w:r>
              <w:rPr>
                <w:rFonts w:eastAsia="Calibri"/>
                <w:i/>
                <w:sz w:val="20"/>
                <w:szCs w:val="20"/>
              </w:rPr>
              <w:t>отсутствует</w:t>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rFonts w:eastAsia="Times New Roman" w:cs="Times New Roman"/>
                <w:sz w:val="20"/>
                <w:szCs w:val="20"/>
              </w:rPr>
              <w:t>5%</w:t>
              <w:br/>
              <w:t>(В</w:t>
            </w:r>
            <w:r>
              <w:rPr>
                <w:rFonts w:eastAsia="Times New Roman" w:cs="Times New Roman"/>
                <w:sz w:val="20"/>
                <w:szCs w:val="20"/>
                <w:vertAlign w:val="subscript"/>
              </w:rPr>
              <w:t>2</w:t>
            </w:r>
            <w:r>
              <w:rPr>
                <w:rFonts w:eastAsia="Times New Roman" w:cs="Times New Roman"/>
                <w:sz w:val="20"/>
                <w:szCs w:val="20"/>
              </w:rPr>
              <w:t xml:space="preserve"> = 0,05)</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keepNext w:val="true"/>
              <w:keepLines/>
              <w:numPr>
                <w:ilvl w:val="0"/>
                <w:numId w:val="0"/>
              </w:numPr>
              <w:spacing w:beforeAutospacing="0" w:before="0" w:afterAutospacing="0" w:after="0"/>
              <w:ind w:hanging="0" w:left="0"/>
              <w:jc w:val="center"/>
              <w:rPr>
                <w:rFonts w:ascii="Times New Roman" w:hAnsi="Times New Roman" w:cs="Times New Roman"/>
                <w:b w:val="false"/>
                <w:bCs w:val="false"/>
                <w:sz w:val="20"/>
                <w:szCs w:val="20"/>
              </w:rPr>
            </w:pPr>
            <w:r>
              <w:rPr>
                <w:rFonts w:eastAsia="Times New Roman" w:cs="Times New Roman"/>
                <w:b w:val="false"/>
                <w:bCs w:val="false"/>
                <w:i w:val="false"/>
                <w:iCs w:val="false"/>
                <w:sz w:val="20"/>
                <w:szCs w:val="20"/>
              </w:rPr>
              <w:t>Чем больше опыт выполнения работ</w:t>
            </w:r>
            <w:r>
              <w:rPr>
                <w:rFonts w:eastAsia="Times New Roman" w:cs="Times New Roman"/>
                <w:b w:val="false"/>
                <w:bCs w:val="false"/>
                <w:i w:val="false"/>
                <w:iCs w:val="false"/>
                <w:sz w:val="20"/>
                <w:szCs w:val="20"/>
                <w:highlight w:val="white"/>
                <w:u w:val="none"/>
              </w:rPr>
              <w:t xml:space="preserve"> </w:t>
            </w:r>
            <w:r>
              <w:rPr>
                <w:rFonts w:eastAsia="Calibri" w:cs="Times New Roman"/>
                <w:b w:val="false"/>
                <w:i w:val="false"/>
                <w:iCs w:val="false"/>
                <w:strike w:val="false"/>
                <w:dstrike w:val="false"/>
                <w:color w:val="000000"/>
                <w:sz w:val="20"/>
                <w:szCs w:val="20"/>
                <w:highlight w:val="yellow"/>
                <w:u w:val="none"/>
                <w:lang w:val="ru-RU" w:eastAsia="ru-RU" w:bidi="ar-SA"/>
              </w:rPr>
              <w:t>по ремонту подъемных сооружений</w:t>
            </w:r>
            <w:r>
              <w:rPr>
                <w:rFonts w:eastAsia="Calibri" w:cs="Times New Roman"/>
                <w:b w:val="false"/>
                <w:i w:val="false"/>
                <w:iCs w:val="false"/>
                <w:strike w:val="false"/>
                <w:dstrike w:val="false"/>
                <w:color w:val="000000"/>
                <w:kern w:val="0"/>
                <w:sz w:val="20"/>
                <w:szCs w:val="20"/>
                <w:highlight w:val="yellow"/>
                <w:u w:val="none"/>
                <w:lang w:val="ru-RU" w:eastAsia="ru-RU" w:bidi="ar-SA"/>
              </w:rPr>
              <w:t xml:space="preserve">, </w:t>
            </w:r>
            <w:r>
              <w:rPr>
                <w:rFonts w:eastAsia="Times New Roman" w:cs="Times New Roman"/>
                <w:b w:val="false"/>
                <w:bCs w:val="false"/>
                <w:i w:val="false"/>
                <w:iCs w:val="false"/>
                <w:sz w:val="20"/>
                <w:szCs w:val="20"/>
              </w:rPr>
              <w:t xml:space="preserve"> тем выше предпочтительность.</w:t>
            </w:r>
          </w:p>
          <w:p>
            <w:pPr>
              <w:pStyle w:val="Normal"/>
              <w:keepNext w:val="true"/>
              <w:keepLines/>
              <w:numPr>
                <w:ilvl w:val="0"/>
                <w:numId w:val="0"/>
              </w:numPr>
              <w:spacing w:before="0" w:after="0"/>
              <w:ind w:hanging="0" w:left="0"/>
              <w:jc w:val="center"/>
              <w:rPr>
                <w:rFonts w:ascii="Times New Roman" w:hAnsi="Times New Roman" w:cs="Times New Roman"/>
                <w:b w:val="false"/>
                <w:bCs w:val="false"/>
                <w:sz w:val="20"/>
                <w:szCs w:val="20"/>
              </w:rPr>
            </w:pPr>
            <w:r>
              <w:rPr>
                <w:rFonts w:cs="Times New Roman"/>
                <w:b w:val="false"/>
                <w:bCs w:val="false"/>
                <w:sz w:val="20"/>
                <w:szCs w:val="20"/>
              </w:rPr>
            </w:r>
          </w:p>
          <w:p>
            <w:pPr>
              <w:pStyle w:val="Normal"/>
              <w:numPr>
                <w:ilvl w:val="0"/>
                <w:numId w:val="0"/>
              </w:numPr>
              <w:spacing w:lineRule="auto" w:line="240" w:before="120" w:after="0"/>
              <w:ind w:hanging="0" w:left="0"/>
              <w:contextualSpacing/>
              <w:jc w:val="center"/>
              <w:rPr>
                <w:sz w:val="20"/>
                <w:szCs w:val="20"/>
              </w:rPr>
            </w:pPr>
            <w:r>
              <w:rPr>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spacing w:lineRule="auto" w:line="240" w:beforeAutospacing="0" w:before="0" w:after="0"/>
              <w:ind w:hanging="0"/>
              <w:jc w:val="both"/>
              <w:rPr>
                <w:color w:val="000000" w:themeColor="text1"/>
                <w:sz w:val="20"/>
                <w:szCs w:val="20"/>
              </w:rPr>
            </w:pPr>
            <w:r>
              <w:rPr>
                <w:color w:val="000000" w:themeColor="text1"/>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keepNext w:val="true"/>
              <w:numPr>
                <w:ilvl w:val="7"/>
                <w:numId w:val="19"/>
              </w:numPr>
              <w:spacing w:lineRule="auto" w:line="240" w:beforeAutospacing="0" w:before="0" w:afterAutospacing="0" w:after="0"/>
              <w:ind w:hanging="0" w:left="0" w:right="0"/>
              <w:jc w:val="both"/>
              <w:rPr>
                <w:rFonts w:eastAsia="Times New Roman"/>
                <w:i w:val="false"/>
                <w:i w:val="false"/>
                <w:iCs w:val="false"/>
                <w:color w:val="000000" w:themeColor="text1"/>
                <w:sz w:val="20"/>
                <w:szCs w:val="20"/>
              </w:rPr>
            </w:pPr>
            <w:r>
              <w:rPr>
                <w:sz w:val="20"/>
                <w:szCs w:val="20"/>
                <w:lang w:eastAsia="ru-RU"/>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w:t>
            </w:r>
            <w:r>
              <w:rPr>
                <w:rFonts w:eastAsia="Calibri"/>
                <w:bCs/>
                <w:color w:val="000000" w:themeColor="text1"/>
                <w:sz w:val="20"/>
                <w:szCs w:val="20"/>
              </w:rPr>
              <w:t xml:space="preserve"> </w:t>
            </w:r>
            <w:r>
              <w:rPr>
                <w:rFonts w:eastAsia="Calibri" w:cs="Times New Roman"/>
                <w:b w:val="false"/>
                <w:i w:val="false"/>
                <w:iCs w:val="false"/>
                <w:strike w:val="false"/>
                <w:dstrike w:val="false"/>
                <w:color w:val="000000"/>
                <w:sz w:val="20"/>
                <w:szCs w:val="20"/>
                <w:highlight w:val="yellow"/>
                <w:u w:val="none"/>
                <w:lang w:val="ru-RU" w:eastAsia="ru-RU" w:bidi="ar-SA"/>
              </w:rPr>
              <w:t>по ремонту подъемных сооружений</w:t>
            </w:r>
            <w:r>
              <w:rPr>
                <w:rFonts w:eastAsia="Calibri" w:cs="Times New Roman"/>
                <w:b w:val="false"/>
                <w:bCs w:val="false"/>
                <w:i w:val="false"/>
                <w:iCs w:val="false"/>
                <w:caps w:val="false"/>
                <w:smallCaps w:val="false"/>
                <w:strike w:val="false"/>
                <w:dstrike w:val="false"/>
                <w:vanish w:val="false"/>
                <w:color w:val="000000"/>
                <w:spacing w:val="0"/>
                <w:kern w:val="0"/>
                <w:position w:val="0"/>
                <w:sz w:val="20"/>
                <w:sz w:val="20"/>
                <w:szCs w:val="20"/>
                <w:highlight w:val="yellow"/>
                <w:u w:val="none"/>
                <w:vertAlign w:val="baseline"/>
                <w:lang w:val="ru-RU" w:eastAsia="ru-RU" w:bidi="ar-SA"/>
              </w:rPr>
              <w:t xml:space="preserve"> за</w:t>
            </w:r>
            <w:r>
              <w:rPr>
                <w:rFonts w:eastAsia="Calibri" w:cs="Times New Roman"/>
                <w:b w:val="false"/>
                <w:i w:val="false"/>
                <w:iCs w:val="false"/>
                <w:strike w:val="false"/>
                <w:dstrike w:val="false"/>
                <w:color w:val="000000"/>
                <w:kern w:val="0"/>
                <w:sz w:val="20"/>
                <w:szCs w:val="20"/>
                <w:highlight w:val="yellow"/>
                <w:u w:val="none"/>
                <w:lang w:val="ru-RU" w:eastAsia="ru-RU" w:bidi="ar-SA"/>
              </w:rPr>
              <w:t xml:space="preserve"> последние 5 лет предшествующих дате подачи заявки</w:t>
            </w:r>
            <w:r>
              <w:rPr>
                <w:rFonts w:eastAsia="Calibri" w:cs="Times New Roman"/>
                <w:b w:val="false"/>
                <w:i w:val="false"/>
                <w:iCs w:val="false"/>
                <w:strike w:val="false"/>
                <w:dstrike w:val="false"/>
                <w:color w:val="000000"/>
                <w:sz w:val="18"/>
                <w:szCs w:val="18"/>
                <w:u w:val="none"/>
                <w:lang w:val="ru-RU" w:eastAsia="ru-RU" w:bidi="ar-SA"/>
              </w:rPr>
              <w:t xml:space="preserve"> </w:t>
            </w:r>
            <w:r>
              <w:rPr>
                <w:rFonts w:eastAsia="Times New Roman"/>
                <w:color w:val="000000" w:themeColor="text1"/>
                <w:sz w:val="20"/>
                <w:szCs w:val="20"/>
                <w:lang w:eastAsia="ru-RU"/>
              </w:rPr>
              <w:t xml:space="preserve"> Участником, с учетом правоприемственности</w:t>
            </w:r>
            <w:r>
              <w:rPr>
                <w:rFonts w:eastAsia="Times New Roman"/>
                <w:color w:val="000000" w:themeColor="text1"/>
                <w:sz w:val="20"/>
                <w:szCs w:val="20"/>
              </w:rPr>
              <w:t>,</w:t>
            </w:r>
            <w:r>
              <w:rPr>
                <w:rFonts w:eastAsia="Times New Roman"/>
                <w:color w:val="000000" w:themeColor="text1"/>
                <w:sz w:val="20"/>
                <w:szCs w:val="20"/>
                <w:lang w:eastAsia="ru-RU"/>
              </w:rPr>
              <w:t xml:space="preserve"> с</w:t>
            </w:r>
            <w:r>
              <w:rPr>
                <w:rFonts w:eastAsia="Times New Roman"/>
                <w:color w:val="000000" w:themeColor="text1"/>
                <w:sz w:val="20"/>
                <w:szCs w:val="20"/>
                <w:u w:val="single"/>
                <w:lang w:eastAsia="ru-RU"/>
              </w:rPr>
              <w:t xml:space="preserve"> приложением следующих подтверждающих док</w:t>
            </w:r>
            <w:r>
              <w:rPr>
                <w:rFonts w:eastAsia="Times New Roman"/>
                <w:i w:val="false"/>
                <w:iCs w:val="false"/>
                <w:color w:val="000000" w:themeColor="text1"/>
                <w:sz w:val="20"/>
                <w:szCs w:val="20"/>
                <w:u w:val="single"/>
                <w:lang w:eastAsia="ru-RU"/>
              </w:rPr>
              <w:t>ументов</w:t>
            </w:r>
            <w:r>
              <w:rPr>
                <w:rFonts w:eastAsia="Times New Roman"/>
                <w:i w:val="false"/>
                <w:iCs w:val="false"/>
                <w:color w:val="000000" w:themeColor="text1"/>
                <w:sz w:val="20"/>
                <w:szCs w:val="20"/>
                <w:lang w:eastAsia="ru-RU"/>
              </w:rPr>
              <w:t>:</w:t>
            </w:r>
          </w:p>
          <w:p>
            <w:pPr>
              <w:pStyle w:val="3"/>
              <w:keepNext w:val="true"/>
              <w:numPr>
                <w:ilvl w:val="0"/>
                <w:numId w:val="0"/>
              </w:numPr>
              <w:spacing w:lineRule="auto" w:line="240" w:beforeAutospacing="0" w:before="0" w:afterAutospacing="0" w:after="0"/>
              <w:ind w:hanging="0" w:left="0" w:right="0"/>
              <w:jc w:val="both"/>
              <w:rPr>
                <w:rFonts w:ascii="Times New Roman" w:hAnsi="Times New Roman" w:eastAsia="Times New Roman" w:cs="Times New Roman"/>
                <w:i w:val="false"/>
                <w:i w:val="false"/>
                <w:iCs w:val="false"/>
                <w:color w:val="000000" w:themeColor="text1"/>
                <w:sz w:val="20"/>
                <w:szCs w:val="20"/>
                <w:lang w:eastAsia="en-US"/>
              </w:rPr>
            </w:pPr>
            <w:r>
              <w:rPr>
                <w:rFonts w:eastAsia="Times New Roman" w:cs="Times New Roman"/>
                <w:i w:val="false"/>
                <w:iCs w:val="false"/>
                <w:color w:val="000000" w:themeColor="text1"/>
                <w:sz w:val="20"/>
                <w:szCs w:val="20"/>
                <w:lang w:eastAsia="ru-RU"/>
              </w:rPr>
              <w:t xml:space="preserve">     </w:t>
            </w:r>
            <w:r>
              <w:rPr>
                <w:rFonts w:eastAsia="Times New Roman" w:cs="Times New Roman"/>
                <w:i w:val="false"/>
                <w:iCs w:val="false"/>
                <w:color w:val="000000" w:themeColor="text1"/>
                <w:sz w:val="20"/>
                <w:szCs w:val="20"/>
                <w:lang w:eastAsia="ru-RU"/>
              </w:rPr>
              <w:t xml:space="preserve">- </w:t>
            </w:r>
            <w:r>
              <w:rPr>
                <w:rFonts w:eastAsia="Times New Roman" w:cs="Times New Roman"/>
                <w:i w:val="false"/>
                <w:iCs w:val="false"/>
                <w:color w:val="000000" w:themeColor="text1"/>
                <w:sz w:val="20"/>
                <w:szCs w:val="20"/>
                <w:lang w:eastAsia="en-US"/>
              </w:rPr>
              <w:t>копии договоров, подписанных с обеих сторон и скрепленных печатями каждой из сторон договора;</w:t>
            </w:r>
          </w:p>
          <w:p>
            <w:pPr>
              <w:pStyle w:val="3"/>
              <w:keepNext w:val="true"/>
              <w:numPr>
                <w:ilvl w:val="0"/>
                <w:numId w:val="0"/>
              </w:numPr>
              <w:spacing w:lineRule="auto" w:line="240" w:beforeAutospacing="0" w:before="0" w:afterAutospacing="0" w:after="0"/>
              <w:ind w:hanging="0" w:left="0" w:right="0"/>
              <w:jc w:val="both"/>
              <w:rPr>
                <w:rFonts w:ascii="Times New Roman" w:hAnsi="Times New Roman" w:eastAsia="Times New Roman" w:cs="Times New Roman"/>
                <w:bCs w:val="false"/>
                <w:i w:val="false"/>
                <w:i w:val="false"/>
                <w:color w:val="000000" w:themeColor="text1"/>
                <w:sz w:val="20"/>
                <w:szCs w:val="20"/>
              </w:rPr>
            </w:pPr>
            <w:r>
              <w:rPr>
                <w:rFonts w:eastAsia="Times New Roman"/>
                <w:i w:val="false"/>
                <w:iCs w:val="false"/>
                <w:color w:val="000000"/>
                <w:sz w:val="20"/>
                <w:szCs w:val="20"/>
              </w:rPr>
              <w:t xml:space="preserve">    </w:t>
            </w:r>
            <w:r>
              <w:rPr>
                <w:rFonts w:eastAsia="Times New Roman"/>
                <w:i w:val="false"/>
                <w:iCs w:val="false"/>
                <w:color w:val="000000"/>
                <w:sz w:val="20"/>
                <w:szCs w:val="20"/>
              </w:rPr>
              <w:t xml:space="preserve">- копии актов выполненных работ по форме КС-2 и/или справки о стоимости выполненных работ и затрат по форме КС-3, подписанных с обеих сторон </w:t>
            </w:r>
            <w:r>
              <w:rPr>
                <w:rFonts w:eastAsia="Times New Roman" w:cs="Times New Roman"/>
                <w:i w:val="false"/>
                <w:iCs w:val="false"/>
                <w:color w:val="000000" w:themeColor="text1"/>
                <w:sz w:val="20"/>
                <w:szCs w:val="20"/>
                <w:lang w:eastAsia="en-US"/>
              </w:rPr>
              <w:t>и скрепленных печатями каждой из сторон договора</w:t>
            </w:r>
            <w:r>
              <w:rPr>
                <w:rFonts w:eastAsia="Times New Roman"/>
                <w:i w:val="false"/>
                <w:iCs w:val="false"/>
                <w:color w:val="000000"/>
                <w:sz w:val="20"/>
                <w:szCs w:val="20"/>
              </w:rPr>
              <w:t>,</w:t>
            </w:r>
          </w:p>
          <w:p>
            <w:pPr>
              <w:pStyle w:val="3"/>
              <w:keepNext w:val="true"/>
              <w:numPr>
                <w:ilvl w:val="0"/>
                <w:numId w:val="0"/>
              </w:numPr>
              <w:spacing w:lineRule="auto" w:line="240" w:beforeAutospacing="0" w:before="0" w:afterAutospacing="0" w:after="0"/>
              <w:ind w:hanging="0" w:left="0" w:right="0"/>
              <w:jc w:val="both"/>
              <w:rPr>
                <w:rFonts w:ascii="Times New Roman" w:hAnsi="Times New Roman" w:eastAsia="Times New Roman" w:cs="Times New Roman"/>
                <w:bCs w:val="false"/>
                <w:i w:val="false"/>
                <w:i w:val="false"/>
                <w:color w:val="000000" w:themeColor="text1"/>
                <w:sz w:val="20"/>
                <w:szCs w:val="20"/>
              </w:rPr>
            </w:pPr>
            <w:r>
              <w:rPr>
                <w:rFonts w:eastAsia="Times New Roman"/>
                <w:i w:val="false"/>
                <w:iCs w:val="false"/>
                <w:color w:val="000000"/>
                <w:sz w:val="20"/>
                <w:szCs w:val="20"/>
              </w:rPr>
              <w:t xml:space="preserve">  </w:t>
            </w:r>
            <w:r>
              <w:rPr>
                <w:rFonts w:eastAsia="Times New Roman"/>
                <w:i w:val="false"/>
                <w:iCs w:val="false"/>
                <w:color w:val="000000"/>
                <w:sz w:val="20"/>
                <w:szCs w:val="20"/>
              </w:rPr>
              <w:t xml:space="preserve">- и/или копии актов сдачи-приемки работ (иных документов, оформляющих, в соответствии с условиями договора, факт выполнения работ), подписанных с обеих сторон </w:t>
            </w:r>
            <w:r>
              <w:rPr>
                <w:rFonts w:eastAsia="Times New Roman" w:cs="Times New Roman"/>
                <w:i w:val="false"/>
                <w:iCs w:val="false"/>
                <w:color w:val="000000" w:themeColor="text1"/>
                <w:sz w:val="20"/>
                <w:szCs w:val="20"/>
                <w:lang w:eastAsia="en-US"/>
              </w:rPr>
              <w:t>и скрепленных печатями каждой из сторон договора</w:t>
            </w:r>
            <w:r>
              <w:rPr>
                <w:rFonts w:eastAsia="Times New Roman"/>
                <w:i w:val="false"/>
                <w:iCs w:val="false"/>
                <w:color w:val="000000"/>
                <w:sz w:val="20"/>
                <w:szCs w:val="20"/>
              </w:rPr>
              <w:t>, свидетельствующих о выполнении работ в рамках каждого предоставленного договора</w:t>
            </w:r>
            <w:r>
              <w:rPr>
                <w:rFonts w:eastAsia="Times New Roman" w:cs="Times New Roman"/>
                <w:i w:val="false"/>
                <w:iCs w:val="false"/>
                <w:color w:val="000000" w:themeColor="text1"/>
                <w:sz w:val="20"/>
                <w:szCs w:val="20"/>
                <w:lang w:eastAsia="en-US"/>
              </w:rPr>
              <w:t>;</w:t>
            </w:r>
          </w:p>
          <w:p>
            <w:pPr>
              <w:pStyle w:val="3"/>
              <w:keepNext w:val="true"/>
              <w:numPr>
                <w:ilvl w:val="0"/>
                <w:numId w:val="0"/>
              </w:numPr>
              <w:spacing w:lineRule="auto" w:line="240" w:beforeAutospacing="0" w:before="0" w:afterAutospacing="0" w:after="0"/>
              <w:ind w:hanging="0" w:left="0" w:right="0"/>
              <w:jc w:val="both"/>
              <w:rPr>
                <w:rFonts w:eastAsia="Times New Roman"/>
                <w:i w:val="false"/>
                <w:i w:val="false"/>
                <w:iCs w:val="false"/>
                <w:color w:val="000000" w:themeColor="text1"/>
                <w:sz w:val="20"/>
                <w:szCs w:val="20"/>
              </w:rPr>
            </w:pPr>
            <w:r>
              <w:rPr>
                <w:rFonts w:eastAsia="Times New Roman" w:cs="Times New Roman"/>
                <w:i w:val="false"/>
                <w:iCs w:val="false"/>
                <w:color w:val="000000" w:themeColor="text1"/>
                <w:sz w:val="20"/>
                <w:szCs w:val="20"/>
                <w:lang w:eastAsia="en-US"/>
              </w:rPr>
              <w:t xml:space="preserve">  </w:t>
            </w:r>
            <w:r>
              <w:rPr>
                <w:rFonts w:eastAsia="Times New Roman" w:cs="Times New Roman"/>
                <w:i w:val="false"/>
                <w:iCs w:val="false"/>
                <w:color w:val="000000" w:themeColor="text1"/>
                <w:sz w:val="20"/>
                <w:szCs w:val="20"/>
                <w:lang w:eastAsia="en-US"/>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3"/>
              <w:keepNext w:val="true"/>
              <w:numPr>
                <w:ilvl w:val="7"/>
                <w:numId w:val="23"/>
              </w:numPr>
              <w:spacing w:lineRule="auto" w:line="240" w:beforeAutospacing="0" w:before="0" w:after="0"/>
              <w:ind w:firstLine="380" w:left="0" w:right="0"/>
              <w:jc w:val="both"/>
              <w:rPr>
                <w:rFonts w:eastAsia="Times New Roman"/>
                <w:color w:val="000000" w:themeColor="text1"/>
                <w:sz w:val="18"/>
                <w:szCs w:val="18"/>
                <w:highlight w:val="white"/>
              </w:rPr>
            </w:pPr>
            <w:r>
              <w:rPr>
                <w:sz w:val="20"/>
                <w:szCs w:val="20"/>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
              <w:numPr>
                <w:ilvl w:val="7"/>
                <w:numId w:val="24"/>
              </w:numPr>
              <w:spacing w:lineRule="auto" w:line="240" w:beforeAutospacing="0" w:before="0" w:after="0"/>
              <w:ind w:firstLine="380" w:left="0" w:right="0"/>
              <w:jc w:val="both"/>
              <w:rPr>
                <w:color w:val="FF0000" w:themeColor="text1"/>
                <w:sz w:val="18"/>
                <w:szCs w:val="18"/>
              </w:rPr>
            </w:pPr>
            <w:r>
              <w:rPr>
                <w:rFonts w:eastAsia="Times New Roman"/>
                <w:color w:val="000000" w:themeColor="text1"/>
                <w:sz w:val="20"/>
                <w:szCs w:val="20"/>
                <w:lang w:eastAsia="ru-RU"/>
              </w:rPr>
              <w:t xml:space="preserve">Порядок осуществления оценки (значение оцениваемого параметра), в зависимости от предоставленных в </w:t>
            </w:r>
            <w:r>
              <w:rPr>
                <w:rFonts w:eastAsia="Times New Roman"/>
                <w:i/>
                <w:color w:val="000000" w:themeColor="text1"/>
                <w:sz w:val="20"/>
                <w:szCs w:val="20"/>
                <w:lang w:val="en-US" w:eastAsia="ru-RU"/>
              </w:rPr>
              <w:t>i</w:t>
            </w:r>
            <w:r>
              <w:rPr>
                <w:rFonts w:eastAsia="Times New Roman"/>
                <w:color w:val="000000" w:themeColor="text1"/>
                <w:sz w:val="20"/>
                <w:szCs w:val="20"/>
                <w:lang w:eastAsia="ru-RU"/>
              </w:rPr>
              <w:t>-ой заявке сведений о наличии у Участника совокупного опыта за последние 5 лет, на общую сумму:</w:t>
            </w:r>
          </w:p>
          <w:p>
            <w:pPr>
              <w:pStyle w:val="Normal"/>
              <w:numPr>
                <w:ilvl w:val="0"/>
                <w:numId w:val="0"/>
              </w:numPr>
              <w:spacing w:lineRule="auto" w:line="240" w:beforeAutospacing="0" w:before="0" w:after="0"/>
              <w:ind w:hanging="0" w:left="0"/>
              <w:jc w:val="both"/>
              <w:rPr>
                <w:rFonts w:eastAsia="Calibri" w:eastAsiaTheme="minorHAnsi"/>
                <w:sz w:val="20"/>
                <w:szCs w:val="20"/>
                <w:highlight w:val="white"/>
              </w:rPr>
            </w:pPr>
            <w:r>
              <w:rPr>
                <w:rFonts w:eastAsia="Calibri" w:eastAsiaTheme="minorHAnsi"/>
                <w:sz w:val="20"/>
                <w:szCs w:val="20"/>
                <w:highlight w:val="white"/>
              </w:rPr>
            </w:r>
          </w:p>
          <w:tbl>
            <w:tblPr>
              <w:tblW w:w="64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22"/>
              <w:gridCol w:w="5670"/>
            </w:tblGrid>
            <w:tr>
              <w:trPr>
                <w:trHeight w:val="346"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0</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Опыт отсутствует/Опыт не подтверждён;</w:t>
                  </w:r>
                </w:p>
              </w:tc>
            </w:tr>
            <w:tr>
              <w:trPr>
                <w:trHeight w:val="573"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1</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0% от НМЦ «без учета НДС» , но менее 20% от НМЦ «без учета НДС» (включительно);</w:t>
                  </w:r>
                </w:p>
              </w:tc>
            </w:tr>
            <w:tr>
              <w:trPr>
                <w:trHeight w:val="573"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2</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20% от НМЦ «без учета НДС», но менее 40% от НМЦ «без учета НДС» (включительно);</w:t>
                  </w:r>
                </w:p>
              </w:tc>
            </w:tr>
            <w:tr>
              <w:trPr>
                <w:trHeight w:val="573" w:hRule="atLeast"/>
                <w:cantSplit w:val="true"/>
              </w:trPr>
              <w:tc>
                <w:tcPr>
                  <w:tcW w:w="822" w:type="dxa"/>
                  <w:tcBorders>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=3</w:t>
                  </w:r>
                </w:p>
              </w:tc>
              <w:tc>
                <w:tcPr>
                  <w:tcW w:w="5670" w:type="dxa"/>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40% от НМЦ «без учета НДС», но менее 60% от НМЦ «без учета НДС» (включительно);</w:t>
                  </w:r>
                </w:p>
              </w:tc>
            </w:tr>
            <w:tr>
              <w:trPr>
                <w:trHeight w:val="573" w:hRule="atLeast"/>
                <w:cantSplit w:val="true"/>
              </w:trPr>
              <w:tc>
                <w:tcPr>
                  <w:tcW w:w="822" w:type="dxa"/>
                  <w:tcBorders>
                    <w:top w:val="single" w:sz="8" w:space="0" w:color="000000"/>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4</w:t>
                  </w:r>
                </w:p>
              </w:tc>
              <w:tc>
                <w:tcPr>
                  <w:tcW w:w="5670" w:type="dxa"/>
                  <w:tcBorders>
                    <w:top w:val="single" w:sz="8" w:space="0" w:color="000000"/>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60% от НМЦ «без учета НДС», но менее 80% от НМЦ «без учета НДС» (включительно);</w:t>
                  </w:r>
                </w:p>
              </w:tc>
            </w:tr>
            <w:tr>
              <w:trPr>
                <w:trHeight w:val="346" w:hRule="atLeast"/>
                <w:cantSplit w:val="true"/>
              </w:trPr>
              <w:tc>
                <w:tcPr>
                  <w:tcW w:w="822" w:type="dxa"/>
                  <w:tcBorders>
                    <w:top w:val="single" w:sz="8" w:space="0" w:color="000000"/>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5</w:t>
                  </w:r>
                </w:p>
              </w:tc>
              <w:tc>
                <w:tcPr>
                  <w:tcW w:w="5670" w:type="dxa"/>
                  <w:tcBorders>
                    <w:top w:val="single" w:sz="8" w:space="0" w:color="000000"/>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80% от НМЦ «без учета НДС».</w:t>
                  </w:r>
                </w:p>
              </w:tc>
            </w:tr>
          </w:tbl>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где:</w:t>
            </w:r>
          </w:p>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НМЦ – начальная (максимальная) цена договора, установленная в документации о закупке;</w:t>
            </w:r>
          </w:p>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lang w:eastAsia="en-US"/>
              </w:rPr>
              <w:t>2</w:t>
            </w:r>
            <w:r>
              <w:rPr>
                <w:rFonts w:eastAsia="Calibri" w:eastAsiaTheme="minorHAnsi"/>
                <w:sz w:val="20"/>
                <w:szCs w:val="20"/>
                <w:lang w:eastAsia="en-US"/>
              </w:rPr>
              <w:t xml:space="preserve"> – рассчитанная оценка предпочтительности по данному частному критерию оценки в баллах..</w:t>
            </w:r>
          </w:p>
          <w:p>
            <w:pPr>
              <w:pStyle w:val="Normal"/>
              <w:numPr>
                <w:ilvl w:val="0"/>
                <w:numId w:val="0"/>
              </w:numPr>
              <w:spacing w:lineRule="auto" w:line="240" w:beforeAutospacing="0" w:before="0" w:after="0"/>
              <w:ind w:hanging="0" w:left="0"/>
              <w:jc w:val="both"/>
              <w:rPr>
                <w:rFonts w:eastAsia="Calibri" w:eastAsiaTheme="minorHAnsi"/>
                <w:sz w:val="20"/>
                <w:szCs w:val="20"/>
              </w:rPr>
            </w:pPr>
            <w:r>
              <w:rPr>
                <w:sz w:val="20"/>
                <w:szCs w:val="20"/>
                <w:lang w:eastAsia="ru-RU"/>
              </w:rPr>
              <w:t>Опыт, не соответствующий установленным выше требованиям, не оценивается</w:t>
            </w:r>
          </w:p>
          <w:p>
            <w:pPr>
              <w:pStyle w:val="Normal"/>
              <w:numPr>
                <w:ilvl w:val="0"/>
                <w:numId w:val="0"/>
              </w:numPr>
              <w:spacing w:lineRule="auto" w:line="240" w:beforeAutospacing="0" w:before="0" w:after="0"/>
              <w:ind w:hanging="0" w:left="0"/>
              <w:jc w:val="both"/>
              <w:rPr>
                <w:rFonts w:eastAsia="Calibri" w:eastAsiaTheme="minorHAnsi"/>
                <w:b/>
                <w:bCs/>
                <w:sz w:val="20"/>
                <w:szCs w:val="20"/>
              </w:rPr>
            </w:pPr>
            <w:r>
              <w:rPr>
                <w:rFonts w:eastAsia="Calibri" w:eastAsiaTheme="minorHAnsi"/>
                <w:b/>
                <w:bCs/>
                <w:sz w:val="20"/>
                <w:szCs w:val="20"/>
                <w:lang w:eastAsia="en-US"/>
              </w:rPr>
              <w:t>Шкала оценок от 0 до 5 баллов</w:t>
            </w:r>
          </w:p>
        </w:tc>
      </w:tr>
      <w:tr>
        <w:trPr>
          <w:trHeight w:val="201" w:hRule="atLeast"/>
          <w:cantSplit w:val="true"/>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lang w:val="en-US"/>
              </w:rPr>
              <w:t>3.</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cs="Times New Roman"/>
                <w:sz w:val="20"/>
                <w:szCs w:val="20"/>
              </w:rPr>
            </w:pPr>
            <w:r>
              <w:rPr>
                <w:rFonts w:cs="Times New Roman"/>
                <w:sz w:val="20"/>
                <w:szCs w:val="20"/>
              </w:rPr>
              <w:t>Неценовой</w:t>
            </w:r>
          </w:p>
          <w:p>
            <w:pPr>
              <w:pStyle w:val="Normal"/>
              <w:widowControl w:val="false"/>
              <w:spacing w:before="0" w:after="0"/>
              <w:jc w:val="center"/>
              <w:rPr>
                <w:rFonts w:cs="Times New Roman"/>
                <w:sz w:val="20"/>
                <w:szCs w:val="20"/>
              </w:rPr>
            </w:pPr>
            <w:r>
              <w:rPr>
                <w:rFonts w:cs="Times New Roman"/>
                <w:sz w:val="20"/>
                <w:szCs w:val="20"/>
              </w:rPr>
              <w:t>критерий</w:t>
            </w:r>
          </w:p>
          <w:p>
            <w:pPr>
              <w:pStyle w:val="Normal"/>
              <w:widowControl w:val="false"/>
              <w:spacing w:before="0" w:after="0"/>
              <w:jc w:val="center"/>
              <w:rPr>
                <w:rFonts w:cs="Times New Roman"/>
                <w:sz w:val="20"/>
                <w:szCs w:val="20"/>
              </w:rPr>
            </w:pPr>
            <w:r>
              <w:rPr>
                <w:rFonts w:cs="Times New Roman"/>
                <w:sz w:val="20"/>
                <w:szCs w:val="20"/>
              </w:rPr>
              <w:t>оценки первого</w:t>
            </w:r>
          </w:p>
          <w:p>
            <w:pPr>
              <w:pStyle w:val="3"/>
              <w:widowControl w:val="false"/>
              <w:numPr>
                <w:ilvl w:val="7"/>
                <w:numId w:val="25"/>
              </w:numPr>
              <w:spacing w:lineRule="auto" w:line="240" w:before="0" w:after="40"/>
              <w:ind w:hanging="0" w:left="0" w:right="0"/>
              <w:jc w:val="center"/>
              <w:rPr>
                <w:rFonts w:ascii="Times New Roman" w:hAnsi="Times New Roman"/>
                <w:color w:val="0E0101"/>
                <w:sz w:val="20"/>
                <w:szCs w:val="20"/>
              </w:rPr>
            </w:pPr>
            <w:r>
              <w:rPr>
                <w:sz w:val="20"/>
                <w:szCs w:val="20"/>
              </w:rPr>
              <w:t>уровня / ОРГ</w:t>
            </w:r>
          </w:p>
          <w:p>
            <w:pPr>
              <w:pStyle w:val="Normal"/>
              <w:numPr>
                <w:ilvl w:val="0"/>
                <w:numId w:val="0"/>
              </w:numPr>
              <w:spacing w:lineRule="auto" w:line="240" w:before="120" w:after="0"/>
              <w:ind w:hanging="0" w:left="0"/>
              <w:contextualSpacing/>
              <w:jc w:val="center"/>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rPr>
              <w:t>Финансовое состояние (устойчивость)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i/>
                <w:i/>
                <w:sz w:val="20"/>
                <w:szCs w:val="20"/>
              </w:rPr>
            </w:pPr>
            <w:r>
              <w:rPr>
                <w:i/>
                <w:sz w:val="20"/>
                <w:szCs w:val="20"/>
              </w:rPr>
              <w:t>отсутствует</w:t>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lang w:val="en-US"/>
              </w:rPr>
              <w:t>5%</w:t>
            </w:r>
          </w:p>
          <w:p>
            <w:pPr>
              <w:pStyle w:val="Normal"/>
              <w:numPr>
                <w:ilvl w:val="0"/>
                <w:numId w:val="0"/>
              </w:numPr>
              <w:spacing w:lineRule="auto" w:line="240" w:before="120" w:after="0"/>
              <w:ind w:hanging="0" w:left="0"/>
              <w:contextualSpacing/>
              <w:jc w:val="center"/>
              <w:rPr>
                <w:sz w:val="20"/>
                <w:szCs w:val="20"/>
              </w:rPr>
            </w:pPr>
            <w:r>
              <w:rPr>
                <w:sz w:val="20"/>
                <w:szCs w:val="20"/>
                <w:lang w:val="en-US"/>
              </w:rPr>
              <w:t>(В</w:t>
            </w:r>
            <w:r>
              <w:rPr>
                <w:sz w:val="20"/>
                <w:szCs w:val="20"/>
                <w:vertAlign w:val="subscript"/>
                <w:lang w:val="en-US"/>
              </w:rPr>
              <w:t>3</w:t>
            </w:r>
            <w:r>
              <w:rPr>
                <w:sz w:val="20"/>
                <w:szCs w:val="20"/>
                <w:lang w:val="en-US"/>
              </w:rPr>
              <w:t xml:space="preserve"> = 0,05)</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Style29"/>
              <w:spacing w:before="40" w:after="40"/>
              <w:jc w:val="center"/>
              <w:rPr>
                <w:sz w:val="18"/>
                <w:szCs w:val="18"/>
                <w:highlight w:val="white"/>
              </w:rPr>
            </w:pPr>
            <w:r>
              <w:rPr>
                <w:sz w:val="20"/>
                <w:szCs w:val="20"/>
                <w:highlight w:val="white"/>
              </w:rPr>
              <w:t>Чем выше оценка финансового состояния (устойчивости) Участника, тем выше предпочтительность</w:t>
            </w:r>
          </w:p>
          <w:p>
            <w:pPr>
              <w:pStyle w:val="Normal"/>
              <w:spacing w:lineRule="auto" w:line="240" w:before="120" w:after="0"/>
              <w:ind w:hanging="0"/>
              <w:contextualSpacing/>
              <w:jc w:val="center"/>
              <w:rPr>
                <w:sz w:val="20"/>
                <w:szCs w:val="20"/>
              </w:rPr>
            </w:pPr>
            <w:r>
              <w:rPr>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lang w:eastAsia="ru-RU"/>
              </w:rPr>
              <w:t xml:space="preserve">Порядок осуществления оценки (значение оцениваемого параметра), в зависимости от </w:t>
            </w:r>
            <w:r>
              <w:rPr>
                <w:rFonts w:eastAsia="Times New Roman" w:cs="Times New Roman"/>
                <w:sz w:val="20"/>
                <w:szCs w:val="20"/>
              </w:rPr>
              <w:t>полученного</w:t>
            </w:r>
            <w:r>
              <w:rPr>
                <w:rFonts w:eastAsia="Times New Roman" w:cs="Times New Roman"/>
                <w:sz w:val="20"/>
                <w:szCs w:val="20"/>
                <w:lang w:eastAsia="ru-RU"/>
              </w:rPr>
              <w:t xml:space="preserve"> </w:t>
            </w:r>
            <w:r>
              <w:rPr>
                <w:rFonts w:eastAsia="Times New Roman" w:cs="Times New Roman"/>
                <w:sz w:val="20"/>
                <w:szCs w:val="20"/>
              </w:rPr>
              <w:t xml:space="preserve">Участником (с </w:t>
            </w:r>
            <w:r>
              <w:rPr>
                <w:rFonts w:eastAsia="Times New Roman" w:cs="Times New Roman"/>
                <w:i/>
                <w:sz w:val="20"/>
                <w:szCs w:val="20"/>
                <w:lang w:val="en-US" w:eastAsia="ru-RU"/>
              </w:rPr>
              <w:t>i</w:t>
            </w:r>
            <w:r>
              <w:rPr>
                <w:rFonts w:eastAsia="Times New Roman" w:cs="Times New Roman"/>
                <w:sz w:val="20"/>
                <w:szCs w:val="20"/>
                <w:lang w:eastAsia="ru-RU"/>
              </w:rPr>
              <w:t>-</w:t>
            </w:r>
            <w:r>
              <w:rPr>
                <w:rFonts w:eastAsia="Times New Roman" w:cs="Times New Roman"/>
                <w:sz w:val="20"/>
                <w:szCs w:val="20"/>
              </w:rPr>
              <w:t>ой</w:t>
            </w:r>
            <w:r>
              <w:rPr>
                <w:rFonts w:eastAsia="Times New Roman" w:cs="Times New Roman"/>
                <w:sz w:val="20"/>
                <w:szCs w:val="20"/>
                <w:lang w:eastAsia="ru-RU"/>
              </w:rPr>
              <w:t xml:space="preserve"> заяв</w:t>
            </w:r>
            <w:r>
              <w:rPr>
                <w:rFonts w:eastAsia="Times New Roman" w:cs="Times New Roman"/>
                <w:sz w:val="20"/>
                <w:szCs w:val="20"/>
              </w:rPr>
              <w:t>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удовлетворительное) по результатам проведенной в рамках аккредитации оценки его финансового состояния (устойчивости), при этом:</w:t>
            </w:r>
          </w:p>
          <w:p>
            <w:pPr>
              <w:pStyle w:val="Normal"/>
              <w:numPr>
                <w:ilvl w:val="0"/>
                <w:numId w:val="26"/>
              </w:numPr>
              <w:spacing w:before="120" w:after="0"/>
              <w:ind w:hanging="284" w:left="346"/>
              <w:jc w:val="both"/>
              <w:rPr>
                <w:rFonts w:ascii="Times New Roman" w:hAnsi="Times New Roman" w:cs="Times New Roman"/>
                <w:sz w:val="20"/>
                <w:szCs w:val="20"/>
              </w:rPr>
            </w:pPr>
            <w:r>
              <w:rPr>
                <w:rFonts w:eastAsia="Times New Roman" w:cs="Times New Roman"/>
                <w:sz w:val="20"/>
                <w:szCs w:val="20"/>
              </w:rPr>
              <w:t>порядок проведения оценки финансового состояния (устойчивости) Участника</w:t>
            </w:r>
            <w:r>
              <w:rPr>
                <w:rStyle w:val="FootnoteReference"/>
                <w:rFonts w:eastAsia="Times New Roman" w:cs="Times New Roman"/>
                <w:sz w:val="20"/>
                <w:szCs w:val="20"/>
              </w:rPr>
              <w:footnoteReference w:id="17"/>
            </w:r>
            <w:r>
              <w:rPr>
                <w:rFonts w:eastAsia="Times New Roman" w:cs="Times New Roman"/>
                <w:sz w:val="20"/>
                <w:szCs w:val="20"/>
              </w:rPr>
              <w:t xml:space="preserve"> установлен Приложением 4 к Положению об аккредитации;</w:t>
            </w:r>
          </w:p>
          <w:p>
            <w:pPr>
              <w:pStyle w:val="Normal"/>
              <w:numPr>
                <w:ilvl w:val="0"/>
                <w:numId w:val="26"/>
              </w:numPr>
              <w:spacing w:before="0" w:after="0"/>
              <w:ind w:hanging="284" w:left="346"/>
              <w:jc w:val="both"/>
              <w:rPr>
                <w:rFonts w:ascii="Times New Roman" w:hAnsi="Times New Roman" w:cs="Times New Roman"/>
                <w:sz w:val="20"/>
                <w:szCs w:val="20"/>
              </w:rPr>
            </w:pPr>
            <w:r>
              <w:rPr>
                <w:rFonts w:eastAsia="Times New Roman" w:cs="Times New Roman"/>
                <w:sz w:val="20"/>
                <w:szCs w:val="20"/>
              </w:rPr>
              <w:t>исходными данными для расчета интегрального показателя финансового состояния Участника являются сведения, представленные в опубликованной в государственном информационном ресурсе бухгалтерской (финансовой) отчетности организаций (</w:t>
            </w:r>
            <w:hyperlink r:id="rId26" w:tgtFrame="https://bo.nalog.ru/">
              <w:r>
                <w:rPr>
                  <w:rStyle w:val="Hyperlink"/>
                  <w:rFonts w:eastAsia="Times New Roman" w:cs="Times New Roman"/>
                  <w:sz w:val="20"/>
                  <w:szCs w:val="20"/>
                </w:rPr>
                <w:t>https://bo.nalog.ru</w:t>
              </w:r>
            </w:hyperlink>
            <w:r>
              <w:rPr>
                <w:rFonts w:eastAsia="Times New Roman" w:cs="Times New Roman"/>
                <w:sz w:val="20"/>
                <w:szCs w:val="20"/>
              </w:rPr>
              <w:t>) за предыдущий отчетный период (год).</w:t>
            </w:r>
          </w:p>
          <w:p>
            <w:pPr>
              <w:pStyle w:val="Normal"/>
              <w:spacing w:beforeAutospacing="0" w:before="119" w:afterAutospacing="0" w:after="0"/>
              <w:ind w:firstLine="720" w:left="0"/>
              <w:jc w:val="both"/>
              <w:rPr>
                <w:rFonts w:eastAsia="Calibri"/>
                <w:sz w:val="18"/>
                <w:szCs w:val="18"/>
              </w:rPr>
            </w:pPr>
            <w:r>
              <w:rPr>
                <w:rFonts w:eastAsia="Calibri"/>
                <w:sz w:val="20"/>
                <w:szCs w:val="20"/>
              </w:rPr>
              <w:t xml:space="preserve">Если Участник в соответствии с законодательством РФ не размещает сведения о своей бухгалтерской (финансовой) отчетности </w:t>
            </w:r>
            <w:r>
              <w:rPr>
                <w:sz w:val="20"/>
                <w:szCs w:val="20"/>
              </w:rPr>
              <w:t xml:space="preserve">(по формам ОКУД 0710001, 0710002) </w:t>
            </w:r>
            <w:r>
              <w:rPr>
                <w:rFonts w:eastAsia="Calibri"/>
                <w:sz w:val="20"/>
                <w:szCs w:val="20"/>
              </w:rPr>
              <w:t xml:space="preserve">в упомянутом государственном информационном ресурсе – оценка его финансового состояния производится на основании </w:t>
            </w:r>
            <w:r>
              <w:rPr>
                <w:sz w:val="20"/>
                <w:szCs w:val="20"/>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0"/>
                <w:szCs w:val="20"/>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spacing w:beforeAutospacing="0" w:before="119" w:afterAutospacing="0" w:after="0"/>
              <w:ind w:firstLine="720" w:left="0"/>
              <w:jc w:val="both"/>
              <w:rPr>
                <w:sz w:val="18"/>
                <w:szCs w:val="18"/>
              </w:rPr>
            </w:pPr>
            <w:r>
              <w:rPr>
                <w:sz w:val="20"/>
                <w:szCs w:val="20"/>
              </w:rPr>
              <w:t>Если Участник в соответствии с законодательством формирует отчетность по </w:t>
            </w:r>
            <w:r>
              <w:rPr>
                <w:rFonts w:eastAsia="Calibri"/>
                <w:sz w:val="20"/>
                <w:szCs w:val="20"/>
              </w:rPr>
              <w:t>формам</w:t>
            </w:r>
            <w:r>
              <w:rPr>
                <w:sz w:val="20"/>
                <w:szCs w:val="20"/>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9"/>
              <w:keepNext w:val="true"/>
              <w:numPr>
                <w:ilvl w:val="0"/>
                <w:numId w:val="27"/>
              </w:numPr>
              <w:spacing w:beforeAutospacing="0" w:before="119" w:afterAutospacing="0" w:after="0"/>
              <w:ind w:hanging="283" w:left="627"/>
              <w:jc w:val="both"/>
              <w:rPr>
                <w:sz w:val="18"/>
                <w:szCs w:val="18"/>
              </w:rPr>
            </w:pPr>
            <w:r>
              <w:rPr>
                <w:sz w:val="20"/>
                <w:szCs w:val="20"/>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9"/>
              <w:keepNext w:val="true"/>
              <w:numPr>
                <w:ilvl w:val="0"/>
                <w:numId w:val="27"/>
              </w:numPr>
              <w:spacing w:beforeAutospacing="0" w:before="0" w:afterAutospacing="0" w:after="0"/>
              <w:ind w:hanging="283" w:left="627"/>
              <w:jc w:val="both"/>
              <w:rPr>
                <w:sz w:val="18"/>
                <w:szCs w:val="18"/>
              </w:rPr>
            </w:pPr>
            <w:r>
              <w:rPr>
                <w:sz w:val="20"/>
                <w:szCs w:val="20"/>
              </w:rPr>
              <w:t>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Times New Roman"/>
                <w:sz w:val="20"/>
                <w:szCs w:val="20"/>
              </w:rPr>
              <w:t>Приложение № 11</w:t>
            </w:r>
            <w:r>
              <w:rPr>
                <w:rFonts w:eastAsia="Times New Roman" w:cs="Times New Roman"/>
                <w:sz w:val="20"/>
                <w:szCs w:val="20"/>
              </w:rPr>
              <w:t xml:space="preserve"> к Документации о закупке</w:t>
            </w:r>
            <w:r>
              <w:rPr>
                <w:sz w:val="20"/>
                <w:szCs w:val="20"/>
              </w:rPr>
              <w:t>).</w:t>
            </w:r>
          </w:p>
          <w:p>
            <w:pPr>
              <w:pStyle w:val="Normal"/>
              <w:spacing w:before="120" w:after="120"/>
              <w:jc w:val="both"/>
              <w:rPr>
                <w:sz w:val="20"/>
                <w:szCs w:val="20"/>
              </w:rPr>
            </w:pPr>
            <w:r>
              <w:rPr>
                <w:rFonts w:eastAsia="Calibri"/>
                <w:sz w:val="20"/>
                <w:szCs w:val="20"/>
              </w:rPr>
              <w:t>Оценка предпочтительности по частному критерию</w:t>
            </w:r>
            <w:r>
              <w:rPr>
                <w:sz w:val="20"/>
                <w:szCs w:val="20"/>
                <w:lang w:eastAsia="ru-RU"/>
              </w:rPr>
              <w:t xml:space="preserve"> осуществляется в соответствии со следующей </w:t>
            </w:r>
            <w:r>
              <w:rPr>
                <w:rFonts w:eastAsia="Calibri"/>
                <w:sz w:val="20"/>
                <w:szCs w:val="20"/>
              </w:rPr>
              <w:t>шкалой</w:t>
            </w:r>
            <w:r>
              <w:rPr>
                <w:sz w:val="20"/>
                <w:szCs w:val="20"/>
                <w:lang w:eastAsia="ru-RU"/>
              </w:rPr>
              <w:t>:</w:t>
            </w:r>
          </w:p>
          <w:tbl>
            <w:tblPr>
              <w:tblStyle w:val="1499"/>
              <w:tblW w:w="6549" w:type="dxa"/>
              <w:jc w:val="left"/>
              <w:tblInd w:w="0" w:type="dxa"/>
              <w:tblLayout w:type="fixed"/>
              <w:tblCellMar>
                <w:top w:w="0" w:type="dxa"/>
                <w:left w:w="0" w:type="dxa"/>
                <w:bottom w:w="0" w:type="dxa"/>
                <w:right w:w="5" w:type="dxa"/>
              </w:tblCellMar>
              <w:tblLook w:val="04a0" w:noHBand="0" w:noVBand="1" w:firstColumn="1" w:lastRow="0" w:lastColumn="0" w:firstRow="1"/>
            </w:tblPr>
            <w:tblGrid>
              <w:gridCol w:w="649"/>
              <w:gridCol w:w="5899"/>
            </w:tblGrid>
            <w:tr>
              <w:trPr>
                <w:trHeight w:val="3030" w:hRule="atLeast"/>
              </w:trPr>
              <w:tc>
                <w:tcPr>
                  <w:tcW w:w="649" w:type="dxa"/>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0</w:t>
                  </w:r>
                </w:p>
              </w:tc>
              <w:tc>
                <w:tcPr>
                  <w:tcW w:w="5899" w:type="dxa"/>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менее</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0,45 балла – Кризисное финансовое состояние;</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или</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 случае отсутствия исходных данных для оценки финансового состояния Участника, в том числе если он является:</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вновь созданным юридическим лицом, которое на дату подачи</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rHeight w:val="690" w:hRule="atLeast"/>
              </w:trPr>
              <w:tc>
                <w:tcPr>
                  <w:tcW w:w="649" w:type="dxa"/>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3</w:t>
                  </w:r>
                </w:p>
              </w:tc>
              <w:tc>
                <w:tcPr>
                  <w:tcW w:w="5899" w:type="dxa"/>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rHeight w:val="460" w:hRule="atLeast"/>
              </w:trPr>
              <w:tc>
                <w:tcPr>
                  <w:tcW w:w="649" w:type="dxa"/>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5</w:t>
                  </w:r>
                </w:p>
              </w:tc>
              <w:tc>
                <w:tcPr>
                  <w:tcW w:w="5899" w:type="dxa"/>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более 0,90 балла – Удовлетворительное финансовое состояние.</w:t>
                  </w:r>
                </w:p>
              </w:tc>
            </w:tr>
          </w:tbl>
          <w:p>
            <w:pPr>
              <w:pStyle w:val="Normal"/>
              <w:numPr>
                <w:ilvl w:val="0"/>
                <w:numId w:val="0"/>
              </w:numPr>
              <w:spacing w:lineRule="exact" w:line="360" w:before="120" w:after="0"/>
              <w:ind w:hanging="0" w:left="0"/>
              <w:outlineLvl w:val="3"/>
              <w:rPr>
                <w:rFonts w:eastAsia="Calibri" w:eastAsiaTheme="minorHAnsi"/>
                <w:sz w:val="20"/>
                <w:szCs w:val="20"/>
              </w:rPr>
            </w:pPr>
            <w:r>
              <w:rPr>
                <w:sz w:val="20"/>
                <w:szCs w:val="20"/>
                <w:lang w:eastAsia="en-US"/>
              </w:rPr>
              <w:t>где:</w:t>
            </w:r>
          </w:p>
          <w:p>
            <w:pPr>
              <w:pStyle w:val="Normal"/>
              <w:numPr>
                <w:ilvl w:val="0"/>
                <w:numId w:val="0"/>
              </w:numPr>
              <w:spacing w:lineRule="auto" w:line="240" w:beforeAutospacing="0" w:before="0" w:afterAutospacing="0" w:after="0"/>
              <w:ind w:hanging="0" w:left="0"/>
              <w:contextualSpacing/>
              <w:jc w:val="both"/>
              <w:rPr>
                <w:rFonts w:eastAsia="Calibri" w:eastAsiaTheme="minorHAnsi"/>
                <w:sz w:val="20"/>
                <w:szCs w:val="20"/>
              </w:rPr>
            </w:pPr>
            <w:r>
              <w:rPr>
                <w:i w:val="false"/>
                <w:iCs w:val="false"/>
                <w:sz w:val="20"/>
                <w:szCs w:val="20"/>
                <w:lang w:eastAsia="en-US"/>
              </w:rPr>
              <w:t>Б</w:t>
            </w:r>
            <w:r>
              <w:rPr>
                <w:i w:val="false"/>
                <w:iCs w:val="false"/>
                <w:sz w:val="20"/>
                <w:szCs w:val="20"/>
                <w:vertAlign w:val="subscript"/>
                <w:lang w:eastAsia="en-US"/>
              </w:rPr>
              <w:t>3</w:t>
            </w:r>
            <w:r>
              <w:rPr>
                <w:i w:val="false"/>
                <w:iCs w:val="false"/>
                <w:sz w:val="20"/>
                <w:szCs w:val="20"/>
                <w:lang w:eastAsia="en-US"/>
              </w:rPr>
              <w:t xml:space="preserve"> – рассчитанная оценка предпочтительности по данному частному критерию оценки в баллах.</w:t>
            </w:r>
          </w:p>
          <w:p>
            <w:pPr>
              <w:pStyle w:val="Style29"/>
              <w:spacing w:beforeAutospacing="0" w:before="0" w:afterAutospacing="0" w:after="0"/>
              <w:ind w:hanging="0"/>
              <w:jc w:val="both"/>
              <w:rPr>
                <w:i/>
                <w:i/>
                <w:iCs/>
                <w:sz w:val="18"/>
                <w:szCs w:val="18"/>
              </w:rPr>
            </w:pPr>
            <w:r>
              <w:rPr>
                <w:i w:val="false"/>
                <w:iCs w:val="false"/>
                <w:sz w:val="20"/>
                <w:szCs w:val="20"/>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9"/>
              <w:spacing w:beforeAutospacing="0" w:before="0" w:afterAutospacing="0" w:after="0"/>
              <w:ind w:hanging="0"/>
              <w:jc w:val="both"/>
              <w:rPr>
                <w:i/>
                <w:i/>
                <w:iCs/>
                <w:sz w:val="18"/>
                <w:szCs w:val="18"/>
              </w:rPr>
            </w:pPr>
            <w:r>
              <w:rPr>
                <w:i w:val="false"/>
                <w:iCs w:val="false"/>
                <w:sz w:val="20"/>
                <w:szCs w:val="20"/>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tgtFrame="#Прил04_ФормыЗаявки">
              <w:r>
                <w:rPr>
                  <w:i w:val="false"/>
                  <w:iCs w:val="false"/>
                  <w:color w:val="000000"/>
                  <w:spacing w:val="0"/>
                  <w:sz w:val="20"/>
                  <w:szCs w:val="20"/>
                  <w:u w:val="single"/>
                  <w:shd w:fill="auto" w:val="clear"/>
                  <w:lang w:val="ru-RU"/>
                </w:rPr>
                <w:t>Приложение № 4</w:t>
              </w:r>
            </w:hyperlink>
            <w:r>
              <w:rPr>
                <w:i w:val="false"/>
                <w:iCs w:val="false"/>
                <w:sz w:val="20"/>
                <w:szCs w:val="20"/>
              </w:rPr>
              <w:t>), представленному в заявке такого Коллективного участника на участие в закупке.)</w:t>
            </w:r>
          </w:p>
          <w:p>
            <w:pPr>
              <w:pStyle w:val="Style29"/>
              <w:spacing w:beforeAutospacing="0" w:before="0" w:afterAutospacing="0" w:after="0"/>
              <w:ind w:hanging="0"/>
              <w:jc w:val="both"/>
              <w:rPr>
                <w:sz w:val="18"/>
                <w:szCs w:val="18"/>
              </w:rPr>
            </w:pPr>
            <w:r>
              <w:rPr>
                <w:i w:val="false"/>
                <w:iCs w:val="false"/>
                <w:sz w:val="20"/>
                <w:szCs w:val="20"/>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
              <w:numPr>
                <w:ilvl w:val="7"/>
                <w:numId w:val="18"/>
              </w:numPr>
              <w:spacing w:lineRule="auto" w:line="240" w:beforeAutospacing="0" w:before="0" w:afterAutospacing="0" w:after="0"/>
              <w:ind w:hanging="0" w:left="0" w:right="0"/>
              <w:jc w:val="left"/>
              <w:rPr>
                <w:rFonts w:ascii="Times New Roman" w:hAnsi="Times New Roman" w:cs="Times New Roman"/>
                <w:sz w:val="20"/>
                <w:szCs w:val="20"/>
              </w:rPr>
            </w:pPr>
            <w:r>
              <w:rPr>
                <w:rFonts w:eastAsia="Times New Roman" w:cs="Times New Roman"/>
                <w:b/>
                <w:bCs/>
                <w:sz w:val="20"/>
                <w:szCs w:val="20"/>
                <w:lang w:eastAsia="ru-RU"/>
              </w:rPr>
              <w:t>Шкала оценок от 0 до 5 баллов.</w:t>
            </w:r>
          </w:p>
        </w:tc>
      </w:tr>
      <w:tr>
        <w:trPr>
          <w:trHeight w:val="2969" w:hRule="atLeast"/>
        </w:trPr>
        <w:tc>
          <w:tcPr>
            <w:tcW w:w="5102" w:type="dxa"/>
            <w:gridSpan w:val="4"/>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left"/>
              <w:rPr>
                <w:rFonts w:eastAsia="Calibri"/>
                <w:sz w:val="20"/>
                <w:szCs w:val="20"/>
              </w:rPr>
            </w:pPr>
            <w:r>
              <w:rPr>
                <w:rFonts w:eastAsia="Calibri"/>
                <w:sz w:val="20"/>
                <w:szCs w:val="20"/>
              </w:rPr>
              <w:t>Итоговая оценка предпочтительности заявки:</w:t>
            </w:r>
          </w:p>
          <w:p>
            <w:pPr>
              <w:pStyle w:val="Normal"/>
              <w:numPr>
                <w:ilvl w:val="0"/>
                <w:numId w:val="0"/>
              </w:numPr>
              <w:spacing w:lineRule="auto" w:line="240"/>
              <w:ind w:hanging="0" w:left="0"/>
              <w:jc w:val="right"/>
              <w:rPr>
                <w:rFonts w:eastAsia="Calibri"/>
                <w:sz w:val="20"/>
                <w:szCs w:val="20"/>
              </w:rPr>
            </w:pPr>
            <w:r>
              <w:rPr>
                <w:rFonts w:eastAsia="Calibri"/>
                <w:sz w:val="20"/>
                <w:szCs w:val="20"/>
              </w:rPr>
            </w:r>
          </w:p>
        </w:tc>
        <w:tc>
          <w:tcPr>
            <w:tcW w:w="10034" w:type="dxa"/>
            <w:gridSpan w:val="3"/>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 xml:space="preserve">Расчет итоговой оценки предпочтительности </w:t>
            </w:r>
            <w:r>
              <w:rPr>
                <w:rFonts w:eastAsia="Calibri"/>
                <w:i/>
                <w:sz w:val="20"/>
                <w:szCs w:val="20"/>
                <w:lang w:val="en-US" w:eastAsia="en-US"/>
              </w:rPr>
              <w:t>i</w:t>
            </w:r>
            <w:r>
              <w:rPr>
                <w:rFonts w:eastAsia="Calibri"/>
                <w:sz w:val="20"/>
                <w:szCs w:val="20"/>
                <w:lang w:eastAsia="en-US"/>
              </w:rPr>
              <w:t>-ой заявки:</w:t>
            </w:r>
          </w:p>
          <w:p>
            <w:pPr>
              <w:pStyle w:val="Normal"/>
              <w:keepNext w:val="true"/>
              <w:numPr>
                <w:ilvl w:val="0"/>
                <w:numId w:val="0"/>
              </w:numPr>
              <w:spacing w:lineRule="exact" w:line="360" w:beforeAutospacing="0" w:before="0" w:after="0"/>
              <w:ind w:hanging="0" w:left="0"/>
              <w:jc w:val="left"/>
              <w:rPr>
                <w:rFonts w:eastAsia="Calibri"/>
                <w:sz w:val="20"/>
                <w:szCs w:val="20"/>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уровнь</m:t>
                                </m:r>
                              </m:e>
                              <m:sub>
                                <m:r>
                                  <w:rPr>
                                    <w:rFonts w:ascii="Cambria Math" w:hAnsi="Cambria Math"/>
                                  </w:rPr>
                                  <m:t xml:space="preserve">k</m:t>
                                </m:r>
                              </m:sub>
                            </m:sSub>
                          </m:sub>
                        </m:sSub>
                      </m:e>
                    </m:d>
                  </m:e>
                </m:nary>
              </m:oMath>
            </m:oMathPara>
          </w:p>
          <w:p>
            <w:pPr>
              <w:pStyle w:val="Normal"/>
              <w:keepNext w:val="tru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где:</w:t>
            </w:r>
          </w:p>
          <w:p>
            <w:pPr>
              <w:pStyle w:val="Normal"/>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ИТОГ</w:t>
            </w:r>
            <w:r>
              <w:rPr>
                <w:rFonts w:eastAsia="Calibri"/>
                <w:sz w:val="20"/>
                <w:szCs w:val="20"/>
                <w:lang w:eastAsia="en-US"/>
              </w:rPr>
              <w:tab/>
              <w:t>–</w:t>
              <w:tab/>
              <w:t>рассчитанная итоговая оценка предпочтительности в баллах;</w:t>
            </w:r>
          </w:p>
          <w:p>
            <w:pPr>
              <w:pStyle w:val="Normal"/>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1 уровень k</w:t>
            </w:r>
            <w:r>
              <w:rPr>
                <w:rFonts w:eastAsia="Calibri"/>
                <w:sz w:val="20"/>
                <w:szCs w:val="20"/>
                <w:lang w:eastAsia="en-US"/>
              </w:rPr>
              <w:tab/>
              <w:t>–</w:t>
              <w:tab/>
              <w:t>оценка предпочтительности по k-тому критерию оценки первого уровня в баллах;</w:t>
            </w:r>
          </w:p>
          <w:p>
            <w:pPr>
              <w:pStyle w:val="Normal"/>
              <w:numPr>
                <w:ilvl w:val="0"/>
                <w:numId w:val="0"/>
              </w:numPr>
              <w:tabs>
                <w:tab w:val="clear" w:pos="708"/>
                <w:tab w:val="left" w:pos="742" w:leader="none"/>
                <w:tab w:val="left" w:pos="1167" w:leader="none"/>
              </w:tabs>
              <w:spacing w:lineRule="auto" w:line="240" w:beforeAutospacing="0" w:before="0" w:after="0"/>
              <w:ind w:hanging="0" w:left="0"/>
              <w:jc w:val="left"/>
              <w:rPr>
                <w:rFonts w:eastAsia="Calibri"/>
                <w:spacing w:val="-4"/>
                <w:sz w:val="20"/>
                <w:szCs w:val="20"/>
              </w:rPr>
            </w:pPr>
            <w:r>
              <w:rPr>
                <w:rFonts w:eastAsia="Calibri"/>
                <w:spacing w:val="-4"/>
                <w:sz w:val="20"/>
                <w:szCs w:val="20"/>
                <w:lang w:eastAsia="en-US"/>
              </w:rPr>
              <w:t>В</w:t>
            </w:r>
            <w:r>
              <w:rPr>
                <w:rFonts w:eastAsia="Calibri"/>
                <w:spacing w:val="-4"/>
                <w:sz w:val="20"/>
                <w:szCs w:val="20"/>
                <w:vertAlign w:val="subscript"/>
                <w:lang w:eastAsia="en-US"/>
              </w:rPr>
              <w:t>1 уровень k</w:t>
            </w:r>
            <w:r>
              <w:rPr>
                <w:rFonts w:eastAsia="Calibri"/>
                <w:spacing w:val="-4"/>
                <w:sz w:val="20"/>
                <w:szCs w:val="20"/>
                <w:lang w:eastAsia="en-US"/>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Normal"/>
              <w:numPr>
                <w:ilvl w:val="0"/>
                <w:numId w:val="0"/>
              </w:numPr>
              <w:tabs>
                <w:tab w:val="clear" w:pos="708"/>
                <w:tab w:val="left" w:pos="742" w:leader="none"/>
                <w:tab w:val="left" w:pos="1167" w:leader="none"/>
              </w:tabs>
              <w:spacing w:lineRule="auto" w:line="240" w:beforeAutospacing="0" w:before="0" w:after="0"/>
              <w:ind w:hanging="0" w:left="0"/>
              <w:jc w:val="both"/>
              <w:rPr>
                <w:rFonts w:eastAsia="Calibri"/>
                <w:sz w:val="20"/>
                <w:szCs w:val="20"/>
              </w:rPr>
            </w:pPr>
            <w:r>
              <w:rPr>
                <w:rFonts w:eastAsia="Calibri" w:eastAsiaTheme="minorHAnsi"/>
                <w:i/>
                <w:iCs/>
                <w:sz w:val="20"/>
                <w:szCs w:val="20"/>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9"/>
        <w:spacing w:before="120" w:after="120"/>
        <w:ind w:left="1134"/>
        <w:rPr>
          <w:rStyle w:val="Style10"/>
        </w:rPr>
      </w:pPr>
      <w:r>
        <w:rPr/>
      </w:r>
    </w:p>
    <w:p>
      <w:pPr>
        <w:pStyle w:val="Style25"/>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5"/>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pStyle w:val="Style32"/>
        <w:keepNext w:val="true"/>
        <w:rPr/>
      </w:pPr>
      <w:r>
        <w:rPr/>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5"/>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3"/>
        <w:rPr/>
      </w:pPr>
      <w:bookmarkStart w:id="421" w:name="_Toc228976143"/>
      <w:bookmarkStart w:id="422" w:name="Прил09_ОбоснованиеНМЦ"/>
      <w:bookmarkStart w:id="423" w:name="_Ref125360420"/>
      <w:bookmarkStart w:id="424" w:name="_Toc136261769"/>
      <w:bookmarkStart w:id="425" w:name="_Toc136261692"/>
      <w:bookmarkStart w:id="426" w:name="_Toc136249263"/>
      <w:bookmarkStart w:id="427" w:name="_Toc136261768"/>
      <w:bookmarkStart w:id="428" w:name="_Toc136261691"/>
      <w:bookmarkStart w:id="429" w:name="_Toc136249262"/>
      <w:bookmarkStart w:id="430" w:name="_Toc136261767"/>
      <w:bookmarkStart w:id="431" w:name="_Toc136261690"/>
      <w:bookmarkStart w:id="432" w:name="_Toc136249261"/>
      <w:bookmarkStart w:id="433" w:name="_Toc136261766"/>
      <w:bookmarkStart w:id="434" w:name="_Toc136261689"/>
      <w:bookmarkStart w:id="435" w:name="_Toc136249260"/>
      <w:bookmarkEnd w:id="424"/>
      <w:bookmarkEnd w:id="425"/>
      <w:bookmarkEnd w:id="426"/>
      <w:bookmarkEnd w:id="427"/>
      <w:bookmarkEnd w:id="428"/>
      <w:bookmarkEnd w:id="429"/>
      <w:bookmarkEnd w:id="430"/>
      <w:bookmarkEnd w:id="431"/>
      <w:bookmarkEnd w:id="432"/>
      <w:bookmarkEnd w:id="433"/>
      <w:bookmarkEnd w:id="434"/>
      <w:bookmarkEnd w:id="435"/>
      <w:r>
        <w:rPr/>
        <w:t>Приложение № 9 – Обоснование НМЦ</w:t>
      </w:r>
      <w:bookmarkEnd w:id="421"/>
      <w:bookmarkEnd w:id="422"/>
      <w:bookmarkEnd w:id="423"/>
    </w:p>
    <w:p>
      <w:pPr>
        <w:pStyle w:val="Style24"/>
        <w:rPr/>
      </w:pPr>
      <w:bookmarkStart w:id="436" w:name="_Toc228976144"/>
      <w:r>
        <w:rPr/>
        <w:t>Пояснения к Обоснованию НМЦ</w:t>
      </w:r>
      <w:bookmarkEnd w:id="436"/>
    </w:p>
    <w:p>
      <w:pPr>
        <w:pStyle w:val="Style25"/>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3"/>
        <w:rPr/>
      </w:pPr>
      <w:bookmarkStart w:id="437" w:name="_Toc228976145"/>
      <w:bookmarkStart w:id="438" w:name="Прил10_ЗаявкаНаАккредитацию"/>
      <w:bookmarkEnd w:id="438"/>
      <w:r>
        <w:rPr/>
        <w:t>Приложение № 10 – Форма Заявки на аккредитацию</w:t>
      </w:r>
      <w:bookmarkEnd w:id="437"/>
    </w:p>
    <w:p>
      <w:pPr>
        <w:pStyle w:val="Style24"/>
        <w:rPr/>
      </w:pPr>
      <w:bookmarkStart w:id="439" w:name="_Toc228976146"/>
      <w:r>
        <w:rPr/>
        <w:t>Пояснения к форме Заявки на аккредитацию</w:t>
      </w:r>
      <w:bookmarkEnd w:id="439"/>
    </w:p>
    <w:p>
      <w:pPr>
        <w:pStyle w:val="Style25"/>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5"/>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40"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40"/>
      <w:r>
        <w:rPr/>
        <w:t>.</w:t>
      </w:r>
    </w:p>
    <w:p>
      <w:pPr>
        <w:pStyle w:val="Style29"/>
        <w:jc w:val="center"/>
        <w:rPr/>
      </w:pPr>
      <w:r>
        <w:rPr/>
        <w:object>
          <v:shapetype id="_x0000_tole_rId31" coordsize="21600,21600" o:spt="ole_rId3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1" type="_x0000_tole_rId31" style="width:79.25pt;height:50.2pt;mso-wrap-distance-right:0pt" filled="f" o:ole="">
            <v:imagedata r:id="rId32" o:title=""/>
          </v:shape>
          <o:OLEObject Type="Embed" ProgID="Excel.Sheet.12" ShapeID="ole_rId31" DrawAspect="Icon" ObjectID="_83028484" r:id="rId31"/>
        </w:object>
      </w:r>
    </w:p>
    <w:p>
      <w:pPr>
        <w:pStyle w:val="Normal"/>
        <w:rPr/>
      </w:pPr>
      <w:r>
        <w:rPr/>
      </w:r>
    </w:p>
    <w:p>
      <w:pPr>
        <w:pStyle w:val="Style23"/>
        <w:rPr/>
      </w:pPr>
      <w:bookmarkStart w:id="441" w:name="_Toc228976147"/>
      <w:bookmarkStart w:id="442" w:name="Прил11_Данные_бухотчетность"/>
      <w:r>
        <w:rPr/>
        <w:t xml:space="preserve">Приложение № 11 </w:t>
      </w:r>
      <w:bookmarkEnd w:id="442"/>
      <w:r>
        <w:rPr/>
        <w:t>– форма Данных бухгалтерской (финансовой) отчетности</w:t>
      </w:r>
      <w:bookmarkEnd w:id="441"/>
    </w:p>
    <w:p>
      <w:pPr>
        <w:pStyle w:val="Style24"/>
        <w:rPr/>
      </w:pPr>
      <w:bookmarkStart w:id="443" w:name="_Toc228976148"/>
      <w:r>
        <w:rPr/>
        <w:t>Пояснения к форме Данных бухгалтерской (финансовой) отчетности</w:t>
      </w:r>
      <w:bookmarkEnd w:id="443"/>
      <w:r>
        <w:rPr/>
        <w:t xml:space="preserve"> </w:t>
      </w:r>
    </w:p>
    <w:p>
      <w:pPr>
        <w:pStyle w:val="Style25"/>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44" w:name="_MON_1821256687"/>
      <w:bookmarkStart w:id="445" w:name="_MON_1821256687"/>
      <w:bookmarkEnd w:id="445"/>
    </w:p>
    <w:p>
      <w:pPr>
        <w:pStyle w:val="Normal"/>
        <w:jc w:val="center"/>
        <w:rPr/>
      </w:pPr>
      <w:bookmarkStart w:id="446" w:name="_Hlk210644436"/>
      <w:bookmarkStart w:id="447" w:name="_MON_1821256687_Копия_1"/>
      <w:bookmarkEnd w:id="447"/>
      <w:r>
        <w:rPr/>
        <w:object>
          <v:shapetype id="_x0000_tole_rId33" coordsize="21600,21600" o:spt="ole_rId3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3" type="_x0000_tole_rId33" style="width:79.25pt;height:50.2pt;mso-wrap-distance-right:0pt" filled="f" o:ole="">
            <v:imagedata r:id="rId34" o:title=""/>
          </v:shape>
          <o:OLEObject Type="Embed" ProgID="Word.Document.12" ShapeID="ole_rId33" DrawAspect="Icon" ObjectID="_208486623" r:id="rId33"/>
        </w:object>
      </w:r>
      <w:bookmarkEnd w:id="446"/>
    </w:p>
    <w:p>
      <w:pPr>
        <w:pStyle w:val="Normal"/>
        <w:jc w:val="center"/>
        <w:rPr/>
      </w:pPr>
      <w:r>
        <w:rPr/>
      </w:r>
    </w:p>
    <w:sectPr>
      <w:headerReference w:type="default" r:id="rId35"/>
      <w:headerReference w:type="first" r:id="rId36"/>
      <w:footerReference w:type="default" r:id="rId37"/>
      <w:footerReference w:type="first" r:id="rId3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PT Sans">
    <w:charset w:val="01"/>
    <w:family w:val="swiss"/>
    <w:pitch w:val="variable"/>
  </w:font>
  <w:font w:name="Segoe UI">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40825488"/>
    </w:sdtPr>
    <w:sdtContent>
      <w:p>
        <w:pPr>
          <w:pStyle w:val="Footer"/>
          <w:spacing w:before="120" w:after="0"/>
          <w:rPr/>
        </w:pPr>
        <w:r>
          <w:rPr/>
          <w:fldChar w:fldCharType="begin"/>
        </w:r>
        <w:r>
          <w:rPr/>
          <w:instrText xml:space="preserve"> PAGE </w:instrText>
        </w:r>
        <w:r>
          <w:rPr/>
          <w:fldChar w:fldCharType="separate"/>
        </w:r>
        <w:r>
          <w:rPr/>
          <w:t>9</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35705350"/>
    </w:sdtPr>
    <w:sdtContent>
      <w:p>
        <w:pPr>
          <w:pStyle w:val="Footer"/>
          <w:spacing w:before="120" w:after="0"/>
          <w:rPr/>
        </w:pPr>
        <w:r>
          <w:rPr/>
          <w:fldChar w:fldCharType="begin"/>
        </w:r>
        <w:r>
          <w:rPr/>
          <w:instrText xml:space="preserve"> PAGE </w:instrText>
        </w:r>
        <w:r>
          <w:rPr/>
          <w:fldChar w:fldCharType="separate"/>
        </w:r>
        <w:r>
          <w:rPr/>
          <w:t>27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4227685"/>
    </w:sdtPr>
    <w:sdtContent>
      <w:p>
        <w:pPr>
          <w:pStyle w:val="Footer"/>
          <w:spacing w:before="120" w:after="0"/>
          <w:rPr/>
        </w:pPr>
        <w:r>
          <w:rPr/>
          <w:fldChar w:fldCharType="begin"/>
        </w:r>
        <w:r>
          <w:rPr/>
          <w:instrText xml:space="preserve"> PAGE </w:instrText>
        </w:r>
        <w:r>
          <w:rPr/>
          <w:fldChar w:fldCharType="separate"/>
        </w:r>
        <w:r>
          <w:rPr/>
          <w:t>57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75438096"/>
    </w:sdtPr>
    <w:sdtContent>
      <w:p>
        <w:pPr>
          <w:pStyle w:val="Footer"/>
          <w:spacing w:before="120" w:after="0"/>
          <w:rPr/>
        </w:pPr>
        <w:r>
          <w:rPr/>
          <w:fldChar w:fldCharType="begin"/>
        </w:r>
        <w:r>
          <w:rPr/>
          <w:instrText xml:space="preserve"> PAGE </w:instrText>
        </w:r>
        <w:r>
          <w:rPr/>
          <w:fldChar w:fldCharType="separate"/>
        </w:r>
        <w:r>
          <w:rPr/>
          <w:t>58</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7249737"/>
    </w:sdtPr>
    <w:sdtContent>
      <w:p>
        <w:pPr>
          <w:pStyle w:val="Footer"/>
          <w:spacing w:before="120" w:after="0"/>
          <w:rPr/>
        </w:pPr>
        <w:r>
          <w:rPr/>
          <w:fldChar w:fldCharType="begin"/>
        </w:r>
        <w:r>
          <w:rPr/>
          <w:instrText xml:space="preserve"> PAGE </w:instrText>
        </w:r>
        <w:r>
          <w:rPr/>
          <w:fldChar w:fldCharType="separate"/>
        </w:r>
        <w:r>
          <w:rPr/>
          <w:t>69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7370723"/>
    </w:sdtPr>
    <w:sdtContent>
      <w:p>
        <w:pPr>
          <w:pStyle w:val="Footer"/>
          <w:spacing w:before="120" w:after="0"/>
          <w:rPr/>
        </w:pPr>
        <w:r>
          <w:rPr/>
          <w:fldChar w:fldCharType="begin"/>
        </w:r>
        <w:r>
          <w:rPr/>
          <w:instrText xml:space="preserve"> PAGE </w:instrText>
        </w:r>
        <w:r>
          <w:rPr/>
          <w:fldChar w:fldCharType="separate"/>
        </w:r>
        <w:r>
          <w:rPr/>
          <w:t>82</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14923785"/>
    </w:sdtPr>
    <w:sdtContent>
      <w:p>
        <w:pPr>
          <w:pStyle w:val="Footer"/>
          <w:spacing w:before="120" w:after="0"/>
          <w:rPr/>
        </w:pPr>
        <w:r>
          <w:rPr/>
          <w:fldChar w:fldCharType="begin"/>
        </w:r>
        <w:r>
          <w:rPr/>
          <w:instrText xml:space="preserve"> PAGE </w:instrText>
        </w:r>
        <w:r>
          <w:rPr/>
          <w:fldChar w:fldCharType="separate"/>
        </w:r>
        <w:r>
          <w:rPr/>
          <w:t>85</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1"/>
        <w:spacing w:before="80" w:after="0"/>
        <w:ind w:hanging="567" w:left="567"/>
        <w:jc w:val="both"/>
        <w:rPr/>
      </w:pPr>
      <w:r>
        <w:rPr>
          <w:rStyle w:val="Style12"/>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1"/>
        <w:spacing w:before="80" w:after="0"/>
        <w:ind w:hanging="567" w:left="567"/>
        <w:jc w:val="both"/>
        <w:rPr/>
      </w:pPr>
      <w:r>
        <w:rPr>
          <w:rStyle w:val="Style12"/>
        </w:rPr>
        <w:footnoteRef/>
      </w:r>
      <w:r>
        <w:rPr/>
        <w:tab/>
        <w:t>Определенные в соответствии с Законом 422-ФЗ.</w:t>
      </w:r>
    </w:p>
  </w:footnote>
  <w:footnote w:id="4">
    <w:p>
      <w:pPr>
        <w:pStyle w:val="Style31"/>
        <w:spacing w:before="80" w:after="0"/>
        <w:ind w:hanging="567" w:left="567"/>
        <w:jc w:val="both"/>
        <w:rPr/>
      </w:pPr>
      <w:r>
        <w:rPr>
          <w:rStyle w:val="Style12"/>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1"/>
        <w:spacing w:before="80" w:after="0"/>
        <w:ind w:hanging="567" w:left="567"/>
        <w:jc w:val="both"/>
        <w:rPr/>
      </w:pPr>
      <w:r>
        <w:rPr>
          <w:rStyle w:val="Style12"/>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1"/>
        <w:spacing w:before="80" w:after="0"/>
        <w:ind w:hanging="567" w:left="567"/>
        <w:jc w:val="both"/>
        <w:rPr/>
      </w:pPr>
      <w:r>
        <w:rPr>
          <w:rStyle w:val="Style12"/>
        </w:rPr>
        <w:footnoteRef/>
      </w:r>
      <w:r>
        <w:rPr/>
        <w:tab/>
        <w:t>С учетом пункта </w:t>
      </w:r>
      <w:r>
        <w:rPr/>
        <w:fldChar w:fldCharType="begin"/>
      </w:r>
      <w:r>
        <w:rPr/>
        <w:instrText xml:space="preserve"> REF _Ref125365558 \w \h </w:instrText>
      </w:r>
      <w:r>
        <w:rPr/>
        <w:fldChar w:fldCharType="separate"/>
      </w:r>
      <w:r>
        <w:rPr/>
        <w:t>Ошибка: источник перекрёстной ссылки не найден</w:t>
      </w:r>
      <w:r>
        <w:rPr/>
        <w:fldChar w:fldCharType="end"/>
      </w:r>
      <w:r>
        <w:rPr/>
        <w:t>.</w:t>
      </w:r>
    </w:p>
  </w:footnote>
  <w:footnote w:id="7">
    <w:p>
      <w:pPr>
        <w:pStyle w:val="Style31"/>
        <w:spacing w:before="80" w:after="0"/>
        <w:ind w:hanging="567" w:left="567"/>
        <w:jc w:val="both"/>
        <w:rPr/>
      </w:pPr>
      <w:r>
        <w:rPr>
          <w:rStyle w:val="Style12"/>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1"/>
        <w:spacing w:before="80" w:after="0"/>
        <w:ind w:hanging="567" w:left="567"/>
        <w:jc w:val="both"/>
        <w:rPr/>
      </w:pPr>
      <w:r>
        <w:rPr>
          <w:rStyle w:val="Style12"/>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1"/>
        <w:spacing w:before="80" w:after="0"/>
        <w:rPr>
          <w:szCs w:val="22"/>
        </w:rPr>
      </w:pPr>
      <w:r>
        <w:rPr>
          <w:rStyle w:val="Style12"/>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1"/>
        <w:spacing w:before="80" w:after="0"/>
        <w:ind w:hanging="567" w:left="567"/>
        <w:jc w:val="both"/>
        <w:rPr/>
      </w:pPr>
      <w:r>
        <w:rPr>
          <w:rStyle w:val="Style12"/>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1"/>
        <w:spacing w:before="80" w:after="0"/>
        <w:ind w:hanging="567" w:left="567"/>
        <w:jc w:val="both"/>
        <w:rPr/>
      </w:pPr>
      <w:r>
        <w:rPr>
          <w:rStyle w:val="Style12"/>
        </w:rPr>
        <w:footnoteRef/>
      </w:r>
      <w:r>
        <w:rPr/>
        <w:tab/>
        <w:t>https://minfin.gov.ru/ru/perfomance/tax_relations/policy/bankwarranty/</w:t>
      </w:r>
    </w:p>
  </w:footnote>
  <w:footnote w:id="12">
    <w:p>
      <w:pPr>
        <w:pStyle w:val="Normal"/>
        <w:spacing w:before="120" w:after="0"/>
        <w:jc w:val="both"/>
        <w:rPr>
          <w:sz w:val="22"/>
        </w:rPr>
      </w:pPr>
      <w:r>
        <w:rPr>
          <w:rStyle w:val="Style12"/>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31"/>
        <w:spacing w:before="80" w:after="0"/>
        <w:ind w:hanging="567" w:left="567"/>
        <w:jc w:val="both"/>
        <w:rPr/>
      </w:pPr>
      <w:r>
        <w:rPr>
          <w:rStyle w:val="Style12"/>
        </w:rPr>
        <w:footnoteRef/>
      </w:r>
      <w:r>
        <w:rPr/>
        <w:tab/>
        <w:t>Коллективный участник предоставляет указанные документы на каждого члена.</w:t>
      </w:r>
    </w:p>
  </w:footnote>
  <w:footnote w:id="14">
    <w:p>
      <w:pPr>
        <w:pStyle w:val="Style31"/>
        <w:spacing w:before="80" w:after="0"/>
        <w:ind w:hanging="567" w:left="567"/>
        <w:jc w:val="both"/>
        <w:rPr/>
      </w:pPr>
      <w:r>
        <w:rPr>
          <w:rStyle w:val="Style12"/>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31"/>
        <w:spacing w:before="80" w:after="0"/>
        <w:ind w:hanging="567" w:left="567"/>
        <w:jc w:val="both"/>
        <w:rPr/>
      </w:pPr>
      <w:r>
        <w:rPr>
          <w:rStyle w:val="Style12"/>
        </w:rPr>
        <w:footnoteRef/>
      </w:r>
      <w:bookmarkStart w:id="448"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48"/>
    </w:p>
  </w:footnote>
  <w:footnote w:id="16">
    <w:p>
      <w:pPr>
        <w:pStyle w:val="Style31"/>
        <w:spacing w:before="80" w:after="0"/>
        <w:ind w:hanging="567" w:left="567"/>
        <w:jc w:val="both"/>
        <w:rPr/>
      </w:pPr>
      <w:r>
        <w:rPr>
          <w:rStyle w:val="Style12"/>
        </w:rPr>
        <w:footnoteRef/>
      </w:r>
      <w:bookmarkStart w:id="449" w:name="_Hlk139028803_Копия_1_Копия_1_Копия_1_Ко"/>
      <w:bookmarkStart w:id="450"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49"/>
      <w:bookmarkEnd w:id="450"/>
    </w:p>
  </w:footnote>
  <w:footnote w:id="17">
    <w:p>
      <w:pPr>
        <w:pStyle w:val="FootnoteText"/>
        <w:rPr/>
      </w:pPr>
      <w:r>
        <w:rPr>
          <w:rStyle w:val="Style12"/>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3"/>
      <w:numFmt w:val="decimal"/>
      <w:lvlText w:val="%1."/>
      <w:lvlJc w:val="left"/>
      <w:pPr>
        <w:tabs>
          <w:tab w:val="num" w:pos="1134"/>
        </w:tabs>
        <w:ind w:left="1134" w:hanging="1134"/>
      </w:pPr>
      <w:rPr/>
    </w:lvl>
    <w:lvl w:ilvl="1">
      <w:start w:val="1"/>
      <w:pStyle w:val="Style24"/>
      <w:numFmt w:val="decimal"/>
      <w:lvlText w:val="%1.%2"/>
      <w:lvlJc w:val="left"/>
      <w:pPr>
        <w:tabs>
          <w:tab w:val="num" w:pos="1134"/>
        </w:tabs>
        <w:ind w:left="1134" w:hanging="1134"/>
      </w:pPr>
      <w:rPr/>
    </w:lvl>
    <w:lvl w:ilvl="2">
      <w:start w:val="1"/>
      <w:pStyle w:val="Style25"/>
      <w:numFmt w:val="decimal"/>
      <w:lvlText w:val="%1.%2.%3"/>
      <w:lvlJc w:val="left"/>
      <w:pPr>
        <w:tabs>
          <w:tab w:val="num" w:pos="1134"/>
        </w:tabs>
        <w:ind w:left="1134" w:hanging="1134"/>
      </w:pPr>
      <w:rPr/>
    </w:lvl>
    <w:lvl w:ilvl="3">
      <w:start w:val="1"/>
      <w:pStyle w:val="Style26"/>
      <w:numFmt w:val="russianLower"/>
      <w:lvlText w:val="%4)"/>
      <w:lvlJc w:val="left"/>
      <w:pPr>
        <w:tabs>
          <w:tab w:val="num" w:pos="1701"/>
        </w:tabs>
        <w:ind w:left="1701" w:hanging="567"/>
      </w:pPr>
      <w:rPr/>
    </w:lvl>
    <w:lvl w:ilvl="4">
      <w:start w:val="1"/>
      <w:pStyle w:val="Style27"/>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8">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0">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360"/>
      </w:pPr>
      <w:rPr>
        <w:rFonts w:cs="Times New Roman"/>
      </w:rPr>
    </w:lvl>
    <w:lvl w:ilvl="6">
      <w:start w:val="1"/>
      <w:numFmt w:val="none"/>
      <w:suff w:val="nothing"/>
      <w:lvlText w:val=""/>
      <w:lvlJc w:val="left"/>
      <w:pPr>
        <w:tabs>
          <w:tab w:val="num" w:pos="0"/>
        </w:tabs>
        <w:ind w:left="1701" w:hanging="360"/>
      </w:pPr>
      <w:rPr>
        <w:rFonts w:cs="Times New Roman"/>
      </w:rPr>
    </w:lvl>
    <w:lvl w:ilvl="7">
      <w:start w:val="1"/>
      <w:numFmt w:val="none"/>
      <w:suff w:val="nothing"/>
      <w:lvlText w:val=""/>
      <w:lvlJc w:val="left"/>
      <w:pPr>
        <w:tabs>
          <w:tab w:val="num" w:pos="0"/>
        </w:tabs>
        <w:ind w:left="3240" w:hanging="360"/>
      </w:pPr>
      <w:rPr>
        <w:sz w:val="20"/>
        <w:rFonts w:cs="Times New Roman"/>
      </w:rPr>
    </w:lvl>
    <w:lvl w:ilvl="8">
      <w:start w:val="1"/>
      <w:numFmt w:val="none"/>
      <w:suff w:val="nothing"/>
      <w:lvlText w:val=""/>
      <w:lvlJc w:val="left"/>
      <w:pPr>
        <w:tabs>
          <w:tab w:val="num" w:pos="0"/>
        </w:tabs>
        <w:ind w:left="1134" w:hanging="360"/>
      </w:pPr>
      <w:rPr>
        <w:rFonts w:cs="Times New Roman"/>
      </w:rPr>
    </w:lvl>
  </w:abstractNum>
  <w:abstractNum w:abstractNumId="2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5">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6">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24"/>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2">
    <w:name w:val="Heading 2"/>
    <w:basedOn w:val="Style21"/>
    <w:next w:val="BodyText"/>
    <w:qFormat/>
    <w:pPr>
      <w:spacing w:before="200" w:after="120"/>
    </w:pPr>
    <w:rPr>
      <w:rFonts w:ascii="PT Sans" w:hAnsi="PT Sans" w:eastAsia="Tahoma" w:cs="Tahoma"/>
      <w:b/>
      <w:bCs/>
      <w:sz w:val="36"/>
      <w:szCs w:val="36"/>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basedOn w:val="DefaultParagraphFont"/>
    <w:uiPriority w:val="99"/>
    <w:qFormat/>
    <w:rsid w:val="00c95e18"/>
    <w:rPr/>
  </w:style>
  <w:style w:type="character" w:styleId="Style9" w:customStyle="1">
    <w:name w:val="Нижний колонтитул Знак"/>
    <w:basedOn w:val="DefaultParagraphFont"/>
    <w:uiPriority w:val="99"/>
    <w:qFormat/>
    <w:rsid w:val="008364e8"/>
    <w:rPr/>
  </w:style>
  <w:style w:type="character" w:styleId="Style10" w:customStyle="1">
    <w:name w:val="[РГ] Инструкция для организатора"/>
    <w:basedOn w:val="DefaultParagraphFont"/>
    <w:uiPriority w:val="1"/>
    <w:qFormat/>
    <w:rsid w:val="00277346"/>
    <w:rPr>
      <w:i/>
      <w:iCs/>
      <w:shd w:fill="FFFF99" w:val="clear"/>
      <w:lang w:val="ru-RU"/>
    </w:rPr>
  </w:style>
  <w:style w:type="character" w:styleId="Style11" w:customStyle="1">
    <w:name w:val="Текст сноски Знак"/>
    <w:basedOn w:val="DefaultParagraphFont"/>
    <w:uiPriority w:val="99"/>
    <w:semiHidden/>
    <w:qFormat/>
    <w:rsid w:val="006608d1"/>
    <w:rPr>
      <w:sz w:val="20"/>
      <w:szCs w:val="20"/>
    </w:rPr>
  </w:style>
  <w:style w:type="character" w:styleId="Style12">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3"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4" w:customStyle="1">
    <w:name w:val="Текст примечания Знак"/>
    <w:basedOn w:val="DefaultParagraphFont"/>
    <w:link w:val="Annotationtext"/>
    <w:uiPriority w:val="99"/>
    <w:qFormat/>
    <w:rsid w:val="007e365e"/>
    <w:rPr>
      <w:sz w:val="20"/>
      <w:szCs w:val="20"/>
    </w:rPr>
  </w:style>
  <w:style w:type="character" w:styleId="Style15" w:customStyle="1">
    <w:name w:val="Тема примечания Знак"/>
    <w:basedOn w:val="Style14"/>
    <w:link w:val="Annotationsubject"/>
    <w:uiPriority w:val="99"/>
    <w:semiHidden/>
    <w:qFormat/>
    <w:rsid w:val="007e365e"/>
    <w:rPr>
      <w:b/>
      <w:bCs/>
      <w:sz w:val="20"/>
      <w:szCs w:val="20"/>
    </w:rPr>
  </w:style>
  <w:style w:type="character" w:styleId="Style16"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7"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8" w:customStyle="1">
    <w:name w:val="РГ_ЕПоЗ_а) Знак"/>
    <w:basedOn w:val="DefaultParagraphFont"/>
    <w:link w:val="Style33"/>
    <w:qFormat/>
    <w:rsid w:val="008c1794"/>
    <w:rPr>
      <w:rFonts w:eastAsia="Calibri" w:cs="Times New Roman"/>
      <w:sz w:val="28"/>
      <w:szCs w:val="28"/>
    </w:rPr>
  </w:style>
  <w:style w:type="character" w:styleId="-" w:customStyle="1">
    <w:name w:val="РГ_ЕПоЗ_- Знак"/>
    <w:basedOn w:val="DefaultParagraphFont"/>
    <w:link w:val="-1"/>
    <w:qFormat/>
    <w:rsid w:val="008c1794"/>
    <w:rPr>
      <w:rFonts w:eastAsia="Times New Roman" w:cs="Times New Roman"/>
      <w:sz w:val="28"/>
      <w:szCs w:val="20"/>
      <w:lang w:eastAsia="ru-RU"/>
    </w:rPr>
  </w:style>
  <w:style w:type="character" w:styleId="Style19">
    <w:name w:val="Ссылка указателя"/>
    <w:qFormat/>
    <w:rPr/>
  </w:style>
  <w:style w:type="character" w:styleId="Style20">
    <w:name w:val="Символ концевой сноски"/>
    <w:qFormat/>
    <w:rPr>
      <w:vertAlign w:val="superscript"/>
    </w:rPr>
  </w:style>
  <w:style w:type="character" w:styleId="EndnoteReference">
    <w:name w:val="Endnote Reference"/>
    <w:rPr>
      <w:vertAlign w:val="superscript"/>
    </w:rPr>
  </w:style>
  <w:style w:type="paragraph" w:styleId="Style21">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2">
    <w:name w:val="Указатель"/>
    <w:basedOn w:val="Normal"/>
    <w:qFormat/>
    <w:pPr>
      <w:suppressLineNumbers/>
    </w:pPr>
    <w:rPr>
      <w:rFonts w:cs="Arial Unicode MS"/>
    </w:rPr>
  </w:style>
  <w:style w:type="paragraph" w:styleId="Style23" w:customStyle="1">
    <w:name w:val="[РГ] Раздел"/>
    <w:basedOn w:val="Normal"/>
    <w:next w:val="Style24"/>
    <w:qFormat/>
    <w:rsid w:val="00c95e18"/>
    <w:pPr>
      <w:keepNext w:val="true"/>
      <w:pageBreakBefore/>
      <w:numPr>
        <w:ilvl w:val="0"/>
        <w:numId w:val="1"/>
      </w:numPr>
      <w:spacing w:before="0" w:after="360"/>
      <w:jc w:val="both"/>
      <w:outlineLvl w:val="0"/>
    </w:pPr>
    <w:rPr>
      <w:b/>
      <w:bCs/>
      <w:caps/>
    </w:rPr>
  </w:style>
  <w:style w:type="paragraph" w:styleId="Style24" w:customStyle="1">
    <w:name w:val="[РГ] Подраздел"/>
    <w:basedOn w:val="Normal"/>
    <w:next w:val="Style25"/>
    <w:qFormat/>
    <w:rsid w:val="00891546"/>
    <w:pPr>
      <w:keepNext w:val="true"/>
      <w:numPr>
        <w:ilvl w:val="1"/>
        <w:numId w:val="1"/>
      </w:numPr>
      <w:spacing w:before="360" w:after="0"/>
      <w:jc w:val="both"/>
      <w:outlineLvl w:val="1"/>
    </w:pPr>
    <w:rPr>
      <w:b/>
      <w:bCs/>
    </w:rPr>
  </w:style>
  <w:style w:type="paragraph" w:styleId="Style25" w:customStyle="1">
    <w:name w:val="[РГ] Пункт"/>
    <w:basedOn w:val="Normal"/>
    <w:qFormat/>
    <w:rsid w:val="00891546"/>
    <w:pPr>
      <w:numPr>
        <w:ilvl w:val="2"/>
        <w:numId w:val="1"/>
      </w:numPr>
      <w:jc w:val="both"/>
      <w:outlineLvl w:val="2"/>
    </w:pPr>
    <w:rPr/>
  </w:style>
  <w:style w:type="paragraph" w:styleId="Style26" w:customStyle="1">
    <w:name w:val="[РГ] Подпункт"/>
    <w:basedOn w:val="Normal"/>
    <w:qFormat/>
    <w:rsid w:val="00891546"/>
    <w:pPr>
      <w:numPr>
        <w:ilvl w:val="3"/>
        <w:numId w:val="1"/>
      </w:numPr>
      <w:jc w:val="both"/>
      <w:outlineLvl w:val="3"/>
    </w:pPr>
    <w:rPr/>
  </w:style>
  <w:style w:type="paragraph" w:styleId="Style27" w:customStyle="1">
    <w:name w:val="[РГ] Перечисление"/>
    <w:basedOn w:val="Normal"/>
    <w:qFormat/>
    <w:rsid w:val="00891546"/>
    <w:pPr>
      <w:numPr>
        <w:ilvl w:val="4"/>
        <w:numId w:val="1"/>
      </w:numPr>
      <w:jc w:val="both"/>
      <w:outlineLvl w:val="4"/>
    </w:pPr>
    <w:rPr/>
  </w:style>
  <w:style w:type="paragraph" w:styleId="Style28" w:customStyle="1">
    <w:name w:val="[РГ] Заголовок"/>
    <w:basedOn w:val="Normal"/>
    <w:next w:val="Style29"/>
    <w:qFormat/>
    <w:rsid w:val="00f87384"/>
    <w:pPr>
      <w:keepNext w:val="true"/>
      <w:pageBreakBefore/>
      <w:spacing w:before="0" w:after="360"/>
      <w:jc w:val="both"/>
    </w:pPr>
    <w:rPr>
      <w:b/>
      <w:bCs/>
      <w:caps/>
    </w:rPr>
  </w:style>
  <w:style w:type="paragraph" w:styleId="Style29" w:customStyle="1">
    <w:name w:val="[РГ] Текст"/>
    <w:basedOn w:val="Normal"/>
    <w:qFormat/>
    <w:rsid w:val="00891546"/>
    <w:pPr>
      <w:jc w:val="both"/>
    </w:pPr>
    <w:rPr/>
  </w:style>
  <w:style w:type="paragraph" w:styleId="Style30">
    <w:name w:val="Колонтитул"/>
    <w:basedOn w:val="Normal"/>
    <w:qFormat/>
    <w:pPr/>
    <w:rPr/>
  </w:style>
  <w:style w:type="paragraph" w:styleId="Header">
    <w:name w:val="Header"/>
    <w:basedOn w:val="Normal"/>
    <w:link w:val="Style8"/>
    <w:uiPriority w:val="99"/>
    <w:unhideWhenUsed/>
    <w:rsid w:val="00c95e18"/>
    <w:pPr>
      <w:spacing w:before="0" w:after="120"/>
      <w:jc w:val="center"/>
    </w:pPr>
    <w:rPr/>
  </w:style>
  <w:style w:type="paragraph" w:styleId="Footer">
    <w:name w:val="Footer"/>
    <w:basedOn w:val="Normal"/>
    <w:link w:val="Style9"/>
    <w:uiPriority w:val="99"/>
    <w:unhideWhenUsed/>
    <w:rsid w:val="008364e8"/>
    <w:pPr>
      <w:jc w:val="right"/>
    </w:pPr>
    <w:rPr/>
  </w:style>
  <w:style w:type="paragraph" w:styleId="FootnoteText">
    <w:name w:val="Footnote Text"/>
    <w:basedOn w:val="Normal"/>
    <w:link w:val="Style11"/>
    <w:uiPriority w:val="99"/>
    <w:semiHidden/>
    <w:unhideWhenUsed/>
    <w:rsid w:val="006608d1"/>
    <w:pPr>
      <w:spacing w:before="0" w:after="0"/>
    </w:pPr>
    <w:rPr>
      <w:sz w:val="20"/>
      <w:szCs w:val="20"/>
    </w:rPr>
  </w:style>
  <w:style w:type="paragraph" w:styleId="Style31"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4"/>
    <w:uiPriority w:val="99"/>
    <w:unhideWhenUsed/>
    <w:qFormat/>
    <w:rsid w:val="007e365e"/>
    <w:pPr/>
    <w:rPr>
      <w:sz w:val="20"/>
      <w:szCs w:val="20"/>
    </w:rPr>
  </w:style>
  <w:style w:type="paragraph" w:styleId="Annotationsubject">
    <w:name w:val="annotation subject"/>
    <w:basedOn w:val="Annotationtext"/>
    <w:next w:val="Annotationtext"/>
    <w:link w:val="Style15"/>
    <w:uiPriority w:val="99"/>
    <w:semiHidden/>
    <w:unhideWhenUsed/>
    <w:qFormat/>
    <w:rsid w:val="007e365e"/>
    <w:pPr/>
    <w:rPr>
      <w:b/>
      <w:bCs/>
    </w:rPr>
  </w:style>
  <w:style w:type="paragraph" w:styleId="Style32" w:customStyle="1">
    <w:name w:val="[РГ] Альтернатива / Дополнение"/>
    <w:basedOn w:val="Style29"/>
    <w:next w:val="Style29"/>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BalloonText">
    <w:name w:val="Balloon Text"/>
    <w:basedOn w:val="Normal"/>
    <w:link w:val="Style17"/>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8c1794"/>
    <w:pPr>
      <w:keepNext w:val="true"/>
      <w:numPr>
        <w:ilvl w:val="0"/>
        <w:numId w:val="18"/>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8c1794"/>
    <w:pPr>
      <w:keepNext w:val="true"/>
      <w:numPr>
        <w:ilvl w:val="1"/>
        <w:numId w:val="18"/>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3" w:customStyle="1">
    <w:name w:val="РГ_ЕПоЗ_а)"/>
    <w:basedOn w:val="ListParagraph"/>
    <w:link w:val="Style18"/>
    <w:qFormat/>
    <w:rsid w:val="008c1794"/>
    <w:pPr>
      <w:numPr>
        <w:ilvl w:val="4"/>
        <w:numId w:val="18"/>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8c1794"/>
    <w:pPr>
      <w:numPr>
        <w:ilvl w:val="3"/>
        <w:numId w:val="18"/>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8c1794"/>
    <w:pPr>
      <w:numPr>
        <w:ilvl w:val="5"/>
        <w:numId w:val="18"/>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8c1794"/>
    <w:pPr>
      <w:numPr>
        <w:ilvl w:val="2"/>
        <w:numId w:val="18"/>
      </w:numPr>
      <w:tabs>
        <w:tab w:val="clear" w:pos="708"/>
        <w:tab w:val="left" w:pos="1134" w:leader="none"/>
      </w:tabs>
      <w:jc w:val="both"/>
    </w:pPr>
    <w:rPr>
      <w:rFonts w:eastAsia="Times New Roman" w:cs="Times New Roman"/>
      <w:sz w:val="28"/>
      <w:szCs w:val="28"/>
      <w:lang w:eastAsia="ru-RU"/>
    </w:rPr>
  </w:style>
  <w:style w:type="paragraph" w:styleId="Tableheader">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3">
    <w:name w:val="УРОВЕНЬ_Абзац_тип3"/>
    <w:qFormat/>
    <w:pPr>
      <w:keepNext w:val="false"/>
      <w:keepLines w:val="false"/>
      <w:pageBreakBefore w:val="false"/>
      <w:widowControl/>
      <w:numPr>
        <w:ilvl w:val="0"/>
        <w:numId w:val="0"/>
      </w:numPr>
      <w:shd w:val="nil"/>
      <w:suppressAutoHyphens w:val="true"/>
      <w:bidi w:val="0"/>
      <w:spacing w:lineRule="exact" w:line="360" w:beforeAutospacing="0" w:before="0" w:afterAutospacing="0" w:after="0"/>
      <w:ind w:hanging="0" w:left="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suppressLineNumbers/>
      <w:jc w:val="center"/>
    </w:pPr>
    <w:rPr>
      <w:b/>
      <w:bCs/>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ushydro.roseltorg.ru/" TargetMode="External"/><Relationship Id="rId3" Type="http://schemas.openxmlformats.org/officeDocument/2006/relationships/hyperlink" Target="mailto:dgk@dgk.ru"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package" Target="embeddings/oleObject1.docx"/><Relationship Id="rId19" Type="http://schemas.openxmlformats.org/officeDocument/2006/relationships/image" Target="media/image1.wmf"/><Relationship Id="rId20" Type="http://schemas.openxmlformats.org/officeDocument/2006/relationships/package" Target="embeddings/oleObject2.docx"/><Relationship Id="rId21" Type="http://schemas.openxmlformats.org/officeDocument/2006/relationships/image" Target="media/image2.wmf"/><Relationship Id="rId22" Type="http://schemas.openxmlformats.org/officeDocument/2006/relationships/header" Target="header8.xml"/><Relationship Id="rId23" Type="http://schemas.openxmlformats.org/officeDocument/2006/relationships/header" Target="header9.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hyperlink" Target="https://bo.nalog.ru/" TargetMode="Externa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package" Target="embeddings/oleObject3.xlsx"/><Relationship Id="rId32" Type="http://schemas.openxmlformats.org/officeDocument/2006/relationships/image" Target="media/image3.wmf"/><Relationship Id="rId33" Type="http://schemas.openxmlformats.org/officeDocument/2006/relationships/package" Target="embeddings/oleObject4.docx"/><Relationship Id="rId34" Type="http://schemas.openxmlformats.org/officeDocument/2006/relationships/image" Target="media/image4.wmf"/><Relationship Id="rId35" Type="http://schemas.openxmlformats.org/officeDocument/2006/relationships/header" Target="header12.xml"/><Relationship Id="rId36" Type="http://schemas.openxmlformats.org/officeDocument/2006/relationships/header" Target="header13.xml"/><Relationship Id="rId37" Type="http://schemas.openxmlformats.org/officeDocument/2006/relationships/footer" Target="footer12.xml"/><Relationship Id="rId38" Type="http://schemas.openxmlformats.org/officeDocument/2006/relationships/footer" Target="footer13.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Relationship Id="rId4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3AC73-8A40-4339-BBD1-46D6B4A9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Application>AlterOffice/2026.2.0.0$Linux_X86_64 LibreOffice_project/bc4ef1adf80b36c7a6365f8ed6cbf29021361edd</Application>
  <AppVersion>15.0000</AppVersion>
  <Pages>85</Pages>
  <Words>21043</Words>
  <Characters>146738</Characters>
  <CharactersWithSpaces>166090</CharactersWithSpaces>
  <Paragraphs>1193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2025-09-01T14:21:00Z</dcterms:created>
  <dc:creator>Владимир Щербаков</dc:creator>
  <dc:description/>
  <cp:keywords>Типовая форма</cp:keywords>
  <dc:language>ru-RU</dc:language>
  <cp:lastModifiedBy>muraveva_sb@DGK.RU</cp:lastModifiedBy>
  <cp:lastPrinted>2026-10-19T17:51:43Z</cp:lastPrinted>
  <dcterms:modified xsi:type="dcterms:W3CDTF">2026-10-19T17:52:03Z</dcterms:modified>
  <cp:revision>50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