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3.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hanging="0" w:left="4536"/>
        <w:rPr/>
      </w:pPr>
      <w:r>
        <w:rPr/>
        <w:t>«УТВЕРЖДАЮ»</w:t>
      </w:r>
    </w:p>
    <w:p>
      <w:pPr>
        <w:pStyle w:val="Normal"/>
        <w:widowControl w:val="false"/>
        <w:spacing w:before="0" w:after="0"/>
        <w:ind w:hanging="0" w:left="4535"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Pr>
          <w:sz w:val="24"/>
          <w:szCs w:val="24"/>
        </w:rPr>
      </w:pPr>
      <w:r>
        <w:rPr>
          <w:sz w:val="24"/>
          <w:szCs w:val="24"/>
        </w:rPr>
      </w:r>
    </w:p>
    <w:p>
      <w:pPr>
        <w:pStyle w:val="Normal"/>
        <w:widowControl w:val="false"/>
        <w:spacing w:before="0" w:after="0"/>
        <w:ind w:hanging="0" w:left="4535" w:right="0"/>
        <w:rPr>
          <w:sz w:val="24"/>
          <w:szCs w:val="24"/>
        </w:rPr>
      </w:pPr>
      <w:r>
        <w:rPr>
          <w:sz w:val="24"/>
          <w:szCs w:val="24"/>
        </w:rPr>
        <w:t>__________________Д.А. Богонатов</w:t>
      </w:r>
    </w:p>
    <w:p>
      <w:pPr>
        <w:pStyle w:val="Normal"/>
        <w:widowControl w:val="false"/>
        <w:spacing w:lineRule="auto" w:line="276" w:before="0" w:after="0"/>
        <w:ind w:firstLine="4535" w:left="0" w:right="0"/>
        <w:rPr>
          <w:sz w:val="24"/>
          <w:szCs w:val="24"/>
        </w:rPr>
      </w:pPr>
      <w:r>
        <w:rPr>
          <w:sz w:val="24"/>
          <w:szCs w:val="24"/>
        </w:rPr>
        <w:t xml:space="preserve">«___»_______________ 2026 г </w:t>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pPr>
      <w:r>
        <w:rPr>
          <w:rStyle w:val="Style3"/>
          <w:shd w:fill="auto" w:val="clear"/>
        </w:rPr>
        <w:t>Запрос предложений в электронной форме,</w:t>
      </w:r>
    </w:p>
    <w:p>
      <w:pPr>
        <w:pStyle w:val="Style21"/>
        <w:spacing w:before="240" w:after="0"/>
        <w:jc w:val="center"/>
        <w:rPr/>
      </w:pPr>
      <w:r>
        <w:rPr>
          <w:rStyle w:val="Style3"/>
          <w:shd w:fill="auto" w:val="clear"/>
        </w:rPr>
        <w:t>на право заключения договора на ОКПД2 41.20.40 Выполнение работ по ремонту зданий и сооружений Хабаровской ТЭЦ-1 в г. Хабаровск  (ПП: 7.134-Рем-2022-ХТЭЦ1)</w:t>
      </w:r>
    </w:p>
    <w:p>
      <w:pPr>
        <w:pStyle w:val="Style21"/>
        <w:spacing w:before="240" w:after="0"/>
        <w:jc w:val="center"/>
        <w:rPr>
          <w:highlight w:val="none"/>
          <w:shd w:fill="auto" w:val="clear"/>
        </w:rPr>
      </w:pPr>
      <w:r>
        <w:rPr>
          <w:shd w:fill="auto" w:val="clear"/>
        </w:rPr>
      </w:r>
    </w:p>
    <w:p>
      <w:pPr>
        <w:pStyle w:val="Style21"/>
        <w:spacing w:before="240" w:after="0"/>
        <w:jc w:val="center"/>
        <w:rPr>
          <w:highlight w:val="none"/>
          <w:shd w:fill="auto" w:val="clear"/>
        </w:rPr>
      </w:pPr>
      <w:r>
        <w:rPr>
          <w:shd w:fill="auto" w:val="clear"/>
        </w:rPr>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spacing w:before="240" w:after="0"/>
        <w:jc w:val="center"/>
        <w:rPr/>
      </w:pPr>
      <w:r>
        <w:rPr>
          <w:rStyle w:val="Style3"/>
          <w:shd w:fill="auto" w:val="clear"/>
        </w:rPr>
        <w:t>(Лот № 11020006-РЕМ ПРОД-2027-ДГК-ХТЭЦ1)</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12"/>
              <w:vanish w:val="false"/>
            </w:rPr>
            <w:fldChar w:fldCharType="separate"/>
          </w:r>
          <w:hyperlink w:anchor="_Toc228976075" w:tgtFrame="#_Toc228976075">
            <w:r>
              <w:rPr>
                <w:webHidden/>
              </w:rPr>
              <w:fldChar w:fldCharType="begin"/>
            </w:r>
            <w:r>
              <w:rPr>
                <w:webHidden/>
              </w:rPr>
              <w:instrText xml:space="preserve">PAGEREF _Toc228976075 \h</w:instrText>
            </w:r>
            <w:r>
              <w:rPr>
                <w:webHidden/>
              </w:rPr>
              <w:fldChar w:fldCharType="separate"/>
            </w:r>
            <w:r>
              <w:rPr>
                <w:webHidden/>
                <w:rStyle w:val="Style12"/>
                <w:vanish w:val="false"/>
              </w:rPr>
              <w:t>Сокращения</w:t>
              <w:tab/>
              <w:t>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076" w:tgtFrame="#_Toc228976076">
            <w:r>
              <w:rPr>
                <w:webHidden/>
              </w:rPr>
              <w:fldChar w:fldCharType="begin"/>
            </w:r>
            <w:r>
              <w:rPr>
                <w:webHidden/>
              </w:rPr>
              <w:instrText xml:space="preserve">PAGEREF _Toc228976076 \h</w:instrText>
            </w:r>
            <w:r>
              <w:rPr>
                <w:webHidden/>
              </w:rPr>
              <w:fldChar w:fldCharType="separate"/>
            </w:r>
            <w:r>
              <w:rPr>
                <w:webHidden/>
                <w:rStyle w:val="Style12"/>
                <w:vanish w:val="false"/>
              </w:rPr>
              <w:t>Термины и определения</w:t>
              <w:tab/>
              <w:t>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077" w:tgtFrame="#_Toc228976077">
            <w:r>
              <w:rPr>
                <w:webHidden/>
                <w:rStyle w:val="Style12"/>
                <w:vanish w:val="false"/>
              </w:rPr>
              <w:t>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_Toc228976077 \h</w:instrText>
            </w:r>
            <w:r>
              <w:rPr>
                <w:webHidden/>
              </w:rPr>
              <w:fldChar w:fldCharType="separate"/>
            </w:r>
            <w:r>
              <w:rPr>
                <w:rStyle w:val="Style12"/>
              </w:rPr>
              <w:t>Основные сведения о закупке</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78" w:tgtFrame="#_Toc228976078">
            <w:r>
              <w:rPr>
                <w:webHidden/>
                <w:rStyle w:val="Style12"/>
                <w:vanish w:val="false"/>
              </w:rPr>
              <w:t>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_Toc228976078 \h</w:instrText>
            </w:r>
            <w:r>
              <w:rPr>
                <w:webHidden/>
              </w:rPr>
              <w:fldChar w:fldCharType="separate"/>
            </w:r>
            <w:r>
              <w:rPr>
                <w:rStyle w:val="Style12"/>
              </w:rPr>
              <w:t>Статус настоящего раздела</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79" w:tgtFrame="#_Toc228976079">
            <w:r>
              <w:rPr>
                <w:webHidden/>
                <w:rStyle w:val="Style12"/>
                <w:vanish w:val="false"/>
              </w:rPr>
              <w:t>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_Toc228976079 \h</w:instrText>
            </w:r>
            <w:r>
              <w:rPr>
                <w:webHidden/>
              </w:rPr>
              <w:fldChar w:fldCharType="separate"/>
            </w:r>
            <w:r>
              <w:rPr>
                <w:rStyle w:val="Style12"/>
              </w:rPr>
              <w:t>Информация о проводимой закупке</w:t>
              <w:tab/>
              <w:t>11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080" w:tgtFrame="#_Toc228976080">
            <w:r>
              <w:rPr>
                <w:webHidden/>
                <w:rStyle w:val="Style12"/>
                <w:vanish w:val="false"/>
              </w:rPr>
              <w:t>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_Toc228976080 \h</w:instrText>
            </w:r>
            <w:r>
              <w:rPr>
                <w:webHidden/>
              </w:rPr>
              <w:fldChar w:fldCharType="separate"/>
            </w:r>
            <w:r>
              <w:rPr>
                <w:rStyle w:val="Style12"/>
              </w:rPr>
              <w:t>Общие положения</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1" w:tgtFrame="#_Toc228976081">
            <w:r>
              <w:rPr>
                <w:webHidden/>
                <w:rStyle w:val="Style12"/>
                <w:vanish w:val="false"/>
              </w:rPr>
              <w:t>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_Toc228976081 \h</w:instrText>
            </w:r>
            <w:r>
              <w:rPr>
                <w:webHidden/>
              </w:rPr>
              <w:fldChar w:fldCharType="separate"/>
            </w:r>
            <w:r>
              <w:rPr>
                <w:rStyle w:val="Style12"/>
              </w:rPr>
              <w:t>Общие сведения о закупке</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2" w:tgtFrame="#_Toc228976082">
            <w:r>
              <w:rPr>
                <w:webHidden/>
                <w:rStyle w:val="Style12"/>
                <w:vanish w:val="false"/>
              </w:rPr>
              <w:t>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_Toc228976082 \h</w:instrText>
            </w:r>
            <w:r>
              <w:rPr>
                <w:webHidden/>
              </w:rPr>
              <w:fldChar w:fldCharType="separate"/>
            </w:r>
            <w:r>
              <w:rPr>
                <w:rStyle w:val="Style12"/>
              </w:rPr>
              <w:t>Правовой статус документов</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3" w:tgtFrame="#_Toc228976083">
            <w:r>
              <w:rPr>
                <w:webHidden/>
                <w:rStyle w:val="Style12"/>
                <w:vanish w:val="false"/>
              </w:rPr>
              <w:t>2.3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_Toc228976083 \h</w:instrText>
            </w:r>
            <w:r>
              <w:rPr>
                <w:webHidden/>
              </w:rPr>
              <w:fldChar w:fldCharType="separate"/>
            </w:r>
            <w:r>
              <w:rPr>
                <w:rStyle w:val="Style12"/>
              </w:rPr>
              <w:t>Обжалование</w:t>
              <w:tab/>
              <w:t>20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4" w:tgtFrame="#_Toc228976084">
            <w:r>
              <w:rPr>
                <w:webHidden/>
                <w:rStyle w:val="Style12"/>
                <w:vanish w:val="false"/>
              </w:rPr>
              <w:t>2.4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_Toc228976084 \h</w:instrText>
            </w:r>
            <w:r>
              <w:rPr>
                <w:webHidden/>
              </w:rPr>
              <w:fldChar w:fldCharType="separate"/>
            </w:r>
            <w:r>
              <w:rPr>
                <w:rStyle w:val="Style12"/>
              </w:rPr>
              <w:t>Особые положения при проведении закупки с использованием ЭП</w:t>
              <w:tab/>
              <w:t>21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5" w:tgtFrame="#_Toc228976085">
            <w:r>
              <w:rPr>
                <w:webHidden/>
                <w:rStyle w:val="Style12"/>
                <w:vanish w:val="false"/>
              </w:rPr>
              <w:t>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_Toc228976085 \h</w:instrText>
            </w:r>
            <w:r>
              <w:rPr>
                <w:webHidden/>
              </w:rPr>
              <w:fldChar w:fldCharType="separate"/>
            </w:r>
            <w:r>
              <w:rPr>
                <w:rStyle w:val="Style12"/>
              </w:rPr>
              <w:t>Прочие положения</w:t>
              <w:tab/>
              <w:t>21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086" w:tgtFrame="#_Toc228976086">
            <w:r>
              <w:rPr>
                <w:webHidden/>
                <w:rStyle w:val="Style12"/>
                <w:vanish w:val="false"/>
              </w:rPr>
              <w:t>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_Toc228976086 \h</w:instrText>
            </w:r>
            <w:r>
              <w:rPr>
                <w:webHidden/>
              </w:rPr>
              <w:fldChar w:fldCharType="separate"/>
            </w:r>
            <w:r>
              <w:rPr>
                <w:rStyle w:val="Style12"/>
              </w:rPr>
              <w:t>Требования к Участникам</w:t>
              <w:tab/>
              <w:t>23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7" w:tgtFrame="#_Toc228976087">
            <w:r>
              <w:rPr>
                <w:webHidden/>
                <w:rStyle w:val="Style12"/>
                <w:vanish w:val="false"/>
              </w:rPr>
              <w:t>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_Toc228976087 \h</w:instrText>
            </w:r>
            <w:r>
              <w:rPr>
                <w:webHidden/>
              </w:rPr>
              <w:fldChar w:fldCharType="separate"/>
            </w:r>
            <w:r>
              <w:rPr>
                <w:rStyle w:val="Style12"/>
              </w:rPr>
              <w:t>Общие требования к Участникам</w:t>
              <w:tab/>
              <w:t>23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8" w:tgtFrame="#_Toc228976088">
            <w:r>
              <w:rPr>
                <w:webHidden/>
                <w:rStyle w:val="Style12"/>
                <w:vanish w:val="false"/>
              </w:rPr>
              <w:t>3.2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_Toc228976088 \h</w:instrText>
            </w:r>
            <w:r>
              <w:rPr>
                <w:webHidden/>
              </w:rPr>
              <w:fldChar w:fldCharType="separate"/>
            </w:r>
            <w:r>
              <w:rPr>
                <w:rStyle w:val="Style12"/>
              </w:rPr>
              <w:t>Коллективные участники</w:t>
              <w:tab/>
              <w:t>23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89" w:tgtFrame="#_Toc228976089">
            <w:r>
              <w:rPr>
                <w:webHidden/>
                <w:rStyle w:val="Style12"/>
                <w:vanish w:val="false"/>
              </w:rPr>
              <w:t>3.3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_Toc228976089 \h</w:instrText>
            </w:r>
            <w:r>
              <w:rPr>
                <w:webHidden/>
              </w:rPr>
              <w:fldChar w:fldCharType="separate"/>
            </w:r>
            <w:r>
              <w:rPr>
                <w:rStyle w:val="Style12"/>
              </w:rPr>
              <w:t>Генеральные подрядчики</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0" w:tgtFrame="#_Toc228976090">
            <w:r>
              <w:rPr>
                <w:webHidden/>
                <w:rStyle w:val="Style12"/>
                <w:vanish w:val="false"/>
              </w:rPr>
              <w:t>3.4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_Toc228976090 \h</w:instrText>
            </w:r>
            <w:r>
              <w:rPr>
                <w:webHidden/>
              </w:rPr>
              <w:fldChar w:fldCharType="separate"/>
            </w:r>
            <w:r>
              <w:rPr>
                <w:rStyle w:val="Style12"/>
              </w:rPr>
              <w:t>Привлечение субподрядчиков (соисполнителей) из числа субъектов МСП</w:t>
              <w:tab/>
              <w:t>27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091" w:tgtFrame="#_Toc228976091">
            <w:r>
              <w:rPr>
                <w:webHidden/>
                <w:rStyle w:val="Style12"/>
                <w:vanish w:val="false"/>
              </w:rPr>
              <w:t>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_Toc228976091 \h</w:instrText>
            </w:r>
            <w:r>
              <w:rPr>
                <w:webHidden/>
              </w:rPr>
              <w:fldChar w:fldCharType="separate"/>
            </w:r>
            <w:r>
              <w:rPr>
                <w:rStyle w:val="Style12"/>
              </w:rPr>
              <w:t>Порядок проведения закупки</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2" w:tgtFrame="#_Toc228976092">
            <w:r>
              <w:rPr>
                <w:webHidden/>
                <w:rStyle w:val="Style12"/>
                <w:vanish w:val="false"/>
              </w:rPr>
              <w:t>4.1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_Toc228976092 \h</w:instrText>
            </w:r>
            <w:r>
              <w:rPr>
                <w:webHidden/>
              </w:rPr>
              <w:fldChar w:fldCharType="separate"/>
            </w:r>
            <w:r>
              <w:rPr>
                <w:rStyle w:val="Style12"/>
              </w:rPr>
              <w:t>Общий порядок проведения закупки</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3" w:tgtFrame="#_Toc228976093">
            <w:r>
              <w:rPr>
                <w:webHidden/>
                <w:rStyle w:val="Style12"/>
                <w:vanish w:val="false"/>
              </w:rPr>
              <w:t>4.2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_Toc228976093 \h</w:instrText>
            </w:r>
            <w:r>
              <w:rPr>
                <w:webHidden/>
              </w:rPr>
              <w:fldChar w:fldCharType="separate"/>
            </w:r>
            <w:r>
              <w:rPr>
                <w:rStyle w:val="Style12"/>
              </w:rPr>
              <w:t>Официальное размещение Извещения и Документации о закупке</w:t>
              <w:tab/>
              <w:t>29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4" w:tgtFrame="#_Toc228976094">
            <w:r>
              <w:rPr>
                <w:webHidden/>
                <w:rStyle w:val="Style12"/>
                <w:vanish w:val="false"/>
              </w:rPr>
              <w:t>4.3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_Toc228976094 \h</w:instrText>
            </w:r>
            <w:r>
              <w:rPr>
                <w:webHidden/>
              </w:rPr>
              <w:fldChar w:fldCharType="separate"/>
            </w:r>
            <w:r>
              <w:rPr>
                <w:rStyle w:val="Style12"/>
              </w:rPr>
              <w:t>Подготовка заявки</w:t>
              <w:tab/>
              <w:t>29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5" w:tgtFrame="#_Toc228976095">
            <w:r>
              <w:rPr>
                <w:webHidden/>
                <w:rStyle w:val="Style12"/>
                <w:vanish w:val="false"/>
              </w:rPr>
              <w:t>4.4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_Toc228976095 \h</w:instrText>
            </w:r>
            <w:r>
              <w:rPr>
                <w:webHidden/>
              </w:rPr>
              <w:fldChar w:fldCharType="separate"/>
            </w:r>
            <w:r>
              <w:rPr>
                <w:rStyle w:val="Style12"/>
              </w:rPr>
              <w:t>Разъяснение Документации о закупке</w:t>
              <w:tab/>
              <w:t>31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6" w:tgtFrame="#_Toc228976096">
            <w:r>
              <w:rPr>
                <w:webHidden/>
                <w:rStyle w:val="Style12"/>
                <w:vanish w:val="false"/>
              </w:rPr>
              <w:t>4.5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_Toc228976096 \h</w:instrText>
            </w:r>
            <w:r>
              <w:rPr>
                <w:webHidden/>
              </w:rPr>
              <w:fldChar w:fldCharType="separate"/>
            </w:r>
            <w:r>
              <w:rPr>
                <w:rStyle w:val="Style12"/>
              </w:rPr>
              <w:t>Изменения Извещения и (или) Документации о закупке</w:t>
              <w:tab/>
              <w:t>32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7" w:tgtFrame="#_Toc228976097">
            <w:r>
              <w:rPr>
                <w:webHidden/>
                <w:rStyle w:val="Style12"/>
                <w:vanish w:val="false"/>
              </w:rPr>
              <w:t>4.6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_Toc228976097 \h</w:instrText>
            </w:r>
            <w:r>
              <w:rPr>
                <w:webHidden/>
              </w:rPr>
              <w:fldChar w:fldCharType="separate"/>
            </w:r>
            <w:r>
              <w:rPr>
                <w:rStyle w:val="Style12"/>
              </w:rPr>
              <w:t>Подача заявок и их прием</w:t>
              <w:tab/>
              <w:t>32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8" w:tgtFrame="#_Toc228976098">
            <w:r>
              <w:rPr>
                <w:webHidden/>
                <w:rStyle w:val="Style12"/>
                <w:vanish w:val="false"/>
              </w:rPr>
              <w:t>4.7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_Toc228976098 \h</w:instrText>
            </w:r>
            <w:r>
              <w:rPr>
                <w:webHidden/>
              </w:rPr>
              <w:fldChar w:fldCharType="separate"/>
            </w:r>
            <w:r>
              <w:rPr>
                <w:rStyle w:val="Style12"/>
              </w:rPr>
              <w:t>Изменение и отзыв заявок</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099" w:tgtFrame="#_Toc228976099">
            <w:r>
              <w:rPr>
                <w:webHidden/>
                <w:rStyle w:val="Style12"/>
                <w:vanish w:val="false"/>
              </w:rPr>
              <w:t>4.8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_Toc228976099 \h</w:instrText>
            </w:r>
            <w:r>
              <w:rPr>
                <w:webHidden/>
              </w:rPr>
              <w:fldChar w:fldCharType="separate"/>
            </w:r>
            <w:r>
              <w:rPr>
                <w:rStyle w:val="Style12"/>
              </w:rPr>
              <w:t>Открытие доступа к заявкам</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0" w:tgtFrame="#_Toc228976100">
            <w:r>
              <w:rPr>
                <w:webHidden/>
                <w:rStyle w:val="Style12"/>
                <w:vanish w:val="false"/>
              </w:rPr>
              <w:t>4.9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_Toc228976100 \h</w:instrText>
            </w:r>
            <w:r>
              <w:rPr>
                <w:webHidden/>
              </w:rPr>
              <w:fldChar w:fldCharType="separate"/>
            </w:r>
            <w:r>
              <w:rPr>
                <w:rStyle w:val="Style12"/>
              </w:rPr>
              <w:t>Рассмотрение заявок (отборочная стадия), в том числе (при необходимости) проведение аккредитации</w:t>
              <w:tab/>
              <w:t>34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1" w:tgtFrame="#_Toc228976101">
            <w:r>
              <w:rPr>
                <w:webHidden/>
                <w:rStyle w:val="Style12"/>
                <w:vanish w:val="false"/>
              </w:rPr>
              <w:t>4.10</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_Toc228976101 \h</w:instrText>
            </w:r>
            <w:r>
              <w:rPr>
                <w:webHidden/>
              </w:rPr>
              <w:fldChar w:fldCharType="separate"/>
            </w:r>
            <w:r>
              <w:rPr>
                <w:rStyle w:val="Style12"/>
              </w:rPr>
              <w:t>Дополнительные запросы разъяснений заявок</w:t>
              <w:tab/>
              <w:t>36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2" w:tgtFrame="#_Toc228976102">
            <w:r>
              <w:rPr>
                <w:webHidden/>
                <w:rStyle w:val="Style12"/>
                <w:vanish w:val="false"/>
              </w:rPr>
              <w:t>4.11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_Toc228976102 \h</w:instrText>
            </w:r>
            <w:r>
              <w:rPr>
                <w:webHidden/>
              </w:rPr>
              <w:fldChar w:fldCharType="separate"/>
            </w:r>
            <w:r>
              <w:rPr>
                <w:rStyle w:val="Style12"/>
              </w:rPr>
              <w:t>Переторжка</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3" w:tgtFrame="#_Toc228976103">
            <w:r>
              <w:rPr>
                <w:webHidden/>
                <w:rStyle w:val="Style12"/>
                <w:vanish w:val="false"/>
              </w:rPr>
              <w:t>4.12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_Toc228976103 \h</w:instrText>
            </w:r>
            <w:r>
              <w:rPr>
                <w:webHidden/>
              </w:rPr>
              <w:fldChar w:fldCharType="separate"/>
            </w:r>
            <w:r>
              <w:rPr>
                <w:rStyle w:val="Style12"/>
              </w:rPr>
              <w:t>Оценка и сопоставление заявок</w:t>
              <w:tab/>
              <w:t>40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4" w:tgtFrame="#_Toc228976104">
            <w:r>
              <w:rPr>
                <w:webHidden/>
                <w:rStyle w:val="Style12"/>
                <w:vanish w:val="false"/>
              </w:rPr>
              <w:t>4.13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_Toc228976104 \h</w:instrText>
            </w:r>
            <w:r>
              <w:rPr>
                <w:webHidden/>
              </w:rPr>
              <w:fldChar w:fldCharType="separate"/>
            </w:r>
            <w:r>
              <w:rPr>
                <w:rStyle w:val="Style12"/>
              </w:rPr>
              <w:t>Применение законодательства о национальном режиме</w:t>
              <w:tab/>
              <w:t>41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6" w:tgtFrame="#_Toc228976106">
            <w:r>
              <w:rPr>
                <w:webHidden/>
                <w:rStyle w:val="Style12"/>
                <w:vanish w:val="false"/>
              </w:rPr>
              <w:t>4.15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_Toc228976106 \h</w:instrText>
            </w:r>
            <w:r>
              <w:rPr>
                <w:webHidden/>
              </w:rPr>
              <w:fldChar w:fldCharType="separate"/>
            </w:r>
            <w:r>
              <w:rPr>
                <w:rStyle w:val="Style12"/>
              </w:rPr>
              <w:t>Подведение итогов закупки (определение Победителя)</w:t>
              <w:tab/>
              <w:t>43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7" w:tgtFrame="#_Toc228976107">
            <w:r>
              <w:rPr>
                <w:webHidden/>
                <w:rStyle w:val="Style12"/>
                <w:vanish w:val="false"/>
              </w:rPr>
              <w:t>4.16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_Toc228976107 \h</w:instrText>
            </w:r>
            <w:r>
              <w:rPr>
                <w:webHidden/>
              </w:rPr>
              <w:fldChar w:fldCharType="separate"/>
            </w:r>
            <w:r>
              <w:rPr>
                <w:rStyle w:val="Style12"/>
              </w:rPr>
              <w:t>Признание закупки несостоявшейся</w:t>
              <w:tab/>
              <w:t>45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8" w:tgtFrame="#_Toc228976108">
            <w:r>
              <w:rPr>
                <w:webHidden/>
                <w:rStyle w:val="Style12"/>
                <w:vanish w:val="false"/>
              </w:rPr>
              <w:t>4.17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_Toc228976108 \h</w:instrText>
            </w:r>
            <w:r>
              <w:rPr>
                <w:webHidden/>
              </w:rPr>
              <w:fldChar w:fldCharType="separate"/>
            </w:r>
            <w:r>
              <w:rPr>
                <w:rStyle w:val="Style12"/>
              </w:rPr>
              <w:t>Отказ от проведения закупки (отмена закупки)</w:t>
              <w:tab/>
              <w:t>46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09" w:tgtFrame="#_Toc228976109">
            <w:r>
              <w:rPr>
                <w:webHidden/>
                <w:rStyle w:val="Style12"/>
                <w:vanish w:val="false"/>
              </w:rPr>
              <w:t>4.18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_Toc228976109 \h</w:instrText>
            </w:r>
            <w:r>
              <w:rPr>
                <w:webHidden/>
              </w:rPr>
              <w:fldChar w:fldCharType="separate"/>
            </w:r>
            <w:r>
              <w:rPr>
                <w:rStyle w:val="Style12"/>
              </w:rPr>
              <w:t>Особенности проведения закупки с необходимостью обеспечения заявки</w:t>
              <w:tab/>
              <w:t>46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0" w:tgtFrame="#_Toc228976110">
            <w:r>
              <w:rPr>
                <w:webHidden/>
                <w:rStyle w:val="Style12"/>
                <w:vanish w:val="false"/>
              </w:rPr>
              <w:t>4.19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_Toc228976110 \h</w:instrText>
            </w:r>
            <w:r>
              <w:rPr>
                <w:webHidden/>
              </w:rPr>
              <w:fldChar w:fldCharType="separate"/>
            </w:r>
            <w:r>
              <w:rPr>
                <w:rStyle w:val="Style12"/>
              </w:rPr>
              <w:t>Особенности проведения многолотовой закупки</w:t>
              <w:tab/>
              <w:t>49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1" w:tgtFrame="#_Toc228976111">
            <w:r>
              <w:rPr>
                <w:webHidden/>
                <w:rStyle w:val="Style12"/>
                <w:vanish w:val="false"/>
              </w:rPr>
              <w:t>4.20</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_Toc228976111 \h</w:instrText>
            </w:r>
            <w:r>
              <w:rPr>
                <w:webHidden/>
              </w:rPr>
              <w:fldChar w:fldCharType="separate"/>
            </w:r>
            <w:r>
              <w:rPr>
                <w:rStyle w:val="Style12"/>
              </w:rPr>
              <w:t>Особенности проведения закупки с возможностью подачи альтернативных предложений</w:t>
              <w:tab/>
              <w:t>50</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13" w:tgtFrame="#_Toc228976113">
            <w:r>
              <w:rPr>
                <w:webHidden/>
                <w:rStyle w:val="Style12"/>
                <w:vanish w:val="false"/>
              </w:rPr>
              <w:t>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_Toc228976113 \h</w:instrText>
            </w:r>
            <w:r>
              <w:rPr>
                <w:webHidden/>
              </w:rPr>
              <w:fldChar w:fldCharType="separate"/>
            </w:r>
            <w:r>
              <w:rPr>
                <w:rStyle w:val="Style12"/>
              </w:rPr>
              <w:t>Порядок заключения Договора</w:t>
              <w:tab/>
              <w:t>52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4" w:tgtFrame="#_Toc228976114">
            <w:r>
              <w:rPr>
                <w:webHidden/>
                <w:rStyle w:val="Style12"/>
                <w:vanish w:val="false"/>
              </w:rPr>
              <w:t>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_Toc228976114 \h</w:instrText>
            </w:r>
            <w:r>
              <w:rPr>
                <w:webHidden/>
              </w:rPr>
              <w:fldChar w:fldCharType="separate"/>
            </w:r>
            <w:r>
              <w:rPr>
                <w:rStyle w:val="Style12"/>
              </w:rPr>
              <w:t>Общие положения</w:t>
              <w:tab/>
              <w:t>52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5" w:tgtFrame="#_Toc228976115">
            <w:r>
              <w:rPr>
                <w:webHidden/>
                <w:rStyle w:val="Style12"/>
                <w:vanish w:val="false"/>
              </w:rPr>
              <w:t>5.2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_Toc228976115 \h</w:instrText>
            </w:r>
            <w:r>
              <w:rPr>
                <w:webHidden/>
              </w:rPr>
              <w:fldChar w:fldCharType="separate"/>
            </w:r>
            <w:r>
              <w:rPr>
                <w:rStyle w:val="Style12"/>
              </w:rPr>
              <w:t>Заключение Договора</w:t>
              <w:tab/>
              <w:t>52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6" w:tgtFrame="#_Toc228976116">
            <w:r>
              <w:rPr>
                <w:webHidden/>
                <w:rStyle w:val="Style12"/>
                <w:vanish w:val="false"/>
              </w:rPr>
              <w:t>5.3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_Toc228976116 \h</w:instrText>
            </w:r>
            <w:r>
              <w:rPr>
                <w:webHidden/>
              </w:rPr>
              <w:fldChar w:fldCharType="separate"/>
            </w:r>
            <w:r>
              <w:rPr>
                <w:rStyle w:val="Style12"/>
              </w:rPr>
              <w:t>Преддоговорные переговоры</w:t>
              <w:tab/>
              <w:t>55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7" w:tgtFrame="#_Toc228976117">
            <w:r>
              <w:rPr>
                <w:webHidden/>
                <w:rStyle w:val="Style12"/>
                <w:vanish w:val="false"/>
              </w:rPr>
              <w:t>5.4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_Toc228976117 \h</w:instrText>
            </w:r>
            <w:r>
              <w:rPr>
                <w:webHidden/>
              </w:rPr>
              <w:fldChar w:fldCharType="separate"/>
            </w:r>
            <w:r>
              <w:rPr>
                <w:rStyle w:val="Style12"/>
              </w:rPr>
              <w:t>Уклонение Победителя от заключения Договора</w:t>
              <w:tab/>
              <w:t>56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18" w:tgtFrame="#_Toc228976118">
            <w:r>
              <w:rPr>
                <w:webHidden/>
                <w:rStyle w:val="Style12"/>
                <w:vanish w:val="false"/>
              </w:rPr>
              <w:t>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_Toc228976118 \h</w:instrText>
            </w:r>
            <w:r>
              <w:rPr>
                <w:webHidden/>
              </w:rPr>
              <w:fldChar w:fldCharType="separate"/>
            </w:r>
            <w:r>
              <w:rPr>
                <w:rStyle w:val="Style12"/>
              </w:rPr>
              <w:t>Приложение № 1 – Технические требования</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19" w:tgtFrame="#_Toc228976119">
            <w:r>
              <w:rPr>
                <w:webHidden/>
                <w:rStyle w:val="Style12"/>
                <w:vanish w:val="false"/>
              </w:rPr>
              <w:t>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_Toc228976119 \h</w:instrText>
            </w:r>
            <w:r>
              <w:rPr>
                <w:webHidden/>
              </w:rPr>
              <w:fldChar w:fldCharType="separate"/>
            </w:r>
            <w:r>
              <w:rPr>
                <w:rStyle w:val="Style12"/>
              </w:rPr>
              <w:t>Пояснения к Техническим требованиям</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20" w:tgtFrame="#_Toc228976120">
            <w:r>
              <w:rPr>
                <w:webHidden/>
                <w:rStyle w:val="Style12"/>
                <w:vanish w:val="false"/>
              </w:rPr>
              <w:t>7.</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_Toc228976120 \h</w:instrText>
            </w:r>
            <w:r>
              <w:rPr>
                <w:webHidden/>
              </w:rPr>
              <w:fldChar w:fldCharType="separate"/>
            </w:r>
            <w:r>
              <w:rPr>
                <w:rStyle w:val="Style12"/>
              </w:rPr>
              <w:t>Приложение № 2 – Проект договора</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1" w:tgtFrame="#_Toc228976121">
            <w:r>
              <w:rPr>
                <w:webHidden/>
                <w:rStyle w:val="Style12"/>
                <w:vanish w:val="false"/>
              </w:rPr>
              <w:t>7.1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_Toc228976121 \h</w:instrText>
            </w:r>
            <w:r>
              <w:rPr>
                <w:webHidden/>
              </w:rPr>
              <w:fldChar w:fldCharType="separate"/>
            </w:r>
            <w:r>
              <w:rPr>
                <w:rStyle w:val="Style12"/>
              </w:rPr>
              <w:t>Пояснения к Проекту договора</w:t>
              <w:tab/>
              <w:t>58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22" w:tgtFrame="#_Toc228976122">
            <w:r>
              <w:rPr>
                <w:webHidden/>
                <w:rStyle w:val="Style12"/>
                <w:vanish w:val="false"/>
              </w:rPr>
              <w:t>8.</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_Toc228976122 \h</w:instrText>
            </w:r>
            <w:r>
              <w:rPr>
                <w:webHidden/>
              </w:rPr>
              <w:fldChar w:fldCharType="separate"/>
            </w:r>
            <w:r>
              <w:rPr>
                <w:rStyle w:val="Style12"/>
              </w:rPr>
              <w:t>Приложение № 3 – Требования к Участникам</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3" w:tgtFrame="#_Toc228976123">
            <w:r>
              <w:rPr>
                <w:webHidden/>
                <w:rStyle w:val="Style12"/>
                <w:vanish w:val="false"/>
              </w:rPr>
              <w:t>8.1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_Toc228976123 \h</w:instrText>
            </w:r>
            <w:r>
              <w:rPr>
                <w:webHidden/>
              </w:rPr>
              <w:fldChar w:fldCharType="separate"/>
            </w:r>
            <w:r>
              <w:rPr>
                <w:rStyle w:val="Style12"/>
              </w:rPr>
              <w:t>Пояснения к требованиям к Участникам</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4" w:tgtFrame="#_Toc228976124">
            <w:r>
              <w:rPr>
                <w:webHidden/>
                <w:rStyle w:val="Style12"/>
                <w:vanish w:val="false"/>
              </w:rPr>
              <w:t>8.2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_Toc228976124 \h</w:instrText>
            </w:r>
            <w:r>
              <w:rPr>
                <w:webHidden/>
              </w:rPr>
              <w:fldChar w:fldCharType="separate"/>
            </w:r>
            <w:r>
              <w:rPr>
                <w:rStyle w:val="Style12"/>
              </w:rPr>
              <w:t>Обязательные требования</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5" w:tgtFrame="#_Toc228976125">
            <w:r>
              <w:rPr>
                <w:webHidden/>
                <w:rStyle w:val="Style12"/>
                <w:vanish w:val="false"/>
              </w:rPr>
              <w:t>8.3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_Toc228976125 \h</w:instrText>
            </w:r>
            <w:r>
              <w:rPr>
                <w:webHidden/>
              </w:rPr>
              <w:fldChar w:fldCharType="separate"/>
            </w:r>
            <w:r>
              <w:rPr>
                <w:rStyle w:val="Style12"/>
              </w:rPr>
              <w:t>Специальные требования</w:t>
              <w:tab/>
              <w:t>62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6" w:tgtFrame="#_Toc228976126">
            <w:r>
              <w:rPr>
                <w:webHidden/>
                <w:rStyle w:val="Style12"/>
                <w:vanish w:val="false"/>
              </w:rPr>
              <w:t>8.4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_Toc228976126 \h</w:instrText>
            </w:r>
            <w:r>
              <w:rPr>
                <w:webHidden/>
              </w:rPr>
              <w:fldChar w:fldCharType="separate"/>
            </w:r>
            <w:r>
              <w:rPr>
                <w:rStyle w:val="Style12"/>
              </w:rPr>
              <w:t>Квалификационные требования</w:t>
              <w:tab/>
              <w:t>63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7" w:tgtFrame="#_Toc228976127">
            <w:r>
              <w:rPr>
                <w:webHidden/>
                <w:rStyle w:val="Style12"/>
                <w:vanish w:val="false"/>
              </w:rPr>
              <w:t>8.5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_Toc228976127 \h</w:instrText>
            </w:r>
            <w:r>
              <w:rPr>
                <w:webHidden/>
              </w:rPr>
              <w:fldChar w:fldCharType="separate"/>
            </w:r>
            <w:r>
              <w:rPr>
                <w:rStyle w:val="Style12"/>
              </w:rPr>
              <w:t>Дополнительные требования к Коллективным участникам</w:t>
              <w:tab/>
              <w:t>63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8" w:tgtFrame="#_Toc228976128">
            <w:r>
              <w:rPr>
                <w:webHidden/>
                <w:rStyle w:val="Style12"/>
                <w:vanish w:val="false"/>
              </w:rPr>
              <w:t>8.6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_Toc228976128 \h</w:instrText>
            </w:r>
            <w:r>
              <w:rPr>
                <w:webHidden/>
              </w:rPr>
              <w:fldChar w:fldCharType="separate"/>
            </w:r>
            <w:r>
              <w:rPr>
                <w:rStyle w:val="Style12"/>
              </w:rPr>
              <w:t>Дополнительные требования к Генеральным подрядчикам</w:t>
              <w:tab/>
              <w:t>64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29" w:tgtFrame="#_Toc228976129">
            <w:r>
              <w:rPr>
                <w:webHidden/>
                <w:rStyle w:val="Style12"/>
                <w:vanish w:val="false"/>
              </w:rPr>
              <w:t>8.7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_Toc228976129 \h</w:instrText>
            </w:r>
            <w:r>
              <w:rPr>
                <w:webHidden/>
              </w:rPr>
              <w:fldChar w:fldCharType="separate"/>
            </w:r>
            <w:r>
              <w:rPr>
                <w:rStyle w:val="Style12"/>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tab/>
              <w:t>65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30" w:tgtFrame="#_Toc228976130">
            <w:r>
              <w:rPr>
                <w:webHidden/>
                <w:rStyle w:val="Style12"/>
                <w:vanish w:val="false"/>
              </w:rPr>
              <w:t>9.</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_Toc228976130 \h</w:instrText>
            </w:r>
            <w:r>
              <w:rPr>
                <w:webHidden/>
              </w:rPr>
              <w:fldChar w:fldCharType="separate"/>
            </w:r>
            <w:r>
              <w:rPr>
                <w:rStyle w:val="Style12"/>
              </w:rPr>
              <w:t>Приложение № 4 – Образцы форм документов, включаемых в состав заявки</w:t>
              <w:tab/>
              <w:t>66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1" w:tgtFrame="#_Toc228976131">
            <w:r>
              <w:rPr>
                <w:webHidden/>
                <w:rStyle w:val="Style12"/>
                <w:vanish w:val="false"/>
              </w:rPr>
              <w:t>9.1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_Toc228976131 \h</w:instrText>
            </w:r>
            <w:r>
              <w:rPr>
                <w:webHidden/>
              </w:rPr>
              <w:fldChar w:fldCharType="separate"/>
            </w:r>
            <w:r>
              <w:rPr>
                <w:rStyle w:val="Style12"/>
              </w:rPr>
              <w:t>Пояснения к Образцам форм документов, включаемых в состав заявки</w:t>
              <w:tab/>
              <w:t>66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32" w:tgtFrame="#_Toc228976132">
            <w:r>
              <w:rPr>
                <w:webHidden/>
                <w:rStyle w:val="Style12"/>
                <w:vanish w:val="false"/>
              </w:rPr>
              <w:t>10.</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_Toc228976132 \h</w:instrText>
            </w:r>
            <w:r>
              <w:rPr>
                <w:webHidden/>
              </w:rPr>
              <w:fldChar w:fldCharType="separate"/>
            </w:r>
            <w:r>
              <w:rPr>
                <w:rStyle w:val="Style12"/>
              </w:rPr>
              <w:t>Приложение № 5 – Образцы форм документов, предоставляемых Победителем</w:t>
              <w:tab/>
              <w:t>67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3" w:tgtFrame="#_Toc228976133">
            <w:r>
              <w:rPr>
                <w:webHidden/>
                <w:rStyle w:val="Style12"/>
                <w:vanish w:val="false"/>
              </w:rPr>
              <w:t>10.1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_Toc228976133 \h</w:instrText>
            </w:r>
            <w:r>
              <w:rPr>
                <w:webHidden/>
              </w:rPr>
              <w:fldChar w:fldCharType="separate"/>
            </w:r>
            <w:r>
              <w:rPr>
                <w:rStyle w:val="Style12"/>
              </w:rPr>
              <w:t>Пояснения к Образцам форм документов, предоставляемых Победителем</w:t>
              <w:tab/>
              <w:t>67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4" w:tgtFrame="#_Toc228976134">
            <w:r>
              <w:rPr>
                <w:webHidden/>
                <w:rStyle w:val="Style12"/>
                <w:vanish w:val="false"/>
              </w:rPr>
              <w:t>10.2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_Toc228976134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67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5" w:tgtFrame="#_Toc228976135">
            <w:r>
              <w:rPr>
                <w:webHidden/>
                <w:rStyle w:val="Style12"/>
                <w:vanish w:val="false"/>
              </w:rPr>
              <w:t>10.3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_Toc228976135 \h</w:instrText>
            </w:r>
            <w:r>
              <w:rPr>
                <w:webHidden/>
              </w:rPr>
              <w:fldChar w:fldCharType="separate"/>
            </w:r>
            <w:r>
              <w:rPr>
                <w:rStyle w:val="Style12"/>
              </w:rPr>
              <w:t>Форма «Заверение об обстоятельствах»</w:t>
              <w:tab/>
              <w:t>67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36" w:tgtFrame="#_Toc228976136">
            <w:r>
              <w:rPr>
                <w:webHidden/>
                <w:rStyle w:val="Style12"/>
                <w:vanish w:val="false"/>
              </w:rPr>
              <w:t>11.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_Toc228976136 \h</w:instrText>
            </w:r>
            <w:r>
              <w:rPr>
                <w:webHidden/>
              </w:rPr>
              <w:fldChar w:fldCharType="separate"/>
            </w:r>
            <w:r>
              <w:rPr>
                <w:rStyle w:val="Style12"/>
              </w:rPr>
              <w:t>Приложение № 6 – Состав заявки</w:t>
              <w:tab/>
              <w:t>69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7" w:tgtFrame="#_Toc228976137">
            <w:r>
              <w:rPr>
                <w:webHidden/>
                <w:rStyle w:val="Style12"/>
                <w:vanish w:val="false"/>
              </w:rPr>
              <w:t>11.1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_Toc228976137 \h</w:instrText>
            </w:r>
            <w:r>
              <w:rPr>
                <w:webHidden/>
              </w:rPr>
              <w:fldChar w:fldCharType="separate"/>
            </w:r>
            <w:r>
              <w:rPr>
                <w:rStyle w:val="Style12"/>
              </w:rPr>
              <w:t>Состав заявки</w:t>
              <w:tab/>
              <w:t>69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38" w:tgtFrame="#_Toc228976138">
            <w:r>
              <w:rPr>
                <w:webHidden/>
                <w:rStyle w:val="Style12"/>
                <w:vanish w:val="false"/>
              </w:rPr>
              <w:t>12.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_Toc228976138 \h</w:instrText>
            </w:r>
            <w:r>
              <w:rPr>
                <w:webHidden/>
              </w:rPr>
              <w:fldChar w:fldCharType="separate"/>
            </w:r>
            <w:r>
              <w:rPr>
                <w:rStyle w:val="Style12"/>
              </w:rPr>
              <w:t>Приложение № 7 – Отборочные критерии рассмотрения заявок</w:t>
              <w:tab/>
              <w:t>72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39" w:tgtFrame="#_Toc228976139">
            <w:r>
              <w:rPr>
                <w:webHidden/>
                <w:rStyle w:val="Style12"/>
                <w:vanish w:val="false"/>
              </w:rPr>
              <w:t>12.1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_Toc228976139 \h</w:instrText>
            </w:r>
            <w:r>
              <w:rPr>
                <w:webHidden/>
              </w:rPr>
              <w:fldChar w:fldCharType="separate"/>
            </w:r>
            <w:r>
              <w:rPr>
                <w:rStyle w:val="Style12"/>
              </w:rPr>
              <w:t>Отборочные критерии рассмотрения заявок</w:t>
              <w:tab/>
              <w:t>72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41" w:tgtFrame="#_Toc228976141">
            <w:r>
              <w:rPr>
                <w:webHidden/>
                <w:rStyle w:val="Style12"/>
                <w:vanish w:val="false"/>
              </w:rPr>
              <w:t>13.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_Toc228976141 \h</w:instrText>
            </w:r>
            <w:r>
              <w:rPr>
                <w:webHidden/>
              </w:rPr>
              <w:fldChar w:fldCharType="separate"/>
            </w:r>
            <w:r>
              <w:rPr>
                <w:rStyle w:val="Style12"/>
              </w:rPr>
              <w:t>Приложение № 8 – Порядок и критерии оценки и сопоставления заявок</w:t>
              <w:tab/>
              <w:t>79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42" w:tgtFrame="#_Toc228976142">
            <w:r>
              <w:rPr>
                <w:webHidden/>
                <w:rStyle w:val="Style12"/>
                <w:vanish w:val="false"/>
              </w:rPr>
              <w:t>13.1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_Toc228976142 \h</w:instrText>
            </w:r>
            <w:r>
              <w:rPr>
                <w:webHidden/>
              </w:rPr>
              <w:fldChar w:fldCharType="separate"/>
            </w:r>
            <w:r>
              <w:rPr>
                <w:rStyle w:val="Style12"/>
              </w:rPr>
              <w:t>Порядок и критерии оценки и сопоставления заявок</w:t>
              <w:tab/>
              <w:t>79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43" w:tgtFrame="#_Toc228976143">
            <w:r>
              <w:rPr>
                <w:webHidden/>
                <w:rStyle w:val="Style12"/>
                <w:vanish w:val="false"/>
              </w:rPr>
              <w:t>14.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_Toc228976143 \h</w:instrText>
            </w:r>
            <w:r>
              <w:rPr>
                <w:webHidden/>
              </w:rPr>
              <w:fldChar w:fldCharType="separate"/>
            </w:r>
            <w:r>
              <w:rPr>
                <w:rStyle w:val="Style12"/>
              </w:rPr>
              <w:t>Приложение № 9 – Обоснование НМЦ</w:t>
              <w:tab/>
              <w:t>85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44" w:tgtFrame="#_Toc228976144">
            <w:r>
              <w:rPr>
                <w:webHidden/>
                <w:rStyle w:val="Style12"/>
                <w:vanish w:val="false"/>
              </w:rPr>
              <w:t>14.1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_Toc228976144 \h</w:instrText>
            </w:r>
            <w:r>
              <w:rPr>
                <w:webHidden/>
              </w:rPr>
              <w:fldChar w:fldCharType="separate"/>
            </w:r>
            <w:r>
              <w:rPr>
                <w:rStyle w:val="Style12"/>
              </w:rPr>
              <w:t>Пояснения к Обоснованию НМЦ</w:t>
              <w:tab/>
              <w:t>85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45" w:tgtFrame="#_Toc228976145">
            <w:r>
              <w:rPr>
                <w:webHidden/>
                <w:rStyle w:val="Style12"/>
                <w:vanish w:val="false"/>
              </w:rPr>
              <w:t>15.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_Toc228976145 \h</w:instrText>
            </w:r>
            <w:r>
              <w:rPr>
                <w:webHidden/>
              </w:rPr>
              <w:fldChar w:fldCharType="separate"/>
            </w:r>
            <w:r>
              <w:rPr>
                <w:rStyle w:val="Style12"/>
              </w:rPr>
              <w:t>Приложение № 10 – Форма Заявки на аккредитацию</w:t>
              <w:tab/>
              <w:t>86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46" w:tgtFrame="#_Toc228976146">
            <w:r>
              <w:rPr>
                <w:webHidden/>
                <w:rStyle w:val="Style12"/>
                <w:vanish w:val="false"/>
              </w:rPr>
              <w:t>15.1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_Toc228976146 \h</w:instrText>
            </w:r>
            <w:r>
              <w:rPr>
                <w:webHidden/>
              </w:rPr>
              <w:fldChar w:fldCharType="separate"/>
            </w:r>
            <w:r>
              <w:rPr>
                <w:rStyle w:val="Style12"/>
              </w:rPr>
              <w:t>Пояснения к форме Заявки на аккредитацию</w:t>
              <w:tab/>
              <w:t>86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976147" w:tgtFrame="#_Toc228976147">
            <w:r>
              <w:rPr>
                <w:webHidden/>
                <w:rStyle w:val="Style12"/>
                <w:vanish w:val="false"/>
              </w:rPr>
              <w:t>16.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_Toc228976147 \h</w:instrText>
            </w:r>
            <w:r>
              <w:rPr>
                <w:webHidden/>
              </w:rPr>
              <w:fldChar w:fldCharType="separate"/>
            </w:r>
            <w:r>
              <w:rPr>
                <w:rStyle w:val="Style12"/>
              </w:rPr>
              <w:t>Приложение № 11 – форма Данных бухгалтерской (финансовой) отчетности</w:t>
              <w:tab/>
              <w:t>87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976148" w:tgtFrame="#_Toc228976148">
            <w:r>
              <w:rPr>
                <w:webHidden/>
                <w:rStyle w:val="Style12"/>
                <w:vanish w:val="false"/>
              </w:rPr>
              <w:t>16.1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_Toc228976148 \h</w:instrText>
            </w:r>
            <w:r>
              <w:rPr>
                <w:webHidden/>
              </w:rPr>
              <w:fldChar w:fldCharType="separate"/>
            </w:r>
            <w:r>
              <w:rPr>
                <w:rStyle w:val="Style12"/>
              </w:rPr>
              <w:t>Пояснения к форме Данных бухгалтерской (финансовой) отчетности</w:t>
              <w:tab/>
              <w:t>87</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12"/>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12"/>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12"/>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12"/>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976075"/>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w:t>
      </w:r>
      <w:r>
        <w:rPr>
          <w:lang w:val="en-US"/>
        </w:rPr>
        <w:t> </w:t>
      </w:r>
      <w:r>
        <w:rPr/>
        <w:t>1875 «О мерах по</w:t>
      </w:r>
      <w:r>
        <w:rPr>
          <w:lang w:val="en-US"/>
        </w:rPr>
        <w:t> </w:t>
      </w:r>
      <w:r>
        <w:rPr/>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28976076"/>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w:t>
      </w:r>
      <w:bookmarkStart w:id="2" w:name="_Hlk187326951"/>
      <w:r>
        <w:rPr/>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Pr>
          <w:lang w:val="en-US"/>
        </w:rPr>
        <w:t> </w:t>
      </w:r>
      <w:r>
        <w:rPr/>
        <w:t>конкурентных закупок – в Извещении и</w:t>
      </w:r>
      <w:r>
        <w:rPr>
          <w:lang w:val="en-US"/>
        </w:rPr>
        <w:t> </w:t>
      </w:r>
      <w:r>
        <w:rPr/>
        <w:t>(или) Документацией о закупке.</w:t>
      </w:r>
      <w:bookmarkEnd w:id="2"/>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21"/>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bookmarkStart w:id="3" w:name="_Hlk187326985"/>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w:t>
      </w:r>
      <w:r>
        <w:rPr>
          <w:lang w:val="en-US"/>
        </w:rPr>
        <w:t> </w:t>
      </w:r>
      <w:r>
        <w:rPr/>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rPr>
          <w:lang w:val="en-US"/>
        </w:rPr>
        <w:t> </w:t>
      </w:r>
      <w:r>
        <w:rPr/>
        <w:t>соответствии с нормами, установленными законодательством.</w:t>
      </w:r>
      <w:bookmarkEnd w:id="3"/>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15"/>
        <w:spacing w:before="0" w:after="0"/>
        <w:rPr/>
      </w:pPr>
      <w:bookmarkStart w:id="4" w:name="_Ref125359988"/>
      <w:bookmarkStart w:id="5" w:name="_Toc228976077"/>
      <w:r>
        <w:rPr/>
        <w:t>Основные сведения о закупке</w:t>
      </w:r>
      <w:bookmarkEnd w:id="4"/>
      <w:bookmarkEnd w:id="5"/>
    </w:p>
    <w:p>
      <w:pPr>
        <w:pStyle w:val="Style16"/>
        <w:spacing w:before="360" w:after="0"/>
        <w:rPr/>
      </w:pPr>
      <w:bookmarkStart w:id="6" w:name="_Toc228976078"/>
      <w:r>
        <w:rPr/>
        <w:t>Статус настоящего раздела</w:t>
      </w:r>
      <w:bookmarkEnd w:id="6"/>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bookmarkStart w:id="7"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7"/>
    </w:p>
    <w:p>
      <w:pPr>
        <w:pStyle w:val="Style16"/>
        <w:spacing w:before="360" w:after="120"/>
        <w:rPr/>
      </w:pPr>
      <w:bookmarkStart w:id="8" w:name="_Ref125359973"/>
      <w:bookmarkStart w:id="9" w:name="_Ref127270076"/>
      <w:bookmarkStart w:id="10" w:name="_Toc228976079"/>
      <w:r>
        <w:rPr/>
        <w:t>Информация о проводимой закупке</w:t>
      </w:r>
      <w:bookmarkEnd w:id="8"/>
      <w:bookmarkEnd w:id="9"/>
      <w:bookmarkEnd w:id="10"/>
    </w:p>
    <w:tbl>
      <w:tblPr>
        <w:tblStyle w:val="125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36"/>
        <w:gridCol w:w="3242"/>
        <w:gridCol w:w="5676"/>
      </w:tblGrid>
      <w:tr>
        <w:trPr/>
        <w:tc>
          <w:tcPr>
            <w:tcW w:w="83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324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67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1" w:name="_Ref125360980"/>
            <w:bookmarkStart w:id="12" w:name="_Ref125360980"/>
            <w:bookmarkEnd w:id="1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Запрос предложений в электронной форме.</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3" w:name="_Ref125360996"/>
            <w:bookmarkStart w:id="14" w:name="_Ref125360996"/>
            <w:bookmarkEnd w:id="14"/>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676" w:type="dxa"/>
            <w:tcBorders/>
          </w:tcPr>
          <w:p>
            <w:pPr>
              <w:pStyle w:val="Style21"/>
              <w:widowControl w:val="false"/>
              <w:suppressAutoHyphens w:val="true"/>
              <w:spacing w:lineRule="auto" w:line="240" w:before="60" w:after="60"/>
              <w:rPr/>
            </w:pPr>
            <w:r>
              <w:rPr>
                <w:rStyle w:val="Style3"/>
                <w:rFonts w:eastAsia="Calibri" w:cs="Arial"/>
                <w:i w:val="false"/>
                <w:iCs w:val="false"/>
                <w:kern w:val="0"/>
                <w:sz w:val="26"/>
                <w:szCs w:val="26"/>
                <w:highlight w:val="white"/>
                <w:lang w:val="ru-RU" w:eastAsia="en-US" w:bidi="ar-SA"/>
              </w:rPr>
              <w:t>Лот №</w:t>
            </w:r>
            <w:r>
              <w:rPr>
                <w:rStyle w:val="Style3"/>
                <w:rFonts w:eastAsia="Times New Roman" w:cs="Times New Roman"/>
                <w:i w:val="false"/>
                <w:iCs w:val="false"/>
                <w:kern w:val="0"/>
                <w:sz w:val="26"/>
                <w:szCs w:val="26"/>
                <w:highlight w:val="white"/>
                <w:lang w:val="ru-RU" w:eastAsia="en-US" w:bidi="ar-SA"/>
              </w:rPr>
              <w:t xml:space="preserve"> </w:t>
            </w:r>
            <w:r>
              <w:rPr>
                <w:rStyle w:val="Style3"/>
                <w:rFonts w:eastAsia="Calibri" w:cs="Arial"/>
                <w:i w:val="false"/>
                <w:iCs w:val="false"/>
                <w:kern w:val="0"/>
                <w:sz w:val="26"/>
                <w:szCs w:val="26"/>
                <w:highlight w:val="white"/>
                <w:lang w:val="ru-RU" w:eastAsia="en-US" w:bidi="ar-SA"/>
              </w:rPr>
              <w:t>11020006-РЕМ ПРОД-2027-ДГК-ХТЭЦ1</w:t>
            </w:r>
            <w:r>
              <w:rPr>
                <w:rStyle w:val="Style3"/>
                <w:rFonts w:eastAsia="Times New Roman" w:cs="Times New Roman"/>
                <w:i w:val="false"/>
                <w:iCs w:val="false"/>
                <w:kern w:val="0"/>
                <w:sz w:val="26"/>
                <w:szCs w:val="26"/>
                <w:highlight w:val="white"/>
                <w:lang w:val="ru-RU" w:eastAsia="en-US" w:bidi="ar-SA"/>
              </w:rPr>
              <w:t xml:space="preserve"> ОКПД2 41.20.40 Выполнение работ по ремонту зданий и сооружений Хабаровской ТЭЦ-1 в г. Хабаровск  (ПП: 7.134-Рем-2022-ХТЭЦ1)</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5" w:name="_Ref135729276"/>
            <w:bookmarkStart w:id="16" w:name="_Ref135729276"/>
            <w:bookmarkEnd w:id="16"/>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67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7" w:name="_Ref125367124"/>
            <w:bookmarkStart w:id="18" w:name="_Ref125367124"/>
            <w:bookmarkEnd w:id="18"/>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9" w:name="_Ref125360764"/>
            <w:bookmarkStart w:id="20" w:name="_Ref125360764"/>
            <w:bookmarkEnd w:id="20"/>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Электронная площадка:</w:t>
            </w:r>
          </w:p>
          <w:p>
            <w:pPr>
              <w:pStyle w:val="Style21"/>
              <w:widowControl w:val="false"/>
              <w:suppressAutoHyphens w:val="true"/>
              <w:spacing w:lineRule="auto" w:line="240" w:before="60" w:after="60"/>
              <w:rPr/>
            </w:pPr>
            <w:hyperlink r:id="rId3" w:tgtFrame="https://rushydro.roseltorg.ru">
              <w:r>
                <w:rPr>
                  <w:rStyle w:val="Hyperlink"/>
                  <w:rFonts w:eastAsia="Calibri" w:cs="Arial"/>
                  <w:kern w:val="0"/>
                  <w:sz w:val="26"/>
                  <w:szCs w:val="22"/>
                  <w:lang w:val="ru-RU" w:eastAsia="en-US" w:bidi="ar-SA"/>
                </w:rPr>
                <w:t>https://rushydro.roseltorg.ru</w:t>
              </w:r>
            </w:hyperlink>
          </w:p>
          <w:p>
            <w:pPr>
              <w:pStyle w:val="Style21"/>
              <w:widowControl w:val="false"/>
              <w:suppressAutoHyphens w:val="true"/>
              <w:spacing w:lineRule="auto" w:line="240" w:before="60" w:after="60"/>
              <w:rPr>
                <w:color w:val="000000" w:themeColor="text1"/>
              </w:rPr>
            </w:pPr>
            <w:r>
              <w:rPr>
                <w:rFonts w:eastAsia="Calibri" w:cs="Arial"/>
                <w:color w:val="000000" w:themeColor="text1"/>
                <w:kern w:val="0"/>
                <w:sz w:val="26"/>
                <w:szCs w:val="22"/>
                <w:lang w:val="ru-RU" w:eastAsia="en-US" w:bidi="ar-SA"/>
              </w:rPr>
              <w:t>Регламент ЭП, в соответствии с которым проводится закупка, размещен по адресу: https://rushydro.roseltorg.ru/#com/procedure/index</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1" w:name="_Ref125360970"/>
            <w:bookmarkStart w:id="22" w:name="_Ref125360970"/>
            <w:bookmarkEnd w:id="2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любые лица, заинтересованные в предмете закупки.</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3" w:name="_Ref125360988"/>
            <w:bookmarkStart w:id="24" w:name="_Ref125360988"/>
            <w:bookmarkEnd w:id="24"/>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676" w:type="dxa"/>
            <w:tcBorders/>
          </w:tcPr>
          <w:p>
            <w:pPr>
              <w:pStyle w:val="Style21"/>
              <w:widowControl w:val="false"/>
              <w:suppressAutoHyphens w:val="true"/>
              <w:spacing w:lineRule="auto" w:line="204" w:before="60" w:after="60"/>
              <w:jc w:val="both"/>
              <w:rPr>
                <w:b w:val="false"/>
                <w:sz w:val="20"/>
                <w:szCs w:val="20"/>
                <w:highlight w:val="white"/>
                <w:u w:val="none"/>
                <w14:ligatures w14:val="none"/>
              </w:rPr>
            </w:pPr>
            <w:r>
              <w:rPr>
                <w:rFonts w:eastAsia="Calibri" w:cs="Arial"/>
                <w:kern w:val="0"/>
                <w:sz w:val="26"/>
                <w:szCs w:val="22"/>
                <w:highlight w:val="white"/>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uppressAutoHyphens w:val="true"/>
              <w:spacing w:lineRule="auto" w:line="204" w:before="60" w:after="60"/>
              <w:jc w:val="both"/>
              <w:rPr>
                <w:b w:val="false"/>
                <w:bCs w:val="false"/>
                <w:i w:val="false"/>
                <w:i w:val="false"/>
                <w:iCs w:val="false"/>
                <w:sz w:val="20"/>
                <w:szCs w:val="20"/>
                <w:highlight w:val="white"/>
                <w:u w:val="none"/>
                <w14:ligatures w14:val="none"/>
              </w:rPr>
            </w:pPr>
            <w:r>
              <w:rPr>
                <w:rFonts w:eastAsia="Calibri" w:cs="Arial"/>
                <w:kern w:val="0"/>
                <w:sz w:val="26"/>
                <w:szCs w:val="22"/>
                <w:highlight w:val="white"/>
                <w:lang w:val="ru-RU" w:eastAsia="en-US" w:bidi="ar-SA"/>
              </w:rPr>
              <w:t>Место нахождения: 680000, г. Хабаровск, ул. Фрунзе, д. 49</w:t>
            </w:r>
          </w:p>
          <w:p>
            <w:pPr>
              <w:pStyle w:val="Style21"/>
              <w:widowControl w:val="false"/>
              <w:suppressAutoHyphens w:val="true"/>
              <w:spacing w:lineRule="auto" w:line="204" w:before="60" w:after="60"/>
              <w:jc w:val="both"/>
              <w:rPr>
                <w:b w:val="false"/>
                <w:bCs w:val="false"/>
                <w:i w:val="false"/>
                <w:i w:val="false"/>
                <w:iCs w:val="false"/>
                <w:sz w:val="20"/>
                <w:szCs w:val="20"/>
                <w:highlight w:val="white"/>
                <w:u w:val="none"/>
                <w14:ligatures w14:val="none"/>
              </w:rPr>
            </w:pPr>
            <w:r>
              <w:rPr>
                <w:rFonts w:eastAsia="Calibri" w:cs="Arial"/>
                <w:kern w:val="0"/>
                <w:sz w:val="26"/>
                <w:szCs w:val="22"/>
                <w:highlight w:val="white"/>
                <w:lang w:val="ru-RU" w:eastAsia="en-US" w:bidi="ar-SA"/>
              </w:rPr>
              <w:t>Почтовый адрес: 680000, г. Хабаровск, ул. Фрунзе, д. 49</w:t>
            </w:r>
          </w:p>
          <w:p>
            <w:pPr>
              <w:pStyle w:val="Style21"/>
              <w:widowControl w:val="false"/>
              <w:suppressAutoHyphens w:val="true"/>
              <w:spacing w:lineRule="auto" w:line="204" w:before="60" w:after="60"/>
              <w:jc w:val="both"/>
              <w:rPr>
                <w:b w:val="false"/>
                <w:bCs w:val="false"/>
                <w:i w:val="false"/>
                <w:i w:val="false"/>
                <w:iCs w:val="false"/>
                <w:sz w:val="20"/>
                <w:szCs w:val="20"/>
                <w:highlight w:val="white"/>
                <w:u w:val="none"/>
                <w14:ligatures w14:val="none"/>
              </w:rPr>
            </w:pPr>
            <w:r>
              <w:rPr>
                <w:rFonts w:eastAsia="Calibri" w:cs="Arial"/>
                <w:kern w:val="0"/>
                <w:sz w:val="26"/>
                <w:szCs w:val="22"/>
                <w:highlight w:val="white"/>
                <w:lang w:val="ru-RU" w:eastAsia="en-US" w:bidi="ar-SA"/>
              </w:rPr>
              <w:t>Адрес электронной почты: dgk@dgk.ru</w:t>
            </w:r>
          </w:p>
          <w:p>
            <w:pPr>
              <w:pStyle w:val="Style21"/>
              <w:widowControl w:val="false"/>
              <w:suppressAutoHyphens w:val="true"/>
              <w:spacing w:lineRule="auto" w:line="204" w:before="60" w:after="60"/>
              <w:jc w:val="both"/>
              <w:rPr>
                <w:highlight w:val="white"/>
                <w14:ligatures w14:val="none"/>
              </w:rPr>
            </w:pPr>
            <w:r>
              <w:rPr>
                <w:rFonts w:eastAsia="Calibri" w:cs="Arial"/>
                <w:kern w:val="0"/>
                <w:sz w:val="26"/>
                <w:szCs w:val="22"/>
                <w:highlight w:val="white"/>
                <w:lang w:val="ru-RU" w:eastAsia="en-US" w:bidi="ar-SA"/>
              </w:rPr>
              <w:t>Контактный телефон: +7 (4212) 26-41-48</w:t>
            </w:r>
          </w:p>
          <w:p>
            <w:pPr>
              <w:pStyle w:val="Style21"/>
              <w:widowControl w:val="false"/>
              <w:suppressAutoHyphens w:val="true"/>
              <w:spacing w:lineRule="auto" w:line="204" w:before="60" w:after="60"/>
              <w:jc w:val="both"/>
              <w:rPr>
                <w:b w:val="false"/>
                <w:bCs w:val="false"/>
                <w:highlight w:val="yellow"/>
              </w:rPr>
            </w:pPr>
            <w:r>
              <w:rPr>
                <w:rFonts w:eastAsia="Calibri" w:cs="Arial"/>
                <w:b/>
                <w:bCs/>
                <w:kern w:val="0"/>
                <w:sz w:val="26"/>
                <w:szCs w:val="26"/>
                <w:highlight w:val="white"/>
                <w:lang w:val="ru-RU" w:eastAsia="en-US" w:bidi="ar-SA"/>
              </w:rPr>
              <w:t>По вопросу заключения Договора обращаться к</w:t>
            </w:r>
            <w:r>
              <w:rPr>
                <w:rFonts w:eastAsia="Calibri" w:cs="Arial"/>
                <w:b/>
                <w:bCs/>
                <w:kern w:val="0"/>
                <w:sz w:val="26"/>
                <w:szCs w:val="26"/>
                <w:shd w:fill="auto" w:val="clear"/>
                <w:lang w:val="ru-RU" w:eastAsia="en-US" w:bidi="ar-SA"/>
              </w:rPr>
              <w:t xml:space="preserve"> </w:t>
            </w:r>
            <w:r>
              <w:rPr>
                <w:rFonts w:eastAsia="Calibri" w:cs="Arial"/>
                <w:b w:val="false"/>
                <w:bCs w:val="false"/>
                <w:kern w:val="0"/>
                <w:sz w:val="26"/>
                <w:szCs w:val="26"/>
                <w:shd w:fill="auto" w:val="clear"/>
                <w:lang w:val="ru-RU" w:eastAsia="en-US" w:bidi="ar-SA"/>
              </w:rPr>
              <w:t>Ведущий инженер ОППР СП «Хабаровская ТЭЦ-1» - Коломин Олег Станиславович, тел. +7(4212) 26-15-39</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5" w:name="_Ref125360954"/>
            <w:bookmarkStart w:id="26" w:name="_Ref125360954"/>
            <w:bookmarkEnd w:id="26"/>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676" w:type="dxa"/>
            <w:tcBorders/>
          </w:tcPr>
          <w:p>
            <w:pPr>
              <w:pStyle w:val="Style21"/>
              <w:widowControl w:val="false"/>
              <w:suppressAutoHyphens w:val="true"/>
              <w:spacing w:lineRule="auto" w:line="240" w:before="60" w:after="60"/>
              <w:ind w:hanging="0" w:left="0" w:right="34"/>
              <w:rPr>
                <w:sz w:val="20"/>
                <w:szCs w:val="20"/>
                <w14:ligatures w14:val="none"/>
              </w:rPr>
            </w:pPr>
            <w:r>
              <w:rPr>
                <w:rFonts w:eastAsia="Calibri" w:cs="Arial"/>
                <w:kern w:val="0"/>
                <w:sz w:val="26"/>
                <w:szCs w:val="22"/>
                <w:lang w:val="ru-RU" w:eastAsia="en-US" w:bidi="ar-SA"/>
              </w:rPr>
              <w:t>Акционерное общество «Дальневосточная генерирующая компания» (далее - АО «ДГК»)</w:t>
            </w:r>
          </w:p>
          <w:p>
            <w:pPr>
              <w:pStyle w:val="Style21"/>
              <w:widowControl w:val="false"/>
              <w:suppressAutoHyphens w:val="true"/>
              <w:spacing w:lineRule="auto" w:line="240" w:before="60" w:after="60"/>
              <w:ind w:hanging="0" w:left="0" w:right="34"/>
              <w:rPr>
                <w:sz w:val="20"/>
                <w:szCs w:val="20"/>
                <w14:ligatures w14:val="none"/>
              </w:rPr>
            </w:pPr>
            <w:r>
              <w:rPr>
                <w:rFonts w:eastAsia="Calibri" w:cs="Arial"/>
                <w:kern w:val="0"/>
                <w:sz w:val="26"/>
                <w:szCs w:val="22"/>
                <w:lang w:val="ru-RU" w:eastAsia="en-US" w:bidi="ar-SA"/>
              </w:rPr>
              <w:t>Место нахождения: 680000, г. Хабаровск, ул. Фрунзе, д. 49</w:t>
            </w:r>
          </w:p>
          <w:p>
            <w:pPr>
              <w:pStyle w:val="Style21"/>
              <w:widowControl w:val="false"/>
              <w:suppressAutoHyphens w:val="true"/>
              <w:spacing w:lineRule="auto" w:line="240" w:before="60" w:after="60"/>
              <w:ind w:hanging="0" w:left="0" w:right="34"/>
              <w:rPr>
                <w:sz w:val="20"/>
                <w:szCs w:val="20"/>
                <w14:ligatures w14:val="none"/>
              </w:rPr>
            </w:pPr>
            <w:r>
              <w:rPr>
                <w:rFonts w:eastAsia="Calibri" w:cs="Arial"/>
                <w:kern w:val="0"/>
                <w:sz w:val="26"/>
                <w:szCs w:val="22"/>
                <w:lang w:val="ru-RU" w:eastAsia="en-US" w:bidi="ar-SA"/>
              </w:rPr>
              <w:t>Почтовый адрес: 680000, г. Хабаровск, ул. Фрунзе, д. 49</w:t>
            </w:r>
          </w:p>
          <w:p>
            <w:pPr>
              <w:pStyle w:val="Style21"/>
              <w:widowControl w:val="false"/>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2"/>
                <w:lang w:val="ru-RU" w:eastAsia="en-US" w:bidi="ar-SA"/>
              </w:rPr>
              <w:t>Адрес электронной почты: dgk@dgk.ru</w:t>
            </w:r>
          </w:p>
          <w:p>
            <w:pPr>
              <w:pStyle w:val="Style21"/>
              <w:widowControl w:val="false"/>
              <w:suppressAutoHyphens w:val="true"/>
              <w:spacing w:lineRule="auto" w:line="240" w:before="60" w:after="60"/>
              <w:ind w:hanging="0" w:left="0" w:right="34"/>
              <w:rPr>
                <w:b/>
                <w:szCs w:val="20"/>
                <w14:ligatures w14:val="none"/>
              </w:rPr>
            </w:pPr>
            <w:r>
              <w:rPr>
                <w:rFonts w:eastAsia="Calibri" w:cs="Arial"/>
                <w:kern w:val="0"/>
                <w:sz w:val="26"/>
                <w:szCs w:val="22"/>
                <w:lang w:val="ru-RU" w:eastAsia="en-US" w:bidi="ar-SA"/>
              </w:rPr>
              <w:t>Контактный телефон: +7(4212) 26-41-48</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 w:name="_Ref125361238"/>
            <w:bookmarkStart w:id="28" w:name="_Ref125361238"/>
            <w:bookmarkEnd w:id="28"/>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676" w:type="dxa"/>
            <w:tcBorders/>
          </w:tcPr>
          <w:p>
            <w:pPr>
              <w:pStyle w:val="Style21"/>
              <w:widowControl w:val="false"/>
              <w:suppressAutoHyphens w:val="true"/>
              <w:spacing w:lineRule="auto" w:line="240" w:before="60" w:after="60"/>
              <w:ind w:hanging="0" w:left="0" w:right="3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nikitina-nv@dgk.ru</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 w:name="_Ref125362694"/>
            <w:bookmarkStart w:id="30" w:name="_Ref125362694"/>
            <w:bookmarkEnd w:id="30"/>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 w:name="_Ref125360963"/>
            <w:bookmarkStart w:id="32" w:name="_Ref125360963"/>
            <w:bookmarkEnd w:id="3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«27» октября 2026 г.</w:t>
            </w:r>
          </w:p>
          <w:p>
            <w:pPr>
              <w:pStyle w:val="Style21"/>
              <w:widowControl w:val="false"/>
              <w:suppressAutoHyphens w:val="true"/>
              <w:spacing w:lineRule="auto" w:line="240" w:before="60" w:after="60"/>
              <w:rPr>
                <w:rStyle w:val="Style3"/>
              </w:rPr>
            </w:pPr>
            <w:r>
              <w:rPr/>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 w:name="_Ref125362837"/>
            <w:bookmarkStart w:id="34" w:name="_Ref125362837"/>
            <w:bookmarkEnd w:id="34"/>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w:t>
            </w:r>
            <w:r>
              <w:rPr>
                <w:rFonts w:eastAsia="Calibri" w:cs="Arial"/>
                <w:kern w:val="0"/>
                <w:sz w:val="26"/>
                <w:szCs w:val="22"/>
                <w:shd w:fill="auto" w:val="clear"/>
                <w:lang w:val="ru-RU" w:eastAsia="en-US" w:bidi="ar-SA"/>
              </w:rPr>
              <w:t>МЦ составляет 16 074 897,00 руб., без учета НДС.</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 w:name="_Ref125363076"/>
            <w:bookmarkStart w:id="36" w:name="_Ref125363076"/>
            <w:bookmarkEnd w:id="36"/>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Требуется.</w:t>
            </w:r>
          </w:p>
          <w:p>
            <w:pPr>
              <w:pStyle w:val="Style21"/>
              <w:widowControl/>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Размер обеспечения заявок: 400 935 (четыреста тысяч девятьсот тридцать пять) рублей 1</w:t>
            </w:r>
            <w:r>
              <w:rPr>
                <w:rFonts w:eastAsia="Calibri" w:cs="Arial"/>
                <w:kern w:val="0"/>
                <w:sz w:val="26"/>
                <w:szCs w:val="22"/>
                <w:lang w:val="ru-RU" w:eastAsia="en-US" w:bidi="ar-SA"/>
              </w:rPr>
              <w:t>2</w:t>
            </w:r>
            <w:r>
              <w:rPr>
                <w:rFonts w:eastAsia="Calibri" w:cs="Arial"/>
                <w:kern w:val="0"/>
                <w:sz w:val="26"/>
                <w:szCs w:val="22"/>
                <w:lang w:val="ru-RU" w:eastAsia="en-US" w:bidi="ar-SA"/>
              </w:rPr>
              <w:t> копеек, НДС не облагается.</w:t>
            </w:r>
          </w:p>
          <w:p>
            <w:pPr>
              <w:pStyle w:val="Style21"/>
              <w:widowControl/>
              <w:spacing w:lineRule="auto" w:line="240" w:before="60" w:after="60"/>
              <w:rPr/>
            </w:pPr>
            <w:r>
              <w:rPr>
                <w:rFonts w:eastAsia="Calibri" w:cs="Arial"/>
                <w:kern w:val="0"/>
                <w:sz w:val="26"/>
                <w:szCs w:val="22"/>
                <w:lang w:val="ru-RU" w:eastAsia="en-US" w:bidi="ar-SA"/>
              </w:rPr>
              <w:t>Допустимые формы обеспечения заявок:</w:t>
            </w:r>
          </w:p>
          <w:p>
            <w:pPr>
              <w:pStyle w:val="Style21"/>
              <w:widowControl/>
              <w:numPr>
                <w:ilvl w:val="0"/>
                <w:numId w:val="3"/>
              </w:numPr>
              <w:spacing w:lineRule="auto" w:line="240" w:before="120" w:after="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1.2.18</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numPr>
                <w:ilvl w:val="0"/>
                <w:numId w:val="3"/>
              </w:numPr>
              <w:spacing w:lineRule="auto" w:line="240" w:before="0" w:after="0"/>
              <w:ind w:hanging="284" w:left="284"/>
              <w:rPr>
                <w:rFonts w:ascii="Times New Roman" w:hAnsi="Times New Roman" w:eastAsia="Calibri" w:cs="Arial"/>
                <w:kern w:val="0"/>
                <w:sz w:val="26"/>
                <w:szCs w:val="22"/>
                <w:lang w:val="ru-RU" w:eastAsia="en-US" w:bidi="ar-SA"/>
              </w:rPr>
            </w:pPr>
            <w:r>
              <w:rPr>
                <w:rStyle w:val="Style3"/>
                <w:rFonts w:eastAsia="Calibri" w:cs="Arial"/>
                <w:i w:val="false"/>
                <w:iCs w:val="false"/>
                <w:kern w:val="0"/>
                <w:sz w:val="26"/>
                <w:szCs w:val="22"/>
                <w:shd w:fill="auto" w:val="clear"/>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Style w:val="Style3"/>
                <w:rFonts w:eastAsia="Calibri" w:cs="Arial"/>
                <w:i w:val="false"/>
                <w:iCs w:val="false"/>
                <w:kern w:val="0"/>
                <w:sz w:val="26"/>
                <w:szCs w:val="22"/>
                <w:shd w:fill="auto" w:val="clear"/>
                <w:lang w:val="ru-RU" w:eastAsia="en-US" w:bidi="ar-SA"/>
              </w:rPr>
              <w:fldChar w:fldCharType="begin"/>
            </w:r>
            <w:r>
              <w:rPr>
                <w:rStyle w:val="Style3"/>
                <w:sz w:val="26"/>
                <w:i w:val="false"/>
                <w:kern w:val="0"/>
                <w:shd w:fill="auto" w:val="clear"/>
                <w:szCs w:val="22"/>
                <w:iCs w:val="false"/>
                <w:rFonts w:eastAsia="Calibri" w:cs="Arial"/>
                <w:lang w:val="ru-RU" w:eastAsia="en-US" w:bidi="ar-SA"/>
              </w:rPr>
              <w:instrText xml:space="preserve"> REF _Ref130455226 \r \h </w:instrText>
            </w:r>
            <w:r>
              <w:rPr>
                <w:rStyle w:val="Style3"/>
                <w:sz w:val="26"/>
                <w:i w:val="false"/>
                <w:kern w:val="0"/>
                <w:shd w:fill="auto" w:val="clear"/>
                <w:szCs w:val="22"/>
                <w:iCs w:val="false"/>
                <w:rFonts w:eastAsia="Calibri" w:cs="Arial"/>
                <w:lang w:val="ru-RU" w:eastAsia="en-US" w:bidi="ar-SA"/>
              </w:rPr>
              <w:fldChar w:fldCharType="separate"/>
            </w:r>
            <w:r>
              <w:rPr>
                <w:rStyle w:val="Style3"/>
                <w:sz w:val="26"/>
                <w:i w:val="false"/>
                <w:kern w:val="0"/>
                <w:shd w:fill="auto" w:val="clear"/>
                <w:szCs w:val="22"/>
                <w:iCs w:val="false"/>
                <w:rFonts w:eastAsia="Calibri" w:cs="Arial"/>
                <w:lang w:val="ru-RU" w:eastAsia="en-US" w:bidi="ar-SA"/>
              </w:rPr>
              <w:t>4.17</w:t>
            </w:r>
            <w:r>
              <w:rPr>
                <w:rStyle w:val="Style3"/>
                <w:sz w:val="26"/>
                <w:i w:val="false"/>
                <w:kern w:val="0"/>
                <w:shd w:fill="auto" w:val="clear"/>
                <w:szCs w:val="22"/>
                <w:iCs w:val="false"/>
                <w:rFonts w:eastAsia="Calibri" w:cs="Arial"/>
                <w:lang w:val="ru-RU" w:eastAsia="en-US" w:bidi="ar-SA"/>
              </w:rPr>
              <w:fldChar w:fldCharType="end"/>
            </w:r>
            <w:r>
              <w:rPr>
                <w:rStyle w:val="Style3"/>
                <w:rFonts w:eastAsia="Calibri" w:cs="Arial"/>
                <w:i w:val="false"/>
                <w:iCs w:val="false"/>
                <w:kern w:val="0"/>
                <w:sz w:val="26"/>
                <w:szCs w:val="22"/>
                <w:shd w:fill="auto" w:val="clear"/>
                <w:lang w:val="ru-RU" w:eastAsia="en-US" w:bidi="ar-SA"/>
              </w:rPr>
              <w:t>.</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7" w:name="_Ref125362995"/>
            <w:bookmarkStart w:id="38" w:name="_Ref125362995"/>
            <w:bookmarkEnd w:id="38"/>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67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9" w:name="_Ref125533737"/>
            <w:bookmarkStart w:id="40" w:name="_Ref125533737"/>
            <w:bookmarkEnd w:id="40"/>
          </w:p>
        </w:tc>
        <w:tc>
          <w:tcPr>
            <w:tcW w:w="3242" w:type="dxa"/>
            <w:tcBorders/>
          </w:tcPr>
          <w:p>
            <w:pPr>
              <w:pStyle w:val="Normal"/>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подачи альтернативных предложений:</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предусмотрена.</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1" w:name="_Ref125475086"/>
            <w:bookmarkStart w:id="42" w:name="_Ref125475086"/>
            <w:bookmarkEnd w:id="4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 подачи заявок:</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3" w:name="_Ref125360779"/>
            <w:bookmarkStart w:id="44" w:name="_Ref125360779"/>
            <w:bookmarkEnd w:id="44"/>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«27» октября 2026 г.</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«11» ноября 2026 г. в 15 ч. 00 мин.</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«11» ноября 2026 г. в 15 ч. 00 мин.</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1.2.18</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5" w:name="_Ref125476197"/>
            <w:bookmarkStart w:id="46" w:name="_Ref125476197"/>
            <w:bookmarkEnd w:id="46"/>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7" w:name="_Ref125362733"/>
            <w:bookmarkStart w:id="48" w:name="_Ref125362733"/>
            <w:bookmarkEnd w:id="48"/>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заявок:</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«26» ноября 2026 г.</w:t>
            </w:r>
          </w:p>
          <w:p>
            <w:pPr>
              <w:pStyle w:val="Style21"/>
              <w:widowControl w:val="false"/>
              <w:suppressAutoHyphens w:val="true"/>
              <w:spacing w:lineRule="auto" w:line="240" w:before="60" w:after="60"/>
              <w:rPr>
                <w:rStyle w:val="Style3"/>
              </w:rPr>
            </w:pPr>
            <w:r>
              <w:rPr/>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проведения процедуры переторжки: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9" w:name="_Ref125362757"/>
            <w:bookmarkStart w:id="50" w:name="_Ref125362757"/>
            <w:bookmarkEnd w:id="50"/>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«26» ноября 2026 г.</w:t>
            </w:r>
          </w:p>
          <w:p>
            <w:pPr>
              <w:pStyle w:val="Style21"/>
              <w:widowControl w:val="false"/>
              <w:suppressAutoHyphens w:val="true"/>
              <w:spacing w:lineRule="auto" w:line="240" w:before="60" w:after="60"/>
              <w:rPr>
                <w:rStyle w:val="Style3"/>
              </w:rPr>
            </w:pPr>
            <w:r>
              <w:rPr/>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1" w:name="_Ref125366047"/>
            <w:bookmarkStart w:id="52" w:name="_Ref125366047"/>
            <w:bookmarkEnd w:id="5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cstheme="minorBidi" w:eastAsiaTheme="minorHAnsi"/>
                <w:kern w:val="0"/>
                <w:sz w:val="26"/>
                <w:szCs w:val="22"/>
                <w:highlight w:val="none"/>
                <w:shd w:fill="auto" w:val="clear"/>
                <w:lang w:val="ru-RU" w:eastAsia="en-US" w:bidi="ar-SA"/>
              </w:rPr>
            </w:pPr>
            <w:r>
              <w:rPr>
                <w:rFonts w:eastAsia="Calibri" w:cs="Arial" w:cstheme="minorBidi" w:eastAsiaTheme="minorHAnsi"/>
                <w:kern w:val="0"/>
                <w:sz w:val="26"/>
                <w:szCs w:val="22"/>
                <w:shd w:fill="auto" w:val="clear"/>
                <w:lang w:val="ru-RU" w:eastAsia="en-US" w:bidi="ar-SA"/>
              </w:rPr>
            </w:r>
            <w:bookmarkStart w:id="53" w:name="_Ref125361769"/>
            <w:bookmarkStart w:id="54" w:name="_Ref125361769"/>
            <w:bookmarkEnd w:id="54"/>
          </w:p>
        </w:tc>
        <w:tc>
          <w:tcPr>
            <w:tcW w:w="3242" w:type="dxa"/>
            <w:tcBorders/>
          </w:tcPr>
          <w:p>
            <w:pPr>
              <w:pStyle w:val="Style21"/>
              <w:widowControl w:val="false"/>
              <w:suppressAutoHyphens w:val="true"/>
              <w:spacing w:lineRule="auto" w:line="240" w:before="60" w:after="60"/>
              <w:jc w:val="left"/>
              <w:rPr>
                <w:rFonts w:eastAsia="Calibri" w:cs="Arial" w:cstheme="minorBidi" w:eastAsiaTheme="minorHAnsi"/>
                <w:highlight w:val="none"/>
                <w:shd w:fill="auto" w:val="clear"/>
              </w:rPr>
            </w:pPr>
            <w:r>
              <w:rPr>
                <w:rFonts w:eastAsia="Calibri" w:cs="Arial" w:cstheme="minorBidi" w:eastAsiaTheme="minorHAnsi"/>
                <w:kern w:val="0"/>
                <w:sz w:val="26"/>
                <w:szCs w:val="22"/>
                <w:shd w:fill="auto" w:val="clear"/>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21"/>
              <w:widowControl w:val="false"/>
              <w:suppressAutoHyphens w:val="true"/>
              <w:spacing w:lineRule="auto" w:line="240" w:before="60" w:after="60"/>
              <w:rPr>
                <w:rFonts w:eastAsia="Calibri" w:cs="Arial" w:cstheme="minorBidi" w:eastAsiaTheme="minorHAnsi"/>
                <w:highlight w:val="none"/>
                <w:shd w:fill="auto" w:val="clear"/>
              </w:rPr>
            </w:pPr>
            <w:r>
              <w:rPr>
                <w:rFonts w:eastAsia="Calibri" w:cs="Arial" w:cstheme="minorBidi" w:eastAsiaTheme="minorHAnsi"/>
                <w:kern w:val="0"/>
                <w:sz w:val="26"/>
                <w:szCs w:val="22"/>
                <w:shd w:fill="auto" w:val="clear"/>
                <w:lang w:val="ru-RU" w:eastAsia="en-US" w:bidi="ar-SA"/>
              </w:rPr>
              <w:t>Предусмотрено</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w:t>
              <w:br/>
              <w:t>итогов закупки:</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5" w:name="_Ref125366606"/>
            <w:bookmarkStart w:id="56" w:name="_Ref125366606"/>
            <w:bookmarkEnd w:id="56"/>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7" w:name="_Ref125533374"/>
            <w:bookmarkStart w:id="58" w:name="_Ref125533374"/>
            <w:bookmarkEnd w:id="58"/>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Форма заключения Договора: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бумажной или электронной форме (подробный порядок заключения Договора содержится в 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_Ref126142429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hyperlink r:id="rId4" w:tgtFrame="https://diadoc.kontur.ru">
              <w:r>
                <w:rPr>
                  <w:rStyle w:val="Hyperlink"/>
                  <w:rFonts w:eastAsia="Calibri" w:cs="Arial"/>
                  <w:kern w:val="0"/>
                  <w:sz w:val="26"/>
                  <w:szCs w:val="22"/>
                  <w:lang w:val="ru-RU" w:eastAsia="en-US" w:bidi="ar-SA"/>
                </w:rPr>
                <w:t>https://diadoc.kontur.ru</w:t>
              </w:r>
            </w:hyperlink>
            <w:r>
              <w:rPr>
                <w:rFonts w:eastAsia="Calibri" w:cs="Arial"/>
                <w:kern w:val="0"/>
                <w:sz w:val="26"/>
                <w:szCs w:val="22"/>
                <w:lang w:val="ru-RU" w:eastAsia="en-US" w:bidi="ar-SA"/>
              </w:rP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9" w:name="_Ref125366813"/>
            <w:bookmarkStart w:id="60" w:name="_Ref125366813"/>
            <w:bookmarkEnd w:id="60"/>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21"/>
              <w:keepNext w:val="true"/>
              <w:widowControl w:val="false"/>
              <w:suppressAutoHyphens w:val="true"/>
              <w:spacing w:lineRule="auto" w:line="240" w:before="0" w:after="0"/>
              <w:rPr>
                <w:highlight w:val="white"/>
              </w:rPr>
            </w:pPr>
            <w:r>
              <w:rPr>
                <w:rFonts w:eastAsia="Calibri" w:cs="Arial"/>
                <w:kern w:val="0"/>
                <w:sz w:val="26"/>
                <w:szCs w:val="22"/>
                <w:highlight w:val="white"/>
                <w:lang w:val="ru-RU" w:eastAsia="en-US" w:bidi="ar-SA"/>
              </w:rPr>
              <w:t xml:space="preserve">Контактное лицо (Ф.И.О.): </w:t>
            </w:r>
          </w:p>
          <w:p>
            <w:pPr>
              <w:pStyle w:val="Style21"/>
              <w:widowControl w:val="false"/>
              <w:suppressAutoHyphens w:val="true"/>
              <w:spacing w:lineRule="auto" w:line="204" w:before="60" w:after="60"/>
              <w:jc w:val="both"/>
              <w:rPr>
                <w:rFonts w:ascii="Times New Roman" w:hAnsi="Times New Roman" w:eastAsia="Calibri" w:cs="Arial"/>
                <w:kern w:val="0"/>
                <w:highlight w:val="none"/>
                <w:shd w:fill="auto" w:val="clear"/>
                <w:lang w:val="ru-RU" w:eastAsia="en-US" w:bidi="ar-SA"/>
              </w:rPr>
            </w:pPr>
            <w:r>
              <w:rPr>
                <w:rFonts w:eastAsia="Calibri" w:cs="Arial"/>
                <w:b w:val="false"/>
                <w:bCs w:val="false"/>
                <w:kern w:val="0"/>
                <w:sz w:val="26"/>
                <w:szCs w:val="26"/>
                <w:shd w:fill="auto" w:val="clear"/>
                <w:lang w:val="ru-RU" w:eastAsia="en-US" w:bidi="ar-SA"/>
              </w:rPr>
              <w:t xml:space="preserve">Коломин Олег Станиславович, </w:t>
            </w:r>
          </w:p>
          <w:p>
            <w:pPr>
              <w:pStyle w:val="Style21"/>
              <w:widowControl w:val="false"/>
              <w:suppressAutoHyphens w:val="true"/>
              <w:spacing w:lineRule="auto" w:line="204" w:before="60" w:after="60"/>
              <w:jc w:val="both"/>
              <w:rPr>
                <w:rFonts w:ascii="Times New Roman" w:hAnsi="Times New Roman" w:eastAsia="Calibri" w:cs="Arial"/>
                <w:kern w:val="0"/>
                <w:highlight w:val="none"/>
                <w:shd w:fill="auto" w:val="clear"/>
                <w:lang w:val="ru-RU" w:eastAsia="en-US" w:bidi="ar-SA"/>
              </w:rPr>
            </w:pPr>
            <w:r>
              <w:rPr>
                <w:rFonts w:eastAsia="Calibri" w:cs="Arial"/>
                <w:b w:val="false"/>
                <w:bCs w:val="false"/>
                <w:kern w:val="0"/>
                <w:sz w:val="26"/>
                <w:szCs w:val="26"/>
                <w:shd w:fill="auto" w:val="clear"/>
                <w:lang w:val="ru-RU" w:eastAsia="en-US" w:bidi="ar-SA"/>
              </w:rPr>
              <w:t>тел. +7(4212) 26-15-39</w:t>
            </w:r>
          </w:p>
          <w:p>
            <w:pPr>
              <w:pStyle w:val="Normal"/>
              <w:widowControl w:val="false"/>
              <w:shd w:val="clear" w:color="FFFFFF" w:themeColor="background1" w:fill="FFFFFF" w:themeFill="background1"/>
              <w:tabs>
                <w:tab w:val="clear" w:pos="708"/>
                <w:tab w:val="left" w:pos="295" w:leader="none"/>
              </w:tabs>
              <w:suppressAutoHyphens w:val="true"/>
              <w:spacing w:lineRule="auto" w:line="240" w:before="0" w:after="0"/>
              <w:jc w:val="left"/>
              <w:rPr>
                <w:rFonts w:ascii="Times New Roman" w:hAnsi="Times New Roman" w:eastAsia="Calibri" w:cs="Arial"/>
                <w:kern w:val="0"/>
                <w:sz w:val="26"/>
                <w:lang w:val="ru-RU" w:eastAsia="en-US" w:bidi="ar-SA"/>
              </w:rPr>
            </w:pPr>
            <w:r>
              <w:rPr>
                <w:rFonts w:eastAsia="Calibri" w:cs="Arial"/>
                <w:kern w:val="0"/>
                <w:sz w:val="26"/>
                <w:szCs w:val="26"/>
                <w:shd w:fill="auto" w:val="clear"/>
                <w:lang w:val="ru-RU" w:eastAsia="en-US" w:bidi="ar-SA"/>
              </w:rPr>
              <w:t>Почтовый адрес: 680015, Российская Федерация, г. Хабаровск, ул. Узловая, 15а</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1" w:name="_Ref125368490"/>
            <w:bookmarkStart w:id="62" w:name="_Ref125368490"/>
            <w:bookmarkEnd w:id="62"/>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836" w:type="dxa"/>
            <w:tcBorders/>
          </w:tcPr>
          <w:p>
            <w:pPr>
              <w:pStyle w:val="Style17"/>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3242" w:type="dxa"/>
            <w:tcBorders/>
          </w:tcPr>
          <w:p>
            <w:pPr>
              <w:pStyle w:val="Style21"/>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67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4"/>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bl>
    <w:p>
      <w:pPr>
        <w:pStyle w:val="Style15"/>
        <w:spacing w:before="0" w:after="0"/>
        <w:rPr/>
      </w:pPr>
      <w:bookmarkStart w:id="63" w:name="_Ref125360073"/>
      <w:bookmarkStart w:id="64" w:name="_Ref125360337"/>
      <w:bookmarkStart w:id="65" w:name="_Toc228976080"/>
      <w:r>
        <w:rPr/>
        <w:t>Общие положения</w:t>
      </w:r>
      <w:bookmarkEnd w:id="63"/>
      <w:bookmarkEnd w:id="64"/>
      <w:bookmarkEnd w:id="65"/>
    </w:p>
    <w:p>
      <w:pPr>
        <w:pStyle w:val="Style16"/>
        <w:spacing w:before="360" w:after="0"/>
        <w:rPr/>
      </w:pPr>
      <w:bookmarkStart w:id="66" w:name="_Toc228976081"/>
      <w:r>
        <w:rPr/>
        <w:t>Общие сведения о закупке</w:t>
      </w:r>
      <w:bookmarkEnd w:id="66"/>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7" w:name="_Toc228976082"/>
      <w:r>
        <w:rPr/>
        <w:t>Правовой статус документов</w:t>
      </w:r>
      <w:bookmarkEnd w:id="67"/>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8"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8"/>
      <w:r>
        <w:rPr/>
        <w:t>.</w:t>
      </w:r>
    </w:p>
    <w:p>
      <w:pPr>
        <w:pStyle w:val="Style17"/>
        <w:spacing w:before="0" w:after="0"/>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9" w:name="_Ref125363536"/>
      <w:bookmarkStart w:id="70" w:name="_Toc228976083"/>
      <w:r>
        <w:rPr/>
        <w:t>Обжалование</w:t>
      </w:r>
      <w:bookmarkEnd w:id="69"/>
      <w:bookmarkEnd w:id="70"/>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21"/>
        <w:ind w:hanging="0" w:left="1134"/>
        <w:rPr/>
      </w:pPr>
      <w:r>
        <w:rPr/>
        <w:t>Закупочная комиссия определяется в соответствии с Положением о закупке.</w:t>
      </w:r>
    </w:p>
    <w:p>
      <w:pPr>
        <w:pStyle w:val="Style16"/>
        <w:spacing w:before="360" w:after="0"/>
        <w:rPr/>
      </w:pPr>
      <w:bookmarkStart w:id="71" w:name="_Ref125472658"/>
      <w:bookmarkStart w:id="72" w:name="_Toc228976084"/>
      <w:r>
        <w:rPr/>
        <w:t>Особые положения при проведении закупки с использованием ЭП</w:t>
      </w:r>
      <w:bookmarkEnd w:id="71"/>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bookmarkStart w:id="73"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3"/>
    </w:p>
    <w:p>
      <w:pPr>
        <w:pStyle w:val="Style17"/>
        <w:spacing w:before="0" w:after="0"/>
        <w:rPr/>
      </w:pPr>
      <w:bookmarkStart w:id="74"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4"/>
    </w:p>
    <w:p>
      <w:pPr>
        <w:pStyle w:val="Style16"/>
        <w:spacing w:before="360" w:after="0"/>
        <w:rPr/>
      </w:pPr>
      <w:bookmarkStart w:id="75" w:name="_Toc228976085"/>
      <w:r>
        <w:rPr/>
        <w:t>Прочие положения</w:t>
      </w:r>
      <w:bookmarkEnd w:id="75"/>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bookmarkStart w:id="76"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6"/>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7" w:name="_Ref125361210"/>
      <w:bookmarkStart w:id="78" w:name="_Toc228976086"/>
      <w:r>
        <w:rPr/>
        <w:t>Требования к Участникам</w:t>
      </w:r>
      <w:bookmarkEnd w:id="77"/>
      <w:bookmarkEnd w:id="78"/>
    </w:p>
    <w:p>
      <w:pPr>
        <w:pStyle w:val="Style16"/>
        <w:spacing w:before="360" w:after="0"/>
        <w:rPr/>
      </w:pPr>
      <w:bookmarkStart w:id="79" w:name="_Ref127524530"/>
      <w:bookmarkStart w:id="80" w:name="_Toc228976087"/>
      <w:r>
        <w:rPr/>
        <w:t>Общие требования к Участникам</w:t>
      </w:r>
      <w:bookmarkEnd w:id="79"/>
      <w:bookmarkEnd w:id="80"/>
    </w:p>
    <w:p>
      <w:pPr>
        <w:pStyle w:val="Style17"/>
        <w:spacing w:before="120" w:after="0"/>
        <w:rPr/>
      </w:pPr>
      <w:bookmarkStart w:id="81"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81"/>
    </w:p>
    <w:p>
      <w:pPr>
        <w:pStyle w:val="Style17"/>
        <w:spacing w:before="0" w:after="0"/>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8"/>
        <w:spacing w:before="0" w:after="0"/>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w:t>
      </w:r>
    </w:p>
    <w:p>
      <w:pPr>
        <w:pStyle w:val="Style18"/>
        <w:spacing w:before="120" w:after="0"/>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18"/>
        <w:spacing w:before="0" w:after="0"/>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18"/>
        <w:spacing w:before="0" w:after="0"/>
        <w:rPr/>
      </w:pPr>
      <w:r>
        <w:rPr/>
        <w:t>к привлечению субподрядчиков (соисполнителей) из числа субъектов МСП (подраздел </w:t>
      </w:r>
      <w:r>
        <w:rPr/>
        <w:fldChar w:fldCharType="begin"/>
      </w:r>
      <w:r>
        <w:rPr/>
        <w:instrText xml:space="preserve"> REF _Ref127524203 \r \h </w:instrText>
      </w:r>
      <w:r>
        <w:rPr/>
        <w:fldChar w:fldCharType="separate"/>
      </w:r>
      <w:r>
        <w:rPr/>
        <w:t>3.4</w:t>
      </w:r>
      <w:r>
        <w:rPr/>
        <w:fldChar w:fldCharType="end"/>
      </w:r>
      <w:r>
        <w:rPr/>
        <w:t>).</w:t>
      </w:r>
    </w:p>
    <w:p>
      <w:pPr>
        <w:pStyle w:val="Style17"/>
        <w:spacing w:before="120" w:after="0"/>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если иное не установлено в Документации о закупке.</w:t>
      </w:r>
    </w:p>
    <w:p>
      <w:pPr>
        <w:pStyle w:val="Style16"/>
        <w:spacing w:before="360" w:after="0"/>
        <w:rPr/>
      </w:pPr>
      <w:bookmarkStart w:id="82" w:name="_Ref130305355"/>
      <w:bookmarkStart w:id="83" w:name="_Ref130308062"/>
      <w:bookmarkStart w:id="84" w:name="_Ref130308111"/>
      <w:bookmarkStart w:id="85" w:name="_Ref130308203"/>
      <w:bookmarkStart w:id="86" w:name="_Ref130308255"/>
      <w:bookmarkStart w:id="87" w:name="_Toc228976088"/>
      <w:bookmarkStart w:id="88" w:name="_Ref125361969"/>
      <w:bookmarkStart w:id="89" w:name="_Ref125361976"/>
      <w:r>
        <w:rPr/>
        <w:t>Коллективные участники</w:t>
      </w:r>
      <w:bookmarkEnd w:id="82"/>
      <w:bookmarkEnd w:id="83"/>
      <w:bookmarkEnd w:id="84"/>
      <w:bookmarkEnd w:id="85"/>
      <w:bookmarkEnd w:id="86"/>
      <w:bookmarkEnd w:id="87"/>
      <w:bookmarkEnd w:id="88"/>
      <w:bookmarkEnd w:id="89"/>
    </w:p>
    <w:p>
      <w:pPr>
        <w:pStyle w:val="Style17"/>
        <w:spacing w:before="120" w:after="0"/>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17"/>
        <w:spacing w:before="0" w:after="0"/>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bookmarkStart w:id="90"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90"/>
    </w:p>
    <w:p>
      <w:pPr>
        <w:pStyle w:val="Style18"/>
        <w:spacing w:before="120" w:after="0"/>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18"/>
        <w:spacing w:before="0" w:after="0"/>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18"/>
        <w:spacing w:before="0" w:after="0"/>
        <w:rPr/>
      </w:pPr>
      <w:r>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18"/>
        <w:spacing w:before="0" w:after="0"/>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18"/>
        <w:spacing w:before="0" w:after="0"/>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18"/>
        <w:spacing w:before="0" w:after="0"/>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17"/>
        <w:spacing w:before="120" w:after="0"/>
        <w:rPr/>
      </w:pPr>
      <w:r>
        <w:rPr/>
        <w:t>Заявка подготавливается и подается лидером от своего имени со ссылкой в Письме о подаче оферты (форма 2) (</w:t>
      </w:r>
      <w:hyperlink w:anchor="Прил04_ФормыЗаявки" w:tgtFrame="#Прил04_ФормыЗаявки">
        <w:r>
          <w:rPr>
            <w:rStyle w:val="Style6"/>
          </w:rPr>
          <w:t>Приложение № 4</w:t>
        </w:r>
      </w:hyperlink>
      <w:r>
        <w:rPr/>
        <w:t>) на то, что он представляет интересы Коллективного участника.</w:t>
      </w:r>
    </w:p>
    <w:p>
      <w:pPr>
        <w:pStyle w:val="Style17"/>
        <w:spacing w:before="0" w:after="0"/>
        <w:rPr/>
      </w:pPr>
      <w:bookmarkStart w:id="91"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91"/>
    </w:p>
    <w:p>
      <w:pPr>
        <w:pStyle w:val="Style17"/>
        <w:spacing w:before="0" w:after="0"/>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11) (</w:t>
      </w:r>
      <w:hyperlink w:anchor="Прил04_ФормыЗаявки" w:tgtFrame="#Прил04_ФормыЗаявки">
        <w:r>
          <w:rPr>
            <w:rStyle w:val="Style6"/>
          </w:rPr>
          <w:t>Приложение № 4</w:t>
        </w:r>
      </w:hyperlink>
      <w:r>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17"/>
        <w:spacing w:before="0" w:after="0"/>
        <w:rPr/>
      </w:pPr>
      <w:bookmarkStart w:id="92"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rStyle w:val="Style6"/>
          </w:rPr>
          <w:t>Приложение № 4</w:t>
        </w:r>
      </w:hyperlink>
      <w:r>
        <w:rPr/>
        <w:t>) будет поручена непосредственная поставка продукции, требующая наличия указанного опыта.</w:t>
      </w:r>
      <w:bookmarkEnd w:id="92"/>
    </w:p>
    <w:p>
      <w:pPr>
        <w:pStyle w:val="Style17"/>
        <w:keepNext w:val="true"/>
        <w:spacing w:before="0" w:after="0"/>
        <w:rPr/>
      </w:pPr>
      <w:bookmarkStart w:id="93"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93"/>
    </w:p>
    <w:p>
      <w:pPr>
        <w:pStyle w:val="Style18"/>
        <w:spacing w:before="120" w:after="0"/>
        <w:rPr/>
      </w:pPr>
      <w:r>
        <w:rPr/>
        <w:t>принимать участие в этой же закупке самостоятельно;</w:t>
      </w:r>
    </w:p>
    <w:p>
      <w:pPr>
        <w:pStyle w:val="Style18"/>
        <w:spacing w:before="0" w:after="0"/>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21"/>
        <w:ind w:hanging="0" w:left="1134"/>
        <w:rPr/>
      </w:pPr>
      <w:r>
        <w:rPr/>
        <w:t>В случае невыполнения данного требования все заявки с участием таких лиц будут отклонены.</w:t>
      </w:r>
    </w:p>
    <w:p>
      <w:pPr>
        <w:pStyle w:val="Style17"/>
        <w:spacing w:before="120" w:after="0"/>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tgtFrame="#Прил03_ТребованияУчастникам">
        <w:r>
          <w:rPr>
            <w:rStyle w:val="Style6"/>
          </w:rPr>
          <w:t>Приложение № 3</w:t>
        </w:r>
      </w:hyperlink>
      <w:r>
        <w:rPr>
          <w:rStyle w:val="Style6"/>
        </w:rPr>
        <w:t>)</w:t>
      </w:r>
      <w:r>
        <w:rPr/>
        <w:t>, а также при несоблюдении вышеуказанных норм настоящего подраздела, заявка такого Коллективного участника отклоняется.</w:t>
      </w:r>
    </w:p>
    <w:p>
      <w:pPr>
        <w:pStyle w:val="Style17"/>
        <w:spacing w:before="0" w:after="0"/>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17"/>
        <w:spacing w:before="0" w:after="0"/>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16"/>
        <w:spacing w:before="360" w:after="0"/>
        <w:rPr/>
      </w:pPr>
      <w:bookmarkStart w:id="94" w:name="_Ref125361702"/>
      <w:bookmarkStart w:id="95" w:name="_Toc228976089"/>
      <w:r>
        <w:rPr/>
        <w:t>Генеральные подрядчики</w:t>
      </w:r>
      <w:bookmarkEnd w:id="94"/>
      <w:bookmarkEnd w:id="95"/>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18"/>
        <w:spacing w:before="0" w:after="0"/>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21"/>
        <w:ind w:hanging="0" w:left="1134"/>
        <w:rPr/>
      </w:pPr>
      <w:bookmarkStart w:id="96"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6"/>
      <w:r>
        <w:rPr/>
        <w:t>в соответствии с Планом распределения объемов поставки продукции (форма 10)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9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7"/>
    </w:p>
    <w:p>
      <w:p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6"/>
        <w:spacing w:before="360" w:after="0"/>
        <w:rPr/>
      </w:pPr>
      <w:bookmarkStart w:id="98" w:name="_Ref127524203"/>
      <w:bookmarkStart w:id="99" w:name="_Toc228976090"/>
      <w:r>
        <w:rPr/>
        <w:t>Привлечение субподрядчиков (соисполнителей) из числа субъектов МСП</w:t>
      </w:r>
      <w:bookmarkEnd w:id="98"/>
      <w:bookmarkEnd w:id="9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17"/>
        <w:spacing w:before="0" w:after="0"/>
        <w:rPr/>
      </w:pPr>
      <w:r>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При этом в Плане распределения объемов поставки продукции (форма 10) (</w:t>
      </w:r>
      <w:hyperlink w:anchor="Прил04_ФормыЗаявки" w:tgtFrame="#Прил04_ФормыЗаявки">
        <w:r>
          <w:rPr>
            <w:rStyle w:val="Style6"/>
          </w:rPr>
          <w:t>Приложение № 4</w:t>
        </w:r>
      </w:hyperlink>
      <w:r>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17"/>
        <w:spacing w:before="0" w:after="0"/>
        <w:rPr/>
      </w:pPr>
      <w:r>
        <w:rPr/>
        <w:t>При этом требования подраздела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fldChar w:fldCharType="begin"/>
      </w:r>
      <w:r>
        <w:rPr/>
        <w:instrText xml:space="preserve"> REF _Ref125361702 \r \h </w:instrText>
      </w:r>
      <w:r>
        <w:rPr/>
        <w:fldChar w:fldCharType="separate"/>
      </w:r>
      <w:r>
        <w:rPr/>
        <w:t>3.3</w:t>
      </w:r>
      <w:r>
        <w:rPr/>
        <w:fldChar w:fldCharType="end"/>
      </w:r>
      <w:r>
        <w:rPr/>
        <w:t>).</w:t>
      </w:r>
    </w:p>
    <w:p>
      <w:pPr>
        <w:pStyle w:val="Style17"/>
        <w:spacing w:before="0" w:after="0"/>
        <w:rPr/>
      </w:pPr>
      <w:bookmarkStart w:id="100" w:name="_Ref125473377"/>
      <w:r>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tgtFrame="#Прил04_ФормыЗаявки">
        <w:r>
          <w:rPr>
            <w:rStyle w:val="Style6"/>
          </w:rPr>
          <w:t>Приложение № 4</w:t>
        </w:r>
      </w:hyperlink>
      <w:r>
        <w:rPr/>
        <w:t>).</w:t>
      </w:r>
      <w:bookmarkEnd w:id="100"/>
      <w:r>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привлекаемые субъекты МСП входят в состав Коллективного участника (подраздел </w:t>
      </w:r>
      <w:r>
        <w:rPr/>
        <w:fldChar w:fldCharType="begin"/>
      </w:r>
      <w:r>
        <w:rPr/>
        <w:instrText xml:space="preserve"> REF _Ref130308255 \r \h </w:instrText>
      </w:r>
      <w:r>
        <w:rPr/>
        <w:fldChar w:fldCharType="separate"/>
      </w:r>
      <w:r>
        <w:rPr/>
        <w:t>3.2</w:t>
      </w:r>
      <w:r>
        <w:rPr/>
        <w:fldChar w:fldCharType="end"/>
      </w:r>
      <w:r>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15"/>
        <w:spacing w:before="0" w:after="0"/>
        <w:rPr/>
      </w:pPr>
      <w:bookmarkStart w:id="101" w:name="_Ref125361211"/>
      <w:bookmarkStart w:id="102" w:name="_Ref125367098"/>
      <w:bookmarkStart w:id="103" w:name="_Ref125367107"/>
      <w:bookmarkStart w:id="104" w:name="_Ref125367974"/>
      <w:bookmarkStart w:id="105" w:name="_Toc228976091"/>
      <w:r>
        <w:rPr/>
        <w:t>Порядок проведения закупки</w:t>
      </w:r>
      <w:bookmarkEnd w:id="101"/>
      <w:bookmarkEnd w:id="102"/>
      <w:bookmarkEnd w:id="103"/>
      <w:bookmarkEnd w:id="104"/>
      <w:bookmarkEnd w:id="105"/>
    </w:p>
    <w:p>
      <w:pPr>
        <w:pStyle w:val="Style16"/>
        <w:spacing w:before="360" w:after="0"/>
        <w:rPr/>
      </w:pPr>
      <w:bookmarkStart w:id="106" w:name="_Ref126141932"/>
      <w:bookmarkStart w:id="107" w:name="_Toc228976092"/>
      <w:r>
        <w:rPr/>
        <w:t>Общий порядок проведения закупки</w:t>
      </w:r>
      <w:bookmarkEnd w:id="106"/>
      <w:bookmarkEnd w:id="107"/>
    </w:p>
    <w:p>
      <w:pPr>
        <w:pStyle w:val="Style17"/>
        <w:keepNext w:val="true"/>
        <w:spacing w:before="120" w:after="120"/>
        <w:rPr/>
      </w:pPr>
      <w:r>
        <w:rPr/>
        <w:t>Закупка проводится в следующем порядке:</w:t>
      </w:r>
    </w:p>
    <w:tbl>
      <w:tblPr>
        <w:tblStyle w:val="1256"/>
        <w:tblW w:w="14594" w:type="dxa"/>
        <w:jc w:val="left"/>
        <w:tblInd w:w="713" w:type="dxa"/>
        <w:tblLayout w:type="fixed"/>
        <w:tblCellMar>
          <w:top w:w="0" w:type="dxa"/>
          <w:left w:w="0" w:type="dxa"/>
          <w:bottom w:w="0" w:type="dxa"/>
          <w:right w:w="5" w:type="dxa"/>
        </w:tblCellMar>
        <w:tblLook w:val="04a0" w:noHBand="0" w:noVBand="1" w:firstColumn="1" w:lastRow="0" w:lastColumn="0" w:firstRow="1"/>
      </w:tblPr>
      <w:tblGrid>
        <w:gridCol w:w="429"/>
        <w:gridCol w:w="2219"/>
        <w:gridCol w:w="1111"/>
        <w:gridCol w:w="1111"/>
        <w:gridCol w:w="2508"/>
        <w:gridCol w:w="2550"/>
        <w:gridCol w:w="2539"/>
        <w:gridCol w:w="2126"/>
      </w:tblGrid>
      <w:tr>
        <w:trPr/>
        <w:tc>
          <w:tcPr>
            <w:tcW w:w="429" w:type="dxa"/>
            <w:tcBorders>
              <w:left w:val="nil"/>
            </w:tcBorders>
            <w:vAlign w:val="bottom"/>
          </w:tcPr>
          <w:p>
            <w:pPr>
              <w:pStyle w:val="Style21"/>
              <w:keepNext w:val="true"/>
              <w:keepLines w:val="false"/>
              <w:widowControl w:val="false"/>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4164" w:type="dxa"/>
            <w:gridSpan w:val="7"/>
            <w:tcBorders>
              <w:right w:val="nil"/>
            </w:tcBorders>
          </w:tcPr>
          <w:p>
            <w:pPr>
              <w:pStyle w:val="Style21"/>
              <w:keepNext w:val="true"/>
              <w:keepLines w:val="false"/>
              <w:widowControl w:val="false"/>
              <w:suppressAutoHyphens w:val="true"/>
              <w:spacing w:lineRule="auto" w:line="240" w:before="40" w:after="40"/>
              <w:jc w:val="center"/>
              <w:rPr>
                <w:b w:val="false"/>
                <w:bCs/>
                <w:sz w:val="24"/>
                <w:szCs w:val="24"/>
              </w:rPr>
            </w:pPr>
            <w:r>
              <w:rPr>
                <w:rFonts w:eastAsia="Calibri" w:cs="Arial"/>
                <w:b/>
                <w:bCs/>
                <w:kern w:val="0"/>
                <w:sz w:val="24"/>
                <w:szCs w:val="24"/>
                <w:lang w:val="ru-RU" w:eastAsia="en-US" w:bidi="ar-SA"/>
              </w:rPr>
              <w:t>Официальное размещение Извещения и Документации о закупке (подраздел </w:t>
            </w:r>
            <w:r>
              <w:rPr>
                <w:rFonts w:eastAsia="Calibri" w:cs="Arial"/>
                <w:b/>
                <w:bCs/>
                <w:kern w:val="0"/>
                <w:sz w:val="24"/>
                <w:szCs w:val="24"/>
                <w:lang w:val="ru-RU" w:eastAsia="en-US" w:bidi="ar-SA"/>
              </w:rPr>
              <w:fldChar w:fldCharType="begin"/>
            </w:r>
            <w:r>
              <w:rPr>
                <w:sz w:val="24"/>
                <w:b/>
                <w:kern w:val="0"/>
                <w:szCs w:val="24"/>
                <w:bCs/>
                <w:rFonts w:eastAsia="Calibri" w:cs="Arial"/>
                <w:lang w:val="ru-RU" w:eastAsia="en-US" w:bidi="ar-SA"/>
              </w:rPr>
              <w:instrText xml:space="preserve"> REF _Ref130286532 \r \h </w:instrText>
            </w:r>
            <w:r>
              <w:rPr>
                <w:sz w:val="24"/>
                <w:b/>
                <w:kern w:val="0"/>
                <w:szCs w:val="24"/>
                <w:bCs/>
                <w:rFonts w:eastAsia="Calibri" w:cs="Arial"/>
                <w:lang w:val="ru-RU" w:eastAsia="en-US" w:bidi="ar-SA"/>
              </w:rPr>
              <w:fldChar w:fldCharType="separate"/>
            </w:r>
            <w:r>
              <w:rPr>
                <w:sz w:val="24"/>
                <w:b/>
                <w:kern w:val="0"/>
                <w:szCs w:val="24"/>
                <w:bCs/>
                <w:rFonts w:eastAsia="Calibri" w:cs="Arial"/>
                <w:lang w:val="ru-RU" w:eastAsia="en-US" w:bidi="ar-SA"/>
              </w:rPr>
              <w:t>4.2</w:t>
            </w:r>
            <w:r>
              <w:rPr>
                <w:sz w:val="24"/>
                <w:b/>
                <w:kern w:val="0"/>
                <w:szCs w:val="24"/>
                <w:bCs/>
                <w:rFonts w:eastAsia="Calibri" w:cs="Arial"/>
                <w:lang w:val="ru-RU" w:eastAsia="en-US" w:bidi="ar-SA"/>
              </w:rPr>
              <w:fldChar w:fldCharType="end"/>
            </w:r>
            <w:r>
              <w:rPr>
                <w:rFonts w:eastAsia="Calibri" w:cs="Arial"/>
                <w:b/>
                <w:bCs/>
                <w:kern w:val="0"/>
                <w:sz w:val="24"/>
                <w:szCs w:val="24"/>
                <w:lang w:val="ru-RU" w:eastAsia="en-US" w:bidi="ar-SA"/>
              </w:rPr>
              <w:t>)</w:t>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949" w:type="dxa"/>
            <w:gridSpan w:val="4"/>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Подготовка заявки (раздел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_Ref130281199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550" w:type="dxa"/>
            <w:vMerge w:val="restart"/>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Предоставление разъяснений положений Документации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_Ref130394802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539" w:type="dxa"/>
            <w:vMerge w:val="restart"/>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Внесение изменений в Извещение и (или) Документацию о закупке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_Ref125362076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126" w:type="dxa"/>
            <w:vMerge w:val="restart"/>
            <w:tcBorders>
              <w:right w:val="nil"/>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_Ref126141962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3330" w:type="dxa"/>
            <w:gridSpan w:val="2"/>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Подача заявок и их прием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619" w:type="dxa"/>
            <w:gridSpan w:val="2"/>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Изменение и отзыв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_Ref125362130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550"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53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126" w:type="dxa"/>
            <w:vMerge w:val="continue"/>
            <w:tcBorders>
              <w:right w:val="nil"/>
            </w:tcBorders>
            <w:vAlign w:val="bottom"/>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2038" w:type="dxa"/>
            <w:gridSpan w:val="6"/>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 заявкам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_Ref130221619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4.8</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126" w:type="dxa"/>
            <w:vMerge w:val="restart"/>
            <w:tcBorders>
              <w:right w:val="nil"/>
            </w:tcBorders>
            <w:vAlign w:val="center"/>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_Ref126141962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rHeight w:val="276" w:hRule="atLeast"/>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3330" w:type="dxa"/>
            <w:gridSpan w:val="2"/>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_Ref125362364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4.9</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619" w:type="dxa"/>
            <w:gridSpan w:val="2"/>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_Ref130985951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550" w:type="dxa"/>
            <w:vMerge w:val="restart"/>
            <w:tcBorders/>
            <w:vAlign w:val="center"/>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Направление дополнительных запросов разъяснений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4.10</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539" w:type="dxa"/>
            <w:vMerge w:val="restart"/>
            <w:tcBorders/>
            <w:vAlign w:val="center"/>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Признание закупки</w:t>
              <w:br/>
              <w:t>несостоявшейся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_Ref125364149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126"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949" w:type="dxa"/>
            <w:gridSpan w:val="4"/>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Переторжка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_Ref127536359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4.11</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r>
              <w:rPr>
                <w:rFonts w:eastAsia="Calibri" w:cs="Arial"/>
                <w:bCs/>
                <w:i/>
                <w:iCs/>
                <w:kern w:val="0"/>
                <w:sz w:val="24"/>
                <w:szCs w:val="24"/>
                <w:lang w:val="ru-RU" w:eastAsia="en-US" w:bidi="ar-SA"/>
              </w:rPr>
              <w:t>(опциональная процедура закупки)</w:t>
            </w:r>
          </w:p>
        </w:tc>
        <w:tc>
          <w:tcPr>
            <w:tcW w:w="2550"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53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126"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881" w:hRule="atLeast"/>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219" w:type="dxa"/>
            <w:vMerge w:val="restart"/>
            <w:tcBorders/>
            <w:vAlign w:val="center"/>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Оценка и сопоставление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_Ref125362626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730" w:type="dxa"/>
            <w:gridSpan w:val="3"/>
            <w:vMerge w:val="restart"/>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_Ref130985951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550"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53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126"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567" w:hRule="atLeast"/>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21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4730" w:type="dxa"/>
            <w:gridSpan w:val="3"/>
            <w:vMerge w:val="continue"/>
            <w:tcBorders/>
          </w:tcPr>
          <w:p>
            <w:pPr>
              <w:pStyle w:val="Normal"/>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550"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53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126"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499" w:type="dxa"/>
            <w:gridSpan w:val="5"/>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Подведение итогов закупки (определение Победителя)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_Ref125362658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53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126"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429" w:type="dxa"/>
            <w:tcBorders>
              <w:left w:val="nil"/>
            </w:tcBorders>
            <w:vAlign w:val="bottom"/>
          </w:tcPr>
          <w:p>
            <w:pPr>
              <w:pStyle w:val="Style21"/>
              <w:widowControl w:val="false"/>
              <w:suppressAutoHyphens w:val="true"/>
              <w:spacing w:lineRule="auto" w:line="240"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t>Ô</w:t>
            </w:r>
          </w:p>
        </w:tc>
        <w:tc>
          <w:tcPr>
            <w:tcW w:w="4441" w:type="dxa"/>
            <w:gridSpan w:val="3"/>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Заключение Договора</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_Ref138232981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p>
            <w:pPr>
              <w:pStyle w:val="Style21"/>
              <w:widowControl w:val="false"/>
              <w:suppressAutoHyphens w:val="true"/>
              <w:spacing w:lineRule="auto" w:line="240" w:before="40" w:after="40"/>
              <w:jc w:val="center"/>
              <w:rPr>
                <w:bCs/>
                <w:sz w:val="24"/>
                <w:szCs w:val="24"/>
              </w:rPr>
            </w:pPr>
            <w:r>
              <w:rPr>
                <w:bCs/>
                <w:sz w:val="24"/>
                <w:szCs w:val="24"/>
              </w:rPr>
            </w:r>
          </w:p>
        </w:tc>
        <w:tc>
          <w:tcPr>
            <w:tcW w:w="5058" w:type="dxa"/>
            <w:gridSpan w:val="2"/>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Проведение преддоговорных переговоров</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_Ref125552570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4665" w:type="dxa"/>
            <w:gridSpan w:val="2"/>
            <w:tcBorders>
              <w:right w:val="nil"/>
            </w:tcBorders>
          </w:tcPr>
          <w:p>
            <w:pPr>
              <w:pStyle w:val="Style21"/>
              <w:widowControl w:val="false"/>
              <w:suppressAutoHyphens w:val="true"/>
              <w:spacing w:lineRule="auto" w:line="240" w:before="40" w:after="40"/>
              <w:jc w:val="center"/>
              <w:rPr>
                <w:bCs/>
                <w:sz w:val="24"/>
                <w:szCs w:val="24"/>
              </w:rPr>
            </w:pPr>
            <w:r>
              <w:rPr>
                <w:rFonts w:eastAsia="Calibri" w:cs="Arial"/>
                <w:bCs/>
                <w:kern w:val="0"/>
                <w:sz w:val="24"/>
                <w:szCs w:val="24"/>
                <w:lang w:val="ru-RU" w:eastAsia="en-US" w:bidi="ar-SA"/>
              </w:rPr>
              <w:t>Уклонение Победителя</w:t>
              <w:br/>
              <w:t>от заключения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_Ref125367068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108" w:name="_Ref130286532"/>
      <w:bookmarkStart w:id="109" w:name="_Toc228976093"/>
      <w:r>
        <w:rPr/>
        <w:t>Официальное размещение Извещения и Документации о закупке</w:t>
      </w:r>
      <w:bookmarkEnd w:id="108"/>
      <w:bookmarkEnd w:id="109"/>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110"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0"/>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111" w:name="_Ref130281199"/>
      <w:bookmarkStart w:id="112" w:name="_Ref130394681"/>
      <w:bookmarkStart w:id="113" w:name="_Toc228976094"/>
      <w:r>
        <w:rPr/>
        <w:t>Подготовка заявки</w:t>
      </w:r>
      <w:bookmarkEnd w:id="111"/>
      <w:bookmarkEnd w:id="112"/>
      <w:bookmarkEnd w:id="113"/>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bookmarkStart w:id="114" w:name="_Ref130394854"/>
      <w:bookmarkStart w:id="115"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4"/>
      <w:bookmarkEnd w:id="115"/>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16" w:name="_Ref125370700"/>
      <w:bookmarkStart w:id="117"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16"/>
      <w:bookmarkEnd w:id="117"/>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18" w:name="_Ref125370398"/>
      <w:bookmarkStart w:id="119" w:name="_Ref125714384"/>
      <w:r>
        <w:rPr/>
        <w:t>противоречия между документами заявки и сведениями, указанными Участником в структурированных формах на ЭП.</w:t>
      </w:r>
      <w:bookmarkEnd w:id="118"/>
      <w:bookmarkEnd w:id="119"/>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20" w:name="_Ref130394205"/>
      <w:bookmarkStart w:id="121" w:name="_Ref130394785"/>
      <w:bookmarkStart w:id="122" w:name="_Ref130394802"/>
      <w:bookmarkStart w:id="123" w:name="_Toc228976095"/>
      <w:bookmarkStart w:id="124" w:name="_Ref125361260"/>
      <w:bookmarkStart w:id="125" w:name="_Ref125362071"/>
      <w:bookmarkStart w:id="126" w:name="_Ref125366672"/>
      <w:r>
        <w:rPr/>
        <w:t>Разъяснение Документации о закупке</w:t>
      </w:r>
      <w:bookmarkEnd w:id="120"/>
      <w:bookmarkEnd w:id="121"/>
      <w:bookmarkEnd w:id="122"/>
      <w:bookmarkEnd w:id="123"/>
      <w:bookmarkEnd w:id="124"/>
      <w:bookmarkEnd w:id="125"/>
      <w:bookmarkEnd w:id="126"/>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27" w:name="_Ref125362076"/>
      <w:bookmarkStart w:id="128" w:name="_Ref125363891"/>
      <w:bookmarkStart w:id="129" w:name="_Ref125364404"/>
      <w:bookmarkStart w:id="130" w:name="_Toc228976096"/>
      <w:r>
        <w:rPr/>
        <w:t>Изменения Извещения и (или) Документации о закупке</w:t>
      </w:r>
      <w:bookmarkEnd w:id="127"/>
      <w:bookmarkEnd w:id="128"/>
      <w:bookmarkEnd w:id="129"/>
      <w:bookmarkEnd w:id="130"/>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spacing w:before="0" w:after="0"/>
        <w:rPr/>
      </w:pPr>
      <w:bookmarkStart w:id="131"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1"/>
    </w:p>
    <w:p>
      <w:pPr>
        <w:pStyle w:val="Style17"/>
        <w:spacing w:before="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4</w:t>
      </w:r>
      <w:r>
        <w:rPr>
          <w:lang w:val="en-US"/>
        </w:rPr>
        <w:t> </w:t>
      </w:r>
      <w:r>
        <w:rPr/>
        <w:t>(четырех)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32" w:name="_Ref125362119"/>
      <w:bookmarkStart w:id="133" w:name="_Toc228976097"/>
      <w:r>
        <w:rPr/>
        <w:t>Подача заявок и их прием</w:t>
      </w:r>
      <w:bookmarkEnd w:id="132"/>
      <w:bookmarkEnd w:id="133"/>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34" w:name="_Ref125362130"/>
      <w:bookmarkStart w:id="135" w:name="_Ref125362192"/>
      <w:bookmarkStart w:id="136" w:name="_Ref125363819"/>
      <w:bookmarkStart w:id="137" w:name="_Ref125365136"/>
      <w:bookmarkStart w:id="138" w:name="_Toc228976098"/>
      <w:r>
        <w:rPr/>
        <w:t>Изменение и отзыв заявок</w:t>
      </w:r>
      <w:bookmarkEnd w:id="134"/>
      <w:bookmarkEnd w:id="135"/>
      <w:bookmarkEnd w:id="136"/>
      <w:bookmarkEnd w:id="137"/>
      <w:bookmarkEnd w:id="138"/>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39" w:name="_Ref130221619"/>
      <w:bookmarkStart w:id="140" w:name="_Toc228976099"/>
      <w:bookmarkStart w:id="141" w:name="_Ref125364340"/>
      <w:bookmarkEnd w:id="141"/>
      <w:r>
        <w:rPr/>
        <w:t>Открытие доступа к заявкам</w:t>
      </w:r>
      <w:bookmarkEnd w:id="139"/>
      <w:bookmarkEnd w:id="140"/>
    </w:p>
    <w:p>
      <w:pPr>
        <w:pStyle w:val="Style17"/>
        <w:spacing w:before="120" w:after="0"/>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Оператор ЭП предоставляет Организатору доступ одновременно ко всем поданным заявкам в полном объеме.</w:t>
      </w:r>
    </w:p>
    <w:p>
      <w:pPr>
        <w:pStyle w:val="Style17"/>
        <w:keepNext w:val="true"/>
        <w:spacing w:before="0" w:after="0"/>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наименование и адрес регистрации Участников, подавших заявки, и (или) их идентификационные номера, присваиваемые Оператором ЭП;</w:t>
      </w:r>
    </w:p>
    <w:p>
      <w:pPr>
        <w:pStyle w:val="Style18"/>
        <w:spacing w:before="0" w:after="0"/>
        <w:rPr/>
      </w:pPr>
      <w:r>
        <w:rPr/>
        <w:t>стоимости заявок (или иное указание на общую стоимость заявки);</w:t>
      </w:r>
    </w:p>
    <w:p>
      <w:pPr>
        <w:pStyle w:val="Style18"/>
        <w:spacing w:before="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1"/>
        <w:ind w:hanging="0"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17"/>
        <w:spacing w:before="120" w:after="0"/>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17"/>
        <w:spacing w:before="0" w:after="0"/>
        <w:rPr/>
      </w:pPr>
      <w:r>
        <w:rPr/>
        <w:t>Порядок получения Участниками информации о поступивших заявках через ЭП определяется Регламентом ЭП.</w:t>
      </w:r>
    </w:p>
    <w:p>
      <w:pPr>
        <w:pStyle w:val="Style16"/>
        <w:spacing w:before="360" w:after="0"/>
        <w:rPr/>
      </w:pPr>
      <w:bookmarkStart w:id="142" w:name="_Ref135749133"/>
      <w:bookmarkStart w:id="143" w:name="_Toc228976100"/>
      <w:bookmarkStart w:id="144" w:name="_Ref125362364"/>
      <w:bookmarkStart w:id="145" w:name="_Ref125366689"/>
      <w:bookmarkStart w:id="146" w:name="_Ref125364340_Копия_1"/>
      <w:bookmarkEnd w:id="146"/>
      <w:r>
        <w:rPr/>
        <w:t>Рассмотрение заявок (отборочная стадия)</w:t>
      </w:r>
      <w:bookmarkEnd w:id="144"/>
      <w:bookmarkEnd w:id="145"/>
      <w:r>
        <w:rPr/>
        <w:t>, в том числе (при необходимости) проведение аккредитации</w:t>
      </w:r>
      <w:bookmarkEnd w:id="142"/>
      <w:bookmarkEnd w:id="143"/>
    </w:p>
    <w:p>
      <w:pPr>
        <w:pStyle w:val="Style17"/>
        <w:spacing w:before="120" w:after="0"/>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47" w:name="_Ref224833939"/>
      <w:r>
        <w:rPr/>
        <w:t>При выявлении в рамках рассмотрения заявок наличия арифметических ошибок, в том числе:</w:t>
      </w:r>
      <w:bookmarkEnd w:id="147"/>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48"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48"/>
    </w:p>
    <w:p>
      <w:pPr>
        <w:pStyle w:val="Style18"/>
        <w:spacing w:before="120" w:after="0"/>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_Ref224833939 \r \h </w:instrText>
      </w:r>
      <w:r>
        <w:rPr/>
        <w:fldChar w:fldCharType="separate"/>
      </w:r>
      <w:r>
        <w:rPr/>
        <w:t>4.9.4</w:t>
      </w:r>
      <w:r>
        <w:rPr/>
        <w:fldChar w:fldCharType="end"/>
      </w:r>
      <w:r>
        <w:rPr/>
        <w:t>);</w:t>
      </w:r>
    </w:p>
    <w:p>
      <w:pPr>
        <w:pStyle w:val="Style18"/>
        <w:spacing w:before="12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18"/>
        <w:spacing w:before="0" w:after="0"/>
        <w:rPr/>
      </w:pPr>
      <w:r>
        <w:rPr/>
        <w:t>несоответствие размера, формы, условий и порядка предоставления обеспечения заявки.</w:t>
      </w:r>
    </w:p>
    <w:p>
      <w:pPr>
        <w:pStyle w:val="Style17"/>
        <w:spacing w:before="120" w:after="0"/>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17"/>
        <w:keepNext w:val="true"/>
        <w:spacing w:before="0" w:after="0"/>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подавших заявки,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18"/>
        <w:keepNext w:val="true"/>
        <w:spacing w:before="0" w:after="0"/>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19"/>
        <w:spacing w:before="120" w:after="0"/>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19"/>
        <w:spacing w:before="0" w:after="0"/>
        <w:rPr/>
      </w:pPr>
      <w:r>
        <w:rPr/>
        <w:t>порядкового номера каждой допущенной заявки в предварительной ранжировке заявок, включая стоимость заявки (цену Договора);</w:t>
      </w:r>
    </w:p>
    <w:p>
      <w:pPr>
        <w:pStyle w:val="Style18"/>
        <w:rPr/>
      </w:pPr>
      <w:bookmarkStart w:id="149" w:name="_Ref125551524"/>
      <w:r>
        <w:rPr/>
        <w:t>решение о проведении или непроведении переторжки,</w:t>
      </w:r>
      <w:bookmarkEnd w:id="149"/>
    </w:p>
    <w:p>
      <w:pPr>
        <w:pStyle w:val="Style2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7"/>
        <w:spacing w:before="0" w:after="0"/>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17"/>
        <w:spacing w:before="0" w:after="0"/>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16"/>
        <w:spacing w:before="360" w:after="0"/>
        <w:rPr/>
      </w:pPr>
      <w:bookmarkStart w:id="150" w:name="_Ref125362381"/>
      <w:bookmarkStart w:id="151" w:name="_Ref125362425"/>
      <w:bookmarkStart w:id="152" w:name="_Ref125362464"/>
      <w:bookmarkStart w:id="153" w:name="_Ref125362610"/>
      <w:bookmarkStart w:id="154" w:name="_Toc228976101"/>
      <w:r>
        <w:rPr/>
        <w:t>Дополнительные запросы разъяснений заявок</w:t>
      </w:r>
      <w:bookmarkEnd w:id="150"/>
      <w:bookmarkEnd w:id="151"/>
      <w:bookmarkEnd w:id="152"/>
      <w:bookmarkEnd w:id="153"/>
      <w:bookmarkEnd w:id="154"/>
    </w:p>
    <w:p>
      <w:pPr>
        <w:pStyle w:val="Style17"/>
        <w:spacing w:before="120" w:after="0"/>
        <w:rPr/>
      </w:pPr>
      <w:bookmarkStart w:id="155"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5"/>
    </w:p>
    <w:p>
      <w:pPr>
        <w:pStyle w:val="Style18"/>
        <w:keepNext w:val="true"/>
        <w:spacing w:before="120" w:after="0"/>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r>
        <w:rPr/>
        <w:t>наличия соответствующих полномочий на подписание заявки от имени Участника у лица, подписавшего заявку;</w:t>
      </w:r>
    </w:p>
    <w:p>
      <w:pPr>
        <w:pStyle w:val="Style19"/>
        <w:spacing w:before="0" w:after="0"/>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_Ref186120147 \r \h </w:instrText>
      </w:r>
      <w:r>
        <w:rPr/>
        <w:fldChar w:fldCharType="separate"/>
      </w:r>
      <w:r>
        <w:rPr/>
        <w:t>4.13</w:t>
      </w:r>
      <w:r>
        <w:rPr/>
        <w:fldChar w:fldCharType="end"/>
      </w:r>
      <w:r>
        <w:rPr/>
        <w:t>)), договорных условий и расчета цены Договора;</w:t>
      </w:r>
    </w:p>
    <w:p>
      <w:pPr>
        <w:pStyle w:val="Style18"/>
        <w:spacing w:before="120" w:after="0"/>
        <w:rPr/>
      </w:pPr>
      <w:bookmarkStart w:id="156"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18"/>
        <w:spacing w:before="0" w:after="0"/>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56"/>
    </w:p>
    <w:p>
      <w:pPr>
        <w:pStyle w:val="Style17"/>
        <w:spacing w:before="120" w:after="0"/>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16"/>
        <w:spacing w:before="360" w:after="0"/>
        <w:rPr/>
      </w:pPr>
      <w:bookmarkStart w:id="157" w:name="_Ref125362430"/>
      <w:bookmarkStart w:id="158" w:name="_Ref125362537"/>
      <w:bookmarkStart w:id="159" w:name="_Ref127536359"/>
      <w:bookmarkStart w:id="160" w:name="_Toc228976102"/>
      <w:r>
        <w:rPr/>
        <w:t>Переторжка</w:t>
      </w:r>
      <w:bookmarkEnd w:id="157"/>
      <w:bookmarkEnd w:id="158"/>
      <w:bookmarkEnd w:id="159"/>
      <w:bookmarkEnd w:id="160"/>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17"/>
        <w:spacing w:before="0" w:after="0"/>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17"/>
        <w:keepNext w:val="true"/>
        <w:spacing w:before="0" w:after="0"/>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18"/>
        <w:spacing w:before="120" w:after="0"/>
        <w:rPr/>
      </w:pPr>
      <w:r>
        <w:rPr/>
        <w:t>стоимость заявки (цена Договора) / цена за единицу продукции;</w:t>
      </w:r>
    </w:p>
    <w:p>
      <w:pPr>
        <w:pStyle w:val="Style18"/>
        <w:spacing w:before="0" w:after="0"/>
        <w:rPr/>
      </w:pPr>
      <w:r>
        <w:rPr/>
        <w:t>сроки поставки продукции;</w:t>
      </w:r>
    </w:p>
    <w:p>
      <w:pPr>
        <w:pStyle w:val="Style18"/>
        <w:spacing w:before="0" w:after="0"/>
        <w:rPr/>
      </w:pPr>
      <w:r>
        <w:rPr/>
        <w:t>условия оплаты;</w:t>
      </w:r>
    </w:p>
    <w:p>
      <w:pPr>
        <w:pStyle w:val="Style18"/>
        <w:spacing w:before="0" w:after="0"/>
        <w:rPr/>
      </w:pPr>
      <w:r>
        <w:rPr/>
        <w:t>иные условия, которые являются критериями оценки заявок.</w:t>
      </w:r>
    </w:p>
    <w:p>
      <w:pPr>
        <w:pStyle w:val="Style21"/>
        <w:ind w:hanging="0"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17"/>
        <w:spacing w:before="120" w:after="0"/>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17"/>
        <w:spacing w:before="0" w:after="0"/>
        <w:rPr/>
      </w:pPr>
      <w:r>
        <w:rPr/>
        <w:t>В переторжке может принять участие любой Участник, заявка которого не была отклонена по результатам рассмотрения заявок.</w:t>
      </w:r>
    </w:p>
    <w:p>
      <w:pPr>
        <w:pStyle w:val="Style17"/>
        <w:spacing w:before="0" w:after="0"/>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tgtFrame="#Прил04_ФормыЗаявки">
        <w:r>
          <w:rPr>
            <w:rStyle w:val="Style6"/>
          </w:rPr>
          <w:t>Приложение № 4</w:t>
        </w:r>
      </w:hyperlink>
      <w:r>
        <w:rPr/>
        <w:t>).</w:t>
      </w:r>
    </w:p>
    <w:p>
      <w:pPr>
        <w:pStyle w:val="Style17"/>
        <w:spacing w:before="0" w:after="0"/>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17"/>
        <w:spacing w:before="0" w:after="0"/>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17"/>
        <w:spacing w:before="0" w:after="0"/>
        <w:rPr/>
      </w:pPr>
      <w:r>
        <w:rPr/>
        <w:t>Участник не вправе изменять и (или) отзывать поданные предложения на переторжку после окончания ее проведения.</w:t>
      </w:r>
    </w:p>
    <w:p>
      <w:pPr>
        <w:pStyle w:val="Style17"/>
        <w:spacing w:before="0" w:after="0"/>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17"/>
        <w:spacing w:before="0" w:after="0"/>
        <w:rPr/>
      </w:pPr>
      <w:r>
        <w:rPr/>
        <w:t>Процедура переторжки проводится на ЭП в порядке, предусмотренном настоящим подразделом и Регламентом ЭП.</w:t>
      </w:r>
    </w:p>
    <w:p>
      <w:pPr>
        <w:pStyle w:val="Style17"/>
        <w:keepNext w:val="true"/>
        <w:spacing w:before="0" w:after="0"/>
        <w:rPr/>
      </w:pPr>
      <w:r>
        <w:rPr/>
        <w:t>В зависимости от правил, предусмотренных Регламентом ЭП, переторжка может проводиться:</w:t>
      </w:r>
    </w:p>
    <w:p>
      <w:pPr>
        <w:pStyle w:val="Style18"/>
        <w:spacing w:before="120" w:after="0"/>
        <w:rPr/>
      </w:pPr>
      <w:r>
        <w:rPr/>
        <w:t>в заочной форме путем однократной подачи предложения на переторжку к установленному сроку;</w:t>
      </w:r>
    </w:p>
    <w:p>
      <w:pPr>
        <w:pStyle w:val="Style18"/>
        <w:spacing w:before="0" w:after="0"/>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17"/>
        <w:spacing w:before="120" w:after="0"/>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17"/>
        <w:spacing w:before="0" w:after="0"/>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17"/>
        <w:spacing w:before="0" w:after="0"/>
        <w:rPr/>
      </w:pPr>
      <w:bookmarkStart w:id="161"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61"/>
    </w:p>
    <w:p>
      <w:pPr>
        <w:pStyle w:val="Style17"/>
        <w:spacing w:before="0" w:after="0"/>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17"/>
        <w:keepNext w:val="true"/>
        <w:spacing w:before="0" w:after="0"/>
        <w:rPr/>
      </w:pPr>
      <w:bookmarkStart w:id="162" w:name="_Ref136244167"/>
      <w:r>
        <w:rPr/>
        <w:t>Документы заявки, подлежащие корректировке по результатам переторжки:</w:t>
      </w:r>
      <w:bookmarkEnd w:id="162"/>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w:t>
      </w:r>
    </w:p>
    <w:p>
      <w:pPr>
        <w:pStyle w:val="Style18"/>
        <w:spacing w:before="0" w:after="0"/>
        <w:rPr/>
      </w:pPr>
      <w:r>
        <w:rPr/>
        <w:t>Коммерческое предложение (форма 3) (</w:t>
      </w:r>
      <w:hyperlink w:anchor="Прил04_ФормыЗаявки" w:tgtFrame="#Прил04_ФормыЗаявки">
        <w:r>
          <w:rPr>
            <w:rStyle w:val="Style6"/>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18"/>
        <w:spacing w:before="0" w:after="0"/>
        <w:rPr/>
      </w:pPr>
      <w:r>
        <w:rPr/>
        <w:t>План распределения объемов поставки продукции (форма 10) (</w:t>
      </w:r>
      <w:hyperlink w:anchor="Прил04_ФормыЗаявки" w:tgtFrame="#Прил04_ФормыЗаявки">
        <w:r>
          <w:rPr>
            <w:rStyle w:val="Style6"/>
          </w:rPr>
          <w:t>Приложение № 4</w:t>
        </w:r>
      </w:hyperlink>
      <w:r>
        <w:rPr/>
        <w:t>) – только если заявка подана Коллективным участником или Генеральным подрядчиком;</w:t>
      </w:r>
    </w:p>
    <w:p>
      <w:pPr>
        <w:pStyle w:val="Style18"/>
        <w:spacing w:before="0" w:after="0"/>
        <w:rPr/>
      </w:pPr>
      <w:bookmarkStart w:id="163" w:name="_Ref130376111"/>
      <w:r>
        <w:rPr/>
        <w:t>иной документ, указанный в протоколе закупки (которым назначена переторжка), связанный с предметом проводимой переторжки.</w:t>
      </w:r>
      <w:bookmarkEnd w:id="163"/>
    </w:p>
    <w:p>
      <w:pPr>
        <w:pStyle w:val="Style17"/>
        <w:spacing w:before="120" w:after="0"/>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17"/>
        <w:spacing w:before="0" w:after="0"/>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17"/>
        <w:spacing w:before="0" w:after="0"/>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16"/>
        <w:spacing w:before="360" w:after="0"/>
        <w:rPr/>
      </w:pPr>
      <w:bookmarkStart w:id="164" w:name="_Ref125362626"/>
      <w:bookmarkStart w:id="165" w:name="_Ref125365335"/>
      <w:bookmarkStart w:id="166" w:name="_Ref125365519"/>
      <w:bookmarkStart w:id="167" w:name="_Ref125366534"/>
      <w:bookmarkStart w:id="168" w:name="_Ref125369041"/>
      <w:bookmarkStart w:id="169" w:name="_Ref125369308"/>
      <w:bookmarkStart w:id="170" w:name="_Toc228976103"/>
      <w:r>
        <w:rPr/>
        <w:t>Оценка и сопоставление заявок</w:t>
      </w:r>
      <w:bookmarkEnd w:id="164"/>
      <w:bookmarkEnd w:id="165"/>
      <w:bookmarkEnd w:id="166"/>
      <w:bookmarkEnd w:id="167"/>
      <w:bookmarkEnd w:id="168"/>
      <w:bookmarkEnd w:id="169"/>
      <w:bookmarkEnd w:id="170"/>
    </w:p>
    <w:p>
      <w:pPr>
        <w:pStyle w:val="Style17"/>
        <w:spacing w:before="120" w:after="0"/>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rStyle w:val="Style6"/>
        </w:rPr>
        <w:t>.</w:t>
      </w:r>
      <w:r>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17"/>
        <w:spacing w:before="0" w:after="0"/>
        <w:rPr/>
      </w:pPr>
      <w:r>
        <w:rPr/>
        <w:t>Результаты оценки и сопоставления заявок вносятся в итоговый протокол по результатам закупки.</w:t>
      </w:r>
    </w:p>
    <w:p>
      <w:pPr>
        <w:pStyle w:val="Style16"/>
        <w:spacing w:before="360" w:after="0"/>
        <w:rPr/>
      </w:pPr>
      <w:bookmarkStart w:id="171" w:name="_Ref186120147"/>
      <w:bookmarkStart w:id="172" w:name="_Toc228976104"/>
      <w:bookmarkStart w:id="173" w:name="_Ref130985951"/>
      <w:bookmarkStart w:id="174" w:name="_Ref132894106"/>
      <w:bookmarkStart w:id="175" w:name="_Ref132894111"/>
      <w:bookmarkStart w:id="176" w:name="_Ref125366064"/>
      <w:bookmarkStart w:id="177" w:name="_Ref125369991"/>
      <w:bookmarkStart w:id="178" w:name="_Ref125370507"/>
      <w:bookmarkStart w:id="179" w:name="_Ref130458671"/>
      <w:r>
        <w:rPr/>
        <w:t xml:space="preserve">Применение </w:t>
      </w:r>
      <w:bookmarkEnd w:id="173"/>
      <w:bookmarkEnd w:id="174"/>
      <w:bookmarkEnd w:id="175"/>
      <w:bookmarkEnd w:id="176"/>
      <w:bookmarkEnd w:id="177"/>
      <w:bookmarkEnd w:id="178"/>
      <w:bookmarkEnd w:id="179"/>
      <w:r>
        <w:rPr/>
        <w:t>законодательства о национальном режиме</w:t>
      </w:r>
      <w:bookmarkEnd w:id="171"/>
      <w:bookmarkEnd w:id="172"/>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80" w:name="_Ref207799884"/>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0"/>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17"/>
        <w:spacing w:before="0" w:after="0"/>
        <w:rPr/>
      </w:pPr>
      <w:bookmarkStart w:id="181" w:name="_Ref1921010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182"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183" w:name="_Hlk198901350"/>
      <w:r>
        <w:rPr/>
        <w:t>(в том числе поставляемых при выполнении закупаемых работ, оказании закупаемых услуг))</w:t>
      </w:r>
      <w:bookmarkEnd w:id="183"/>
      <w:r>
        <w:rPr/>
        <w:t>, при условии наличия допущенной заявки с иностранной продукцией (на поставку товара иностранного происхождения)</w:t>
      </w:r>
      <w:bookmarkEnd w:id="182"/>
      <w:r>
        <w:rPr/>
        <w:t>.</w:t>
      </w:r>
      <w:bookmarkEnd w:id="181"/>
    </w:p>
    <w:p>
      <w:pPr>
        <w:pStyle w:val="Style17"/>
        <w:spacing w:before="0" w:after="0"/>
        <w:rPr/>
      </w:pPr>
      <w:bookmarkStart w:id="184" w:name="_Ref192700787"/>
      <w:bookmarkStart w:id="185" w:name="_Ref196303561"/>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4"/>
      <w:bookmarkEnd w:id="185"/>
    </w:p>
    <w:p>
      <w:pPr>
        <w:pStyle w:val="Style17"/>
        <w:spacing w:before="0" w:after="0"/>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_Ref207799884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xml:space="preserve">), </w:t>
      </w:r>
      <w:bookmarkStart w:id="186" w:name="_Hlk207281039"/>
      <w:r>
        <w:rPr/>
        <w:t>а также в Технических требованиях (Приложение №1) в части установления требований к подтверждающим документам</w:t>
      </w:r>
      <w:bookmarkEnd w:id="186"/>
      <w:r>
        <w:rPr/>
        <w:t>.</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bookmarkStart w:id="187"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7"/>
      <w:r>
        <w:rPr/>
        <w:t>.</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88" w:name="_Ref125362658"/>
      <w:bookmarkStart w:id="189" w:name="_Ref125366091"/>
      <w:bookmarkStart w:id="190" w:name="_Ref125367242"/>
      <w:bookmarkStart w:id="191" w:name="_Toc228976106"/>
      <w:r>
        <w:rPr/>
        <w:t>Подведение итогов закупки (определение Победителя)</w:t>
      </w:r>
      <w:bookmarkEnd w:id="188"/>
      <w:bookmarkEnd w:id="189"/>
      <w:bookmarkEnd w:id="190"/>
      <w:bookmarkEnd w:id="191"/>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tgtFrame="#Прил07_ОтборочныеКритерии">
        <w:r>
          <w:rPr>
            <w:rStyle w:val="Style6"/>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92"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92"/>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18"/>
        <w:keepNext w:val="true"/>
        <w:spacing w:before="0" w:after="0"/>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6"/>
        <w:spacing w:before="360" w:after="0"/>
        <w:rPr/>
      </w:pPr>
      <w:bookmarkStart w:id="193" w:name="_Ref125364149"/>
      <w:bookmarkStart w:id="194" w:name="_Ref125364187"/>
      <w:bookmarkStart w:id="195" w:name="_Ref125365305"/>
      <w:bookmarkStart w:id="196" w:name="_Ref125365570"/>
      <w:bookmarkStart w:id="197" w:name="_Ref125366631"/>
      <w:bookmarkStart w:id="198" w:name="_Ref125366796"/>
      <w:bookmarkStart w:id="199" w:name="_Toc228976107"/>
      <w:r>
        <w:rPr/>
        <w:t>Признание закупки несостоявшейся</w:t>
      </w:r>
      <w:bookmarkEnd w:id="193"/>
      <w:bookmarkEnd w:id="194"/>
      <w:bookmarkEnd w:id="195"/>
      <w:bookmarkEnd w:id="196"/>
      <w:bookmarkEnd w:id="197"/>
      <w:bookmarkEnd w:id="198"/>
      <w:bookmarkEnd w:id="199"/>
    </w:p>
    <w:p>
      <w:pPr>
        <w:pStyle w:val="Style17"/>
        <w:keepNext w:val="true"/>
        <w:spacing w:before="120" w:after="0"/>
        <w:rPr/>
      </w:pPr>
      <w:r>
        <w:rPr/>
        <w:t>Закупка признается несостоявшейся в следующих случаях:</w:t>
      </w:r>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Pr>
          <w:sz w:val="26"/>
          <w:szCs w:val="26"/>
        </w:rPr>
      </w:pPr>
      <w:r>
        <w:rPr>
          <w:sz w:val="26"/>
          <w:szCs w:val="26"/>
        </w:rPr>
        <w:t>повторное проведение закупки;</w:t>
      </w:r>
    </w:p>
    <w:p>
      <w:pPr>
        <w:pStyle w:val="-1"/>
        <w:numPr>
          <w:ilvl w:val="0"/>
          <w:numId w:val="17"/>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200"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0"/>
    </w:p>
    <w:p>
      <w:pPr>
        <w:pStyle w:val="Style18"/>
        <w:rPr/>
      </w:pPr>
      <w:r>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w:t>
      </w:r>
    </w:p>
    <w:p>
      <w:pPr>
        <w:pStyle w:val="Style2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201" w:name="_Toc228976108"/>
      <w:bookmarkStart w:id="202" w:name="_Ref126141962"/>
      <w:r>
        <w:rPr/>
        <w:t>Отказ от проведения закупки</w:t>
      </w:r>
      <w:bookmarkEnd w:id="202"/>
      <w:r>
        <w:rPr/>
        <w:t xml:space="preserve"> (отмена закупки)</w:t>
      </w:r>
      <w:bookmarkEnd w:id="201"/>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Дополнительно организатор уведомляет всех Участников об отмене закупки посредством ЭП.</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203" w:name="_Ref130455226"/>
      <w:bookmarkStart w:id="204" w:name="_Toc228976109"/>
      <w:r>
        <w:rPr/>
        <w:t>Особенности проведения закупки с необходимостью обеспечения заявки</w:t>
      </w:r>
      <w:bookmarkEnd w:id="203"/>
      <w:bookmarkEnd w:id="20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18"/>
        <w:spacing w:before="120" w:after="0"/>
        <w:rPr/>
      </w:pPr>
      <w:r>
        <w:rPr/>
        <w:t>банковская гарантия должна быть безотзывной и безусловной (гарантия по первому требованию);</w:t>
      </w:r>
    </w:p>
    <w:p>
      <w:pPr>
        <w:pStyle w:val="Style18"/>
        <w:spacing w:before="0" w:after="0"/>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18"/>
        <w:spacing w:before="0" w:after="0"/>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_Ref228967834 \r \h </w:instrText>
      </w:r>
      <w:r>
        <w:rPr/>
        <w:fldChar w:fldCharType="separate"/>
      </w:r>
      <w:r>
        <w:rPr/>
        <w:t>4.17.11</w:t>
      </w:r>
      <w:r>
        <w:rPr/>
        <w:fldChar w:fldCharType="end"/>
      </w:r>
      <w:r>
        <w:rPr/>
        <w:t>;</w:t>
      </w:r>
    </w:p>
    <w:p>
      <w:pPr>
        <w:pStyle w:val="Style18"/>
        <w:spacing w:before="0" w:after="0"/>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18"/>
        <w:spacing w:before="0" w:after="0"/>
        <w:rPr/>
      </w:pPr>
      <w:r>
        <w:rPr/>
        <w:t>платеж по банковской гарантии должен быть осуществлен в течение 10 (десяти) рабочих дней после обращения бенефициара;</w:t>
      </w:r>
    </w:p>
    <w:p>
      <w:pPr>
        <w:pStyle w:val="Style18"/>
        <w:spacing w:before="0" w:after="0"/>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18"/>
        <w:spacing w:before="0" w:after="0"/>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17"/>
        <w:spacing w:before="120" w:after="0"/>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При многолотовой закупке (подраздел </w:t>
      </w:r>
      <w:r>
        <w:rPr/>
        <w:fldChar w:fldCharType="begin"/>
      </w:r>
      <w:r>
        <w:rPr/>
        <w:instrText xml:space="preserve"> REF _Ref149317346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205" w:name="_Ref228967834"/>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5"/>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протокола рассмотрения заявок (при условии его оформления) – Участникам, чьи заявки были отклонены;</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16"/>
        <w:spacing w:before="360" w:after="0"/>
        <w:rPr/>
      </w:pPr>
      <w:bookmarkStart w:id="206" w:name="_Ref149317346"/>
      <w:bookmarkStart w:id="207" w:name="_Toc228976110"/>
      <w:bookmarkStart w:id="208" w:name="_Ref130225422"/>
      <w:r>
        <w:rPr/>
        <w:t>Особенности проведения многолотовой закупки</w:t>
      </w:r>
      <w:bookmarkEnd w:id="206"/>
      <w:bookmarkEnd w:id="207"/>
      <w:bookmarkEnd w:id="208"/>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6"/>
        <w:spacing w:before="360" w:after="0"/>
        <w:rPr/>
      </w:pPr>
      <w:bookmarkStart w:id="209" w:name="_Ref125550863"/>
      <w:bookmarkStart w:id="210" w:name="_Toc228976111"/>
      <w:r>
        <w:rPr/>
        <w:t>Особенности проведения закупки с возможностью подачи альтернативных предложений</w:t>
      </w:r>
      <w:bookmarkEnd w:id="209"/>
      <w:bookmarkEnd w:id="210"/>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17"/>
        <w:spacing w:before="0" w:after="0"/>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17"/>
        <w:spacing w:before="0" w:after="0"/>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tgtFrame="#Прил04_ФормыЗаявки">
        <w:r>
          <w:rPr>
            <w:rStyle w:val="Style6"/>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17"/>
        <w:spacing w:before="0" w:after="0"/>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17"/>
        <w:spacing w:before="0" w:after="0"/>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15"/>
        <w:spacing w:before="0" w:after="0"/>
        <w:rPr/>
      </w:pPr>
      <w:bookmarkStart w:id="211" w:name="_Ref126142429"/>
      <w:bookmarkStart w:id="212" w:name="_Ref130224037"/>
      <w:bookmarkStart w:id="213" w:name="_Toc228976113"/>
      <w:bookmarkStart w:id="214" w:name="_Ref125361212"/>
      <w:bookmarkStart w:id="215" w:name="_Ref125362671"/>
      <w:bookmarkStart w:id="216" w:name="_Ref125363439"/>
      <w:bookmarkStart w:id="217" w:name="_Ref125366769"/>
      <w:bookmarkStart w:id="218" w:name="_Ref125367083"/>
      <w:bookmarkStart w:id="219" w:name="_Ref125367087"/>
      <w:r>
        <w:rPr/>
        <w:t>Порядок заключения Договора</w:t>
      </w:r>
      <w:bookmarkEnd w:id="211"/>
      <w:bookmarkEnd w:id="212"/>
      <w:bookmarkEnd w:id="213"/>
      <w:bookmarkEnd w:id="214"/>
      <w:bookmarkEnd w:id="215"/>
      <w:bookmarkEnd w:id="216"/>
      <w:bookmarkEnd w:id="217"/>
      <w:bookmarkEnd w:id="218"/>
      <w:bookmarkEnd w:id="219"/>
    </w:p>
    <w:p>
      <w:pPr>
        <w:pStyle w:val="Style16"/>
        <w:spacing w:before="360" w:after="0"/>
        <w:rPr/>
      </w:pPr>
      <w:bookmarkStart w:id="220" w:name="_Ref139028625"/>
      <w:bookmarkStart w:id="221" w:name="_Toc228976114"/>
      <w:r>
        <w:rPr/>
        <w:t>Общие положения</w:t>
      </w:r>
      <w:bookmarkEnd w:id="220"/>
      <w:bookmarkEnd w:id="221"/>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22" w:name="_Ref138232981"/>
      <w:bookmarkStart w:id="223" w:name="_Toc228976115"/>
      <w:bookmarkStart w:id="224" w:name="_Ref125366947"/>
      <w:bookmarkStart w:id="225" w:name="_Ref125368755"/>
      <w:bookmarkStart w:id="226" w:name="_Ref135736094"/>
      <w:r>
        <w:rPr/>
        <w:t>Заключение Договора</w:t>
      </w:r>
      <w:bookmarkEnd w:id="222"/>
      <w:bookmarkEnd w:id="223"/>
      <w:bookmarkEnd w:id="224"/>
      <w:bookmarkEnd w:id="225"/>
      <w:bookmarkEnd w:id="226"/>
    </w:p>
    <w:p>
      <w:pPr>
        <w:pStyle w:val="Style17"/>
        <w:spacing w:before="120" w:after="0"/>
        <w:rPr/>
      </w:pPr>
      <w:bookmarkStart w:id="227" w:name="_Ref125362935"/>
      <w:bookmarkStart w:id="228"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7"/>
      <w:bookmarkEnd w:id="228"/>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bookmarkStart w:id="229" w:name="_Hlk207281494"/>
      <w:bookmarkStart w:id="230" w:name="_Ref125363464"/>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Данные документы должны быть предоставлены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29"/>
      <w:bookmarkEnd w:id="230"/>
    </w:p>
    <w:p>
      <w:pPr>
        <w:pStyle w:val="Style17"/>
        <w:keepNext w:val="true"/>
        <w:spacing w:before="0" w:after="0"/>
        <w:rPr/>
      </w:pPr>
      <w:bookmarkStart w:id="231" w:name="_Ref125551776"/>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32" w:name="_Hlk207281699"/>
      <w:r>
        <w:rPr/>
        <w:t xml:space="preserve">Portable Document Format </w:t>
      </w:r>
      <w:bookmarkEnd w:id="232"/>
      <w:r>
        <w:rPr/>
        <w:t>(*.</w:t>
      </w:r>
      <w:r>
        <w:rPr>
          <w:lang w:val="en-US"/>
        </w:rPr>
        <w:t>pdf</w:t>
      </w:r>
      <w:r>
        <w:rPr/>
        <w:t>)):</w:t>
      </w:r>
      <w:bookmarkEnd w:id="231"/>
    </w:p>
    <w:p>
      <w:pPr>
        <w:pStyle w:val="Style18"/>
        <w:spacing w:before="120" w:after="0"/>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bookmarkStart w:id="233"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33"/>
      <w:r>
        <w:rPr/>
        <w:t>.</w:t>
      </w:r>
    </w:p>
    <w:p>
      <w:pPr>
        <w:pStyle w:val="Style17"/>
        <w:keepNext w:val="true"/>
        <w:spacing w:before="12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r>
        <w:rPr>
          <w:rStyle w:val="FootnoteReference"/>
        </w:rPr>
        <w:footnoteReference w:id="13"/>
      </w:r>
      <w:r>
        <w:rPr/>
        <w:t>:</w:t>
      </w:r>
      <w:bookmarkEnd w:id="234"/>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19"/>
        <w:spacing w:before="0" w:after="0"/>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19"/>
        <w:spacing w:before="0" w:after="0"/>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8"/>
        <w:spacing w:before="0" w:after="0"/>
        <w:rPr/>
      </w:pPr>
      <w:bookmarkStart w:id="236"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36"/>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3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7"/>
    </w:p>
    <w:p>
      <w:pPr>
        <w:pStyle w:val="Style18"/>
        <w:spacing w:before="120" w:after="0"/>
        <w:rPr/>
      </w:pPr>
      <w:r>
        <w:rPr/>
        <w:t>протокол преддоговорных переговоров между Заказчиком и Победителем (при проведении таковых);</w:t>
      </w:r>
    </w:p>
    <w:p>
      <w:pPr>
        <w:pStyle w:val="Style18"/>
        <w:spacing w:before="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bookmarkStart w:id="23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8"/>
    </w:p>
    <w:p>
      <w:pPr>
        <w:pStyle w:val="Style17"/>
        <w:keepNext w:val="true"/>
        <w:spacing w:before="0" w:after="0"/>
        <w:rPr/>
      </w:pPr>
      <w:r>
        <w:rPr/>
        <w:t>Если Договор заключается в электронной форме:</w:t>
      </w:r>
    </w:p>
    <w:p>
      <w:pPr>
        <w:pStyle w:val="Style18"/>
        <w:spacing w:before="120" w:after="0"/>
        <w:rPr/>
      </w:pPr>
      <w:bookmarkStart w:id="239" w:name="_Ref125552524"/>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39"/>
      <w:r>
        <w:rPr/>
        <w:t>;</w:t>
      </w:r>
    </w:p>
    <w:p>
      <w:pPr>
        <w:pStyle w:val="Style18"/>
        <w:spacing w:before="0" w:after="0"/>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17"/>
        <w:spacing w:before="12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40" w:name="_Ref125552570"/>
      <w:bookmarkStart w:id="241" w:name="_Toc228976116"/>
      <w:r>
        <w:rPr/>
        <w:t>Преддоговорные переговоры</w:t>
      </w:r>
      <w:bookmarkEnd w:id="240"/>
      <w:bookmarkEnd w:id="241"/>
    </w:p>
    <w:p>
      <w:pPr>
        <w:pStyle w:val="Style17"/>
        <w:keepNext w:val="true"/>
        <w:spacing w:before="120" w:after="0"/>
        <w:rPr/>
      </w:pPr>
      <w:r>
        <w:rPr/>
        <w:t>Проведение преддоговорных переговоров между Заказчиком и Победителем допускается только в отношении следующих вопросов:</w:t>
      </w:r>
    </w:p>
    <w:p>
      <w:pPr>
        <w:pStyle w:val="Style18"/>
        <w:spacing w:before="120" w:after="0"/>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18"/>
        <w:spacing w:before="0" w:after="0"/>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18"/>
        <w:spacing w:before="0" w:after="0"/>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18"/>
        <w:spacing w:before="0" w:after="0"/>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18"/>
        <w:spacing w:before="0" w:after="0"/>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17"/>
        <w:spacing w:before="120" w:after="0"/>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17"/>
        <w:spacing w:before="0" w:after="0"/>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17"/>
        <w:spacing w:before="0" w:after="0"/>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17"/>
        <w:spacing w:before="0" w:after="0"/>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6"/>
        <w:spacing w:before="360" w:after="0"/>
        <w:rPr/>
      </w:pPr>
      <w:bookmarkStart w:id="242" w:name="_Ref125367068"/>
      <w:bookmarkStart w:id="243" w:name="_Toc228976117"/>
      <w:r>
        <w:rPr/>
        <w:t>Уклонение Победителя от заключения Договора</w:t>
      </w:r>
      <w:bookmarkEnd w:id="242"/>
      <w:bookmarkEnd w:id="243"/>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18"/>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44" w:name="_Ref125363016"/>
      <w:bookmarkStart w:id="245" w:name="_Ref125363023"/>
      <w:bookmarkStart w:id="246" w:name="_Ref125363034"/>
      <w:bookmarkStart w:id="247" w:name="_Ref125363600"/>
      <w:bookmarkStart w:id="248" w:name="_Ref125363752"/>
      <w:bookmarkStart w:id="249" w:name="_Ref125364088"/>
      <w:bookmarkStart w:id="250" w:name="_Ref125364201"/>
      <w:bookmarkStart w:id="251" w:name="_Ref125370732"/>
      <w:bookmarkStart w:id="252" w:name="_Ref125370741"/>
      <w:bookmarkStart w:id="253" w:name="_Ref125370746"/>
      <w:bookmarkStart w:id="254" w:name="_Ref125370750"/>
      <w:bookmarkStart w:id="255" w:name="_Ref125370843"/>
      <w:bookmarkStart w:id="256" w:name="Прил01_ТехТребования"/>
      <w:bookmarkStart w:id="257" w:name="_Toc228976118"/>
      <w:r>
        <w:rPr/>
        <w:t>Приложение № 1 – Технические требования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Style16"/>
        <w:spacing w:before="360" w:after="0"/>
        <w:rPr/>
      </w:pPr>
      <w:bookmarkStart w:id="258" w:name="_Toc228976119"/>
      <w:r>
        <w:rPr/>
        <w:t>Пояснения к Техническим требованиям</w:t>
      </w:r>
      <w:bookmarkEnd w:id="258"/>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59" w:name="_Ref125361746"/>
      <w:bookmarkStart w:id="260" w:name="_Ref125363040"/>
      <w:bookmarkStart w:id="261" w:name="_Ref125363605"/>
      <w:bookmarkStart w:id="262" w:name="_Ref125363759"/>
      <w:bookmarkStart w:id="263" w:name="_Ref125364081"/>
      <w:bookmarkStart w:id="264" w:name="_Ref125364206"/>
      <w:bookmarkStart w:id="265" w:name="_Ref125370754"/>
      <w:bookmarkStart w:id="266" w:name="Прил02_ПроектДоговора"/>
      <w:bookmarkStart w:id="267" w:name="_Toc228976120"/>
      <w:r>
        <w:rPr/>
        <w:t>Приложение № 2 – Проект договора</w:t>
      </w:r>
      <w:bookmarkEnd w:id="259"/>
      <w:bookmarkEnd w:id="260"/>
      <w:bookmarkEnd w:id="261"/>
      <w:bookmarkEnd w:id="262"/>
      <w:bookmarkEnd w:id="263"/>
      <w:bookmarkEnd w:id="264"/>
      <w:bookmarkEnd w:id="265"/>
      <w:bookmarkEnd w:id="266"/>
      <w:bookmarkEnd w:id="267"/>
    </w:p>
    <w:p>
      <w:pPr>
        <w:pStyle w:val="Style16"/>
        <w:spacing w:before="360" w:after="0"/>
        <w:rPr/>
      </w:pPr>
      <w:bookmarkStart w:id="268" w:name="_Toc228976121"/>
      <w:r>
        <w:rPr/>
        <w:t>Пояснения к Проекту договора</w:t>
      </w:r>
      <w:bookmarkEnd w:id="268"/>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69" w:name="_Hlk132883778"/>
      <w:r>
        <w:rPr/>
        <w:t>как «Некритичные пункты Проекта договора»</w:t>
      </w:r>
      <w:bookmarkEnd w:id="269"/>
      <w:r>
        <w:rPr/>
        <w:t>.</w:t>
      </w:r>
    </w:p>
    <w:p>
      <w:pPr>
        <w:pStyle w:val="Style17"/>
        <w:spacing w:before="0" w:after="0"/>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numPr>
          <w:ilvl w:val="0"/>
          <w:numId w:val="0"/>
        </w:numPr>
        <w:spacing w:before="0" w:after="0"/>
        <w:ind w:hanging="0" w:left="1134"/>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9.25pt;height:50.2pt;mso-wrap-distance-right:0pt" filled="f" o:ole="">
            <v:imagedata r:id="rId13" o:title=""/>
          </v:shape>
          <o:OLEObject Type="Embed" ProgID="Word.Document.12" ShapeID="ole_rId12" DrawAspect="Icon" ObjectID="_870307425" r:id="rId12"/>
        </w:object>
      </w:r>
      <w:bookmarkStart w:id="270" w:name="_MON_1736255517"/>
    </w:p>
    <w:p>
      <w:pPr>
        <w:pStyle w:val="Style15"/>
        <w:spacing w:before="0" w:after="0"/>
        <w:rPr/>
      </w:pPr>
      <w:bookmarkStart w:id="271" w:name="_Ref125361494"/>
      <w:bookmarkStart w:id="272" w:name="_Ref125361908"/>
      <w:bookmarkStart w:id="273" w:name="_Ref125365476"/>
      <w:bookmarkStart w:id="274" w:name="_Ref125370013"/>
      <w:bookmarkStart w:id="275" w:name="Прил03_ТребованияУчастникам"/>
      <w:bookmarkStart w:id="276" w:name="_Toc228976122"/>
      <w:bookmarkEnd w:id="270"/>
      <w:r>
        <w:rPr/>
        <w:t>Приложение № 3 – Требования к Участникам</w:t>
      </w:r>
      <w:bookmarkEnd w:id="271"/>
      <w:bookmarkEnd w:id="272"/>
      <w:bookmarkEnd w:id="273"/>
      <w:bookmarkEnd w:id="274"/>
      <w:bookmarkEnd w:id="275"/>
      <w:bookmarkEnd w:id="276"/>
    </w:p>
    <w:p>
      <w:pPr>
        <w:pStyle w:val="Style16"/>
        <w:spacing w:before="360" w:after="0"/>
        <w:rPr/>
      </w:pPr>
      <w:bookmarkStart w:id="277" w:name="_Toc228976123"/>
      <w:r>
        <w:rPr/>
        <w:t>Пояснения к требованиям к Участникам</w:t>
      </w:r>
      <w:bookmarkEnd w:id="277"/>
    </w:p>
    <w:p>
      <w:pPr>
        <w:pStyle w:val="Style17"/>
        <w:spacing w:before="120" w:after="0"/>
        <w:rPr/>
      </w:pPr>
      <w:bookmarkStart w:id="278"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8"/>
    </w:p>
    <w:p>
      <w:pPr>
        <w:pStyle w:val="Style16"/>
        <w:spacing w:before="360" w:after="120"/>
        <w:rPr/>
      </w:pPr>
      <w:bookmarkStart w:id="279" w:name="_Ref125361435"/>
      <w:bookmarkStart w:id="280" w:name="_Ref125361590"/>
      <w:bookmarkStart w:id="281" w:name="_Ref125361617"/>
      <w:bookmarkStart w:id="282" w:name="_Ref125361832"/>
      <w:bookmarkStart w:id="283" w:name="_Ref125361846"/>
      <w:bookmarkStart w:id="284" w:name="_Ref125361926"/>
      <w:bookmarkStart w:id="285" w:name="_Ref125366879"/>
      <w:bookmarkStart w:id="286" w:name="_Ref125368812"/>
      <w:bookmarkStart w:id="287" w:name="_Ref125368895"/>
      <w:bookmarkStart w:id="288" w:name="_Ref125369088"/>
      <w:bookmarkStart w:id="289" w:name="_Ref125370058"/>
      <w:bookmarkStart w:id="290" w:name="_Ref125370064"/>
      <w:bookmarkStart w:id="291" w:name="_Ref125370071"/>
      <w:bookmarkStart w:id="292" w:name="_Toc228976124"/>
      <w:r>
        <w:rPr/>
        <w:t>Обязательные требования</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3" w:name="_Ref125552433"/>
            <w:bookmarkStart w:id="294" w:name="_Ref125552433"/>
            <w:bookmarkEnd w:id="294"/>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val="false"/>
              <w:numPr>
                <w:ilvl w:val="0"/>
                <w:numId w:val="8"/>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uppressAutoHyphens w:val="true"/>
              <w:spacing w:lineRule="auto" w:line="240" w:before="60" w:after="60"/>
              <w:ind w:hanging="284" w:left="568"/>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Arial"/>
                <w:kern w:val="0"/>
                <w:sz w:val="26"/>
                <w:szCs w:val="22"/>
                <w:lang w:val="en-US" w:eastAsia="en-US" w:bidi="ar-SA"/>
              </w:rPr>
              <w:t>pdf</w:t>
            </w:r>
            <w:r>
              <w:rPr>
                <w:rFonts w:eastAsia="Calibri" w:cs="Arial"/>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8"/>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предоставление Заявки на аккредитацию не требуется;</w:t>
            </w:r>
          </w:p>
          <w:p>
            <w:pPr>
              <w:pStyle w:val="Style21"/>
              <w:widowControl w:val="false"/>
              <w:numPr>
                <w:ilvl w:val="0"/>
                <w:numId w:val="15"/>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uppressAutoHyphens w:val="true"/>
              <w:spacing w:lineRule="auto" w:line="240" w:before="60" w:after="60"/>
              <w:ind w:hanging="0"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5" w:name="_Ref139028406"/>
            <w:bookmarkStart w:id="296" w:name="_Ref139028406"/>
            <w:bookmarkEnd w:id="296"/>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5"/>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6"/>
            </w:r>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7" w:name="_Ref186120456"/>
            <w:bookmarkStart w:id="298" w:name="_Ref186120456"/>
            <w:bookmarkEnd w:id="298"/>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9" w:name="_Ref186120461"/>
            <w:bookmarkStart w:id="300" w:name="_Ref186120461"/>
            <w:bookmarkEnd w:id="300"/>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301" w:name="_Ref125361442"/>
      <w:bookmarkStart w:id="302" w:name="_Ref125361633"/>
      <w:bookmarkStart w:id="303" w:name="_Ref125361671"/>
      <w:bookmarkStart w:id="304" w:name="_Ref125361869"/>
      <w:bookmarkStart w:id="305" w:name="_Ref125361937"/>
      <w:bookmarkStart w:id="306" w:name="_Ref125365459"/>
      <w:bookmarkStart w:id="307" w:name="_Ref125367521"/>
      <w:bookmarkStart w:id="308" w:name="_Ref125367539"/>
      <w:bookmarkStart w:id="309" w:name="_Ref125368818"/>
      <w:bookmarkStart w:id="310" w:name="_Ref125368901"/>
      <w:bookmarkStart w:id="311" w:name="_Ref125368916"/>
      <w:bookmarkStart w:id="312" w:name="_Ref125369099"/>
      <w:bookmarkStart w:id="313" w:name="_Ref125370079"/>
      <w:bookmarkStart w:id="314" w:name="_Ref125709153"/>
      <w:bookmarkStart w:id="315" w:name="_Ref125709250"/>
      <w:bookmarkStart w:id="316" w:name="_Ref125709401"/>
      <w:bookmarkStart w:id="317" w:name="_Ref125709888"/>
      <w:bookmarkStart w:id="318" w:name="_Toc228976125"/>
      <w:r>
        <w:rPr/>
        <w:t>Специальные требования</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4"/>
                <w:szCs w:val="24"/>
                <w:lang w:val="ru-RU" w:eastAsia="en-US" w:bidi="ar-SA"/>
              </w:rPr>
            </w:pPr>
            <w:r>
              <w:rPr>
                <w:rFonts w:eastAsia="Calibri" w:cs="Arial"/>
                <w:b/>
                <w:kern w:val="0"/>
                <w:sz w:val="24"/>
                <w:szCs w:val="24"/>
                <w:lang w:val="ru-RU" w:eastAsia="en-US" w:bidi="ar-SA"/>
              </w:rPr>
              <w:t>№</w:t>
            </w:r>
            <w:r>
              <w:rPr>
                <w:rFonts w:eastAsia="Calibri" w:cs="Arial"/>
                <w:b/>
                <w:kern w:val="0"/>
                <w:sz w:val="24"/>
                <w:szCs w:val="24"/>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4"/>
                <w:szCs w:val="24"/>
                <w:lang w:val="ru-RU" w:eastAsia="en-US" w:bidi="ar-SA"/>
              </w:rPr>
            </w:pPr>
            <w:r>
              <w:rPr>
                <w:rFonts w:eastAsia="Calibri" w:cs="Arial"/>
                <w:b/>
                <w:kern w:val="0"/>
                <w:sz w:val="24"/>
                <w:szCs w:val="24"/>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4"/>
                <w:szCs w:val="24"/>
                <w:lang w:val="ru-RU" w:eastAsia="en-US" w:bidi="ar-SA"/>
              </w:rPr>
            </w:pPr>
            <w:r>
              <w:rPr>
                <w:rFonts w:eastAsia="Calibri" w:cs="Arial"/>
                <w:b/>
                <w:kern w:val="0"/>
                <w:sz w:val="24"/>
                <w:szCs w:val="24"/>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3"/>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Normal"/>
              <w:widowControl w:val="false"/>
              <w:spacing w:before="120" w:after="0"/>
              <w:rPr>
                <w:rFonts w:eastAsia="Calibri" w:cs="Arial" w:cstheme="minorBidi" w:eastAsiaTheme="minorHAnsi"/>
                <w:highlight w:val="none"/>
                <w:u w:val="none"/>
                <w:shd w:fill="auto" w:val="clear"/>
              </w:rPr>
            </w:pPr>
            <w:r>
              <w:rPr>
                <w:rFonts w:eastAsia="Calibri" w:cs="Arial" w:cstheme="minorBidi" w:eastAsiaTheme="minorHAnsi"/>
                <w:sz w:val="22"/>
                <w:szCs w:val="22"/>
                <w:u w:val="none"/>
                <w:shd w:fill="auto" w:val="clear"/>
              </w:rPr>
              <w:t>Специальные требования не установлены.</w:t>
            </w:r>
          </w:p>
        </w:tc>
        <w:tc>
          <w:tcPr>
            <w:tcW w:w="8327" w:type="dxa"/>
            <w:tcBorders/>
          </w:tcPr>
          <w:p>
            <w:pPr>
              <w:pStyle w:val="Normal"/>
              <w:widowControl w:val="false"/>
              <w:spacing w:before="120" w:after="0"/>
              <w:rPr>
                <w:rFonts w:eastAsia="Calibri" w:cs="Arial" w:cstheme="minorBidi" w:eastAsiaTheme="minorHAnsi"/>
                <w:highlight w:val="none"/>
                <w:u w:val="none"/>
                <w:shd w:fill="auto" w:val="clear"/>
              </w:rPr>
            </w:pPr>
            <w:r>
              <w:rPr>
                <w:rFonts w:eastAsia="Calibri" w:cs="Arial" w:cstheme="minorBidi" w:eastAsiaTheme="minorHAnsi"/>
                <w:sz w:val="22"/>
                <w:szCs w:val="22"/>
                <w:u w:val="none"/>
                <w:shd w:fill="auto" w:val="clear"/>
              </w:rPr>
              <w:t>Специальные требования не установлены.</w:t>
            </w:r>
          </w:p>
        </w:tc>
      </w:tr>
    </w:tbl>
    <w:p>
      <w:pPr>
        <w:pStyle w:val="Style16"/>
        <w:spacing w:before="360" w:after="120"/>
        <w:rPr/>
      </w:pPr>
      <w:bookmarkStart w:id="319" w:name="_Ref125550270"/>
      <w:bookmarkStart w:id="320" w:name="_Ref125550353"/>
      <w:bookmarkStart w:id="321" w:name="_Ref125553242"/>
      <w:bookmarkStart w:id="322" w:name="_Ref125553296"/>
      <w:bookmarkStart w:id="323" w:name="_Ref125553475"/>
      <w:bookmarkStart w:id="324" w:name="_Ref125553681"/>
      <w:bookmarkStart w:id="325" w:name="_Ref125709154"/>
      <w:bookmarkStart w:id="326" w:name="_Ref125709256"/>
      <w:bookmarkStart w:id="327" w:name="_Ref125709541"/>
      <w:bookmarkStart w:id="328" w:name="_Ref125709895"/>
      <w:bookmarkStart w:id="329" w:name="_Toc228976126"/>
      <w:r>
        <w:rPr/>
        <w:t>Квалификационные требования</w:t>
      </w:r>
      <w:bookmarkEnd w:id="319"/>
      <w:bookmarkEnd w:id="320"/>
      <w:bookmarkEnd w:id="321"/>
      <w:bookmarkEnd w:id="322"/>
      <w:bookmarkEnd w:id="323"/>
      <w:bookmarkEnd w:id="324"/>
      <w:bookmarkEnd w:id="325"/>
      <w:bookmarkEnd w:id="326"/>
      <w:bookmarkEnd w:id="327"/>
      <w:bookmarkEnd w:id="328"/>
      <w:bookmarkEnd w:id="329"/>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10"/>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Квалификационные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Квалификационные требования не установлены.</w:t>
            </w:r>
          </w:p>
        </w:tc>
      </w:tr>
    </w:tbl>
    <w:p>
      <w:pPr>
        <w:pStyle w:val="Style16"/>
        <w:spacing w:before="360" w:after="120"/>
        <w:rPr/>
      </w:pPr>
      <w:bookmarkStart w:id="330" w:name="_Ref125552455"/>
      <w:bookmarkStart w:id="331" w:name="_Ref125553500"/>
      <w:bookmarkStart w:id="332" w:name="_Ref125553692"/>
      <w:bookmarkStart w:id="333" w:name="_Ref125553703"/>
      <w:bookmarkStart w:id="334" w:name="_Ref125709228"/>
      <w:bookmarkStart w:id="335" w:name="_Toc228976127"/>
      <w:r>
        <w:rPr/>
        <w:t>Дополнительные требования к Коллективным участникам</w:t>
      </w:r>
      <w:bookmarkEnd w:id="330"/>
      <w:bookmarkEnd w:id="331"/>
      <w:bookmarkEnd w:id="332"/>
      <w:bookmarkEnd w:id="333"/>
      <w:bookmarkEnd w:id="334"/>
      <w:bookmarkEnd w:id="335"/>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Коллективному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6" w:name="_Ref125370156"/>
            <w:bookmarkStart w:id="337" w:name="_Ref125370156"/>
            <w:bookmarkEnd w:id="337"/>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25553738"/>
            <w:bookmarkStart w:id="339" w:name="_Ref125553738"/>
            <w:bookmarkEnd w:id="339"/>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План распределения объемов поставки продукции (форма 10)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0" w:name="_Ref125370162"/>
            <w:bookmarkStart w:id="341" w:name="_Ref125370162"/>
            <w:bookmarkEnd w:id="341"/>
          </w:p>
        </w:tc>
        <w:tc>
          <w:tcPr>
            <w:tcW w:w="5671"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_Ref125368791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_Ref134705077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16"/>
        <w:spacing w:before="360" w:after="120"/>
        <w:rPr/>
      </w:pPr>
      <w:bookmarkStart w:id="342" w:name="_Ref125361823"/>
      <w:bookmarkStart w:id="343" w:name="_Ref125362031"/>
      <w:bookmarkStart w:id="344" w:name="_Ref125369117"/>
      <w:bookmarkStart w:id="345" w:name="_Ref125370173"/>
      <w:bookmarkStart w:id="346" w:name="_Ref125370180"/>
      <w:bookmarkStart w:id="347" w:name="_Ref125370209"/>
      <w:bookmarkStart w:id="348" w:name="_Ref125709777"/>
      <w:bookmarkStart w:id="349" w:name="_Ref125709973"/>
      <w:bookmarkStart w:id="350" w:name="_Toc228976128"/>
      <w:r>
        <w:rPr/>
        <w:t>Дополнительные требования к Генеральным подрядчикам</w:t>
      </w:r>
      <w:bookmarkEnd w:id="342"/>
      <w:bookmarkEnd w:id="343"/>
      <w:bookmarkEnd w:id="344"/>
      <w:bookmarkEnd w:id="345"/>
      <w:bookmarkEnd w:id="346"/>
      <w:bookmarkEnd w:id="347"/>
      <w:bookmarkEnd w:id="348"/>
      <w:bookmarkEnd w:id="349"/>
      <w:bookmarkEnd w:id="350"/>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val="false"/>
              <w:numPr>
                <w:ilvl w:val="0"/>
                <w:numId w:val="5"/>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1" w:name="_Ref125370187"/>
            <w:bookmarkStart w:id="352" w:name="_Ref125370187"/>
            <w:bookmarkEnd w:id="352"/>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План распределения объемов поставки продукции (форма 10)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1"/>
              <w:widowControl w:val="false"/>
              <w:numPr>
                <w:ilvl w:val="0"/>
                <w:numId w:val="5"/>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3" w:name="_Ref125370199"/>
            <w:bookmarkStart w:id="354" w:name="_Ref125370199"/>
            <w:bookmarkEnd w:id="354"/>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Генеральный подрядчик должен доказать, что каждый из привлекаемых им субподрядчиков:</w:t>
            </w:r>
          </w:p>
          <w:p>
            <w:pPr>
              <w:pStyle w:val="Style21"/>
              <w:widowControl w:val="false"/>
              <w:numPr>
                <w:ilvl w:val="0"/>
                <w:numId w:val="14"/>
              </w:numPr>
              <w:suppressAutoHyphens w:val="true"/>
              <w:spacing w:lineRule="auto" w:line="240" w:before="60" w:after="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осведомлен о привлечении его в качестве субподрядчика;</w:t>
            </w:r>
          </w:p>
          <w:p>
            <w:pPr>
              <w:pStyle w:val="Style21"/>
              <w:widowControl w:val="false"/>
              <w:numPr>
                <w:ilvl w:val="0"/>
                <w:numId w:val="14"/>
              </w:numPr>
              <w:suppressAutoHyphens w:val="true"/>
              <w:spacing w:lineRule="auto" w:line="240" w:before="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21"/>
              <w:widowControl w:val="false"/>
              <w:numPr>
                <w:ilvl w:val="0"/>
                <w:numId w:val="5"/>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5" w:name="_Ref125370193"/>
            <w:bookmarkStart w:id="356" w:name="_Ref125370193"/>
            <w:bookmarkEnd w:id="356"/>
          </w:p>
        </w:tc>
        <w:tc>
          <w:tcPr>
            <w:tcW w:w="5671"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val="false"/>
              <w:numPr>
                <w:ilvl w:val="0"/>
                <w:numId w:val="5"/>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7" w:name="_Ref125553847"/>
            <w:bookmarkStart w:id="358" w:name="_Ref125553847"/>
            <w:bookmarkEnd w:id="358"/>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pStyle w:val="Style16"/>
        <w:spacing w:before="360" w:after="120"/>
        <w:rPr/>
      </w:pPr>
      <w:bookmarkStart w:id="359" w:name="_Ref125550523"/>
      <w:bookmarkStart w:id="360" w:name="_Ref125550560"/>
      <w:bookmarkStart w:id="361" w:name="_Ref125550566"/>
      <w:bookmarkStart w:id="362" w:name="_Ref125553513"/>
      <w:bookmarkStart w:id="363" w:name="_Ref125553821"/>
      <w:bookmarkStart w:id="364" w:name="_Ref125710459"/>
      <w:bookmarkStart w:id="365" w:name="_Ref125710480"/>
      <w:bookmarkStart w:id="366" w:name="_Ref125710517"/>
      <w:bookmarkStart w:id="367" w:name="_Toc228976129"/>
      <w:r>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59"/>
      <w:bookmarkEnd w:id="360"/>
      <w:bookmarkEnd w:id="361"/>
      <w:bookmarkEnd w:id="362"/>
      <w:bookmarkEnd w:id="363"/>
      <w:bookmarkEnd w:id="364"/>
      <w:bookmarkEnd w:id="365"/>
      <w:bookmarkEnd w:id="366"/>
      <w:bookmarkEnd w:id="367"/>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val="false"/>
              <w:numPr>
                <w:ilvl w:val="0"/>
                <w:numId w:val="11"/>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68" w:name="_Toc228976130"/>
      <w:bookmarkStart w:id="369" w:name="Прил04_ФормыЗаявки"/>
      <w:bookmarkEnd w:id="369"/>
      <w:r>
        <w:rPr/>
        <w:t>Приложение № 4 – Образцы форм документов, включаемых в состав заявки</w:t>
      </w:r>
      <w:bookmarkEnd w:id="368"/>
    </w:p>
    <w:p>
      <w:pPr>
        <w:pStyle w:val="Style16"/>
        <w:spacing w:before="360" w:after="0"/>
        <w:rPr/>
      </w:pPr>
      <w:bookmarkStart w:id="370" w:name="_Toc228976131"/>
      <w:r>
        <w:rPr/>
        <w:t>Пояснения к Образцам форм документов, включаемых в состав заявки</w:t>
      </w:r>
      <w:bookmarkEnd w:id="370"/>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71" w:name="_Toc228976132"/>
      <w:bookmarkStart w:id="372" w:name="Прил05_ФормыПобедителя"/>
      <w:bookmarkEnd w:id="372"/>
      <w:r>
        <w:rPr/>
        <w:t>Приложение № 5 – Образцы форм документов, предоставляемых Победителем</w:t>
      </w:r>
      <w:bookmarkEnd w:id="371"/>
    </w:p>
    <w:p>
      <w:pPr>
        <w:pStyle w:val="Style16"/>
        <w:spacing w:before="360" w:after="0"/>
        <w:rPr/>
      </w:pPr>
      <w:bookmarkStart w:id="373" w:name="_Toc228976133"/>
      <w:r>
        <w:rPr/>
        <w:t>Пояснения к Образцам форм документов, предоставляемых Победителем</w:t>
      </w:r>
      <w:bookmarkEnd w:id="373"/>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74" w:name="_Ref130395470"/>
      <w:bookmarkStart w:id="375" w:name="_Toc228976134"/>
      <w:r>
        <w:rPr/>
        <w:t>Форма справки «Сведения о цепочке собственников, включая бенефициаров (в том числе конечных)»</w:t>
      </w:r>
      <w:bookmarkEnd w:id="374"/>
      <w:bookmarkEnd w:id="375"/>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widowControl w:val="false"/>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widowControl w:val="false"/>
        <w:jc w:val="center"/>
        <w:rPr/>
      </w:pPr>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69.1pt;height:34.9pt;mso-wrap-distance-right:0pt" filled="f" o:ole="">
            <v:imagedata r:id="rId23" o:title=""/>
          </v:shape>
          <o:OLEObject Type="Embed" ProgID="Word.Document.12" ShapeID="ole_rId22" DrawAspect="Icon" ObjectID="_383261809" r:id="rId22"/>
        </w:object>
      </w:r>
    </w:p>
    <w:p>
      <w:pPr>
        <w:pStyle w:val="Style16"/>
        <w:widowControl w:val="false"/>
        <w:spacing w:before="360" w:after="0"/>
        <w:rPr/>
      </w:pPr>
      <w:bookmarkStart w:id="376" w:name="_Ref130395475"/>
      <w:bookmarkStart w:id="377" w:name="_Toc228976135"/>
      <w:r>
        <w:rPr/>
        <w:t>Форма «Заверение об обстоятельствах»</w:t>
      </w:r>
      <w:bookmarkEnd w:id="376"/>
      <w:bookmarkEnd w:id="377"/>
    </w:p>
    <w:p>
      <w:pPr>
        <w:pStyle w:val="Style17"/>
        <w:widowControl w:val="false"/>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fals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78" w:name="_MON_1741074184"/>
      <w:bookmarkEnd w:id="378"/>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9.25pt;height:32.1pt;mso-wrap-distance-right:0pt;mso-wrap-distance-bottom:6pt" filled="f" o:ole="">
            <v:imagedata r:id="rId25" o:title=""/>
          </v:shape>
          <o:OLEObject Type="Embed" ProgID="Word.Document.12" ShapeID="ole_rId24" DrawAspect="Icon" ObjectID="_1315947368" r:id="rId24"/>
        </w:object>
      </w:r>
    </w:p>
    <w:p>
      <w:pPr>
        <w:pStyle w:val="Style15"/>
        <w:spacing w:before="0" w:after="0"/>
        <w:rPr/>
      </w:pPr>
      <w:bookmarkStart w:id="379" w:name="_Toc228976136"/>
      <w:bookmarkStart w:id="380" w:name="_Ref125362865"/>
      <w:bookmarkStart w:id="381" w:name="_Ref125362900"/>
      <w:bookmarkStart w:id="382" w:name="Прил06_СоставЗаявки"/>
      <w:bookmarkEnd w:id="382"/>
      <w:r>
        <w:rPr/>
        <w:t>Приложение № 6 – Состав заявки</w:t>
      </w:r>
      <w:bookmarkEnd w:id="379"/>
      <w:bookmarkEnd w:id="380"/>
      <w:bookmarkEnd w:id="381"/>
    </w:p>
    <w:p>
      <w:pPr>
        <w:pStyle w:val="Style16"/>
        <w:spacing w:before="360" w:after="0"/>
        <w:rPr/>
      </w:pPr>
      <w:bookmarkStart w:id="383" w:name="_Toc228976137"/>
      <w:r>
        <w:rPr/>
        <w:t>Состав заявки</w:t>
      </w:r>
      <w:bookmarkEnd w:id="383"/>
    </w:p>
    <w:p>
      <w:pPr>
        <w:pStyle w:val="Style17"/>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125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Техническое предложение (форма 4);</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4" w:name="_Ref130389408"/>
            <w:bookmarkStart w:id="385" w:name="_Ref130389408"/>
            <w:bookmarkEnd w:id="385"/>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6" w:name="_Ref130389413"/>
            <w:bookmarkStart w:id="387" w:name="_Ref130389413"/>
            <w:bookmarkEnd w:id="387"/>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8" w:name="_Ref130389419"/>
            <w:bookmarkStart w:id="389" w:name="_Ref130389419"/>
            <w:bookmarkEnd w:id="389"/>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Normal"/>
              <w:widowControl w:val="false"/>
              <w:suppressAutoHyphens w:val="true"/>
              <w:spacing w:lineRule="auto" w:line="240" w:before="120" w:after="0"/>
              <w:jc w:val="both"/>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_Ref130305355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9"/>
              </w:numPr>
              <w:suppressAutoHyphens w:val="true"/>
              <w:spacing w:lineRule="auto" w:line="240" w:before="60" w:after="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1"/>
              <w:widowControl w:val="false"/>
              <w:numPr>
                <w:ilvl w:val="0"/>
                <w:numId w:val="9"/>
              </w:numPr>
              <w:suppressAutoHyphens w:val="true"/>
              <w:spacing w:lineRule="auto" w:line="240" w:before="0" w:after="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Документации о закупке;</w:t>
            </w:r>
          </w:p>
          <w:p>
            <w:pPr>
              <w:pStyle w:val="Style21"/>
              <w:widowControl w:val="false"/>
              <w:numPr>
                <w:ilvl w:val="0"/>
                <w:numId w:val="9"/>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Style w:val="Style6"/>
                <w:rFonts w:eastAsia="Calibri" w:cs="Arial"/>
                <w:kern w:val="0"/>
                <w:sz w:val="26"/>
                <w:szCs w:val="22"/>
                <w:lang w:val="ru-RU" w:eastAsia="en-US" w:bidi="ar-SA"/>
              </w:rPr>
              <w:t>;</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9"/>
              </w:numPr>
              <w:suppressAutoHyphens w:val="true"/>
              <w:spacing w:lineRule="auto" w:line="240" w:before="60" w:after="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1"/>
              <w:widowControl w:val="false"/>
              <w:numPr>
                <w:ilvl w:val="0"/>
                <w:numId w:val="9"/>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Style w:val="Style6"/>
                <w:rFonts w:eastAsia="Calibri" w:cs="Arial"/>
                <w:kern w:val="0"/>
                <w:sz w:val="26"/>
                <w:szCs w:val="22"/>
                <w:lang w:val="ru-RU" w:eastAsia="en-US" w:bidi="ar-SA"/>
              </w:rPr>
              <w:t>;</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_Ref125710459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_Ref127524203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 План распределения объемов поставки продукции (форма 10);</w:t>
            </w:r>
          </w:p>
        </w:tc>
      </w:tr>
      <w:tr>
        <w:trPr/>
        <w:tc>
          <w:tcPr>
            <w:tcW w:w="707"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90" w:name="_Ref125365264"/>
      <w:bookmarkStart w:id="391" w:name="_Toc228976138"/>
      <w:bookmarkStart w:id="392" w:name="Прил07_ОтборочныеКритерии"/>
      <w:bookmarkEnd w:id="392"/>
      <w:r>
        <w:rPr/>
        <w:t>Приложение № 7 – Отборочные критерии рассмотрения заявок</w:t>
      </w:r>
      <w:bookmarkEnd w:id="390"/>
      <w:bookmarkEnd w:id="391"/>
    </w:p>
    <w:p>
      <w:pPr>
        <w:pStyle w:val="Style16"/>
        <w:spacing w:before="360" w:after="120"/>
        <w:rPr>
          <w:rStyle w:val="Style3"/>
          <w:i w:val="false"/>
          <w:i w:val="false"/>
          <w:iCs w:val="false"/>
          <w:shd w:fill="auto" w:val="clear"/>
        </w:rPr>
      </w:pPr>
      <w:bookmarkStart w:id="393" w:name="_Toc228976139"/>
      <w:r>
        <w:rPr>
          <w:rStyle w:val="Style3"/>
          <w:i w:val="false"/>
          <w:iCs w:val="false"/>
          <w:shd w:fill="auto" w:val="clear"/>
        </w:rPr>
        <w:t>Отборочные критерии рассмотрения заявок</w:t>
      </w:r>
      <w:bookmarkEnd w:id="393"/>
    </w:p>
    <w:tbl>
      <w:tblPr>
        <w:tblStyle w:val="125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заявки и правильность ее оформления,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4.17</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Arial"/>
                <w:i/>
                <w:iCs/>
                <w:kern w:val="0"/>
                <w:sz w:val="26"/>
                <w:szCs w:val="22"/>
                <w:lang w:val="en-US" w:eastAsia="en-US" w:bidi="ar-SA"/>
              </w:rPr>
              <w:t> </w:t>
            </w:r>
            <w:r>
              <w:rPr>
                <w:rFonts w:eastAsia="Calibri" w:cs="Arial"/>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_Ref139028406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_Ref186120456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_Ref186120147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_Ref186120147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_Ref186120461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_Ref186120147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_Ref186120147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квалификационным требованиям к Участникам</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_Ref125550270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Коллективного участника установленным в отношении его требованиям:</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_Ref130305355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1"/>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9"/>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_Ref125370156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ind w:hanging="0" w:left="219"/>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Юр</w:t>
            </w:r>
          </w:p>
        </w:tc>
      </w:tr>
      <w:tr>
        <w:trPr/>
        <w:tc>
          <w:tcPr>
            <w:tcW w:w="1412" w:type="dxa"/>
            <w:tcBorders/>
          </w:tcPr>
          <w:p>
            <w:pPr>
              <w:pStyle w:val="Style21"/>
              <w:widowControl w:val="false"/>
              <w:numPr>
                <w:ilvl w:val="1"/>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9"/>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_Ref125553738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1"/>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9"/>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_Ref125370162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ind w:hanging="0" w:left="219"/>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1"/>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9"/>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_Ref125370199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1"/>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9"/>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_Ref127524203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_Ref125550523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исполнения Заказчиком</w:t>
            </w:r>
            <w:r>
              <w:rPr>
                <w:rFonts w:eastAsia="Calibri" w:cs="Arial"/>
                <w:kern w:val="0"/>
                <w:sz w:val="26"/>
                <w:szCs w:val="22"/>
                <w:lang w:val="ru-RU" w:eastAsia="en-US" w:bidi="ar-SA"/>
              </w:rPr>
              <w:t xml:space="preserve"> </w:t>
            </w:r>
            <w:r>
              <w:rPr>
                <w:rFonts w:eastAsia="Calibri" w:cs="Arial"/>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_Ref186120147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_Ref186120147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_Ref186120147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_Ref186120147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7"/>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 xml:space="preserve">Коммерческому приложению,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uppressAutoHyphens w:val="tru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r>
      <w:bookmarkStart w:id="394"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394"/>
      <w:r>
        <w:rPr/>
        <w:t xml:space="preserve">; </w:t>
      </w:r>
      <w:bookmarkStart w:id="395" w:name="_Hlk138342546"/>
      <w:r>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395"/>
      <w:r>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396" w:name="_Hlk138342572"/>
      <w:r>
        <w:rPr/>
        <w:t>–</w:t>
      </w:r>
      <w:bookmarkEnd w:id="396"/>
      <w:r>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97"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97"/>
      <w:r>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398"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398"/>
      <w:r>
        <w:rPr/>
        <w:t>;</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Юр, в случае наличия в заявке банковской гарантии)</w:t>
      </w:r>
      <w:r>
        <w:rPr/>
        <w:t>.</w:t>
      </w:r>
    </w:p>
    <w:p>
      <w:p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99" w:name="_Ref125361648"/>
      <w:bookmarkStart w:id="400" w:name="_Ref125361951"/>
      <w:bookmarkStart w:id="401" w:name="_Ref125366013"/>
      <w:bookmarkStart w:id="402" w:name="_Ref125366280"/>
      <w:bookmarkStart w:id="403" w:name="_Ref125366285"/>
      <w:bookmarkStart w:id="404" w:name="_Ref125368140"/>
      <w:bookmarkStart w:id="405" w:name="_Ref125368150"/>
      <w:bookmarkStart w:id="406" w:name="_Ref125368165"/>
      <w:bookmarkStart w:id="407" w:name="_Ref125368172"/>
      <w:bookmarkStart w:id="408" w:name="_Ref125368184"/>
      <w:bookmarkStart w:id="409" w:name="_Ref125368283"/>
      <w:bookmarkStart w:id="410" w:name="_Ref125368291"/>
      <w:bookmarkStart w:id="411" w:name="_Ref125368302"/>
      <w:bookmarkStart w:id="412" w:name="_Ref125368313"/>
      <w:bookmarkStart w:id="413" w:name="_Ref125368331"/>
      <w:bookmarkStart w:id="414" w:name="_Ref125369021"/>
      <w:bookmarkStart w:id="415" w:name="_Ref125369438"/>
      <w:bookmarkStart w:id="416" w:name="_Toc228976141"/>
      <w:bookmarkStart w:id="417" w:name="Прил08_ПорядокОценки"/>
      <w:bookmarkEnd w:id="417"/>
      <w:r>
        <w:rPr/>
        <w:t>Приложение № 8 – Порядок и критерии оценки и сопоставления заявок</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Style16"/>
        <w:spacing w:before="360" w:after="0"/>
        <w:rPr/>
      </w:pPr>
      <w:bookmarkStart w:id="418" w:name="_Toc228976142"/>
      <w:r>
        <w:rPr/>
        <w:t>Порядок и критерии оценки и сопоставления заявок</w:t>
      </w:r>
      <w:bookmarkEnd w:id="418"/>
    </w:p>
    <w:p>
      <w:pPr>
        <w:pStyle w:val="Style17"/>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1256"/>
        <w:tblW w:w="14132"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280"/>
        <w:gridCol w:w="1333"/>
        <w:gridCol w:w="333"/>
        <w:gridCol w:w="1261"/>
        <w:gridCol w:w="1703"/>
        <w:gridCol w:w="1191"/>
        <w:gridCol w:w="1730"/>
        <w:gridCol w:w="5300"/>
      </w:tblGrid>
      <w:tr>
        <w:trPr/>
        <w:tc>
          <w:tcPr>
            <w:tcW w:w="1280" w:type="dxa"/>
            <w:vMerge w:val="restart"/>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333" w:type="dxa"/>
            <w:vMerge w:val="restart"/>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3297" w:type="dxa"/>
            <w:gridSpan w:val="3"/>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730" w:type="dxa"/>
            <w:vMerge w:val="restart"/>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5300" w:type="dxa"/>
            <w:vMerge w:val="restart"/>
            <w:tcBorders/>
          </w:tcPr>
          <w:p>
            <w:pPr>
              <w:pStyle w:val="Style21"/>
              <w:keepNext w:val="true"/>
              <w:keepLines w:val="false"/>
              <w:widowControl w:val="false"/>
              <w:suppressAutoHyphens w:val="tru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1280" w:type="dxa"/>
            <w:vMerge w:val="continue"/>
            <w:tcBorders/>
          </w:tcPr>
          <w:p>
            <w:pPr>
              <w:pStyle w:val="Style21"/>
              <w:widowControl w:val="false"/>
              <w:suppressAutoHyphens w:val="true"/>
              <w:spacing w:lineRule="auto" w:line="240" w:before="40" w:after="40"/>
              <w:jc w:val="center"/>
              <w:rPr>
                <w:sz w:val="18"/>
                <w:szCs w:val="18"/>
              </w:rPr>
            </w:pPr>
            <w:r>
              <w:rPr>
                <w:sz w:val="18"/>
                <w:szCs w:val="18"/>
              </w:rPr>
            </w:r>
          </w:p>
        </w:tc>
        <w:tc>
          <w:tcPr>
            <w:tcW w:w="1333" w:type="dxa"/>
            <w:vMerge w:val="continue"/>
            <w:tcBorders/>
          </w:tcPr>
          <w:p>
            <w:pPr>
              <w:pStyle w:val="Style21"/>
              <w:widowControl w:val="false"/>
              <w:suppressAutoHyphens w:val="true"/>
              <w:spacing w:lineRule="auto" w:line="240" w:before="40" w:after="40"/>
              <w:jc w:val="center"/>
              <w:rPr>
                <w:sz w:val="18"/>
                <w:szCs w:val="18"/>
              </w:rPr>
            </w:pPr>
            <w:r>
              <w:rPr>
                <w:sz w:val="18"/>
                <w:szCs w:val="18"/>
              </w:rPr>
            </w:r>
          </w:p>
        </w:tc>
        <w:tc>
          <w:tcPr>
            <w:tcW w:w="1594" w:type="dxa"/>
            <w:gridSpan w:val="2"/>
            <w:tcBorders/>
          </w:tcPr>
          <w:p>
            <w:pPr>
              <w:pStyle w:val="Style21"/>
              <w:widowControl w:val="false"/>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703" w:type="dxa"/>
            <w:tcBorders/>
          </w:tcPr>
          <w:p>
            <w:pPr>
              <w:pStyle w:val="Style21"/>
              <w:widowControl w:val="false"/>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cPr>
          <w:p>
            <w:pPr>
              <w:pStyle w:val="Style21"/>
              <w:widowControl w:val="false"/>
              <w:suppressAutoHyphens w:val="true"/>
              <w:spacing w:lineRule="auto" w:line="240" w:before="40" w:after="40"/>
              <w:jc w:val="center"/>
              <w:rPr>
                <w:sz w:val="18"/>
                <w:szCs w:val="18"/>
              </w:rPr>
            </w:pPr>
            <w:r>
              <w:rPr>
                <w:sz w:val="18"/>
                <w:szCs w:val="18"/>
              </w:rPr>
            </w:r>
          </w:p>
        </w:tc>
        <w:tc>
          <w:tcPr>
            <w:tcW w:w="1730" w:type="dxa"/>
            <w:vMerge w:val="continue"/>
            <w:tcBorders/>
          </w:tcPr>
          <w:p>
            <w:pPr>
              <w:pStyle w:val="Style21"/>
              <w:widowControl w:val="false"/>
              <w:suppressAutoHyphens w:val="true"/>
              <w:spacing w:lineRule="auto" w:line="240" w:before="40" w:after="40"/>
              <w:jc w:val="center"/>
              <w:rPr>
                <w:sz w:val="18"/>
                <w:szCs w:val="18"/>
              </w:rPr>
            </w:pPr>
            <w:r>
              <w:rPr>
                <w:sz w:val="18"/>
                <w:szCs w:val="18"/>
              </w:rPr>
            </w:r>
          </w:p>
        </w:tc>
        <w:tc>
          <w:tcPr>
            <w:tcW w:w="5300" w:type="dxa"/>
            <w:vMerge w:val="continue"/>
            <w:tcBorders/>
          </w:tcPr>
          <w:p>
            <w:pPr>
              <w:pStyle w:val="Style21"/>
              <w:widowControl w:val="false"/>
              <w:suppressAutoHyphens w:val="true"/>
              <w:spacing w:lineRule="auto" w:line="240" w:before="40" w:after="40"/>
              <w:jc w:val="center"/>
              <w:rPr>
                <w:sz w:val="18"/>
                <w:szCs w:val="18"/>
              </w:rPr>
            </w:pPr>
            <w:r>
              <w:rPr>
                <w:sz w:val="18"/>
                <w:szCs w:val="18"/>
              </w:rPr>
            </w:r>
          </w:p>
        </w:tc>
      </w:tr>
      <w:tr>
        <w:trPr/>
        <w:tc>
          <w:tcPr>
            <w:tcW w:w="1280" w:type="dxa"/>
            <w:tcBorders/>
          </w:tcPr>
          <w:p>
            <w:pPr>
              <w:pStyle w:val="Normal"/>
              <w:widowControl w:val="false"/>
              <w:suppressAutoHyphens w:val="true"/>
              <w:spacing w:lineRule="auto" w:line="240" w:before="40" w:after="40"/>
              <w:jc w:val="center"/>
              <w:rPr>
                <w:rFonts w:cs="Times New Roman"/>
                <w:sz w:val="20"/>
                <w:szCs w:val="20"/>
              </w:rPr>
            </w:pPr>
            <w:r>
              <w:rPr>
                <w:rFonts w:eastAsia="Calibri" w:cs="Times New Roman"/>
                <w:kern w:val="0"/>
                <w:sz w:val="20"/>
                <w:szCs w:val="20"/>
                <w:lang w:val="ru-RU" w:eastAsia="en-US" w:bidi="ar-SA"/>
              </w:rPr>
              <w:t>1.</w:t>
            </w:r>
          </w:p>
        </w:tc>
        <w:tc>
          <w:tcPr>
            <w:tcW w:w="1333" w:type="dxa"/>
            <w:tcBorders/>
          </w:tcPr>
          <w:p>
            <w:pPr>
              <w:pStyle w:val="3"/>
              <w:widowControl w:val="false"/>
              <w:numPr>
                <w:ilvl w:val="7"/>
                <w:numId w:val="19"/>
              </w:numPr>
              <w:tabs>
                <w:tab w:val="clear" w:pos="708"/>
                <w:tab w:val="left" w:pos="1440" w:leader="none"/>
                <w:tab w:val="left" w:pos="2880" w:leader="none"/>
              </w:tabs>
              <w:suppressAutoHyphens w:val="true"/>
              <w:spacing w:lineRule="auto" w:line="240" w:before="0" w:after="0"/>
              <w:ind w:hanging="0" w:left="0" w:right="0"/>
              <w:contextualSpacing/>
              <w:jc w:val="center"/>
              <w:rPr>
                <w:rFonts w:ascii="Times New Roman" w:hAnsi="Times New Roman"/>
                <w:sz w:val="20"/>
                <w:szCs w:val="20"/>
              </w:rPr>
            </w:pPr>
            <w:r>
              <w:rPr>
                <w:rFonts w:ascii="Times New Roman" w:hAnsi="Times New Roman"/>
                <w:kern w:val="0"/>
                <w:sz w:val="20"/>
                <w:szCs w:val="20"/>
              </w:rPr>
              <w:t>Ценовой (стоимостный) частный критерий оценки первого уровня / ЦЕНА</w:t>
            </w:r>
          </w:p>
        </w:tc>
        <w:tc>
          <w:tcPr>
            <w:tcW w:w="1594" w:type="dxa"/>
            <w:gridSpan w:val="2"/>
            <w:tcBorders/>
          </w:tcPr>
          <w:p>
            <w:pPr>
              <w:pStyle w:val="3"/>
              <w:widowControl w:val="false"/>
              <w:numPr>
                <w:ilvl w:val="7"/>
                <w:numId w:val="19"/>
              </w:numPr>
              <w:tabs>
                <w:tab w:val="clear" w:pos="708"/>
                <w:tab w:val="left" w:pos="1440" w:leader="none"/>
                <w:tab w:val="left" w:pos="2880" w:leader="none"/>
              </w:tabs>
              <w:suppressAutoHyphens w:val="true"/>
              <w:spacing w:lineRule="auto" w:line="240" w:before="0" w:after="0"/>
              <w:ind w:hanging="0" w:left="0" w:right="0"/>
              <w:contextualSpacing/>
              <w:jc w:val="center"/>
              <w:rPr>
                <w:rFonts w:ascii="Times New Roman" w:hAnsi="Times New Roman"/>
                <w:sz w:val="20"/>
                <w:szCs w:val="20"/>
              </w:rPr>
            </w:pPr>
            <w:r>
              <w:rPr>
                <w:rFonts w:ascii="Times New Roman" w:hAnsi="Times New Roman"/>
                <w:kern w:val="0"/>
                <w:sz w:val="20"/>
                <w:szCs w:val="20"/>
              </w:rPr>
              <w:t>Цена договора (стоимость заявки)</w:t>
            </w:r>
          </w:p>
        </w:tc>
        <w:tc>
          <w:tcPr>
            <w:tcW w:w="1703" w:type="dxa"/>
            <w:tcBorders/>
          </w:tcPr>
          <w:p>
            <w:pPr>
              <w:pStyle w:val="3"/>
              <w:widowControl w:val="false"/>
              <w:numPr>
                <w:ilvl w:val="7"/>
                <w:numId w:val="19"/>
              </w:numPr>
              <w:tabs>
                <w:tab w:val="clear" w:pos="708"/>
                <w:tab w:val="left" w:pos="1440" w:leader="none"/>
                <w:tab w:val="left" w:pos="2880" w:leader="none"/>
              </w:tabs>
              <w:suppressAutoHyphens w:val="true"/>
              <w:spacing w:lineRule="auto" w:line="240" w:before="0" w:after="0"/>
              <w:ind w:hanging="0" w:left="0" w:right="0"/>
              <w:contextualSpacing/>
              <w:jc w:val="center"/>
              <w:rPr>
                <w:rFonts w:ascii="Times New Roman" w:hAnsi="Times New Roman"/>
                <w:i/>
                <w:i/>
                <w:sz w:val="20"/>
                <w:szCs w:val="20"/>
              </w:rPr>
            </w:pPr>
            <w:r>
              <w:rPr>
                <w:rFonts w:ascii="Times New Roman" w:hAnsi="Times New Roman"/>
                <w:i/>
                <w:kern w:val="0"/>
                <w:sz w:val="20"/>
                <w:szCs w:val="20"/>
              </w:rPr>
              <w:t>отсутствует</w:t>
            </w:r>
          </w:p>
        </w:tc>
        <w:tc>
          <w:tcPr>
            <w:tcW w:w="1191" w:type="dxa"/>
            <w:tcBorders/>
          </w:tcPr>
          <w:p>
            <w:pPr>
              <w:pStyle w:val="3"/>
              <w:widowControl w:val="false"/>
              <w:numPr>
                <w:ilvl w:val="7"/>
                <w:numId w:val="19"/>
              </w:numPr>
              <w:tabs>
                <w:tab w:val="clear" w:pos="708"/>
                <w:tab w:val="left" w:pos="1440" w:leader="none"/>
                <w:tab w:val="left" w:pos="2880" w:leader="none"/>
              </w:tabs>
              <w:suppressAutoHyphens w:val="true"/>
              <w:spacing w:lineRule="auto" w:line="240" w:before="0" w:after="0"/>
              <w:ind w:hanging="0" w:left="0" w:right="0"/>
              <w:contextualSpacing/>
              <w:jc w:val="center"/>
              <w:rPr>
                <w:rFonts w:ascii="Times New Roman" w:hAnsi="Times New Roman"/>
                <w:sz w:val="20"/>
                <w:szCs w:val="20"/>
              </w:rPr>
            </w:pPr>
            <w:r>
              <w:rPr>
                <w:rFonts w:ascii="Times New Roman" w:hAnsi="Times New Roman"/>
                <w:kern w:val="0"/>
                <w:sz w:val="20"/>
                <w:szCs w:val="20"/>
              </w:rPr>
              <w:t>90%</w:t>
              <w:br/>
              <w:t>(В</w:t>
            </w:r>
            <w:r>
              <w:rPr>
                <w:rFonts w:ascii="Times New Roman" w:hAnsi="Times New Roman"/>
                <w:kern w:val="0"/>
                <w:sz w:val="20"/>
                <w:szCs w:val="20"/>
                <w:vertAlign w:val="subscript"/>
              </w:rPr>
              <w:t>1</w:t>
            </w:r>
            <w:r>
              <w:rPr>
                <w:rFonts w:ascii="Times New Roman" w:hAnsi="Times New Roman"/>
                <w:kern w:val="0"/>
                <w:sz w:val="20"/>
                <w:szCs w:val="20"/>
              </w:rPr>
              <w:t xml:space="preserve"> = 0,90)</w:t>
            </w:r>
          </w:p>
        </w:tc>
        <w:tc>
          <w:tcPr>
            <w:tcW w:w="1730" w:type="dxa"/>
            <w:tcBorders/>
          </w:tcPr>
          <w:p>
            <w:pPr>
              <w:pStyle w:val="3"/>
              <w:widowControl w:val="false"/>
              <w:numPr>
                <w:ilvl w:val="7"/>
                <w:numId w:val="19"/>
              </w:numPr>
              <w:tabs>
                <w:tab w:val="clear" w:pos="708"/>
                <w:tab w:val="left" w:pos="1440" w:leader="none"/>
                <w:tab w:val="left" w:pos="2880" w:leader="none"/>
              </w:tabs>
              <w:suppressAutoHyphens w:val="true"/>
              <w:spacing w:lineRule="auto" w:line="240" w:before="0" w:after="0"/>
              <w:ind w:hanging="0" w:left="0" w:right="0"/>
              <w:contextualSpacing/>
              <w:jc w:val="center"/>
              <w:rPr>
                <w:rFonts w:ascii="Times New Roman" w:hAnsi="Times New Roman"/>
                <w:sz w:val="20"/>
                <w:szCs w:val="20"/>
              </w:rPr>
            </w:pPr>
            <w:r>
              <w:rPr>
                <w:rFonts w:ascii="Times New Roman" w:hAnsi="Times New Roman"/>
                <w:kern w:val="0"/>
                <w:sz w:val="20"/>
                <w:szCs w:val="20"/>
              </w:rPr>
              <w:t>Чем меньше стоимость заявки Участника, тем выше предпочтительность</w:t>
            </w:r>
          </w:p>
        </w:tc>
        <w:tc>
          <w:tcPr>
            <w:tcW w:w="5300" w:type="dxa"/>
            <w:tcBorders/>
          </w:tcPr>
          <w:p>
            <w:pPr>
              <w:pStyle w:val="3"/>
              <w:widowControl w:val="false"/>
              <w:numPr>
                <w:ilvl w:val="7"/>
                <w:numId w:val="19"/>
              </w:numPr>
              <w:tabs>
                <w:tab w:val="clear" w:pos="708"/>
                <w:tab w:val="left" w:pos="1440" w:leader="none"/>
                <w:tab w:val="left" w:pos="2880" w:leader="none"/>
              </w:tabs>
              <w:suppressAutoHyphens w:val="true"/>
              <w:spacing w:lineRule="auto" w:line="240" w:before="96" w:after="0"/>
              <w:ind w:hanging="0" w:left="0" w:right="0"/>
              <w:rPr>
                <w:rFonts w:ascii="Times New Roman" w:hAnsi="Times New Roman"/>
                <w:sz w:val="20"/>
                <w:szCs w:val="20"/>
              </w:rPr>
            </w:pPr>
            <w:r>
              <w:rPr>
                <w:rFonts w:ascii="Times New Roman" w:hAnsi="Times New Roman"/>
                <w:kern w:val="0"/>
                <w:sz w:val="20"/>
                <w:szCs w:val="20"/>
              </w:rPr>
              <w:t>Расчет оценки предпочтительности по частному критерию по методу «Математическая формула, задающая «функцию ценности»»:</w:t>
            </w:r>
          </w:p>
          <w:p>
            <w:pPr>
              <w:pStyle w:val="2"/>
              <w:widowControl w:val="false"/>
              <w:numPr>
                <w:ilvl w:val="6"/>
                <w:numId w:val="19"/>
              </w:numPr>
              <w:tabs>
                <w:tab w:val="clear" w:pos="708"/>
                <w:tab w:val="left" w:pos="360" w:leader="none"/>
                <w:tab w:val="left" w:pos="1440" w:leader="none"/>
                <w:tab w:val="left" w:pos="2736" w:leader="none"/>
              </w:tabs>
              <w:suppressAutoHyphens w:val="true"/>
              <w:spacing w:lineRule="auto" w:line="240" w:before="96" w:after="0"/>
              <w:ind w:hanging="0" w:left="0" w:right="0"/>
              <w:contextualSpacing/>
              <w:jc w:val="center"/>
              <w:rPr>
                <w:rFonts w:ascii="Times New Roman" w:hAnsi="Times New Roman" w:cs="Times New Roman"/>
                <w:sz w:val="20"/>
                <w:szCs w:val="20"/>
                <w:lang w:eastAsia="ru-RU"/>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oMath>
            <w:r>
              <w:rPr>
                <w:rFonts w:cs="Times New Roman" w:ascii="Times New Roman" w:hAnsi="Times New Roman"/>
                <w:kern w:val="0"/>
                <w:sz w:val="20"/>
                <w:szCs w:val="20"/>
                <w:lang w:eastAsia="ru-RU"/>
              </w:rPr>
              <w:t>где:</w:t>
            </w:r>
          </w:p>
          <w:p>
            <w:pPr>
              <w:pStyle w:val="2"/>
              <w:widowControl w:val="false"/>
              <w:numPr>
                <w:ilvl w:val="6"/>
                <w:numId w:val="19"/>
              </w:numPr>
              <w:tabs>
                <w:tab w:val="clear" w:pos="708"/>
                <w:tab w:val="left" w:pos="360" w:leader="none"/>
                <w:tab w:val="left" w:pos="742" w:leader="none"/>
                <w:tab w:val="left" w:pos="1167" w:leader="none"/>
                <w:tab w:val="left" w:pos="1440" w:leader="none"/>
                <w:tab w:val="left" w:pos="2736" w:leader="none"/>
              </w:tabs>
              <w:suppressAutoHyphens w:val="true"/>
              <w:spacing w:lineRule="auto" w:line="240" w:before="0" w:after="0"/>
              <w:ind w:hanging="0" w:left="0" w:right="0"/>
              <w:contextualSpacing/>
              <w:rPr>
                <w:rFonts w:ascii="Times New Roman" w:hAnsi="Times New Roman" w:cs="Times New Roman"/>
                <w:sz w:val="20"/>
                <w:szCs w:val="20"/>
                <w:lang w:eastAsia="ru-RU"/>
              </w:rPr>
            </w:pPr>
            <w:r>
              <w:rPr>
                <w:rFonts w:cs="Times New Roman" w:ascii="Times New Roman" w:hAnsi="Times New Roman"/>
                <w:kern w:val="0"/>
                <w:sz w:val="20"/>
                <w:szCs w:val="20"/>
                <w:lang w:eastAsia="ru-RU"/>
              </w:rPr>
              <w:t>Б</w:t>
            </w:r>
            <w:r>
              <w:rPr>
                <w:rFonts w:cs="Times New Roman" w:ascii="Times New Roman" w:hAnsi="Times New Roman"/>
                <w:kern w:val="0"/>
                <w:sz w:val="20"/>
                <w:szCs w:val="20"/>
                <w:vertAlign w:val="subscript"/>
                <w:lang w:eastAsia="ru-RU"/>
              </w:rPr>
              <w:t>1</w:t>
            </w:r>
            <w:r>
              <w:rPr>
                <w:rFonts w:cs="Times New Roman" w:ascii="Times New Roman" w:hAnsi="Times New Roman"/>
                <w:kern w:val="0"/>
                <w:sz w:val="20"/>
                <w:szCs w:val="20"/>
                <w:lang w:eastAsia="ru-RU"/>
              </w:rPr>
              <w:tab/>
              <w:t>–</w:t>
              <w:tab/>
              <w:t>рассчитанная оценка предпочтительности по данному частному критерию оценки в баллах;</w:t>
            </w:r>
          </w:p>
          <w:p>
            <w:pPr>
              <w:pStyle w:val="Normal"/>
              <w:widowControl w:val="false"/>
              <w:suppressAutoHyphens w:val="true"/>
              <w:spacing w:lineRule="auto" w:line="240" w:before="0" w:after="60"/>
              <w:jc w:val="both"/>
              <w:rPr>
                <w:sz w:val="20"/>
                <w:szCs w:val="20"/>
              </w:rPr>
            </w:pPr>
            <w:r>
              <w:rPr>
                <w:rFonts w:eastAsia="Calibri" w:cs="Arial"/>
                <w:kern w:val="0"/>
                <w:sz w:val="20"/>
                <w:szCs w:val="20"/>
                <w:lang w:val="ru-RU" w:eastAsia="en-US" w:bidi="ar-SA"/>
              </w:rPr>
              <w:t>ЦЕНА</w:t>
            </w:r>
            <w:r>
              <w:rPr>
                <w:rFonts w:eastAsia="Calibri" w:cs="Arial"/>
                <w:i/>
                <w:iCs/>
                <w:kern w:val="0"/>
                <w:sz w:val="20"/>
                <w:szCs w:val="20"/>
                <w:vertAlign w:val="subscript"/>
                <w:lang w:val="en-US" w:eastAsia="en-US" w:bidi="ar-SA"/>
              </w:rPr>
              <w:t>i</w:t>
            </w:r>
            <w:r>
              <w:rPr>
                <w:rFonts w:eastAsia="Calibri" w:cs="Arial"/>
                <w:kern w:val="0"/>
                <w:sz w:val="20"/>
                <w:szCs w:val="20"/>
                <w:lang w:val="ru-RU" w:eastAsia="en-US" w:bidi="ar-SA"/>
              </w:rPr>
              <w:t xml:space="preserve">  – цена договора (стоимость заявки), указанная в </w:t>
            </w:r>
            <w:r>
              <w:rPr>
                <w:rFonts w:eastAsia="Calibri" w:cs="Arial"/>
                <w:kern w:val="0"/>
                <w:sz w:val="20"/>
                <w:szCs w:val="20"/>
                <w:lang w:val="en-US" w:eastAsia="en-US" w:bidi="ar-SA"/>
              </w:rPr>
              <w:t>i</w:t>
            </w:r>
            <w:r>
              <w:rPr>
                <w:rFonts w:eastAsia="Calibri" w:cs="Arial"/>
                <w:kern w:val="0"/>
                <w:sz w:val="20"/>
                <w:szCs w:val="20"/>
                <w:lang w:val="ru-RU" w:eastAsia="en-US" w:bidi="ar-SA"/>
              </w:rPr>
              <w:t>-той заявке (в Коммерческом предложении по установленной в Документации о закупке форме) допущенного Участника, руб. без учета НДС;</w:t>
            </w:r>
          </w:p>
          <w:p>
            <w:pPr>
              <w:pStyle w:val="Normal"/>
              <w:widowControl w:val="false"/>
              <w:suppressAutoHyphens w:val="true"/>
              <w:spacing w:lineRule="auto" w:line="240" w:before="0" w:after="60"/>
              <w:jc w:val="both"/>
              <w:rPr>
                <w:sz w:val="20"/>
                <w:szCs w:val="20"/>
              </w:rPr>
            </w:pPr>
            <w:r>
              <w:rPr>
                <w:rFonts w:eastAsia="Calibri" w:cs="Arial"/>
                <w:kern w:val="0"/>
                <w:sz w:val="20"/>
                <w:szCs w:val="20"/>
                <w:lang w:val="ru-RU" w:eastAsia="en-US" w:bidi="ar-SA"/>
              </w:rPr>
              <w:t>ЦЕНА</w:t>
            </w:r>
            <w:r>
              <w:rPr>
                <w:rFonts w:eastAsia="Calibri" w:cs="Arial"/>
                <w:kern w:val="0"/>
                <w:sz w:val="20"/>
                <w:szCs w:val="20"/>
                <w:vertAlign w:val="subscript"/>
                <w:lang w:val="en-US" w:eastAsia="en-US" w:bidi="ar-SA"/>
              </w:rPr>
              <w:t>min</w:t>
            </w:r>
            <w:r>
              <w:rPr>
                <w:rFonts w:eastAsia="Calibri" w:cs="Arial"/>
                <w:kern w:val="0"/>
                <w:sz w:val="20"/>
                <w:szCs w:val="20"/>
                <w:vertAlign w:val="subscript"/>
                <w:lang w:val="ru-RU" w:eastAsia="en-US" w:bidi="ar-SA"/>
              </w:rPr>
              <w:t xml:space="preserve"> </w:t>
            </w:r>
            <w:r>
              <w:rPr>
                <w:rFonts w:eastAsia="Calibri" w:cs="Arial"/>
                <w:kern w:val="0"/>
                <w:sz w:val="20"/>
                <w:szCs w:val="20"/>
                <w:lang w:val="ru-RU" w:eastAsia="en-US" w:bidi="ar-SA"/>
              </w:rPr>
              <w:t>– минимальная цена договора (стоимость заявки) среди всех допущенных заявок Участников, руб. без учета НДС;</w:t>
            </w:r>
          </w:p>
          <w:p>
            <w:pPr>
              <w:pStyle w:val="2"/>
              <w:widowControl w:val="false"/>
              <w:numPr>
                <w:ilvl w:val="6"/>
                <w:numId w:val="20"/>
              </w:numPr>
              <w:tabs>
                <w:tab w:val="clear" w:pos="708"/>
                <w:tab w:val="left" w:pos="360" w:leader="none"/>
                <w:tab w:val="left" w:pos="742" w:leader="none"/>
                <w:tab w:val="left" w:pos="1167" w:leader="none"/>
                <w:tab w:val="left" w:pos="1440" w:leader="none"/>
                <w:tab w:val="left" w:pos="2736" w:leader="none"/>
              </w:tabs>
              <w:suppressAutoHyphens w:val="true"/>
              <w:spacing w:lineRule="auto" w:line="240" w:before="0" w:after="0"/>
              <w:ind w:hanging="0" w:left="0" w:right="0"/>
              <w:rPr>
                <w:rFonts w:ascii="Times New Roman" w:hAnsi="Times New Roman" w:cs="Times New Roman"/>
                <w:sz w:val="20"/>
                <w:szCs w:val="20"/>
              </w:rPr>
            </w:pPr>
            <w:r>
              <w:rPr>
                <w:rFonts w:eastAsia="Times New Roman" w:cs="Times New Roman" w:ascii="Times New Roman" w:hAnsi="Times New Roman"/>
                <w:kern w:val="0"/>
                <w:sz w:val="20"/>
                <w:szCs w:val="20"/>
                <w:lang w:eastAsia="ru-RU"/>
              </w:rPr>
              <w:t>Ш</w:t>
              <w:tab/>
              <w:t>–</w:t>
              <w:tab/>
              <w:t>максимально возможный балл (максимальная возможная оценка предпочтительности) по шкале оценок (Ш = 5).</w:t>
            </w:r>
          </w:p>
          <w:p>
            <w:pPr>
              <w:pStyle w:val="Normal"/>
              <w:widowControl w:val="false"/>
              <w:numPr>
                <w:ilvl w:val="7"/>
                <w:numId w:val="20"/>
              </w:numPr>
              <w:suppressAutoHyphens w:val="true"/>
              <w:spacing w:lineRule="auto" w:line="240" w:before="0" w:after="60"/>
              <w:jc w:val="both"/>
              <w:rPr>
                <w:sz w:val="20"/>
                <w:szCs w:val="20"/>
              </w:rPr>
            </w:pPr>
            <w:r>
              <w:rPr>
                <w:rFonts w:eastAsia="Calibri" w:cs="Arial"/>
                <w:kern w:val="0"/>
                <w:sz w:val="20"/>
                <w:szCs w:val="20"/>
                <w:lang w:val="ru-RU" w:eastAsia="en-US" w:bidi="ar-SA"/>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Calibri" w:cs="Arial"/>
                <w:color w:val="000000"/>
                <w:kern w:val="0"/>
                <w:sz w:val="20"/>
                <w:szCs w:val="20"/>
                <w:lang w:val="ru-RU" w:eastAsia="en-US" w:bidi="ar-SA"/>
              </w:rPr>
              <w:t>.</w:t>
            </w:r>
          </w:p>
          <w:p>
            <w:pPr>
              <w:pStyle w:val="Normal"/>
              <w:widowControl w:val="false"/>
              <w:suppressAutoHyphens w:val="true"/>
              <w:spacing w:lineRule="auto" w:line="240" w:before="96" w:after="96"/>
              <w:jc w:val="both"/>
              <w:rPr>
                <w:rFonts w:cs="Times New Roman"/>
                <w:b/>
                <w:sz w:val="20"/>
                <w:szCs w:val="20"/>
              </w:rPr>
            </w:pPr>
            <w:r>
              <w:rPr>
                <w:rFonts w:eastAsia="Calibri" w:cs="Arial"/>
                <w:b/>
                <w:kern w:val="0"/>
                <w:sz w:val="20"/>
                <w:szCs w:val="20"/>
                <w:lang w:val="ru-RU" w:eastAsia="en-US" w:bidi="ar-SA"/>
              </w:rPr>
              <w:t>Шкала оценок от 0 до 5 баллов</w:t>
            </w:r>
          </w:p>
        </w:tc>
      </w:tr>
      <w:tr>
        <w:trPr/>
        <w:tc>
          <w:tcPr>
            <w:tcW w:w="1280" w:type="dxa"/>
            <w:tcBorders/>
          </w:tcPr>
          <w:p>
            <w:pPr>
              <w:pStyle w:val="Normal"/>
              <w:widowControl w:val="false"/>
              <w:suppressAutoHyphens w:val="true"/>
              <w:spacing w:lineRule="auto" w:line="240" w:before="40" w:after="40"/>
              <w:jc w:val="center"/>
              <w:rPr>
                <w:rFonts w:cs="Times New Roman"/>
                <w:sz w:val="20"/>
                <w:szCs w:val="20"/>
              </w:rPr>
            </w:pPr>
            <w:r>
              <w:rPr>
                <w:rFonts w:eastAsia="Calibri" w:cs="Times New Roman"/>
                <w:kern w:val="0"/>
                <w:sz w:val="20"/>
                <w:szCs w:val="20"/>
                <w:lang w:val="ru-RU" w:eastAsia="en-US" w:bidi="ar-SA"/>
              </w:rPr>
              <w:t>2.</w:t>
            </w:r>
          </w:p>
        </w:tc>
        <w:tc>
          <w:tcPr>
            <w:tcW w:w="1333" w:type="dxa"/>
            <w:tcBorders/>
          </w:tcPr>
          <w:p>
            <w:pPr>
              <w:pStyle w:val="Normal"/>
              <w:widowControl w:val="false"/>
              <w:suppressAutoHyphens w:val="true"/>
              <w:spacing w:lineRule="auto" w:line="240" w:before="0" w:after="60"/>
              <w:jc w:val="center"/>
              <w:rPr>
                <w:rFonts w:eastAsia="Calibri" w:cs="Times New Roman"/>
                <w:sz w:val="20"/>
                <w:szCs w:val="20"/>
              </w:rPr>
            </w:pPr>
            <w:r>
              <w:rPr>
                <w:rFonts w:eastAsia="Calibri" w:cs="Arial"/>
                <w:kern w:val="0"/>
                <w:sz w:val="20"/>
                <w:szCs w:val="20"/>
                <w:lang w:val="ru-RU" w:eastAsia="en-US" w:bidi="ar-SA"/>
              </w:rPr>
              <w:t>Неценовой критерий оценки первого уровня / ТЕХ</w:t>
            </w:r>
          </w:p>
        </w:tc>
        <w:tc>
          <w:tcPr>
            <w:tcW w:w="1594" w:type="dxa"/>
            <w:gridSpan w:val="2"/>
            <w:tcBorders/>
          </w:tcPr>
          <w:p>
            <w:pPr>
              <w:pStyle w:val="Normal"/>
              <w:widowControl w:val="false"/>
              <w:suppressAutoHyphens w:val="true"/>
              <w:spacing w:lineRule="auto" w:line="240" w:before="0" w:after="40"/>
              <w:jc w:val="center"/>
              <w:rPr>
                <w:rFonts w:eastAsia="Calibri" w:cs="Times New Roman"/>
                <w:sz w:val="20"/>
                <w:szCs w:val="20"/>
              </w:rPr>
            </w:pPr>
            <w:r>
              <w:rPr>
                <w:rFonts w:eastAsia="Calibri" w:cs="Arial"/>
                <w:kern w:val="0"/>
                <w:sz w:val="20"/>
                <w:szCs w:val="20"/>
                <w:lang w:val="ru-RU" w:eastAsia="en-US" w:bidi="ar-SA"/>
              </w:rPr>
              <w:t>Квалификация (предпочтительность) участника</w:t>
            </w:r>
          </w:p>
        </w:tc>
        <w:tc>
          <w:tcPr>
            <w:tcW w:w="1703" w:type="dxa"/>
            <w:tcBorders/>
          </w:tcPr>
          <w:p>
            <w:pPr>
              <w:pStyle w:val="Normal"/>
              <w:widowControl w:val="false"/>
              <w:suppressAutoHyphens w:val="true"/>
              <w:spacing w:lineRule="auto" w:line="240" w:before="0" w:after="60"/>
              <w:jc w:val="center"/>
              <w:rPr>
                <w:rFonts w:eastAsia="Calibri" w:cs="Times New Roman"/>
                <w:sz w:val="20"/>
                <w:szCs w:val="20"/>
              </w:rPr>
            </w:pPr>
            <w:r>
              <w:rPr>
                <w:rFonts w:eastAsia="Calibri" w:cs="Times New Roman"/>
                <w:i/>
                <w:kern w:val="0"/>
                <w:sz w:val="20"/>
                <w:szCs w:val="20"/>
                <w:lang w:val="ru-RU" w:eastAsia="en-US" w:bidi="ar-SA"/>
              </w:rPr>
              <w:t>отсутствует</w:t>
            </w:r>
          </w:p>
        </w:tc>
        <w:tc>
          <w:tcPr>
            <w:tcW w:w="1191" w:type="dxa"/>
            <w:tcBorders/>
          </w:tcPr>
          <w:p>
            <w:pPr>
              <w:pStyle w:val="Normal"/>
              <w:widowControl w:val="false"/>
              <w:numPr>
                <w:ilvl w:val="7"/>
                <w:numId w:val="23"/>
              </w:numPr>
              <w:suppressAutoHyphens w:val="true"/>
              <w:spacing w:lineRule="auto" w:line="240" w:before="0" w:after="60"/>
              <w:jc w:val="center"/>
              <w:rPr>
                <w:sz w:val="20"/>
                <w:szCs w:val="20"/>
              </w:rPr>
            </w:pPr>
            <w:r>
              <w:rPr>
                <w:rFonts w:eastAsia="Calibri" w:cs="Arial"/>
                <w:kern w:val="0"/>
                <w:sz w:val="20"/>
                <w:szCs w:val="20"/>
                <w:lang w:val="ru-RU" w:eastAsia="en-US" w:bidi="ar-SA"/>
              </w:rPr>
              <w:t>5%</w:t>
              <w:br/>
              <w:t>(В</w:t>
            </w:r>
            <w:r>
              <w:rPr>
                <w:rFonts w:eastAsia="Calibri" w:cs="Arial"/>
                <w:kern w:val="0"/>
                <w:sz w:val="20"/>
                <w:szCs w:val="20"/>
                <w:vertAlign w:val="subscript"/>
                <w:lang w:val="ru-RU" w:eastAsia="en-US" w:bidi="ar-SA"/>
              </w:rPr>
              <w:t>2</w:t>
            </w:r>
            <w:r>
              <w:rPr>
                <w:rFonts w:eastAsia="Calibri" w:cs="Arial"/>
                <w:kern w:val="0"/>
                <w:sz w:val="20"/>
                <w:szCs w:val="20"/>
                <w:lang w:val="ru-RU" w:eastAsia="en-US" w:bidi="ar-SA"/>
              </w:rPr>
              <w:t xml:space="preserve"> = 0,05)</w:t>
            </w:r>
          </w:p>
          <w:p>
            <w:pPr>
              <w:pStyle w:val="Normal"/>
              <w:widowControl w:val="false"/>
              <w:suppressAutoHyphens w:val="true"/>
              <w:spacing w:lineRule="auto" w:line="240" w:before="0" w:after="40"/>
              <w:jc w:val="center"/>
              <w:rPr>
                <w:rFonts w:eastAsia="Calibri" w:cs="Times New Roman"/>
                <w:sz w:val="20"/>
                <w:szCs w:val="20"/>
              </w:rPr>
            </w:pPr>
            <w:r>
              <w:rPr>
                <w:rFonts w:eastAsia="Calibri" w:cs="Times New Roman"/>
                <w:sz w:val="20"/>
                <w:szCs w:val="20"/>
              </w:rPr>
            </w:r>
          </w:p>
        </w:tc>
        <w:tc>
          <w:tcPr>
            <w:tcW w:w="1730" w:type="dxa"/>
            <w:tcBorders/>
          </w:tcPr>
          <w:p>
            <w:pPr>
              <w:pStyle w:val="Normal"/>
              <w:widowControl w:val="false"/>
              <w:numPr>
                <w:ilvl w:val="7"/>
                <w:numId w:val="24"/>
              </w:numPr>
              <w:suppressAutoHyphens w:val="true"/>
              <w:spacing w:lineRule="auto" w:line="240" w:before="0" w:after="60"/>
              <w:jc w:val="center"/>
              <w:rPr>
                <w:color w:val="000000" w:themeColor="text1"/>
                <w:sz w:val="20"/>
                <w:szCs w:val="20"/>
              </w:rPr>
            </w:pPr>
            <w:r>
              <w:rPr>
                <w:rFonts w:eastAsia="Calibri" w:cs="Arial"/>
                <w:color w:val="000000" w:themeColor="text1"/>
                <w:kern w:val="0"/>
                <w:sz w:val="20"/>
                <w:szCs w:val="20"/>
                <w:lang w:val="ru-RU" w:eastAsia="en-US" w:bidi="ar-SA"/>
              </w:rPr>
              <w:t xml:space="preserve">Чем больше опыт </w:t>
            </w:r>
            <w:r>
              <w:rPr>
                <w:rFonts w:eastAsia="Calibri" w:cs="Arial"/>
                <w:kern w:val="0"/>
                <w:sz w:val="20"/>
                <w:szCs w:val="20"/>
                <w:lang w:val="ru-RU" w:eastAsia="en-US" w:bidi="ar-SA"/>
              </w:rPr>
              <w:t>выполнения  работ/оказание услуг</w:t>
            </w:r>
            <w:r>
              <w:rPr>
                <w:rFonts w:eastAsia="Times New Roman" w:cs="Times New Roman"/>
                <w:b/>
                <w:bCs/>
                <w:kern w:val="0"/>
                <w:sz w:val="20"/>
                <w:szCs w:val="20"/>
                <w:lang w:val="ru-RU" w:eastAsia="en-US" w:bidi="ar-SA"/>
              </w:rPr>
              <w:t xml:space="preserve"> (</w:t>
            </w:r>
            <w:r>
              <w:rPr>
                <w:rFonts w:eastAsia="Times New Roman" w:cs="Times New Roman"/>
                <w:b/>
                <w:bCs/>
                <w:kern w:val="0"/>
                <w:sz w:val="20"/>
                <w:szCs w:val="20"/>
                <w:shd w:fill="FFFF00" w:val="clear"/>
                <w:lang w:val="ru-RU" w:eastAsia="en-US" w:bidi="ar-SA"/>
              </w:rPr>
              <w:t>ремонт кровли и  железобетонных конструкций)</w:t>
            </w:r>
            <w:r>
              <w:rPr>
                <w:rFonts w:eastAsia="Times New Roman" w:cs="Times New Roman"/>
                <w:b/>
                <w:bCs/>
                <w:kern w:val="0"/>
                <w:sz w:val="20"/>
                <w:szCs w:val="20"/>
                <w:lang w:val="ru-RU" w:eastAsia="en-US" w:bidi="ar-SA"/>
              </w:rPr>
              <w:t xml:space="preserve"> </w:t>
            </w:r>
            <w:r>
              <w:rPr>
                <w:rFonts w:eastAsia="Times New Roman" w:cs="Times New Roman"/>
                <w:kern w:val="0"/>
                <w:sz w:val="20"/>
                <w:szCs w:val="20"/>
                <w:lang w:val="ru-RU" w:eastAsia="en-US" w:bidi="ar-SA"/>
              </w:rPr>
              <w:t xml:space="preserve">за 5 лет предшествующих дате подачи заявки, </w:t>
            </w:r>
            <w:r>
              <w:rPr>
                <w:rFonts w:eastAsia="Calibri" w:cs="Arial"/>
                <w:color w:val="000000" w:themeColor="text1"/>
                <w:kern w:val="0"/>
                <w:sz w:val="20"/>
                <w:szCs w:val="20"/>
                <w:lang w:val="ru-RU" w:eastAsia="en-US" w:bidi="ar-SA"/>
              </w:rPr>
              <w:t xml:space="preserve"> тем выше предпочтительность</w:t>
            </w:r>
          </w:p>
          <w:p>
            <w:pPr>
              <w:pStyle w:val="Normal"/>
              <w:widowControl w:val="false"/>
              <w:suppressAutoHyphens w:val="true"/>
              <w:spacing w:lineRule="auto" w:line="240" w:before="60" w:after="60"/>
              <w:jc w:val="center"/>
              <w:rPr>
                <w:rFonts w:eastAsia="Calibri" w:cs="Times New Roman"/>
                <w:sz w:val="20"/>
                <w:szCs w:val="20"/>
              </w:rPr>
            </w:pPr>
            <w:r>
              <w:rPr>
                <w:rFonts w:eastAsia="Calibri" w:cs="Times New Roman"/>
                <w:sz w:val="20"/>
                <w:szCs w:val="20"/>
              </w:rPr>
            </w:r>
          </w:p>
        </w:tc>
        <w:tc>
          <w:tcPr>
            <w:tcW w:w="5300" w:type="dxa"/>
            <w:tcBorders/>
          </w:tcPr>
          <w:p>
            <w:pPr>
              <w:pStyle w:val="Normal"/>
              <w:widowControl w:val="false"/>
              <w:suppressAutoHyphens w:val="true"/>
              <w:spacing w:lineRule="auto" w:line="240" w:before="0" w:after="60"/>
              <w:jc w:val="both"/>
              <w:rPr>
                <w:rFonts w:cs="Times New Roman"/>
                <w:color w:val="000000" w:themeColor="text1"/>
                <w:sz w:val="20"/>
                <w:szCs w:val="20"/>
              </w:rPr>
            </w:pPr>
            <w:r>
              <w:rPr>
                <w:rFonts w:eastAsia="Calibri" w:cs="Times New Roman"/>
                <w:color w:val="000000" w:themeColor="text1"/>
                <w:kern w:val="0"/>
                <w:sz w:val="20"/>
                <w:szCs w:val="20"/>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lineRule="auto" w:line="240" w:before="0" w:after="60"/>
              <w:jc w:val="both"/>
              <w:rPr>
                <w:rFonts w:cs="Times New Roman"/>
                <w:color w:val="000000" w:themeColor="text1"/>
                <w:sz w:val="20"/>
                <w:szCs w:val="20"/>
              </w:rPr>
            </w:pPr>
            <w:r>
              <w:rPr>
                <w:rFonts w:eastAsia="Calibri" w:cs="Times New Roman"/>
                <w:color w:val="000000" w:themeColor="text1"/>
                <w:kern w:val="0"/>
                <w:sz w:val="20"/>
                <w:szCs w:val="20"/>
                <w:lang w:val="ru-RU" w:eastAsia="en-US" w:bidi="ar-SA"/>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Times New Roman"/>
                <w:b/>
                <w:bCs/>
                <w:color w:val="000000" w:themeColor="text1"/>
                <w:kern w:val="0"/>
                <w:sz w:val="20"/>
                <w:szCs w:val="20"/>
                <w:lang w:val="ru-RU" w:eastAsia="en-US" w:bidi="ar-SA"/>
              </w:rPr>
              <w:t>(ремонт кровли и  железобетонных конструкций)</w:t>
            </w:r>
            <w:r>
              <w:rPr>
                <w:rFonts w:eastAsia="Calibri" w:cs="Times New Roman"/>
                <w:color w:val="000000" w:themeColor="text1"/>
                <w:kern w:val="0"/>
                <w:sz w:val="20"/>
                <w:szCs w:val="20"/>
                <w:lang w:val="ru-RU" w:eastAsia="en-US" w:bidi="ar-SA"/>
              </w:rPr>
              <w:t xml:space="preserve"> </w:t>
            </w:r>
            <w:r>
              <w:rPr>
                <w:rFonts w:eastAsia="Times New Roman" w:cs="Times New Roman"/>
                <w:b/>
                <w:bCs/>
                <w:color w:val="000000" w:themeColor="text1"/>
                <w:kern w:val="0"/>
                <w:sz w:val="20"/>
                <w:szCs w:val="20"/>
                <w:lang w:val="ru-RU" w:eastAsia="en-US" w:bidi="ar-SA"/>
              </w:rPr>
              <w:t xml:space="preserve"> </w:t>
            </w:r>
            <w:r>
              <w:rPr>
                <w:rFonts w:eastAsia="Calibri" w:cs="Times New Roman"/>
                <w:color w:val="000000" w:themeColor="text1"/>
                <w:kern w:val="0"/>
                <w:sz w:val="20"/>
                <w:szCs w:val="20"/>
                <w:lang w:val="ru-RU" w:eastAsia="en-US" w:bidi="ar-SA"/>
              </w:rPr>
              <w:t>за последние 5 (пять) лет, предшествующих дате подачи заявки, с учетом правопреемства,  с приложением следующих подтверждающих документов:</w:t>
            </w:r>
          </w:p>
          <w:p>
            <w:pPr>
              <w:pStyle w:val="Normal"/>
              <w:widowControl w:val="false"/>
              <w:numPr>
                <w:ilvl w:val="7"/>
                <w:numId w:val="25"/>
              </w:numPr>
              <w:suppressAutoHyphens w:val="true"/>
              <w:spacing w:lineRule="auto" w:line="240" w:before="0" w:after="60"/>
              <w:ind w:firstLine="283" w:left="0" w:right="0"/>
              <w:jc w:val="both"/>
              <w:rPr>
                <w:rFonts w:cs="Times New Roman"/>
                <w:sz w:val="20"/>
                <w:szCs w:val="20"/>
              </w:rPr>
            </w:pPr>
            <w:r>
              <w:rPr>
                <w:rFonts w:eastAsia="Calibri" w:cs="Times New Roman"/>
                <w:color w:val="000000" w:themeColor="text1"/>
                <w:kern w:val="0"/>
                <w:sz w:val="20"/>
                <w:szCs w:val="20"/>
                <w:lang w:val="ru-RU" w:eastAsia="en-US" w:bidi="ar-SA"/>
              </w:rPr>
              <w:t>копии договоров, подписанных с обеих сторон;</w:t>
            </w:r>
          </w:p>
          <w:p>
            <w:pPr>
              <w:pStyle w:val="Normal"/>
              <w:widowControl w:val="false"/>
              <w:numPr>
                <w:ilvl w:val="7"/>
                <w:numId w:val="31"/>
              </w:numPr>
              <w:suppressAutoHyphens w:val="true"/>
              <w:spacing w:lineRule="auto" w:line="240" w:before="0" w:after="60"/>
              <w:ind w:firstLine="283" w:left="0" w:right="0"/>
              <w:jc w:val="both"/>
              <w:rPr>
                <w:rFonts w:cs="Times New Roman"/>
                <w:sz w:val="20"/>
                <w:szCs w:val="20"/>
              </w:rPr>
            </w:pPr>
            <w:r>
              <w:rPr>
                <w:rFonts w:eastAsia="Calibri" w:cs="Times New Roman"/>
                <w:kern w:val="0"/>
                <w:sz w:val="20"/>
                <w:szCs w:val="20"/>
                <w:lang w:val="ru-RU" w:eastAsia="en-US" w:bidi="ar-SA"/>
              </w:rPr>
              <w:t>копии актов приемки выполненных работ КС-2, подписанных с обеих сторон и скрепленных печатями каждой из сторон договора;</w:t>
            </w:r>
          </w:p>
          <w:p>
            <w:pPr>
              <w:pStyle w:val="Normal"/>
              <w:widowControl w:val="false"/>
              <w:numPr>
                <w:ilvl w:val="7"/>
                <w:numId w:val="32"/>
              </w:numPr>
              <w:suppressAutoHyphens w:val="true"/>
              <w:spacing w:lineRule="auto" w:line="240" w:before="0" w:after="60"/>
              <w:ind w:firstLine="283" w:left="0" w:right="0"/>
              <w:jc w:val="both"/>
              <w:rPr>
                <w:rFonts w:cs="Times New Roman"/>
                <w:sz w:val="20"/>
                <w:szCs w:val="20"/>
              </w:rPr>
            </w:pPr>
            <w:r>
              <w:rPr>
                <w:rFonts w:eastAsia="Calibri" w:cs="Times New Roman"/>
                <w:kern w:val="0"/>
                <w:sz w:val="20"/>
                <w:szCs w:val="20"/>
                <w:lang w:val="ru-RU" w:eastAsia="en-US" w:bidi="ar-SA"/>
              </w:rPr>
              <w:t>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
              <w:widowControl w:val="false"/>
              <w:numPr>
                <w:ilvl w:val="7"/>
                <w:numId w:val="22"/>
              </w:numPr>
              <w:suppressAutoHyphens w:val="true"/>
              <w:spacing w:lineRule="auto" w:line="240" w:before="40" w:after="40"/>
              <w:ind w:hanging="0" w:left="0" w:right="0"/>
              <w:rPr>
                <w:rFonts w:ascii="Times New Roman" w:hAnsi="Times New Roman"/>
                <w:color w:val="000000"/>
                <w:sz w:val="20"/>
                <w:szCs w:val="20"/>
              </w:rPr>
            </w:pPr>
            <w:r>
              <w:rPr>
                <w:rFonts w:ascii="Times New Roman" w:hAnsi="Times New Roman"/>
                <w:color w:val="000000" w:themeColor="text1"/>
                <w:kern w:val="0"/>
                <w:sz w:val="20"/>
                <w:szCs w:val="20"/>
              </w:rPr>
              <w:t xml:space="preserve">Порядок осуществления оценки (значение оцениваемого параметра), в зависимости от предоставленных в </w:t>
            </w:r>
            <w:r>
              <w:rPr>
                <w:rFonts w:ascii="Times New Roman" w:hAnsi="Times New Roman"/>
                <w:i/>
                <w:color w:val="000000" w:themeColor="text1"/>
                <w:kern w:val="0"/>
                <w:sz w:val="20"/>
                <w:szCs w:val="20"/>
                <w:lang w:val="en-US"/>
              </w:rPr>
              <w:t>i</w:t>
            </w:r>
            <w:r>
              <w:rPr>
                <w:rFonts w:ascii="Times New Roman" w:hAnsi="Times New Roman"/>
                <w:color w:val="000000" w:themeColor="text1"/>
                <w:kern w:val="0"/>
                <w:sz w:val="20"/>
                <w:szCs w:val="20"/>
              </w:rPr>
              <w:t>-ой заявке сведений  о наличие у Участника совокупного опыта за последние 5 (пять) лет, предшествующих дате подачи заявки, с учетом правопреемства,  в совокупном (суммарном) объеме:</w:t>
            </w:r>
            <w:r>
              <w:rPr>
                <w:rFonts w:ascii="Times New Roman" w:hAnsi="Times New Roman"/>
                <w:color w:val="000000"/>
                <w:kern w:val="0"/>
                <w:sz w:val="20"/>
                <w:szCs w:val="20"/>
              </w:rPr>
              <w:t xml:space="preserve"> </w:t>
            </w:r>
          </w:p>
          <w:tbl>
            <w:tblPr>
              <w:tblW w:w="50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82"/>
              <w:gridCol w:w="4253"/>
            </w:tblGrid>
            <w:tr>
              <w:trPr>
                <w:trHeight w:val="450"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7"/>
                      <w:numId w:val="21"/>
                    </w:numPr>
                    <w:spacing w:before="40" w:after="40"/>
                    <w:jc w:val="center"/>
                    <w:rPr>
                      <w:sz w:val="18"/>
                      <w:szCs w:val="18"/>
                    </w:rPr>
                  </w:pPr>
                  <w:r>
                    <w:rPr>
                      <w:rFonts w:cs="Times New Roman"/>
                      <w:color w:val="000000" w:themeColor="text1"/>
                      <w:sz w:val="18"/>
                      <w:szCs w:val="18"/>
                    </w:rPr>
                    <w:t>Б</w:t>
                  </w:r>
                  <w:r>
                    <w:rPr>
                      <w:rFonts w:cs="Times New Roman"/>
                      <w:sz w:val="18"/>
                      <w:szCs w:val="18"/>
                      <w:vertAlign w:val="subscript"/>
                    </w:rPr>
                    <w:t>2</w:t>
                  </w:r>
                  <w:r>
                    <w:rPr>
                      <w:rFonts w:cs="Times New Roman"/>
                      <w:sz w:val="18"/>
                      <w:szCs w:val="18"/>
                    </w:rPr>
                    <w:t xml:space="preserve"> </w:t>
                  </w:r>
                  <w:r>
                    <w:rPr>
                      <w:rFonts w:cs="Times New Roman"/>
                      <w:color w:val="000000" w:themeColor="text1"/>
                      <w:sz w:val="18"/>
                      <w:szCs w:val="18"/>
                    </w:rPr>
                    <w:t>= 0</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0"/>
                    <w:jc w:val="left"/>
                    <w:outlineLvl w:val="9"/>
                    <w:rPr>
                      <w:sz w:val="18"/>
                      <w:szCs w:val="18"/>
                    </w:rPr>
                  </w:pPr>
                  <w:r>
                    <w:rPr>
                      <w:rFonts w:cs="Times New Roman" w:ascii="Times New Roman" w:hAnsi="Times New Roman"/>
                      <w:color w:val="000000" w:themeColor="text1"/>
                      <w:sz w:val="18"/>
                      <w:szCs w:val="18"/>
                    </w:rPr>
                    <w:t xml:space="preserve"> </w:t>
                  </w:r>
                  <w:r>
                    <w:rPr>
                      <w:rFonts w:cs="Times New Roman" w:ascii="Times New Roman" w:hAnsi="Times New Roman"/>
                      <w:color w:val="000000" w:themeColor="text1"/>
                      <w:sz w:val="18"/>
                      <w:szCs w:val="18"/>
                    </w:rPr>
                    <w:t>0 % (Опыт отсутствует / либо не подтвержден) от НМЦ, без учета НДС;</w:t>
                  </w:r>
                </w:p>
              </w:tc>
            </w:tr>
            <w:tr>
              <w:trPr>
                <w:trHeight w:val="445"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3"/>
                    <w:widowControl w:val="false"/>
                    <w:numPr>
                      <w:ilvl w:val="7"/>
                      <w:numId w:val="21"/>
                    </w:numPr>
                    <w:spacing w:lineRule="auto" w:line="240" w:before="40" w:after="40"/>
                    <w:ind w:hanging="0" w:left="0" w:right="0"/>
                    <w:jc w:val="center"/>
                    <w:rPr>
                      <w:sz w:val="18"/>
                      <w:szCs w:val="18"/>
                    </w:rPr>
                  </w:pPr>
                  <w:r>
                    <w:rPr>
                      <w:rFonts w:ascii="Times New Roman" w:hAnsi="Times New Roman"/>
                      <w:sz w:val="18"/>
                      <w:szCs w:val="18"/>
                    </w:rPr>
                    <w:t>Б</w:t>
                  </w:r>
                  <w:r>
                    <w:rPr>
                      <w:rFonts w:ascii="Times New Roman" w:hAnsi="Times New Roman"/>
                      <w:sz w:val="18"/>
                      <w:szCs w:val="18"/>
                      <w:vertAlign w:val="subscript"/>
                    </w:rPr>
                    <w:t>2</w:t>
                  </w:r>
                  <w:r>
                    <w:rPr>
                      <w:rFonts w:ascii="Times New Roman" w:hAnsi="Times New Roman"/>
                      <w:sz w:val="18"/>
                      <w:szCs w:val="18"/>
                    </w:rPr>
                    <w:t xml:space="preserve"> = 1</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0"/>
                    <w:jc w:val="left"/>
                    <w:outlineLvl w:val="9"/>
                    <w:rPr>
                      <w:sz w:val="18"/>
                      <w:szCs w:val="18"/>
                    </w:rPr>
                  </w:pPr>
                  <w:r>
                    <w:rPr>
                      <w:rFonts w:cs="Times New Roman" w:ascii="Times New Roman" w:hAnsi="Times New Roman"/>
                      <w:color w:val="000000" w:themeColor="text1"/>
                      <w:sz w:val="18"/>
                      <w:szCs w:val="18"/>
                    </w:rPr>
                    <w:t>более 0 % от НМЦ, без учета НДС, до 20 % (включительно) от НМЦ, без учета НДС;</w:t>
                  </w:r>
                </w:p>
              </w:tc>
            </w:tr>
            <w:tr>
              <w:trPr>
                <w:trHeight w:val="554"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3"/>
                    <w:widowControl w:val="false"/>
                    <w:numPr>
                      <w:ilvl w:val="7"/>
                      <w:numId w:val="21"/>
                    </w:numPr>
                    <w:spacing w:lineRule="auto" w:line="240" w:before="40" w:after="40"/>
                    <w:ind w:hanging="0" w:left="0" w:right="0"/>
                    <w:jc w:val="center"/>
                    <w:rPr>
                      <w:sz w:val="18"/>
                      <w:szCs w:val="18"/>
                    </w:rPr>
                  </w:pPr>
                  <w:r>
                    <w:rPr>
                      <w:rFonts w:ascii="Times New Roman" w:hAnsi="Times New Roman"/>
                      <w:sz w:val="18"/>
                      <w:szCs w:val="18"/>
                    </w:rPr>
                    <w:t>Б</w:t>
                  </w:r>
                  <w:r>
                    <w:rPr>
                      <w:rFonts w:ascii="Times New Roman" w:hAnsi="Times New Roman"/>
                      <w:sz w:val="18"/>
                      <w:szCs w:val="18"/>
                      <w:vertAlign w:val="subscript"/>
                    </w:rPr>
                    <w:t>2</w:t>
                  </w:r>
                  <w:r>
                    <w:rPr>
                      <w:rFonts w:ascii="Times New Roman" w:hAnsi="Times New Roman"/>
                      <w:sz w:val="18"/>
                      <w:szCs w:val="18"/>
                    </w:rPr>
                    <w:t xml:space="preserve"> = 2</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0"/>
                    <w:jc w:val="left"/>
                    <w:outlineLvl w:val="9"/>
                    <w:rPr>
                      <w:sz w:val="18"/>
                      <w:szCs w:val="18"/>
                    </w:rPr>
                  </w:pPr>
                  <w:r>
                    <w:rPr>
                      <w:rFonts w:cs="Times New Roman" w:ascii="Times New Roman" w:hAnsi="Times New Roman"/>
                      <w:color w:val="000000" w:themeColor="text1"/>
                      <w:sz w:val="18"/>
                      <w:szCs w:val="18"/>
                    </w:rPr>
                    <w:t>более 20 % от НМЦ без учета НДС, до 40 % (включительно) от НМЦ, без учета НДС;</w:t>
                  </w:r>
                </w:p>
              </w:tc>
            </w:tr>
            <w:tr>
              <w:trPr>
                <w:trHeight w:val="470"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3"/>
                    <w:widowControl w:val="false"/>
                    <w:numPr>
                      <w:ilvl w:val="7"/>
                      <w:numId w:val="21"/>
                    </w:numPr>
                    <w:spacing w:lineRule="auto" w:line="240" w:before="40" w:after="40"/>
                    <w:ind w:hanging="0" w:left="0" w:right="0"/>
                    <w:jc w:val="center"/>
                    <w:rPr>
                      <w:sz w:val="18"/>
                      <w:szCs w:val="18"/>
                    </w:rPr>
                  </w:pPr>
                  <w:r>
                    <w:rPr>
                      <w:rFonts w:ascii="Times New Roman" w:hAnsi="Times New Roman"/>
                      <w:sz w:val="18"/>
                      <w:szCs w:val="18"/>
                    </w:rPr>
                    <w:t>Б</w:t>
                  </w:r>
                  <w:r>
                    <w:rPr>
                      <w:rFonts w:ascii="Times New Roman" w:hAnsi="Times New Roman"/>
                      <w:sz w:val="18"/>
                      <w:szCs w:val="18"/>
                      <w:vertAlign w:val="subscript"/>
                    </w:rPr>
                    <w:t>2</w:t>
                  </w:r>
                  <w:r>
                    <w:rPr>
                      <w:rFonts w:ascii="Times New Roman" w:hAnsi="Times New Roman"/>
                      <w:sz w:val="18"/>
                      <w:szCs w:val="18"/>
                    </w:rPr>
                    <w:t xml:space="preserve"> = 3</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340"/>
                    <w:jc w:val="left"/>
                    <w:outlineLvl w:val="9"/>
                    <w:rPr>
                      <w:sz w:val="18"/>
                      <w:szCs w:val="18"/>
                    </w:rPr>
                  </w:pPr>
                  <w:r>
                    <w:rPr>
                      <w:rFonts w:cs="Times New Roman" w:ascii="Times New Roman" w:hAnsi="Times New Roman"/>
                      <w:color w:val="000000" w:themeColor="text1"/>
                      <w:sz w:val="18"/>
                      <w:szCs w:val="18"/>
                    </w:rPr>
                    <w:t>более 40 % от НМЦ, без учета НДС, до 60 % (включительно) от НМЦ, без учета НДС;</w:t>
                  </w:r>
                </w:p>
              </w:tc>
            </w:tr>
            <w:tr>
              <w:trPr>
                <w:trHeight w:val="485"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3"/>
                    <w:widowControl w:val="false"/>
                    <w:numPr>
                      <w:ilvl w:val="7"/>
                      <w:numId w:val="21"/>
                    </w:numPr>
                    <w:spacing w:lineRule="auto" w:line="240" w:before="40" w:after="40"/>
                    <w:ind w:hanging="0" w:left="0" w:right="0"/>
                    <w:jc w:val="center"/>
                    <w:rPr>
                      <w:sz w:val="18"/>
                      <w:szCs w:val="18"/>
                    </w:rPr>
                  </w:pPr>
                  <w:r>
                    <w:rPr>
                      <w:rFonts w:ascii="Times New Roman" w:hAnsi="Times New Roman"/>
                      <w:sz w:val="18"/>
                      <w:szCs w:val="18"/>
                    </w:rPr>
                    <w:t>Б</w:t>
                  </w:r>
                  <w:r>
                    <w:rPr>
                      <w:rFonts w:ascii="Times New Roman" w:hAnsi="Times New Roman"/>
                      <w:sz w:val="18"/>
                      <w:szCs w:val="18"/>
                      <w:vertAlign w:val="subscript"/>
                    </w:rPr>
                    <w:t>2</w:t>
                  </w:r>
                  <w:r>
                    <w:rPr>
                      <w:rFonts w:ascii="Times New Roman" w:hAnsi="Times New Roman"/>
                      <w:sz w:val="18"/>
                      <w:szCs w:val="18"/>
                    </w:rPr>
                    <w:t xml:space="preserve"> = 4</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0"/>
                    <w:jc w:val="left"/>
                    <w:outlineLvl w:val="9"/>
                    <w:rPr>
                      <w:sz w:val="18"/>
                      <w:szCs w:val="18"/>
                    </w:rPr>
                  </w:pPr>
                  <w:r>
                    <w:rPr>
                      <w:rFonts w:cs="Times New Roman" w:ascii="Times New Roman" w:hAnsi="Times New Roman"/>
                      <w:color w:val="000000" w:themeColor="text1"/>
                      <w:sz w:val="18"/>
                      <w:szCs w:val="18"/>
                    </w:rPr>
                    <w:t>более 60 % от НМЦ, без учета НДС, до 80 % (включительно) от НМЦ, без учета НДС;</w:t>
                  </w:r>
                </w:p>
              </w:tc>
            </w:tr>
            <w:tr>
              <w:trPr>
                <w:trHeight w:val="219" w:hRule="atLeast"/>
                <w:cantSplit w:val="true"/>
              </w:trPr>
              <w:tc>
                <w:tcPr>
                  <w:tcW w:w="782" w:type="dxa"/>
                  <w:tcBorders>
                    <w:top w:val="single" w:sz="4" w:space="0" w:color="000000"/>
                    <w:left w:val="single" w:sz="4" w:space="0" w:color="000000"/>
                    <w:bottom w:val="single" w:sz="4" w:space="0" w:color="000000"/>
                    <w:right w:val="single" w:sz="4" w:space="0" w:color="000000"/>
                  </w:tcBorders>
                </w:tcPr>
                <w:p>
                  <w:pPr>
                    <w:pStyle w:val="3"/>
                    <w:widowControl w:val="false"/>
                    <w:numPr>
                      <w:ilvl w:val="7"/>
                      <w:numId w:val="21"/>
                    </w:numPr>
                    <w:spacing w:lineRule="auto" w:line="240" w:before="40" w:after="40"/>
                    <w:ind w:hanging="0" w:left="0" w:right="0"/>
                    <w:jc w:val="center"/>
                    <w:rPr>
                      <w:sz w:val="18"/>
                      <w:szCs w:val="18"/>
                    </w:rPr>
                  </w:pPr>
                  <w:r>
                    <w:rPr>
                      <w:rFonts w:ascii="Times New Roman" w:hAnsi="Times New Roman"/>
                      <w:sz w:val="18"/>
                      <w:szCs w:val="18"/>
                    </w:rPr>
                    <w:t>Б</w:t>
                  </w:r>
                  <w:r>
                    <w:rPr>
                      <w:rFonts w:ascii="Times New Roman" w:hAnsi="Times New Roman"/>
                      <w:sz w:val="18"/>
                      <w:szCs w:val="18"/>
                      <w:vertAlign w:val="subscript"/>
                    </w:rPr>
                    <w:t>2</w:t>
                  </w:r>
                  <w:r>
                    <w:rPr>
                      <w:rFonts w:ascii="Times New Roman" w:hAnsi="Times New Roman"/>
                      <w:sz w:val="18"/>
                      <w:szCs w:val="18"/>
                    </w:rPr>
                    <w:t xml:space="preserve"> = 5</w:t>
                  </w:r>
                </w:p>
              </w:tc>
              <w:tc>
                <w:tcPr>
                  <w:tcW w:w="4253" w:type="dxa"/>
                  <w:tcBorders>
                    <w:top w:val="single" w:sz="4" w:space="0" w:color="000000"/>
                    <w:left w:val="single" w:sz="4" w:space="0" w:color="000000"/>
                    <w:bottom w:val="single" w:sz="4" w:space="0" w:color="000000"/>
                    <w:right w:val="single" w:sz="4" w:space="0" w:color="000000"/>
                  </w:tcBorders>
                </w:tcPr>
                <w:p>
                  <w:pPr>
                    <w:pStyle w:val="-2"/>
                    <w:widowControl w:val="false"/>
                    <w:numPr>
                      <w:ilvl w:val="0"/>
                      <w:numId w:val="0"/>
                    </w:numPr>
                    <w:spacing w:lineRule="auto" w:line="240" w:before="40" w:after="40"/>
                    <w:ind w:hanging="0" w:left="0" w:right="0"/>
                    <w:jc w:val="left"/>
                    <w:outlineLvl w:val="9"/>
                    <w:rPr>
                      <w:sz w:val="18"/>
                      <w:szCs w:val="18"/>
                    </w:rPr>
                  </w:pPr>
                  <w:r>
                    <w:rPr>
                      <w:rFonts w:cs="Times New Roman" w:ascii="Times New Roman" w:hAnsi="Times New Roman"/>
                      <w:color w:val="000000" w:themeColor="text1"/>
                      <w:sz w:val="18"/>
                      <w:szCs w:val="18"/>
                    </w:rPr>
                    <w:t>более 80 % от НМЦ, без учета НДС.</w:t>
                  </w:r>
                </w:p>
              </w:tc>
            </w:tr>
          </w:tbl>
          <w:p>
            <w:pPr>
              <w:pStyle w:val="2"/>
              <w:widowControl w:val="false"/>
              <w:numPr>
                <w:ilvl w:val="6"/>
                <w:numId w:val="22"/>
              </w:numPr>
              <w:suppressAutoHyphens w:val="true"/>
              <w:spacing w:lineRule="auto" w:line="240" w:before="96" w:after="0"/>
              <w:ind w:hanging="0" w:left="0" w:right="0"/>
              <w:jc w:val="left"/>
              <w:rPr>
                <w:color w:val="000000"/>
              </w:rPr>
            </w:pPr>
            <w:r>
              <w:rPr>
                <w:rFonts w:ascii="Times New Roman" w:hAnsi="Times New Roman"/>
                <w:color w:val="000000"/>
                <w:kern w:val="0"/>
                <w:sz w:val="20"/>
                <w:szCs w:val="20"/>
              </w:rPr>
              <w:t>где:</w:t>
            </w:r>
          </w:p>
          <w:p>
            <w:pPr>
              <w:pStyle w:val="2"/>
              <w:widowControl w:val="false"/>
              <w:numPr>
                <w:ilvl w:val="6"/>
                <w:numId w:val="26"/>
              </w:numPr>
              <w:tabs>
                <w:tab w:val="clear" w:pos="708"/>
                <w:tab w:val="left" w:pos="360" w:leader="none"/>
                <w:tab w:val="left" w:pos="742" w:leader="none"/>
                <w:tab w:val="left" w:pos="1167" w:leader="none"/>
                <w:tab w:val="left" w:pos="1440" w:leader="none"/>
                <w:tab w:val="left" w:pos="2736" w:leader="none"/>
              </w:tabs>
              <w:suppressAutoHyphens w:val="true"/>
              <w:spacing w:lineRule="auto" w:line="240" w:before="0" w:after="0"/>
              <w:ind w:hanging="0"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ru-RU"/>
              </w:rPr>
              <w:t>Б</w:t>
            </w:r>
            <w:r>
              <w:rPr>
                <w:rFonts w:eastAsia="Times New Roman" w:cs="Times New Roman" w:ascii="Times New Roman" w:hAnsi="Times New Roman"/>
                <w:kern w:val="0"/>
                <w:sz w:val="18"/>
                <w:szCs w:val="18"/>
                <w:vertAlign w:val="subscript"/>
                <w:lang w:eastAsia="ru-RU"/>
              </w:rPr>
              <w:t>2</w:t>
            </w:r>
            <w:r>
              <w:rPr>
                <w:rFonts w:eastAsia="Times New Roman" w:cs="Times New Roman" w:ascii="Times New Roman" w:hAnsi="Times New Roman"/>
                <w:kern w:val="0"/>
                <w:sz w:val="18"/>
                <w:szCs w:val="18"/>
                <w:lang w:eastAsia="ru-RU"/>
              </w:rPr>
              <w:tab/>
              <w:t>–</w:t>
              <w:tab/>
              <w:t>рассчитанная оценка предпочтительности по данному частному критерию оценки второго уровня в баллах.</w:t>
            </w:r>
          </w:p>
          <w:p>
            <w:pPr>
              <w:pStyle w:val="Normal"/>
              <w:widowControl w:val="false"/>
              <w:numPr>
                <w:ilvl w:val="7"/>
                <w:numId w:val="27"/>
              </w:numPr>
              <w:suppressAutoHyphens w:val="true"/>
              <w:spacing w:lineRule="auto" w:line="240" w:before="0" w:after="0"/>
              <w:jc w:val="both"/>
              <w:rPr>
                <w:sz w:val="18"/>
                <w:szCs w:val="18"/>
              </w:rPr>
            </w:pPr>
            <w:r>
              <w:rPr>
                <w:rFonts w:eastAsia="Calibri" w:cs="Arial"/>
                <w:kern w:val="0"/>
                <w:sz w:val="18"/>
                <w:szCs w:val="18"/>
                <w:lang w:val="ru-RU" w:eastAsia="en-US" w:bidi="ar-SA"/>
              </w:rPr>
              <w:t>Опыт, несоответствующий установленным</w:t>
            </w:r>
            <w:r>
              <w:rPr>
                <w:rFonts w:eastAsia="Calibri" w:cs="Arial"/>
                <w:i/>
                <w:kern w:val="0"/>
                <w:sz w:val="18"/>
                <w:szCs w:val="18"/>
                <w:lang w:val="ru-RU" w:eastAsia="en-US" w:bidi="ar-SA"/>
              </w:rPr>
              <w:t xml:space="preserve"> </w:t>
            </w:r>
            <w:r>
              <w:rPr>
                <w:rFonts w:eastAsia="Calibri" w:cs="Arial"/>
                <w:kern w:val="0"/>
                <w:sz w:val="18"/>
                <w:szCs w:val="18"/>
                <w:lang w:val="ru-RU" w:eastAsia="en-US" w:bidi="ar-SA"/>
              </w:rPr>
              <w:t>выше требованиям, не оценивается.</w:t>
            </w:r>
          </w:p>
          <w:p>
            <w:pPr>
              <w:pStyle w:val="Normal"/>
              <w:widowControl w:val="false"/>
              <w:numPr>
                <w:ilvl w:val="7"/>
                <w:numId w:val="27"/>
              </w:numPr>
              <w:suppressAutoHyphens w:val="true"/>
              <w:spacing w:lineRule="auto" w:line="240" w:before="0" w:after="60"/>
              <w:jc w:val="both"/>
              <w:rPr>
                <w:sz w:val="18"/>
                <w:szCs w:val="18"/>
              </w:rPr>
            </w:pPr>
            <w:r>
              <w:rPr>
                <w:rFonts w:eastAsia="Calibri" w:cs="Arial"/>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tabs>
                <w:tab w:val="clear" w:pos="708"/>
                <w:tab w:val="left" w:pos="330" w:leader="none"/>
                <w:tab w:val="left" w:pos="471" w:leader="none"/>
              </w:tabs>
              <w:suppressAutoHyphens w:val="true"/>
              <w:spacing w:lineRule="auto" w:line="240" w:before="60" w:after="120"/>
              <w:jc w:val="left"/>
              <w:rPr>
                <w:rFonts w:cs="Times New Roman"/>
                <w:sz w:val="20"/>
                <w:szCs w:val="20"/>
                <w:highlight w:val="yellow"/>
              </w:rPr>
            </w:pPr>
            <w:r>
              <w:rPr>
                <w:rFonts w:eastAsia="Calibri" w:cs="Arial"/>
                <w:b/>
                <w:bCs/>
                <w:kern w:val="0"/>
                <w:sz w:val="18"/>
                <w:szCs w:val="18"/>
                <w:lang w:val="ru-RU" w:eastAsia="en-US" w:bidi="ar-SA"/>
              </w:rPr>
              <w:t>Шкала оценок от 0 до 5 баллов.</w:t>
            </w:r>
          </w:p>
        </w:tc>
      </w:tr>
      <w:tr>
        <w:trPr/>
        <w:tc>
          <w:tcPr>
            <w:tcW w:w="1280" w:type="dxa"/>
            <w:tcBorders/>
          </w:tcPr>
          <w:p>
            <w:pPr>
              <w:pStyle w:val="3"/>
              <w:widowControl w:val="false"/>
              <w:numPr>
                <w:ilvl w:val="7"/>
                <w:numId w:val="28"/>
              </w:numPr>
              <w:suppressAutoHyphens w:val="true"/>
              <w:spacing w:lineRule="auto" w:line="240" w:before="40" w:after="40"/>
              <w:ind w:hanging="0" w:left="0" w:right="0"/>
              <w:jc w:val="center"/>
              <w:rPr>
                <w:rFonts w:ascii="Times New Roman" w:hAnsi="Times New Roman"/>
                <w:color w:val="0E0101"/>
                <w:sz w:val="20"/>
                <w:szCs w:val="20"/>
              </w:rPr>
            </w:pPr>
            <w:bookmarkStart w:id="419" w:name="undefined"/>
            <w:r>
              <w:rPr>
                <w:rFonts w:ascii="Times New Roman" w:hAnsi="Times New Roman"/>
                <w:color w:val="0E0101"/>
                <w:kern w:val="0"/>
                <w:sz w:val="20"/>
                <w:szCs w:val="20"/>
              </w:rPr>
              <w:t>3.</w:t>
            </w:r>
            <w:bookmarkEnd w:id="419"/>
          </w:p>
        </w:tc>
        <w:tc>
          <w:tcPr>
            <w:tcW w:w="1333" w:type="dxa"/>
            <w:tcBorders/>
          </w:tcPr>
          <w:p>
            <w:pPr>
              <w:pStyle w:val="Normal"/>
              <w:widowControl w:val="false"/>
              <w:suppressAutoHyphens w:val="true"/>
              <w:spacing w:lineRule="auto" w:line="240" w:before="0" w:after="60"/>
              <w:jc w:val="center"/>
              <w:rPr>
                <w:rFonts w:cs="Times New Roman"/>
                <w:sz w:val="20"/>
                <w:szCs w:val="20"/>
              </w:rPr>
            </w:pPr>
            <w:r>
              <w:rPr>
                <w:rFonts w:eastAsia="Calibri" w:cs="Times New Roman"/>
                <w:kern w:val="0"/>
                <w:sz w:val="20"/>
                <w:szCs w:val="20"/>
                <w:lang w:val="ru-RU" w:eastAsia="en-US" w:bidi="ar-SA"/>
              </w:rPr>
              <w:t>Неценовой</w:t>
            </w:r>
          </w:p>
          <w:p>
            <w:pPr>
              <w:pStyle w:val="Normal"/>
              <w:widowControl w:val="false"/>
              <w:suppressAutoHyphens w:val="true"/>
              <w:spacing w:lineRule="auto" w:line="240" w:before="0" w:after="60"/>
              <w:jc w:val="center"/>
              <w:rPr>
                <w:rFonts w:cs="Times New Roman"/>
                <w:sz w:val="20"/>
                <w:szCs w:val="20"/>
              </w:rPr>
            </w:pPr>
            <w:r>
              <w:rPr>
                <w:rFonts w:eastAsia="Calibri" w:cs="Times New Roman"/>
                <w:kern w:val="0"/>
                <w:sz w:val="20"/>
                <w:szCs w:val="20"/>
                <w:lang w:val="ru-RU" w:eastAsia="en-US" w:bidi="ar-SA"/>
              </w:rPr>
              <w:t>критерий</w:t>
            </w:r>
          </w:p>
          <w:p>
            <w:pPr>
              <w:pStyle w:val="Normal"/>
              <w:widowControl w:val="false"/>
              <w:suppressAutoHyphens w:val="true"/>
              <w:spacing w:lineRule="auto" w:line="240" w:before="0" w:after="60"/>
              <w:jc w:val="center"/>
              <w:rPr>
                <w:rFonts w:cs="Times New Roman"/>
                <w:sz w:val="20"/>
                <w:szCs w:val="20"/>
              </w:rPr>
            </w:pPr>
            <w:r>
              <w:rPr>
                <w:rFonts w:eastAsia="Calibri" w:cs="Times New Roman"/>
                <w:kern w:val="0"/>
                <w:sz w:val="20"/>
                <w:szCs w:val="20"/>
                <w:lang w:val="ru-RU" w:eastAsia="en-US" w:bidi="ar-SA"/>
              </w:rPr>
              <w:t>оценки первого</w:t>
            </w:r>
          </w:p>
          <w:p>
            <w:pPr>
              <w:pStyle w:val="3"/>
              <w:widowControl w:val="false"/>
              <w:numPr>
                <w:ilvl w:val="7"/>
                <w:numId w:val="28"/>
              </w:numPr>
              <w:suppressAutoHyphens w:val="true"/>
              <w:spacing w:lineRule="auto" w:line="240" w:before="0" w:after="40"/>
              <w:ind w:hanging="0" w:left="0" w:right="0"/>
              <w:jc w:val="center"/>
              <w:rPr>
                <w:rFonts w:ascii="Times New Roman" w:hAnsi="Times New Roman"/>
                <w:color w:val="0E0101"/>
                <w:sz w:val="20"/>
                <w:szCs w:val="20"/>
              </w:rPr>
            </w:pPr>
            <w:r>
              <w:rPr>
                <w:rFonts w:ascii="Times New Roman" w:hAnsi="Times New Roman"/>
                <w:kern w:val="0"/>
                <w:sz w:val="20"/>
                <w:szCs w:val="20"/>
              </w:rPr>
              <w:t>уровня / ОРГ</w:t>
            </w:r>
          </w:p>
        </w:tc>
        <w:tc>
          <w:tcPr>
            <w:tcW w:w="1594" w:type="dxa"/>
            <w:gridSpan w:val="2"/>
            <w:tcBorders/>
          </w:tcPr>
          <w:p>
            <w:pPr>
              <w:pStyle w:val="3"/>
              <w:widowControl w:val="false"/>
              <w:numPr>
                <w:ilvl w:val="7"/>
                <w:numId w:val="28"/>
              </w:numPr>
              <w:suppressAutoHyphens w:val="true"/>
              <w:spacing w:lineRule="auto" w:line="240" w:before="0" w:after="40"/>
              <w:ind w:hanging="0" w:left="0" w:right="0"/>
              <w:jc w:val="center"/>
              <w:rPr>
                <w:rFonts w:ascii="Times New Roman" w:hAnsi="Times New Roman"/>
                <w:color w:val="0E0101"/>
                <w:sz w:val="20"/>
                <w:szCs w:val="20"/>
              </w:rPr>
            </w:pPr>
            <w:r>
              <w:rPr>
                <w:rFonts w:ascii="Times New Roman" w:hAnsi="Times New Roman"/>
                <w:kern w:val="0"/>
                <w:sz w:val="20"/>
                <w:szCs w:val="20"/>
              </w:rPr>
              <w:t>Финансовое состояние (устойчивость) Участника</w:t>
            </w:r>
          </w:p>
        </w:tc>
        <w:tc>
          <w:tcPr>
            <w:tcW w:w="1703" w:type="dxa"/>
            <w:tcBorders/>
          </w:tcPr>
          <w:p>
            <w:pPr>
              <w:pStyle w:val="3"/>
              <w:widowControl w:val="false"/>
              <w:numPr>
                <w:ilvl w:val="7"/>
                <w:numId w:val="28"/>
              </w:numPr>
              <w:suppressAutoHyphens w:val="true"/>
              <w:spacing w:lineRule="auto" w:line="240" w:before="0" w:after="40"/>
              <w:ind w:hanging="0" w:left="0" w:right="0"/>
              <w:jc w:val="center"/>
              <w:rPr>
                <w:rFonts w:ascii="Times New Roman" w:hAnsi="Times New Roman"/>
                <w:color w:val="0E0101"/>
                <w:sz w:val="20"/>
                <w:szCs w:val="20"/>
              </w:rPr>
            </w:pPr>
            <w:r>
              <w:rPr>
                <w:rFonts w:ascii="Times New Roman" w:hAnsi="Times New Roman"/>
                <w:i/>
                <w:color w:val="0E0101"/>
                <w:kern w:val="0"/>
                <w:sz w:val="20"/>
                <w:szCs w:val="20"/>
              </w:rPr>
              <w:t>отсутствует</w:t>
            </w:r>
          </w:p>
        </w:tc>
        <w:tc>
          <w:tcPr>
            <w:tcW w:w="1191" w:type="dxa"/>
            <w:tcBorders/>
          </w:tcPr>
          <w:p>
            <w:pPr>
              <w:pStyle w:val="3"/>
              <w:widowControl w:val="false"/>
              <w:numPr>
                <w:ilvl w:val="7"/>
                <w:numId w:val="28"/>
              </w:numPr>
              <w:suppressAutoHyphens w:val="true"/>
              <w:spacing w:lineRule="auto" w:line="240" w:before="0" w:after="40"/>
              <w:ind w:hanging="0" w:left="0" w:right="0"/>
              <w:jc w:val="center"/>
              <w:rPr>
                <w:rFonts w:ascii="Times New Roman" w:hAnsi="Times New Roman"/>
                <w:color w:val="0E0101"/>
                <w:sz w:val="20"/>
                <w:szCs w:val="20"/>
              </w:rPr>
            </w:pPr>
            <w:r>
              <w:rPr>
                <w:rFonts w:ascii="Times New Roman" w:hAnsi="Times New Roman"/>
                <w:kern w:val="0"/>
                <w:sz w:val="20"/>
                <w:szCs w:val="20"/>
              </w:rPr>
              <w:t>5%</w:t>
              <w:br/>
              <w:t>(В</w:t>
            </w:r>
            <w:r>
              <w:rPr>
                <w:rFonts w:ascii="Times New Roman" w:hAnsi="Times New Roman"/>
                <w:kern w:val="0"/>
                <w:sz w:val="20"/>
                <w:szCs w:val="20"/>
                <w:vertAlign w:val="subscript"/>
              </w:rPr>
              <w:t>3</w:t>
            </w:r>
            <w:r>
              <w:rPr>
                <w:rFonts w:ascii="Times New Roman" w:hAnsi="Times New Roman"/>
                <w:kern w:val="0"/>
                <w:sz w:val="20"/>
                <w:szCs w:val="20"/>
              </w:rPr>
              <w:t xml:space="preserve">  = 0,05)</w:t>
            </w:r>
          </w:p>
        </w:tc>
        <w:tc>
          <w:tcPr>
            <w:tcW w:w="1730" w:type="dxa"/>
            <w:tcBorders/>
          </w:tcPr>
          <w:p>
            <w:pPr>
              <w:pStyle w:val="3"/>
              <w:widowControl w:val="false"/>
              <w:numPr>
                <w:ilvl w:val="7"/>
                <w:numId w:val="28"/>
              </w:numPr>
              <w:suppressAutoHyphens w:val="true"/>
              <w:spacing w:lineRule="auto" w:line="240" w:before="0" w:after="40"/>
              <w:ind w:hanging="0" w:left="0" w:right="0"/>
              <w:jc w:val="center"/>
              <w:rPr>
                <w:rFonts w:ascii="Times New Roman" w:hAnsi="Times New Roman"/>
                <w:color w:val="0E0101"/>
                <w:sz w:val="20"/>
                <w:szCs w:val="20"/>
              </w:rPr>
            </w:pPr>
            <w:r>
              <w:rPr>
                <w:rFonts w:ascii="Times New Roman" w:hAnsi="Times New Roman"/>
                <w:kern w:val="0"/>
                <w:sz w:val="20"/>
                <w:szCs w:val="20"/>
              </w:rPr>
              <w:t>Чем выше оценка финансового состояния (устойчивости) Участника, тем выше предпочтительность</w:t>
            </w:r>
          </w:p>
        </w:tc>
        <w:tc>
          <w:tcPr>
            <w:tcW w:w="5300" w:type="dxa"/>
            <w:tcBorders/>
          </w:tcPr>
          <w:p>
            <w:pPr>
              <w:pStyle w:val="Style21"/>
              <w:widowControl w:val="false"/>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uppressAutoHyphens w:val="true"/>
              <w:spacing w:lineRule="auto" w:line="240" w:before="40" w:after="0"/>
              <w:ind w:firstLine="283" w:left="0"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7"/>
            </w:r>
            <w:r>
              <w:rPr>
                <w:rFonts w:eastAsia="Calibri" w:cs="Arial"/>
                <w:kern w:val="0"/>
                <w:sz w:val="18"/>
                <w:szCs w:val="18"/>
                <w:lang w:val="ru-RU" w:eastAsia="en-US" w:bidi="ar-SA"/>
              </w:rPr>
              <w:t>;</w:t>
            </w:r>
          </w:p>
          <w:p>
            <w:pPr>
              <w:pStyle w:val="Style21"/>
              <w:keepNext w:val="true"/>
              <w:widowControl w:val="false"/>
              <w:numPr>
                <w:ilvl w:val="0"/>
                <w:numId w:val="13"/>
              </w:numPr>
              <w:suppressAutoHyphens w:val="true"/>
              <w:spacing w:lineRule="auto" w:line="240" w:before="0" w:after="40"/>
              <w:ind w:firstLine="283" w:left="0"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uppressAutoHyphens w:val="true"/>
              <w:spacing w:lineRule="auto" w:line="240" w:before="40" w:after="0"/>
              <w:ind w:hanging="142" w:left="284"/>
              <w:jc w:val="left"/>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numPr>
                <w:ilvl w:val="0"/>
                <w:numId w:val="13"/>
              </w:numPr>
              <w:suppressAutoHyphens w:val="true"/>
              <w:spacing w:lineRule="auto" w:line="240" w:before="0" w:after="40"/>
              <w:ind w:hanging="142" w:left="284"/>
              <w:jc w:val="left"/>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w:t>
            </w:r>
          </w:p>
          <w:p>
            <w:pPr>
              <w:pStyle w:val="Style21"/>
              <w:keepNext w:val="true"/>
              <w:widowControl w:val="false"/>
              <w:suppressAutoHyphens w:val="true"/>
              <w:spacing w:lineRule="auto" w:line="240" w:before="40" w:after="40"/>
              <w:jc w:val="left"/>
              <w:rPr>
                <w:sz w:val="18"/>
                <w:szCs w:val="18"/>
              </w:rPr>
            </w:pPr>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1256"/>
              <w:tblW w:w="500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686"/>
              <w:gridCol w:w="4317"/>
            </w:tblGrid>
            <w:tr>
              <w:trPr/>
              <w:tc>
                <w:tcPr>
                  <w:tcW w:w="686" w:type="dxa"/>
                  <w:tcBorders>
                    <w:top w:val="nil"/>
                    <w:left w:val="nil"/>
                  </w:tcBorders>
                </w:tcPr>
                <w:p>
                  <w:pPr>
                    <w:pStyle w:val="Style21"/>
                    <w:keepNext w:val="false"/>
                    <w:keepLines w:val="false"/>
                    <w:widowControl w:val="false"/>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4317" w:type="dxa"/>
                  <w:tcBorders>
                    <w:top w:val="nil"/>
                    <w:right w:val="nil"/>
                  </w:tcBorders>
                </w:tcPr>
                <w:p>
                  <w:pPr>
                    <w:pStyle w:val="Style21"/>
                    <w:keepNext w:val="true"/>
                    <w:keepLines w:val="false"/>
                    <w:widowControl w:val="false"/>
                    <w:suppressAutoHyphens w:val="false"/>
                    <w:spacing w:lineRule="auto" w:line="240" w:before="40" w:after="40"/>
                    <w:jc w:val="left"/>
                    <w:rPr>
                      <w:rFonts w:ascii="Times New Roman" w:hAnsi="Times New Roman" w:eastAsia="Calibri" w:cs="Arial"/>
                      <w:kern w:val="0"/>
                      <w:lang w:val="ru-RU" w:eastAsia="en-US" w:bidi="ar-SA"/>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uppressAutoHyphens w:val="false"/>
                    <w:spacing w:lineRule="auto" w:line="240" w:before="40" w:after="40"/>
                    <w:jc w:val="left"/>
                    <w:rPr>
                      <w:rFonts w:ascii="Times New Roman" w:hAnsi="Times New Roman" w:eastAsia="Calibri" w:cs="Arial"/>
                      <w:kern w:val="0"/>
                      <w:lang w:val="ru-RU" w:eastAsia="en-US" w:bidi="ar-SA"/>
                    </w:rPr>
                  </w:pPr>
                  <w:r>
                    <w:rPr>
                      <w:rFonts w:eastAsia="Calibri" w:cs="Arial"/>
                      <w:b w:val="false"/>
                      <w:i/>
                      <w:iCs/>
                      <w:kern w:val="0"/>
                      <w:sz w:val="18"/>
                      <w:szCs w:val="18"/>
                      <w:lang w:val="ru-RU" w:eastAsia="en-US" w:bidi="ar-SA"/>
                    </w:rPr>
                    <w:t>или</w:t>
                  </w:r>
                </w:p>
                <w:p>
                  <w:pPr>
                    <w:pStyle w:val="Style21"/>
                    <w:keepNext w:val="true"/>
                    <w:keepLines w:val="false"/>
                    <w:widowControl w:val="false"/>
                    <w:suppressAutoHyphens w:val="false"/>
                    <w:spacing w:lineRule="auto" w:line="240" w:before="40" w:after="40"/>
                    <w:jc w:val="left"/>
                    <w:rPr>
                      <w:rFonts w:ascii="Times New Roman" w:hAnsi="Times New Roman" w:eastAsia="Calibri" w:cs="Arial"/>
                      <w:kern w:val="0"/>
                      <w:lang w:val="ru-RU" w:eastAsia="en-US" w:bidi="ar-SA"/>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uppressAutoHyphens w:val="false"/>
                    <w:bidi w:val="0"/>
                    <w:spacing w:lineRule="auto" w:line="240" w:beforeAutospacing="0" w:before="40" w:afterAutospacing="0" w:after="0"/>
                    <w:ind w:hanging="170" w:left="227" w:right="-57"/>
                    <w:jc w:val="left"/>
                    <w:rPr>
                      <w:rFonts w:ascii="Times New Roman" w:hAnsi="Times New Roman" w:eastAsia="Calibri" w:cs="Arial"/>
                      <w:kern w:val="0"/>
                      <w:lang w:val="ru-RU" w:eastAsia="en-US" w:bidi="ar-SA"/>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uppressAutoHyphens w:val="false"/>
                    <w:bidi w:val="0"/>
                    <w:spacing w:lineRule="auto" w:line="240" w:beforeAutospacing="0" w:before="0" w:afterAutospacing="0" w:after="40"/>
                    <w:ind w:hanging="170" w:left="227" w:right="0"/>
                    <w:jc w:val="left"/>
                    <w:rPr>
                      <w:rFonts w:ascii="Times New Roman" w:hAnsi="Times New Roman" w:eastAsia="Calibri" w:cs="Arial"/>
                      <w:kern w:val="0"/>
                      <w:lang w:val="ru-RU" w:eastAsia="en-US" w:bidi="ar-SA"/>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686" w:type="dxa"/>
                  <w:tcBorders>
                    <w:left w:val="nil"/>
                  </w:tcBorders>
                </w:tcPr>
                <w:p>
                  <w:pPr>
                    <w:pStyle w:val="Style21"/>
                    <w:widowControl w:val="false"/>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4317" w:type="dxa"/>
                  <w:tcBorders>
                    <w:right w:val="nil"/>
                  </w:tcBorders>
                </w:tcPr>
                <w:p>
                  <w:pPr>
                    <w:pStyle w:val="Style21"/>
                    <w:widowControl w:val="false"/>
                    <w:suppressAutoHyphens w:val="false"/>
                    <w:spacing w:lineRule="auto" w:line="240" w:before="40" w:after="40"/>
                    <w:jc w:val="left"/>
                    <w:rPr>
                      <w:rFonts w:ascii="Times New Roman" w:hAnsi="Times New Roman" w:eastAsia="Calibri" w:cs="Arial"/>
                      <w:kern w:val="0"/>
                      <w:lang w:val="ru-RU" w:eastAsia="en-US" w:bidi="ar-SA"/>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686" w:type="dxa"/>
                  <w:tcBorders>
                    <w:left w:val="nil"/>
                    <w:bottom w:val="nil"/>
                  </w:tcBorders>
                </w:tcPr>
                <w:p>
                  <w:pPr>
                    <w:pStyle w:val="Style21"/>
                    <w:widowControl w:val="false"/>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4317" w:type="dxa"/>
                  <w:tcBorders>
                    <w:bottom w:val="nil"/>
                    <w:right w:val="nil"/>
                  </w:tcBorders>
                </w:tcPr>
                <w:p>
                  <w:pPr>
                    <w:pStyle w:val="Style21"/>
                    <w:widowControl w:val="false"/>
                    <w:suppressAutoHyphens w:val="false"/>
                    <w:spacing w:lineRule="auto" w:line="240" w:before="40" w:after="40"/>
                    <w:jc w:val="left"/>
                    <w:rPr>
                      <w:rFonts w:ascii="Times New Roman" w:hAnsi="Times New Roman" w:eastAsia="Calibri" w:cs="Arial"/>
                      <w:kern w:val="0"/>
                      <w:lang w:val="ru-RU" w:eastAsia="en-US" w:bidi="ar-SA"/>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uppressAutoHyphens w:val="true"/>
              <w:spacing w:lineRule="atLeast" w:line="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uppressAutoHyphens w:val="true"/>
              <w:spacing w:lineRule="auto" w:line="240" w:before="40" w:after="40"/>
              <w:jc w:val="left"/>
              <w:rPr>
                <w:sz w:val="18"/>
                <w:szCs w:val="18"/>
              </w:rPr>
            </w:pPr>
            <w:r>
              <w:rPr>
                <w:rFonts w:eastAsia="Calibri" w:cs="Arial"/>
                <w:b/>
                <w:bCs/>
                <w:kern w:val="0"/>
                <w:sz w:val="18"/>
                <w:szCs w:val="18"/>
                <w:lang w:val="ru-RU" w:eastAsia="en-US" w:bidi="ar-SA"/>
              </w:rPr>
              <w:t>Шкала оценок от 0 до 5 баллов.</w:t>
            </w:r>
          </w:p>
          <w:p>
            <w:pPr>
              <w:pStyle w:val="Style21"/>
              <w:widowControl w:val="false"/>
              <w:suppressAutoHyphens w:val="true"/>
              <w:spacing w:lineRule="auto" w:line="240" w:before="40" w:after="40"/>
              <w:jc w:val="both"/>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1"/>
              <w:widowControl w:val="false"/>
              <w:suppressAutoHyphens w:val="true"/>
              <w:spacing w:lineRule="auto" w:line="240" w:before="40" w:after="40"/>
              <w:jc w:val="both"/>
              <w:rPr>
                <w:i/>
                <w:i/>
                <w:iCs/>
                <w:sz w:val="18"/>
                <w:szCs w:val="18"/>
              </w:rPr>
            </w:pPr>
            <w:r>
              <w:rPr>
                <w:rFonts w:eastAsia="Calibri" w:cs="Arial"/>
                <w:i/>
                <w:iCs/>
                <w:kern w:val="0"/>
                <w:sz w:val="18"/>
                <w:szCs w:val="18"/>
                <w:lang w:val="ru-RU" w:eastAsia="en-US" w:bidi="ar-SA"/>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tgtFrame="#Прил04_ФормыЗаявки">
              <w:r>
                <w:rPr>
                  <w:rStyle w:val="Style6"/>
                  <w:rFonts w:eastAsia="Calibri" w:cs="Arial"/>
                  <w:i/>
                  <w:iCs/>
                  <w:kern w:val="0"/>
                  <w:sz w:val="18"/>
                  <w:szCs w:val="18"/>
                  <w:lang w:val="ru-RU" w:eastAsia="en-US" w:bidi="ar-SA"/>
                </w:rPr>
                <w:t>Приложение № 4</w:t>
              </w:r>
            </w:hyperlink>
            <w:r>
              <w:rPr>
                <w:rFonts w:eastAsia="Calibri" w:cs="Arial"/>
                <w:i/>
                <w:iCs/>
                <w:kern w:val="0"/>
                <w:sz w:val="18"/>
                <w:szCs w:val="18"/>
                <w:lang w:val="ru-RU" w:eastAsia="en-US" w:bidi="ar-SA"/>
              </w:rPr>
              <w:t>), представленному в заявке такого Коллективного участника на участие в закупке.)</w:t>
            </w:r>
          </w:p>
          <w:p>
            <w:pPr>
              <w:pStyle w:val="Style21"/>
              <w:widowControl w:val="false"/>
              <w:suppressAutoHyphens w:val="true"/>
              <w:spacing w:lineRule="auto" w:line="240" w:before="40" w:after="40"/>
              <w:jc w:val="both"/>
              <w:rPr>
                <w:bCs/>
                <w:i/>
                <w:i/>
                <w:sz w:val="18"/>
                <w:szCs w:val="18"/>
                <w:highlight w:val="none"/>
              </w:rPr>
            </w:pPr>
            <w:r>
              <w:rPr>
                <w:rFonts w:eastAsia="Calibri" w:cs="Arial"/>
                <w:i/>
                <w:iCs/>
                <w:kern w:val="0"/>
                <w:sz w:val="18"/>
                <w:szCs w:val="18"/>
                <w:lang w:val="ru-RU" w:eastAsia="en-US" w:bidi="ar-SA"/>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trPr/>
        <w:tc>
          <w:tcPr>
            <w:tcW w:w="2946" w:type="dxa"/>
            <w:gridSpan w:val="3"/>
            <w:tcBorders/>
          </w:tcPr>
          <w:p>
            <w:pPr>
              <w:pStyle w:val="Style21"/>
              <w:widowControl w:val="false"/>
              <w:suppressAutoHyphens w:val="tru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11185" w:type="dxa"/>
            <w:gridSpan w:val="5"/>
            <w:tcBorders/>
          </w:tcPr>
          <w:p>
            <w:pPr>
              <w:pStyle w:val="Style21"/>
              <w:widowControl w:val="false"/>
              <w:suppressAutoHyphens w:val="tru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uppressAutoHyphens w:val="true"/>
              <w:spacing w:lineRule="auto" w:line="240" w:before="40" w:after="4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uppressAutoHyphens w:val="true"/>
              <w:spacing w:lineRule="auto" w:line="240" w:before="40" w:after="40"/>
              <w:jc w:val="left"/>
              <w:rPr/>
            </w:pPr>
            <w:r>
              <w:rPr>
                <w:rFonts w:eastAsia="Calibri" w:cs="Arial"/>
                <w:kern w:val="0"/>
                <w:sz w:val="18"/>
                <w:szCs w:val="18"/>
                <w:lang w:val="ru-RU" w:eastAsia="en-US" w:bidi="ar-SA"/>
              </w:rPr>
              <w:t>где:</w:t>
            </w:r>
          </w:p>
          <w:p>
            <w:pPr>
              <w:pStyle w:val="Style21"/>
              <w:widowControl w:val="false"/>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uppressAutoHyphens w:val="tru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lineRule="atLeast" w:line="0" w:before="120" w:after="0"/>
        <w:rPr>
          <w:sz w:val="24"/>
          <w:szCs w:val="24"/>
        </w:rPr>
      </w:pPr>
      <w:r>
        <w:rPr>
          <w:sz w:val="24"/>
          <w:szCs w:val="24"/>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lineRule="atLeast" w:line="0"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0"/>
          <w:headerReference w:type="first" r:id="rId31"/>
          <w:footerReference w:type="default" r:id="rId32"/>
          <w:footerReference w:type="first" r:id="rId3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lineRule="atLeast" w:line="0" w:before="0" w:after="0"/>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420" w:name="_Ref125360420"/>
      <w:bookmarkStart w:id="421" w:name="Прил09_ОбоснованиеНМЦ"/>
      <w:bookmarkStart w:id="422" w:name="_Toc228976143"/>
      <w:bookmarkStart w:id="423" w:name="_Toc136249260"/>
      <w:bookmarkStart w:id="424" w:name="_Toc136261689"/>
      <w:bookmarkStart w:id="425" w:name="_Toc136261766"/>
      <w:bookmarkStart w:id="426" w:name="_Toc136249261"/>
      <w:bookmarkStart w:id="427" w:name="_Toc136261690"/>
      <w:bookmarkStart w:id="428" w:name="_Toc136261767"/>
      <w:bookmarkStart w:id="429" w:name="_Toc136249262"/>
      <w:bookmarkStart w:id="430" w:name="_Toc136261691"/>
      <w:bookmarkStart w:id="431" w:name="_Toc136261768"/>
      <w:bookmarkStart w:id="432" w:name="_Toc136249263"/>
      <w:bookmarkStart w:id="433" w:name="_Toc136261692"/>
      <w:bookmarkStart w:id="434" w:name="_Toc136261769"/>
      <w:bookmarkEnd w:id="423"/>
      <w:bookmarkEnd w:id="424"/>
      <w:bookmarkEnd w:id="425"/>
      <w:bookmarkEnd w:id="426"/>
      <w:bookmarkEnd w:id="427"/>
      <w:bookmarkEnd w:id="428"/>
      <w:bookmarkEnd w:id="429"/>
      <w:bookmarkEnd w:id="430"/>
      <w:bookmarkEnd w:id="431"/>
      <w:bookmarkEnd w:id="432"/>
      <w:bookmarkEnd w:id="433"/>
      <w:bookmarkEnd w:id="434"/>
      <w:r>
        <w:rPr/>
        <w:t>Приложение № 9 – Обоснование НМЦ</w:t>
      </w:r>
      <w:bookmarkEnd w:id="420"/>
      <w:bookmarkEnd w:id="421"/>
      <w:bookmarkEnd w:id="422"/>
    </w:p>
    <w:p>
      <w:pPr>
        <w:pStyle w:val="Style16"/>
        <w:spacing w:before="360" w:after="0"/>
        <w:rPr/>
      </w:pPr>
      <w:bookmarkStart w:id="435" w:name="_Toc228976144"/>
      <w:r>
        <w:rPr/>
        <w:t>Пояснения к Обоснованию НМЦ</w:t>
      </w:r>
      <w:bookmarkEnd w:id="435"/>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436" w:name="_Toc228976145"/>
      <w:bookmarkStart w:id="437" w:name="Прил10_ЗаявкаНаАккредитацию"/>
      <w:bookmarkEnd w:id="437"/>
      <w:r>
        <w:rPr/>
        <w:t>Приложение № 10 – Форма Заявки на аккредитацию</w:t>
      </w:r>
      <w:bookmarkEnd w:id="436"/>
    </w:p>
    <w:p>
      <w:pPr>
        <w:pStyle w:val="Style16"/>
        <w:spacing w:before="360" w:after="0"/>
        <w:rPr/>
      </w:pPr>
      <w:bookmarkStart w:id="438" w:name="_Toc228976146"/>
      <w:r>
        <w:rPr/>
        <w:t>Пояснения к форме Заявки на аккредитацию</w:t>
      </w:r>
      <w:bookmarkEnd w:id="438"/>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39"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39"/>
      <w:r>
        <w:rPr/>
        <w:t>.</w:t>
      </w:r>
    </w:p>
    <w:p>
      <w:pPr>
        <w:pStyle w:val="Style21"/>
        <w:jc w:val="center"/>
        <w:rPr/>
      </w:pPr>
      <w:r>
        <w:rPr/>
        <w:object>
          <v:shapetype id="_x0000_tole_rId34" coordsize="21600,21600" o:spt="ole_rId3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4" type="_x0000_tole_rId34" style="width:79.25pt;height:50.2pt;mso-wrap-distance-right:0pt" filled="f" o:ole="">
            <v:imagedata r:id="rId35" o:title=""/>
          </v:shape>
          <o:OLEObject Type="Embed" ProgID="Excel.Sheet.12" ShapeID="ole_rId34" DrawAspect="Icon" ObjectID="_1519284087" r:id="rId34"/>
        </w:object>
      </w:r>
    </w:p>
    <w:p>
      <w:pPr>
        <w:pStyle w:val="Normal"/>
        <w:rPr/>
      </w:pPr>
      <w:r>
        <w:rPr/>
      </w:r>
    </w:p>
    <w:p>
      <w:pPr>
        <w:pStyle w:val="Style15"/>
        <w:spacing w:before="0" w:after="0"/>
        <w:rPr/>
      </w:pPr>
      <w:bookmarkStart w:id="440" w:name="_Toc228976147"/>
      <w:bookmarkStart w:id="441" w:name="Прил11_Данные_бухотчетность"/>
      <w:r>
        <w:rPr/>
        <w:t xml:space="preserve">Приложение № 11 </w:t>
      </w:r>
      <w:bookmarkEnd w:id="441"/>
      <w:r>
        <w:rPr/>
        <w:t>– форма Данных бухгалтерской (финансовой) отчетности</w:t>
      </w:r>
      <w:bookmarkEnd w:id="440"/>
    </w:p>
    <w:p>
      <w:pPr>
        <w:pStyle w:val="Style16"/>
        <w:spacing w:before="360" w:after="0"/>
        <w:rPr/>
      </w:pPr>
      <w:bookmarkStart w:id="442" w:name="_Toc228976148"/>
      <w:r>
        <w:rPr/>
        <w:t>Пояснения к форме Данных бухгалтерской (финансовой) отчетности</w:t>
      </w:r>
      <w:bookmarkEnd w:id="442"/>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43" w:name="_Hlk210644436"/>
      <w:bookmarkStart w:id="444" w:name="_MON_1821256687"/>
      <w:bookmarkEnd w:id="444"/>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9.25pt;height:50.2pt;mso-wrap-distance-right:0pt" filled="f" o:ole="">
            <v:imagedata r:id="rId37" o:title=""/>
          </v:shape>
          <o:OLEObject Type="Embed" ProgID="Word.Document.12" ShapeID="ole_rId36" DrawAspect="Icon" ObjectID="_1716054559" r:id="rId36"/>
        </w:object>
      </w:r>
      <w:bookmarkEnd w:id="443"/>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24</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53</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59</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64</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76</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79</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23"/>
        <w:spacing w:before="80" w:after="0"/>
        <w:ind w:hanging="567" w:left="567"/>
        <w:jc w:val="both"/>
        <w:rPr/>
      </w:pPr>
      <w:r>
        <w:rPr>
          <w:rStyle w:val="Style5"/>
        </w:rPr>
        <w:footnoteRef/>
      </w:r>
      <w:r>
        <w:rPr/>
        <w:tab/>
        <w:t>Определенные в соответствии с Законом 422-ФЗ.</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С учетом пункта 4.13.6.</w:t>
      </w:r>
    </w:p>
  </w:footnote>
  <w:footnote w:id="7">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23"/>
        <w:spacing w:before="80" w:after="0"/>
        <w:ind w:hanging="567" w:left="567"/>
        <w:jc w:val="both"/>
        <w:rPr/>
      </w:pPr>
      <w:r>
        <w:rPr>
          <w:rStyle w:val="Style5"/>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23"/>
        <w:spacing w:before="80" w:after="0"/>
        <w:rPr>
          <w:szCs w:val="22"/>
        </w:rPr>
      </w:pPr>
      <w:r>
        <w:rPr>
          <w:rStyle w:val="Style5"/>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23"/>
        <w:spacing w:before="80" w:after="0"/>
        <w:ind w:hanging="567" w:left="567"/>
        <w:jc w:val="both"/>
        <w:rPr/>
      </w:pPr>
      <w:r>
        <w:rPr>
          <w:rStyle w:val="Style5"/>
        </w:rPr>
        <w:footnoteRef/>
      </w:r>
      <w:r>
        <w:rPr/>
        <w:tab/>
        <w:t>https://minfin.gov.ru/ru/perfomance/tax_relations/policy/bankwarranty/</w:t>
      </w:r>
    </w:p>
  </w:footnote>
  <w:footnote w:id="12">
    <w:p>
      <w:pPr>
        <w:pStyle w:val="Normal"/>
        <w:spacing w:before="120" w:after="0"/>
        <w:jc w:val="both"/>
        <w:rPr>
          <w:sz w:val="22"/>
        </w:rPr>
      </w:pPr>
      <w:r>
        <w:rPr>
          <w:rStyle w:val="Style5"/>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23"/>
        <w:spacing w:before="80" w:after="0"/>
        <w:ind w:hanging="567" w:left="567"/>
        <w:jc w:val="both"/>
        <w:rPr/>
      </w:pPr>
      <w:r>
        <w:rPr>
          <w:rStyle w:val="Style5"/>
        </w:rPr>
        <w:footnoteRef/>
      </w:r>
      <w:r>
        <w:rPr/>
        <w:tab/>
        <w:t>Коллективный участник предоставляет указанные документы на каждого члена.</w:t>
      </w:r>
    </w:p>
  </w:footnote>
  <w:footnote w:id="1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23"/>
        <w:spacing w:before="80" w:after="0"/>
        <w:ind w:hanging="567" w:left="567"/>
        <w:jc w:val="both"/>
        <w:rPr/>
      </w:pPr>
      <w:r>
        <w:rPr>
          <w:rStyle w:val="Style5"/>
        </w:rPr>
        <w:footnoteRef/>
      </w:r>
      <w:bookmarkStart w:id="445"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45"/>
    </w:p>
  </w:footnote>
  <w:footnote w:id="16">
    <w:p>
      <w:pPr>
        <w:pStyle w:val="Style23"/>
        <w:spacing w:before="80" w:after="0"/>
        <w:ind w:hanging="567" w:left="567"/>
        <w:jc w:val="both"/>
        <w:rPr/>
      </w:pPr>
      <w:r>
        <w:rPr>
          <w:rStyle w:val="Style5"/>
        </w:rPr>
        <w:footnoteRef/>
      </w:r>
      <w:bookmarkStart w:id="446" w:name="_Hlk139028803_Копия_1_Копия_1_Копия_1_Ко"/>
      <w:bookmarkStart w:id="447"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46"/>
      <w:bookmarkEnd w:id="447"/>
    </w:p>
  </w:footnote>
  <w:footnote w:id="17">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bullet"/>
      <w:lvlText w:val=""/>
      <w:lvlJc w:val="left"/>
      <w:pPr>
        <w:tabs>
          <w:tab w:val="num" w:pos="0"/>
        </w:tabs>
        <w:ind w:left="0" w:hanging="0"/>
      </w:pPr>
      <w:rPr>
        <w:rFonts w:ascii="Symbol" w:hAnsi="Symbol" w:cs="Symbol" w:hint="default"/>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7">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9">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bullet"/>
      <w:lvlText w:val=""/>
      <w:lvlJc w:val="left"/>
      <w:pPr>
        <w:tabs>
          <w:tab w:val="num" w:pos="0"/>
        </w:tabs>
        <w:ind w:left="0" w:hanging="0"/>
      </w:pPr>
      <w:rPr>
        <w:rFonts w:ascii="Symbol" w:hAnsi="Symbol" w:cs="Symbol" w:hint="default"/>
      </w:rPr>
    </w:lvl>
    <w:lvl w:ilvl="8">
      <w:start w:val="1"/>
      <w:numFmt w:val="none"/>
      <w:suff w:val="nothing"/>
      <w:lvlText w:val=""/>
      <w:lvlJc w:val="left"/>
      <w:pPr>
        <w:tabs>
          <w:tab w:val="num" w:pos="0"/>
        </w:tabs>
        <w:ind w:left="1134" w:hanging="0"/>
      </w:pPr>
      <w:rPr/>
    </w:lvl>
  </w:abstractNum>
  <w:abstractNum w:abstractNumId="30">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bullet"/>
      <w:lvlText w:val=""/>
      <w:lvlJc w:val="left"/>
      <w:pPr>
        <w:tabs>
          <w:tab w:val="num" w:pos="0"/>
        </w:tabs>
        <w:ind w:left="0" w:hanging="0"/>
      </w:pPr>
      <w:rPr>
        <w:rFonts w:ascii="Symbol" w:hAnsi="Symbol" w:cs="Symbol" w:hint="default"/>
      </w:rPr>
    </w:lvl>
    <w:lvl w:ilvl="8">
      <w:start w:val="1"/>
      <w:numFmt w:val="none"/>
      <w:suff w:val="nothing"/>
      <w:lvlText w:val=""/>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25"/>
  </w:num>
  <w:num w:numId="32">
    <w:abstractNumId w:val="25"/>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5"/>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hanging="0"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hanging="0"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iPriority w:val="99"/>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hanging="0"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hanging="0"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hanging="0"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hanging="0"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hanging="0"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hanging="0"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hanging="0"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hanging="0" w:left="720"/>
      <w:contextualSpacing/>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 w:customStyle="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5" w:customStyle="1">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 w:customStyle="1">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120" w:afterAutospacing="0" w:after="0"/>
      <w:ind w:hanging="0" w:left="0" w:right="0"/>
      <w:jc w:val="both"/>
    </w:pPr>
    <w:rPr>
      <w:rFonts w:ascii="Calibri" w:hAnsi="Calibri" w:eastAsia="Times New Roman"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ru-RU" w:bidi="ar-SA"/>
      <w14:ligatures w14:val="none"/>
    </w:rPr>
  </w:style>
  <w:style w:type="paragraph" w:styleId="2" w:customStyle="1">
    <w:name w:val="УРОВЕНЬ_Абзац_тип2"/>
    <w:qFormat/>
    <w:pPr>
      <w:keepNext w:val="false"/>
      <w:keepLines w:val="false"/>
      <w:pageBreakBefore w:val="false"/>
      <w:widowControl/>
      <w:numPr>
        <w:ilvl w:val="0"/>
        <w:numId w:val="0"/>
      </w:numPr>
      <w:shd w:val="nil"/>
      <w:suppressAutoHyphens w:val="true"/>
      <w:bidi w:val="0"/>
      <w:spacing w:lineRule="exact" w:line="360" w:beforeAutospacing="0" w:before="120" w:afterAutospacing="0" w:after="0"/>
      <w:ind w:hanging="0" w:left="1701" w:right="0"/>
      <w:jc w:val="both"/>
    </w:pPr>
    <w:rPr>
      <w:rFonts w:ascii="Calibri" w:hAnsi="Calibri" w:eastAsia="Calibri" w:cs="Arial" w:cstheme="minorBidi" w:eastAsiaTheme="minorHAnsi"/>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2" w:customStyle="1">
    <w:name w:val="УРОВЕНЬ_-"/>
    <w:qFormat/>
    <w:pPr>
      <w:keepNext w:val="false"/>
      <w:keepLines w:val="false"/>
      <w:pageBreakBefore w:val="false"/>
      <w:widowControl/>
      <w:numPr>
        <w:ilvl w:val="0"/>
        <w:numId w:val="0"/>
      </w:numPr>
      <w:shd w:val="nil"/>
      <w:suppressAutoHyphens w:val="true"/>
      <w:bidi w:val="0"/>
      <w:spacing w:lineRule="exact" w:line="360" w:beforeAutospacing="0" w:before="120" w:afterAutospacing="0" w:after="0"/>
      <w:ind w:hanging="567" w:left="2268" w:right="0"/>
      <w:jc w:val="both"/>
      <w:outlineLvl w:val="4"/>
    </w:pPr>
    <w:rPr>
      <w:rFonts w:ascii="Calibri" w:hAnsi="Calibri" w:eastAsia="Calibri" w:cs="Arial" w:cstheme="minorBidi" w:eastAsiaTheme="minorHAnsi"/>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26">
    <w:name w:val="Содержимое таблицы"/>
    <w:basedOn w:val="Normal"/>
    <w:qFormat/>
    <w:pPr>
      <w:widowControl w:val="false"/>
      <w:suppressLineNumbers/>
    </w:pPr>
    <w:rPr/>
  </w:style>
  <w:style w:type="paragraph" w:styleId="Style27">
    <w:name w:val="Заголовок таблицы"/>
    <w:basedOn w:val="Style26"/>
    <w:qFormat/>
    <w:pPr>
      <w:suppressLineNumbers/>
      <w:jc w:val="center"/>
    </w:pPr>
    <w:rPr>
      <w:b/>
      <w:bCs/>
    </w:rPr>
  </w:style>
  <w:style w:type="numbering" w:styleId="NoList" w:default="1">
    <w:name w:val="No List"/>
    <w:uiPriority w:val="99"/>
    <w:semiHidden/>
    <w:unhideWhenUsed/>
    <w:qFormat/>
  </w:style>
  <w:style w:type="table" w:styleId="1094">
    <w:name w:val="Table Grid Light"/>
    <w:basedOn w:val="122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095">
    <w:name w:val="Plain Table 1"/>
    <w:basedOn w:val="122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1096">
    <w:name w:val="Plain Table 2"/>
    <w:basedOn w:val="122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1097">
    <w:name w:val="Plain Table 3"/>
    <w:basedOn w:val="1227"/>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1098">
    <w:name w:val="Plain Table 4"/>
    <w:basedOn w:val="1227"/>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1099">
    <w:name w:val="Plain Table 5"/>
    <w:basedOn w:val="1227"/>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1100">
    <w:name w:val="Grid Table 1 Light"/>
    <w:basedOn w:val="1227"/>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1101">
    <w:name w:val="Grid Table 1 Light - Accent 1"/>
    <w:basedOn w:val="122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1102">
    <w:name w:val="Grid Table 1 Light - Accent 2"/>
    <w:basedOn w:val="122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1103">
    <w:name w:val="Grid Table 1 Light - Accent 3"/>
    <w:basedOn w:val="122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1104">
    <w:name w:val="Grid Table 1 Light - Accent 4"/>
    <w:basedOn w:val="122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1105">
    <w:name w:val="Grid Table 1 Light - Accent 5"/>
    <w:basedOn w:val="122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1106">
    <w:name w:val="Grid Table 1 Light - Accent 6"/>
    <w:basedOn w:val="122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1107">
    <w:name w:val="Grid Table 2"/>
    <w:basedOn w:val="122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1108">
    <w:name w:val="Grid Table 2 - Accent 1"/>
    <w:basedOn w:val="122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1109">
    <w:name w:val="Grid Table 2 - Accent 2"/>
    <w:basedOn w:val="122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1110">
    <w:name w:val="Grid Table 2 - Accent 3"/>
    <w:basedOn w:val="122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1111">
    <w:name w:val="Grid Table 2 - Accent 4"/>
    <w:basedOn w:val="122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1112">
    <w:name w:val="Grid Table 2 - Accent 5"/>
    <w:basedOn w:val="122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1113">
    <w:name w:val="Grid Table 2 - Accent 6"/>
    <w:basedOn w:val="122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1114">
    <w:name w:val="Grid Table 3"/>
    <w:basedOn w:val="122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15">
    <w:name w:val="Grid Table 3 - Accent 1"/>
    <w:basedOn w:val="122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16">
    <w:name w:val="Grid Table 3 - Accent 2"/>
    <w:basedOn w:val="122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17">
    <w:name w:val="Grid Table 3 - Accent 3"/>
    <w:basedOn w:val="122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18">
    <w:name w:val="Grid Table 3 - Accent 4"/>
    <w:basedOn w:val="122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19">
    <w:name w:val="Grid Table 3 - Accent 5"/>
    <w:basedOn w:val="122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20">
    <w:name w:val="Grid Table 3 - Accent 6"/>
    <w:basedOn w:val="122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121">
    <w:name w:val="Grid Table 4"/>
    <w:basedOn w:val="1227"/>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1122">
    <w:name w:val="Grid Table 4 - Accent 1"/>
    <w:basedOn w:val="1227"/>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1123">
    <w:name w:val="Grid Table 4 - Accent 2"/>
    <w:basedOn w:val="1227"/>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1124">
    <w:name w:val="Grid Table 4 - Accent 3"/>
    <w:basedOn w:val="1227"/>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1125">
    <w:name w:val="Grid Table 4 - Accent 4"/>
    <w:basedOn w:val="1227"/>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1126">
    <w:name w:val="Grid Table 4 - Accent 5"/>
    <w:basedOn w:val="1227"/>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1127">
    <w:name w:val="Grid Table 4 - Accent 6"/>
    <w:basedOn w:val="1227"/>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1128">
    <w:name w:val="Grid Table 5 Dark"/>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1129">
    <w:name w:val="Grid Table 5 Dark- Accent 1"/>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1130">
    <w:name w:val="Grid Table 5 Dark - Accent 2"/>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1131">
    <w:name w:val="Grid Table 5 Dark - Accent 3"/>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1132">
    <w:name w:val="Grid Table 5 Dark- Accent 4"/>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1133">
    <w:name w:val="Grid Table 5 Dark - Accent 5"/>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1134">
    <w:name w:val="Grid Table 5 Dark - Accent 6"/>
    <w:basedOn w:val="122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1135">
    <w:name w:val="Grid Table 6 Colorful"/>
    <w:basedOn w:val="1227"/>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1136">
    <w:name w:val="Grid Table 6 Colorful - Accent 1"/>
    <w:basedOn w:val="1227"/>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1137">
    <w:name w:val="Grid Table 6 Colorful - Accent 2"/>
    <w:basedOn w:val="122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1138">
    <w:name w:val="Grid Table 6 Colorful - Accent 3"/>
    <w:basedOn w:val="1227"/>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1139">
    <w:name w:val="Grid Table 6 Colorful - Accent 4"/>
    <w:basedOn w:val="122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1140">
    <w:name w:val="Grid Table 6 Colorful - Accent 5"/>
    <w:basedOn w:val="1227"/>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141">
    <w:name w:val="Grid Table 6 Colorful - Accent 6"/>
    <w:basedOn w:val="1227"/>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142">
    <w:name w:val="Grid Table 7 Colorful"/>
    <w:basedOn w:val="1227"/>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143">
    <w:name w:val="Grid Table 7 Colorful - Accent 1"/>
    <w:basedOn w:val="1227"/>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144">
    <w:name w:val="Grid Table 7 Colorful - Accent 2"/>
    <w:basedOn w:val="1227"/>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145">
    <w:name w:val="Grid Table 7 Colorful - Accent 3"/>
    <w:basedOn w:val="1227"/>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146">
    <w:name w:val="Grid Table 7 Colorful - Accent 4"/>
    <w:basedOn w:val="1227"/>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147">
    <w:name w:val="Grid Table 7 Colorful - Accent 5"/>
    <w:basedOn w:val="1227"/>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148">
    <w:name w:val="Grid Table 7 Colorful - Accent 6"/>
    <w:basedOn w:val="1227"/>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149">
    <w:name w:val="List Table 1 Light"/>
    <w:basedOn w:val="1227"/>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150">
    <w:name w:val="List Table 1 Light - Accent 1"/>
    <w:basedOn w:val="1227"/>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151">
    <w:name w:val="List Table 1 Light - Accent 2"/>
    <w:basedOn w:val="1227"/>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152">
    <w:name w:val="List Table 1 Light - Accent 3"/>
    <w:basedOn w:val="1227"/>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153">
    <w:name w:val="List Table 1 Light - Accent 4"/>
    <w:basedOn w:val="1227"/>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154">
    <w:name w:val="List Table 1 Light - Accent 5"/>
    <w:basedOn w:val="1227"/>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55">
    <w:name w:val="List Table 1 Light - Accent 6"/>
    <w:basedOn w:val="1227"/>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56">
    <w:name w:val="List Table 2"/>
    <w:basedOn w:val="1227"/>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57">
    <w:name w:val="List Table 2 - Accent 1"/>
    <w:basedOn w:val="1227"/>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58">
    <w:name w:val="List Table 2 - Accent 2"/>
    <w:basedOn w:val="1227"/>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59">
    <w:name w:val="List Table 2 - Accent 3"/>
    <w:basedOn w:val="1227"/>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60">
    <w:name w:val="List Table 2 - Accent 4"/>
    <w:basedOn w:val="1227"/>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1">
    <w:name w:val="List Table 2 - Accent 5"/>
    <w:basedOn w:val="1227"/>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62">
    <w:name w:val="List Table 2 - Accent 6"/>
    <w:basedOn w:val="1227"/>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63">
    <w:name w:val="List Table 3"/>
    <w:basedOn w:val="122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64">
    <w:name w:val="List Table 3 - Accent 1"/>
    <w:basedOn w:val="1227"/>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165">
    <w:name w:val="List Table 3 - Accent 2"/>
    <w:basedOn w:val="122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166">
    <w:name w:val="List Table 3 - Accent 3"/>
    <w:basedOn w:val="1227"/>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167">
    <w:name w:val="List Table 3 - Accent 4"/>
    <w:basedOn w:val="122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168">
    <w:name w:val="List Table 3 - Accent 5"/>
    <w:basedOn w:val="1227"/>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169">
    <w:name w:val="List Table 3 - Accent 6"/>
    <w:basedOn w:val="1227"/>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170">
    <w:name w:val="List Table 4"/>
    <w:basedOn w:val="122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71">
    <w:name w:val="List Table 4 - Accent 1"/>
    <w:basedOn w:val="1227"/>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172">
    <w:name w:val="List Table 4 - Accent 2"/>
    <w:basedOn w:val="1227"/>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173">
    <w:name w:val="List Table 4 - Accent 3"/>
    <w:basedOn w:val="1227"/>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174">
    <w:name w:val="List Table 4 - Accent 4"/>
    <w:basedOn w:val="1227"/>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175">
    <w:name w:val="List Table 4 - Accent 5"/>
    <w:basedOn w:val="1227"/>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176">
    <w:name w:val="List Table 4 - Accent 6"/>
    <w:basedOn w:val="1227"/>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177">
    <w:name w:val="List Table 5 Dark"/>
    <w:basedOn w:val="1227"/>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78">
    <w:name w:val="List Table 5 Dark - Accent 1"/>
    <w:basedOn w:val="1227"/>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79">
    <w:name w:val="List Table 5 Dark - Accent 2"/>
    <w:basedOn w:val="1227"/>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80">
    <w:name w:val="List Table 5 Dark - Accent 3"/>
    <w:basedOn w:val="1227"/>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81">
    <w:name w:val="List Table 5 Dark - Accent 4"/>
    <w:basedOn w:val="1227"/>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82">
    <w:name w:val="List Table 5 Dark - Accent 5"/>
    <w:basedOn w:val="1227"/>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83">
    <w:name w:val="List Table 5 Dark - Accent 6"/>
    <w:basedOn w:val="1227"/>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184">
    <w:name w:val="List Table 6 Colorful"/>
    <w:basedOn w:val="1227"/>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185">
    <w:name w:val="List Table 6 Colorful - Accent 1"/>
    <w:basedOn w:val="1227"/>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186">
    <w:name w:val="List Table 6 Colorful - Accent 2"/>
    <w:basedOn w:val="1227"/>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187">
    <w:name w:val="List Table 6 Colorful - Accent 3"/>
    <w:basedOn w:val="1227"/>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188">
    <w:name w:val="List Table 6 Colorful - Accent 4"/>
    <w:basedOn w:val="1227"/>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189">
    <w:name w:val="List Table 6 Colorful - Accent 5"/>
    <w:basedOn w:val="1227"/>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190">
    <w:name w:val="List Table 6 Colorful - Accent 6"/>
    <w:basedOn w:val="1227"/>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191">
    <w:name w:val="List Table 7 Colorful"/>
    <w:basedOn w:val="1227"/>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192">
    <w:name w:val="List Table 7 Colorful - Accent 1"/>
    <w:basedOn w:val="1227"/>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193">
    <w:name w:val="List Table 7 Colorful - Accent 2"/>
    <w:basedOn w:val="1227"/>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194">
    <w:name w:val="List Table 7 Colorful - Accent 3"/>
    <w:basedOn w:val="1227"/>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195">
    <w:name w:val="List Table 7 Colorful - Accent 4"/>
    <w:basedOn w:val="1227"/>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196">
    <w:name w:val="List Table 7 Colorful - Accent 5"/>
    <w:basedOn w:val="1227"/>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197">
    <w:name w:val="List Table 7 Colorful - Accent 6"/>
    <w:basedOn w:val="1227"/>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198">
    <w:name w:val="Lined - Accent"/>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199">
    <w:name w:val="Lined - Accent 1"/>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200">
    <w:name w:val="Lined - Accent 2"/>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201">
    <w:name w:val="Lined - Accent 3"/>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202">
    <w:name w:val="Lined - Accent 4"/>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203">
    <w:name w:val="Lined - Accent 5"/>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204">
    <w:name w:val="Lined - Accent 6"/>
    <w:basedOn w:val="1227"/>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205">
    <w:name w:val="Bordered &amp; Lined - Accent"/>
    <w:basedOn w:val="1227"/>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206">
    <w:name w:val="Bordered &amp; Lined - Accent 1"/>
    <w:basedOn w:val="1227"/>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207">
    <w:name w:val="Bordered &amp; Lined - Accent 2"/>
    <w:basedOn w:val="1227"/>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208">
    <w:name w:val="Bordered &amp; Lined - Accent 3"/>
    <w:basedOn w:val="1227"/>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209">
    <w:name w:val="Bordered &amp; Lined - Accent 4"/>
    <w:basedOn w:val="1227"/>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210">
    <w:name w:val="Bordered &amp; Lined - Accent 5"/>
    <w:basedOn w:val="1227"/>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211">
    <w:name w:val="Bordered &amp; Lined - Accent 6"/>
    <w:basedOn w:val="1227"/>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212">
    <w:name w:val="Bordered"/>
    <w:basedOn w:val="1227"/>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213">
    <w:name w:val="Bordered - Accent 1"/>
    <w:basedOn w:val="122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214">
    <w:name w:val="Bordered - Accent 2"/>
    <w:basedOn w:val="122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215">
    <w:name w:val="Bordered - Accent 3"/>
    <w:basedOn w:val="122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216">
    <w:name w:val="Bordered - Accent 4"/>
    <w:basedOn w:val="122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217">
    <w:name w:val="Bordered - Accent 5"/>
    <w:basedOn w:val="122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218">
    <w:name w:val="Bordered - Accent 6"/>
    <w:basedOn w:val="122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1227">
    <w:name w:val="Normal Table"/>
    <w:uiPriority w:val="99"/>
    <w:semiHidden/>
    <w:unhideWhenUsed/>
    <w:tblPr>
      <w:tblCellMar>
        <w:left w:w="108" w:type="dxa"/>
        <w:top w:w="0" w:type="dxa"/>
        <w:right w:w="108" w:type="dxa"/>
        <w:bottom w:w="0" w:type="dxa"/>
      </w:tblCellMar>
    </w:tblPr>
  </w:style>
  <w:style w:type="table" w:customStyle="1" w:styleId="1256">
    <w:name w:val="[РГ] Таблица"/>
    <w:basedOn w:val="1227"/>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257">
    <w:name w:val="Table Grid"/>
    <w:basedOn w:val="1227"/>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rushydro.roseltorg.ru/" TargetMode="External"/><Relationship Id="rId4" Type="http://schemas.openxmlformats.org/officeDocument/2006/relationships/hyperlink" Target="https://diadoc.kontur.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package" Target="embeddings/oleObject1.docx"/><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package" Target="embeddings/oleObject2.docx"/><Relationship Id="rId23" Type="http://schemas.openxmlformats.org/officeDocument/2006/relationships/image" Target="media/image2.wmf"/><Relationship Id="rId24" Type="http://schemas.openxmlformats.org/officeDocument/2006/relationships/package" Target="embeddings/oleObject3.docx"/><Relationship Id="rId25" Type="http://schemas.openxmlformats.org/officeDocument/2006/relationships/image" Target="media/image3.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10.xml"/><Relationship Id="rId29" Type="http://schemas.openxmlformats.org/officeDocument/2006/relationships/footer" Target="footer11.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2.xml"/><Relationship Id="rId33" Type="http://schemas.openxmlformats.org/officeDocument/2006/relationships/footer" Target="footer13.xml"/><Relationship Id="rId34" Type="http://schemas.openxmlformats.org/officeDocument/2006/relationships/package" Target="embeddings/oleObject4.xlsx"/><Relationship Id="rId35" Type="http://schemas.openxmlformats.org/officeDocument/2006/relationships/image" Target="media/image4.wmf"/><Relationship Id="rId36" Type="http://schemas.openxmlformats.org/officeDocument/2006/relationships/package" Target="embeddings/oleObject5.docx"/><Relationship Id="rId37" Type="http://schemas.openxmlformats.org/officeDocument/2006/relationships/image" Target="media/image5.wmf"/><Relationship Id="rId38" Type="http://schemas.openxmlformats.org/officeDocument/2006/relationships/header" Target="header12.xml"/><Relationship Id="rId39" Type="http://schemas.openxmlformats.org/officeDocument/2006/relationships/header" Target="header13.xml"/><Relationship Id="rId40" Type="http://schemas.openxmlformats.org/officeDocument/2006/relationships/footer" Target="footer14.xml"/><Relationship Id="rId41" Type="http://schemas.openxmlformats.org/officeDocument/2006/relationships/footer" Target="footer15.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3AC73-8A40-4339-BBD1-46D6B4A9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Application>AlterOffice/2026.2.0.0$Linux_X86_64 LibreOffice_project/bc4ef1adf80b36c7a6365f8ed6cbf29021361edd</Application>
  <AppVersion>15.0000</AppVersion>
  <Pages>79</Pages>
  <Words>20766</Words>
  <Characters>144662</Characters>
  <CharactersWithSpaces>162924</CharactersWithSpaces>
  <Paragraphs>1167</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2025-09-01T14:21:00Z</dcterms:created>
  <dc:creator>Владимир Щербаков</dc:creator>
  <dc:description/>
  <cp:keywords>Типовая форма</cp:keywords>
  <dc:language>ru-RU</dc:language>
  <cp:lastModifiedBy>nikitina_nv@DGK.RU</cp:lastModifiedBy>
  <dcterms:modified xsi:type="dcterms:W3CDTF">2026-10-27T11:32:33Z</dcterms:modified>
  <cp:revision>50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