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1122"/>
        <w:jc w:val="center"/>
        <w:keepNext/>
        <w:spacing w:before="240"/>
        <w:rPr>
          <w14:ligatures w14:val="none"/>
        </w:rPr>
      </w:pPr>
      <w:r>
        <w:t xml:space="preserve">Запрос предложений</w:t>
      </w:r>
      <w:r>
        <w:t xml:space="preserve"> в электронной форме,</w:t>
      </w:r>
      <w:r>
        <w:br/>
        <w:t xml:space="preserve">участниками которого </w:t>
      </w:r>
      <w:r>
        <w:t xml:space="preserve">могут быть только субъекты МСП,</w:t>
      </w:r>
      <w:r>
        <w:br/>
      </w:r>
      <w:r>
        <w:t xml:space="preserve">на право заключения договора на</w:t>
      </w:r>
      <w:r>
        <w:t xml:space="preserve"> </w:t>
      </w:r>
      <w:r>
        <w:t xml:space="preserve">ОКПД2 43.99.90.190. Выполнение работ по ремонту антикоррозионной защиты оборудования Хабаровской ТЭЦ-1 в г. Хабаровск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22"/>
        <w:jc w:val="center"/>
        <w:keepNext/>
        <w:spacing w:before="240"/>
      </w:pPr>
      <w:r>
        <w:t xml:space="preserve">(</w:t>
      </w:r>
      <w:r>
        <w:t xml:space="preserve">Л</w:t>
      </w:r>
      <w:r>
        <w:t xml:space="preserve">от №</w:t>
      </w:r>
      <w:r>
        <w:t xml:space="preserve">11020011-РЕМ ПРОД-2026-ДГК-ХТЭЦ1</w:t>
      </w:r>
      <w:r>
        <w:t xml:space="preserve">)</w:t>
      </w:r>
      <w:r/>
    </w:p>
    <w:p>
      <w:pPr>
        <w:pStyle w:val="1122"/>
        <w:keepNext/>
      </w:pPr>
      <w:r/>
      <w:r/>
    </w:p>
    <w:p>
      <w:pPr>
        <w:pStyle w:val="1122"/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1"/>
        <w:outlineLvl w:val="2"/>
      </w:pPr>
      <w:r>
        <w:t xml:space="preserve">Содержание</w:t>
      </w:r>
      <w:r/>
    </w:p>
    <w:p>
      <w:pPr>
        <w:pStyle w:val="1135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32"/>
          </w:rPr>
        </w:r>
        <w:r>
          <w:rPr>
            <w:rStyle w:val="1132"/>
          </w:rPr>
          <w:t xml:space="preserve">Сокращения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35"/>
        <w:tabs>
          <w:tab w:val="right" w:pos="9923" w:leader="none"/>
        </w:tabs>
      </w:pPr>
      <w:r/>
      <w:hyperlink w:tooltip="#_Toc2" w:anchor="_Toc2" w:history="1">
        <w:r>
          <w:rPr>
            <w:rStyle w:val="1132"/>
          </w:rPr>
        </w:r>
        <w:r>
          <w:rPr>
            <w:rStyle w:val="1132"/>
          </w:rPr>
          <w:t xml:space="preserve">Термины и определения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Основные сведения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Статус настоящего раздела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Информация о проводимой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положения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сведения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Правовой статус документов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Обжалование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Особые положения при проведении закупки с использованием ЭП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Прочие положения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Требования к </w:t>
        </w:r>
        <w:r>
          <w:rPr>
            <w:rStyle w:val="1132"/>
          </w:rPr>
          <w:t xml:space="preserve">У</w:t>
        </w:r>
        <w:r>
          <w:rPr>
            <w:rStyle w:val="1132"/>
          </w:rPr>
          <w:t xml:space="preserve">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требования к Участникам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Коллективные участники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Генеральные подрядчики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Порядок проведения закупки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Общий порядок проведения закупки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Официальное размещение Извещения и Документации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Подготовка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Разъяснение Документации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Изменения </w:t>
        </w:r>
        <w:r>
          <w:rPr>
            <w:rStyle w:val="1132"/>
          </w:rPr>
          <w:t xml:space="preserve">Извещени</w:t>
        </w:r>
        <w:r>
          <w:rPr>
            <w:rStyle w:val="1132"/>
          </w:rPr>
          <w:t xml:space="preserve">я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и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(или)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Документаци</w:t>
        </w:r>
        <w:r>
          <w:rPr>
            <w:rStyle w:val="1132"/>
          </w:rPr>
          <w:t xml:space="preserve">и</w:t>
        </w:r>
        <w:r>
          <w:rPr>
            <w:rStyle w:val="1132"/>
          </w:rPr>
          <w:t xml:space="preserve">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Подача заявок и их прием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Изменение и отзыв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Открытие доступа к первым частям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Рассмотрение </w:t>
        </w:r>
        <w:r>
          <w:rPr>
            <w:rStyle w:val="1132"/>
          </w:rPr>
          <w:t xml:space="preserve">первых частей </w:t>
        </w:r>
        <w:r>
          <w:rPr>
            <w:rStyle w:val="1132"/>
          </w:rPr>
          <w:t xml:space="preserve">заявок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(</w:t>
        </w:r>
        <w:r>
          <w:rPr>
            <w:rStyle w:val="1132"/>
          </w:rPr>
          <w:t xml:space="preserve">отборочная стадия</w:t>
        </w:r>
        <w:r>
          <w:rPr>
            <w:rStyle w:val="1132"/>
          </w:rPr>
          <w:t xml:space="preserve">)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Открытие доступа ко вторым частям заявок и ценовым предложениям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Рассмотрение вторых частей заявок</w:t>
        </w:r>
        <w:r>
          <w:rPr>
            <w:rStyle w:val="1132"/>
          </w:rPr>
          <w:t xml:space="preserve"> (отборочная стадия)</w:t>
        </w:r>
        <w:r>
          <w:rPr>
            <w:rStyle w:val="1132"/>
          </w:rPr>
          <w:t xml:space="preserve">, в том числе (при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необходимости) проведение аккредитации,</w:t>
        </w:r>
        <w:r>
          <w:rPr>
            <w:rStyle w:val="1132"/>
          </w:rPr>
          <w:t xml:space="preserve"> и ценовых предложений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Дополнительные запросы разъяснений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Оценка и сопоставление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Применение </w:t>
        </w:r>
        <w:r>
          <w:rPr>
            <w:rStyle w:val="1132"/>
          </w:rPr>
          <w:t xml:space="preserve">законодательства о национальном режиме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</w:t>
        </w:r>
        <w:r>
          <w:rPr>
            <w:rStyle w:val="1132"/>
          </w:rPr>
          <w:t xml:space="preserve">одведение итогов закупки</w:t>
        </w:r>
        <w:r>
          <w:rPr>
            <w:rStyle w:val="1132"/>
          </w:rPr>
          <w:t xml:space="preserve"> (</w:t>
        </w:r>
        <w:r>
          <w:rPr>
            <w:rStyle w:val="1132"/>
          </w:rPr>
          <w:t xml:space="preserve">о</w:t>
        </w:r>
        <w:r>
          <w:rPr>
            <w:rStyle w:val="1132"/>
          </w:rPr>
          <w:t xml:space="preserve">пределение Победителя</w:t>
        </w:r>
        <w:r>
          <w:rPr>
            <w:rStyle w:val="1132"/>
          </w:rPr>
          <w:t xml:space="preserve">)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Признание закупки несостоявшейся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Отказ от проведения закупки</w:t>
        </w:r>
        <w:r>
          <w:rPr>
            <w:rStyle w:val="1132"/>
          </w:rPr>
          <w:t xml:space="preserve"> (отмена закупки)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Особенности</w:t>
        </w:r>
        <w:r>
          <w:rPr>
            <w:rStyle w:val="1132"/>
          </w:rPr>
          <w:t xml:space="preserve"> проведения закупки с необходимостью обеспечения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Особенности проведения м</w:t>
        </w:r>
        <w:r>
          <w:rPr>
            <w:rStyle w:val="1132"/>
          </w:rPr>
          <w:t xml:space="preserve">ноголотов</w:t>
        </w:r>
        <w:r>
          <w:rPr>
            <w:rStyle w:val="1132"/>
          </w:rPr>
          <w:t xml:space="preserve">ой</w:t>
        </w:r>
        <w:r>
          <w:rPr>
            <w:rStyle w:val="1132"/>
          </w:rPr>
          <w:t xml:space="preserve"> закупк</w:t>
        </w:r>
        <w:r>
          <w:rPr>
            <w:rStyle w:val="1132"/>
          </w:rPr>
          <w:t xml:space="preserve">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</w:t>
        </w:r>
        <w:r>
          <w:rPr>
            <w:rStyle w:val="1132"/>
          </w:rPr>
          <w:t xml:space="preserve">орядок заключения </w:t>
        </w:r>
        <w:r>
          <w:rPr>
            <w:rStyle w:val="1132"/>
          </w:rPr>
          <w:t xml:space="preserve">Д</w:t>
        </w:r>
        <w:r>
          <w:rPr>
            <w:rStyle w:val="1132"/>
          </w:rPr>
          <w:t xml:space="preserve">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положения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Заключение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Уклонение Победителя от заключения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1 – Технические требования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Техническим требованиям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2 – Проект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</w:t>
        </w:r>
        <w:r>
          <w:rPr>
            <w:rStyle w:val="1132"/>
          </w:rPr>
          <w:t xml:space="preserve">П</w:t>
        </w:r>
        <w:r>
          <w:rPr>
            <w:rStyle w:val="1132"/>
          </w:rPr>
          <w:t xml:space="preserve">роекту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3 – Требования к </w:t>
        </w:r>
        <w:r>
          <w:rPr>
            <w:rStyle w:val="1132"/>
          </w:rPr>
          <w:t xml:space="preserve">У</w:t>
        </w:r>
        <w:r>
          <w:rPr>
            <w:rStyle w:val="1132"/>
          </w:rPr>
          <w:t xml:space="preserve">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</w:t>
        </w:r>
        <w:r>
          <w:rPr>
            <w:rStyle w:val="1132"/>
          </w:rPr>
          <w:t xml:space="preserve">требованиям к </w:t>
        </w:r>
        <w:r>
          <w:rPr>
            <w:rStyle w:val="1132"/>
          </w:rPr>
          <w:t xml:space="preserve">У</w:t>
        </w:r>
        <w:r>
          <w:rPr>
            <w:rStyle w:val="1132"/>
          </w:rPr>
          <w:t xml:space="preserve">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Обязательные требования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Специальные требования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Дополнительные т</w:t>
        </w:r>
        <w:r>
          <w:rPr>
            <w:rStyle w:val="1132"/>
          </w:rPr>
          <w:t xml:space="preserve">ребования к Коллективным участникам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Дополнительные т</w:t>
        </w:r>
        <w:r>
          <w:rPr>
            <w:rStyle w:val="1132"/>
          </w:rPr>
          <w:t xml:space="preserve">ребования к Генеральным подрядчикам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55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</w:t>
        </w:r>
        <w:r>
          <w:rPr>
            <w:rStyle w:val="1132"/>
          </w:rPr>
          <w:t xml:space="preserve">4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– </w:t>
        </w:r>
        <w:r>
          <w:rPr>
            <w:rStyle w:val="1132"/>
          </w:rPr>
          <w:t xml:space="preserve">Образцы форм документов, включаемых в 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Образца</w:t>
        </w:r>
        <w:r>
          <w:rPr>
            <w:rStyle w:val="1132"/>
          </w:rPr>
          <w:t xml:space="preserve">м</w:t>
        </w:r>
        <w:r>
          <w:rPr>
            <w:rStyle w:val="1132"/>
          </w:rPr>
          <w:t xml:space="preserve"> форм документов, включаемых в 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5 </w:t>
        </w:r>
        <w:r>
          <w:rPr>
            <w:rStyle w:val="1132"/>
          </w:rPr>
          <w:t xml:space="preserve">– </w:t>
        </w:r>
        <w:r>
          <w:rPr>
            <w:rStyle w:val="1132"/>
          </w:rPr>
          <w:t xml:space="preserve">Образцы форм документов, предоставляемых Победителем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Образцам форм документов, предоставляемых Победителем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Форма «Заверение об обстоятельствах»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6</w:t>
        </w:r>
        <w:r>
          <w:rPr>
            <w:rStyle w:val="1132"/>
          </w:rPr>
          <w:t xml:space="preserve"> – 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7</w:t>
        </w:r>
        <w:r>
          <w:rPr>
            <w:rStyle w:val="1132"/>
          </w:rPr>
          <w:t xml:space="preserve"> – Отборочные критерии рассмотрения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32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32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32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32"/>
            <w:i w:val="0"/>
            <w:iCs w:val="0"/>
            <w:shd w:val="clear" w:color="auto" w:fill="auto"/>
          </w:rPr>
          <w:t xml:space="preserve">ок</w:t>
        </w:r>
        <w:r>
          <w:rPr>
            <w:rStyle w:val="1132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32"/>
            <w:i w:val="0"/>
            <w:iCs w:val="0"/>
            <w:shd w:val="clear" w:color="auto" w:fill="auto"/>
          </w:rPr>
          <w:t xml:space="preserve">е</w:t>
        </w:r>
        <w:r>
          <w:rPr>
            <w:rStyle w:val="1132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8</w:t>
        </w:r>
        <w:r>
          <w:rPr>
            <w:rStyle w:val="1132"/>
          </w:rPr>
          <w:t xml:space="preserve"> – Порядок и критерии оценки и сопоставления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Порядок и критерии оценки и сопоставления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</w:t>
        </w:r>
        <w:r>
          <w:rPr>
            <w:rStyle w:val="1132"/>
          </w:rPr>
          <w:t xml:space="preserve">9</w:t>
        </w:r>
        <w:r>
          <w:rPr>
            <w:rStyle w:val="1132"/>
          </w:rPr>
          <w:t xml:space="preserve"> – Обоснование НМЦ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75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Обоснованию НМЦ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75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1</w:t>
        </w:r>
        <w:r>
          <w:rPr>
            <w:rStyle w:val="1132"/>
          </w:rPr>
          <w:t xml:space="preserve">0</w:t>
        </w:r>
        <w:r>
          <w:rPr>
            <w:rStyle w:val="1132"/>
          </w:rPr>
          <w:t xml:space="preserve"> – Форма Заявки на аккредитацию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76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форме Заявки на аккредитацию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76</w:t>
          <w:fldChar w:fldCharType="end"/>
        </w:r>
      </w:hyperlink>
      <w:r/>
      <w:r/>
    </w:p>
    <w:p>
      <w:pPr>
        <w:pStyle w:val="1122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22"/>
        <w:keepNext/>
        <w:spacing w:before="60"/>
        <w:rPr>
          <w:rStyle w:val="1153"/>
        </w:rPr>
      </w:pPr>
      <w:r>
        <w:rPr>
          <w:rStyle w:val="1153"/>
        </w:rPr>
        <w:t xml:space="preserve">[Примечание (дополнительные удобства работы с Документацией о закупке; </w:t>
      </w:r>
      <w:r>
        <w:rPr>
          <w:rStyle w:val="1153"/>
        </w:rPr>
        <w:t xml:space="preserve">Microsoft Word | </w:t>
      </w:r>
      <w:r>
        <w:rPr>
          <w:rStyle w:val="1153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53"/>
        </w:rPr>
        <w:t xml:space="preserve">):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53"/>
        </w:rPr>
        <w:t xml:space="preserve"> </w:t>
      </w:r>
      <w:r>
        <w:rPr>
          <w:rStyle w:val="1153"/>
        </w:rPr>
        <w:t xml:space="preserve">| </w:t>
      </w:r>
      <w:r>
        <w:rPr>
          <w:rStyle w:val="1153"/>
          <w:color w:val="4472c4" w:themeColor="accent1"/>
        </w:rPr>
        <w:t xml:space="preserve">включается на вкладке «Вид» опцией «Навигатор»</w:t>
      </w:r>
      <w:r>
        <w:rPr>
          <w:rStyle w:val="1153"/>
        </w:rPr>
        <w:t xml:space="preserve">;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</w:rPr>
        <w:t xml:space="preserve">переход по перекрестным и другим ссылкам осуществляется левым кликом мыши с</w:t>
      </w:r>
      <w:r>
        <w:rPr>
          <w:rStyle w:val="1153"/>
          <w:lang w:val="en-US"/>
        </w:rPr>
        <w:t xml:space="preserve"> </w:t>
      </w:r>
      <w:r>
        <w:rPr>
          <w:rStyle w:val="1153"/>
        </w:rPr>
        <w:t xml:space="preserve">зажатой клавишей Ctrl, обратный возврат на место в тексте, с котор</w:t>
      </w:r>
      <w:r>
        <w:rPr>
          <w:rStyle w:val="1153"/>
        </w:rPr>
        <w:t xml:space="preserve">ого</w:t>
      </w:r>
      <w:r>
        <w:rPr>
          <w:rStyle w:val="1153"/>
        </w:rPr>
        <w:t xml:space="preserve"> был </w:t>
      </w:r>
      <w:r>
        <w:rPr>
          <w:rStyle w:val="1153"/>
        </w:rPr>
        <w:t xml:space="preserve">сделан</w:t>
      </w:r>
      <w:r>
        <w:rPr>
          <w:rStyle w:val="1153"/>
        </w:rPr>
        <w:t xml:space="preserve"> переход, осуществляется нажатием стрелки влево (←) с зажатой левой клавишей Alt</w:t>
      </w:r>
      <w:r>
        <w:rPr>
          <w:rStyle w:val="1153"/>
        </w:rPr>
        <w:t xml:space="preserve"> </w:t>
      </w:r>
      <w:r>
        <w:rPr>
          <w:rStyle w:val="1153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53"/>
        </w:rPr>
        <w:t xml:space="preserve">;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53"/>
        </w:rPr>
        <w:t xml:space="preserve">е</w:t>
      </w:r>
      <w:r>
        <w:rPr>
          <w:rStyle w:val="1153"/>
        </w:rPr>
        <w:t xml:space="preserve"> документа (файла) в</w:t>
      </w:r>
      <w:r>
        <w:rPr>
          <w:rStyle w:val="1153"/>
          <w:lang w:val="en-US"/>
        </w:rPr>
        <w:t xml:space="preserve"> </w:t>
      </w:r>
      <w:r>
        <w:rPr>
          <w:rStyle w:val="1153"/>
        </w:rPr>
        <w:t xml:space="preserve">тексте</w:t>
      </w:r>
      <w:r>
        <w:rPr>
          <w:rStyle w:val="1153"/>
        </w:rPr>
        <w:t xml:space="preserve">;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53"/>
        </w:rPr>
        <w:t xml:space="preserve">.]</w:t>
      </w:r>
      <w:r>
        <w:rPr>
          <w:rStyle w:val="1153"/>
        </w:rPr>
      </w:r>
      <w:r>
        <w:rPr>
          <w:rStyle w:val="1153"/>
        </w:rPr>
      </w:r>
    </w:p>
    <w:p>
      <w:pPr>
        <w:pStyle w:val="1121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22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22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22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22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2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2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22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22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22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22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22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22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22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22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22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22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22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22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22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22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22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21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22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22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22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22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22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22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22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22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22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22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22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22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22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22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22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22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22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22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22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22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22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22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22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30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22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22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16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17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18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18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</w:t>
        </w:r>
        <w:r>
          <w:rPr>
            <w:rStyle w:val="1146"/>
          </w:rPr>
          <w:t xml:space="preserve">х</w:t>
        </w:r>
        <w:r>
          <w:rPr>
            <w:rStyle w:val="1146"/>
          </w:rPr>
          <w:t xml:space="preserve"> требовани</w:t>
        </w:r>
        <w:r>
          <w:rPr>
            <w:rStyle w:val="1146"/>
          </w:rPr>
          <w:t xml:space="preserve">ях (Приложение № 1)</w:t>
        </w:r>
      </w:hyperlink>
      <w:r>
        <w:rPr>
          <w:rStyle w:val="1146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</w:t>
        </w:r>
        <w:r>
          <w:rPr>
            <w:rStyle w:val="1146"/>
          </w:rPr>
          <w:t xml:space="preserve">роект</w:t>
        </w:r>
        <w:r>
          <w:rPr>
            <w:rStyle w:val="1146"/>
          </w:rPr>
          <w:t xml:space="preserve">е</w:t>
        </w:r>
        <w:r>
          <w:rPr>
            <w:rStyle w:val="1146"/>
          </w:rPr>
          <w:t xml:space="preserve"> </w:t>
        </w:r>
        <w:r>
          <w:rPr>
            <w:rStyle w:val="1146"/>
          </w:rPr>
          <w:t xml:space="preserve">д</w:t>
        </w:r>
        <w:r>
          <w:rPr>
            <w:rStyle w:val="1146"/>
          </w:rPr>
          <w:t xml:space="preserve">оговора</w:t>
        </w:r>
        <w:r>
          <w:rPr>
            <w:rStyle w:val="1146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18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17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 пункта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Содержание пункта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0" w:name="_Ref125360980"/>
            <w:r/>
            <w:bookmarkEnd w:id="1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Способ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Запрос предложений</w:t>
            </w:r>
            <w:r>
              <w:t xml:space="preserve"> в электронной форме</w:t>
            </w:r>
            <w:r>
              <w:t xml:space="preserve">, участниками которого могут быть только субъекты МСП.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1" w:name="_Ref125360996"/>
            <w:r/>
            <w:bookmarkEnd w:id="1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Предмет Договора</w:t>
            </w:r>
            <w:r>
              <w:br/>
            </w:r>
            <w:r>
              <w:t xml:space="preserve">(</w:t>
            </w:r>
            <w:r>
              <w:t xml:space="preserve">в том числе </w:t>
            </w:r>
            <w:r>
              <w:t xml:space="preserve">номер лота</w:t>
            </w:r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highlight w:val="none"/>
                <w14:ligatures w14:val="none"/>
              </w:rPr>
            </w:pPr>
            <w:r>
              <w:t xml:space="preserve">Лот №</w:t>
            </w:r>
            <w:r>
              <w:t xml:space="preserve"> </w:t>
            </w:r>
            <w:r>
              <w:t xml:space="preserve">11020011-РЕМ ПРОД-2026-ДГК-ХТЭЦ1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pStyle w:val="1122"/>
              <w:rPr>
                <w14:ligatures w14:val="none"/>
              </w:rPr>
            </w:pPr>
            <w:r>
              <w:t xml:space="preserve">ОКПД2 43.99.90.190. Выполнение работ по ремонту антикоррозионной защиты оборудования Хабаровской ТЭЦ-1 в г. Хабаровск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Описание</w:t>
            </w:r>
            <w:r>
              <w:br/>
              <w:t xml:space="preserve">предмета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t xml:space="preserve"> </w:t>
            </w:r>
            <w: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t xml:space="preserve"> </w:t>
            </w:r>
            <w:r>
              <w:t xml:space="preserve">также место поставки товара, выполнения работы, оказания услуги, содержится </w:t>
            </w:r>
            <w: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(Приложении № 1)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2" w:name="_Ref125367124"/>
            <w:r/>
            <w:bookmarkEnd w:id="1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Многолотовая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Нет.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3" w:name="_Ref125360764"/>
            <w:r/>
            <w:bookmarkEnd w:id="1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Наименование и адрес </w:t>
            </w:r>
            <w:r>
              <w:t xml:space="preserve">ЭП,</w:t>
            </w:r>
            <w:r>
              <w:t xml:space="preserve"> на которой проводится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Электронная площадка</w:t>
            </w:r>
            <w:r>
              <w:t xml:space="preserve">: </w:t>
            </w:r>
            <w:r>
              <w:t xml:space="preserve"> Росэлторг</w:t>
            </w:r>
            <w:r>
              <w:rPr>
                <w:lang w:eastAsia="en-US"/>
              </w:rPr>
              <w:t xml:space="preserve"> </w:t>
            </w:r>
            <w:hyperlink r:id="rId13" w:tooltip="msp.roseltorg.ru" w:history="1">
              <w:r>
                <w:t xml:space="preserve">corp.roseltorg.ru</w:t>
              </w:r>
            </w:hyperlink>
            <w:r>
              <w:rPr>
                <w:b/>
                <w:bCs/>
                <w:sz w:val="20"/>
                <w:szCs w:val="20"/>
                <w14:ligatures w14:val="none"/>
              </w:rPr>
            </w:r>
            <w:r/>
          </w:p>
          <w:p>
            <w:pPr>
              <w:pStyle w:val="1122"/>
              <w:rPr>
                <w:i/>
                <w:sz w:val="20"/>
                <w:szCs w:val="20"/>
                <w:shd w:val="clear" w:color="auto" w:fill="ffff99"/>
                <w14:ligatures w14:val="none"/>
              </w:rPr>
            </w:pPr>
            <w: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t xml:space="preserve">https://www.roseltorg.ru/knowledge_db/docs?55</w:t>
              </w:r>
            </w:hyperlink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4" w:name="_Ref125360970"/>
            <w:r/>
            <w:bookmarkEnd w:id="1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Участники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Участвовать в закупке могут т</w:t>
            </w:r>
            <w:r>
              <w:t xml:space="preserve">олько</w:t>
            </w:r>
            <w:r>
              <w:t xml:space="preserve"> субъекты МСП, а также</w:t>
            </w:r>
            <w:r>
              <w:t xml:space="preserve"> физически</w:t>
            </w:r>
            <w:r>
              <w:t xml:space="preserve">е</w:t>
            </w:r>
            <w:r>
              <w:t xml:space="preserve"> лиц</w:t>
            </w:r>
            <w:r>
              <w:t xml:space="preserve">а</w:t>
            </w:r>
            <w:r>
              <w:t xml:space="preserve">, не</w:t>
            </w:r>
            <w:r>
              <w:t xml:space="preserve"> </w:t>
            </w:r>
            <w: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При этом Участник вправе привлекать субподрядчиков (соисполнителей), в том числе не</w:t>
            </w:r>
            <w:r>
              <w:t xml:space="preserve"> </w:t>
            </w:r>
            <w: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Проекта Договора (Приложение № 2)</w:t>
              </w:r>
            </w:hyperlink>
            <w:r>
              <w:t xml:space="preserve"> прямого запрета на привлечение к</w:t>
            </w:r>
            <w:r>
              <w:t xml:space="preserve"> </w:t>
            </w:r>
            <w:r>
              <w:t xml:space="preserve">исполнению обязательств по Договору третьих лиц).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5" w:name="_Ref125360988"/>
            <w:r/>
            <w:bookmarkEnd w:id="1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Заказчик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Почтовый адрес: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hyperlink r:id="rId15" w:tooltip="mailto:dgk@dgk.ru" w:history="1">
              <w:r>
                <w:rPr>
                  <w:lang w:val="en-US"/>
                </w:rPr>
                <w:t xml:space="preserve">dgk</w:t>
              </w:r>
              <w:r>
                <w:t xml:space="preserve">@</w:t>
              </w:r>
              <w:r>
                <w:rPr>
                  <w:lang w:val="en-US"/>
                </w:rPr>
                <w:t xml:space="preserve">dgk</w:t>
              </w:r>
              <w:r>
                <w:t xml:space="preserve">.</w:t>
              </w:r>
              <w:r>
                <w:rPr>
                  <w:lang w:val="en-US"/>
                </w:rPr>
                <w:t xml:space="preserve">ru</w:t>
              </w:r>
            </w:hyperlink>
            <w: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ind w:firstLine="0"/>
              <w:spacing w:before="60" w:after="60" w:line="240" w:lineRule="auto"/>
              <w:rPr>
                <w:i/>
                <w:sz w:val="22"/>
                <w:szCs w:val="22"/>
              </w:rPr>
            </w:pPr>
            <w:r>
              <w:t xml:space="preserve">По вопросу заключения Договора обращаться к  </w:t>
            </w:r>
            <w:r>
              <w:rPr>
                <w:lang w:eastAsia="en-US"/>
              </w:rPr>
              <w:t xml:space="preserve">Ведущему инженеру ОППР СП «Хабаровская ТЭЦ-1» - Коломин Олег Станиславович, тел. +7(4212) 26-51-39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6" w:name="_Ref125360954"/>
            <w:r/>
            <w:bookmarkEnd w:id="1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Организатор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Почтовый адрес: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r>
              <w:t xml:space="preserve">muraveva-sb@dgk.ru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b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7" w:name="_Ref125361238"/>
            <w:r/>
            <w:bookmarkEnd w:id="1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Представитель Организатора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i w:val="0"/>
                <w:szCs w:val="20"/>
                <w:shd w:val="clear" w:color="auto" w:fill="auto"/>
                <w14:ligatures w14:val="none"/>
              </w:rPr>
            </w:pPr>
            <w:r>
              <w:t xml:space="preserve">По вопросам организации и проведения закупочной процедуры:  начальник отдела проведения закупок работ и услуг АО «ДГК» Муравьева Светлана Борисовна, контактный телефон (4212) 26-46-09, адрес электронной почты: </w:t>
            </w:r>
            <w:r>
              <w:t xml:space="preserve">muraveva</w:t>
            </w:r>
            <w:hyperlink r:id="rId16" w:tooltip="mailto:-sb@dgk.ru" w:history="1">
              <w:r>
                <w:t xml:space="preserve">-sb@dgk.ru</w:t>
              </w:r>
            </w:hyperlink>
            <w:r>
              <w:rPr>
                <w:i w:val="0"/>
                <w:szCs w:val="20"/>
                <w:shd w:val="clear" w:color="auto" w:fill="auto"/>
                <w14:ligatures w14:val="none"/>
              </w:rPr>
              <w:t xml:space="preserve"> </w:t>
            </w:r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8" w:name="_Ref125362694"/>
            <w:r/>
            <w:bookmarkEnd w:id="1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Официальный источник размещения информации о проведении закупки</w:t>
            </w:r>
            <w:r>
              <w:t xml:space="preserve"> / с</w:t>
            </w:r>
            <w:r>
              <w:t xml:space="preserve">рок, место и порядок предоставления Документации о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Документация о закупке официально размещена </w:t>
            </w:r>
            <w:r>
              <w:t xml:space="preserve">в </w:t>
            </w:r>
            <w:r>
              <w:t xml:space="preserve">ЕИС</w:t>
            </w:r>
            <w:r>
              <w:t xml:space="preserve"> </w:t>
            </w:r>
            <w:r>
              <w:t xml:space="preserve">и доступна</w:t>
            </w:r>
            <w:r>
              <w:t xml:space="preserve"> на Официальном сайте </w:t>
            </w:r>
            <w:r>
              <w:t xml:space="preserve">для</w:t>
            </w:r>
            <w:r>
              <w:t xml:space="preserve"> </w:t>
            </w:r>
            <w:r>
              <w:t xml:space="preserve">ознакомления любым заинтересованным лицам.</w:t>
            </w:r>
            <w:r>
              <w:t xml:space="preserve"> </w:t>
            </w:r>
            <w:r>
              <w:t xml:space="preserve">Официальным источником информации о</w:t>
            </w:r>
            <w:r>
              <w:t xml:space="preserve"> </w:t>
            </w:r>
            <w:r>
              <w:t xml:space="preserve">ходе проведения закупки является</w:t>
            </w:r>
            <w:r>
              <w:t xml:space="preserve"> Официальный сайт </w:t>
            </w:r>
            <w:r>
              <w:t xml:space="preserve">(</w:t>
            </w:r>
            <w:r>
              <w:t xml:space="preserve">zakupki.gov.ru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Документация о закупке доступна</w:t>
            </w:r>
            <w:r>
              <w:t xml:space="preserve"> </w:t>
            </w:r>
            <w:r>
              <w:t xml:space="preserve">(</w:t>
            </w:r>
            <w:r>
              <w:t xml:space="preserve">без</w:t>
            </w:r>
            <w:r>
              <w:t xml:space="preserve"> </w:t>
            </w:r>
            <w:r>
              <w:t xml:space="preserve">взимания платы</w:t>
            </w:r>
            <w:r>
              <w:t xml:space="preserve">)</w:t>
            </w:r>
            <w:r>
              <w:t xml:space="preserve"> в форме электронного документа в</w:t>
            </w:r>
            <w:r>
              <w:t xml:space="preserve"> </w:t>
            </w:r>
            <w:r>
              <w:t xml:space="preserve">любое время с момента официального размещения Извещения.</w:t>
            </w:r>
            <w:r>
              <w:t xml:space="preserve"> </w:t>
            </w:r>
            <w:r>
              <w:t xml:space="preserve">Предоставление Документации о</w:t>
            </w:r>
            <w:r>
              <w:t xml:space="preserve"> </w:t>
            </w:r>
            <w:r>
              <w:t xml:space="preserve">закупке на</w:t>
            </w:r>
            <w:r>
              <w:t xml:space="preserve"> </w:t>
            </w:r>
            <w:r>
              <w:t xml:space="preserve">бумажном носителе не</w:t>
            </w:r>
            <w:r>
              <w:t xml:space="preserve"> </w:t>
            </w:r>
            <w:r>
              <w:t xml:space="preserve">предусмотрено.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9" w:name="_Ref125360963"/>
            <w:r/>
            <w:bookmarkEnd w:id="1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размещения Извещения о проведении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«04»</w:t>
            </w:r>
            <w:r>
              <w:t xml:space="preserve"> </w:t>
            </w:r>
            <w:r>
              <w:t xml:space="preserve">марта 2026 г.</w:t>
            </w:r>
            <w:r/>
          </w:p>
          <w:p>
            <w:pPr>
              <w:pStyle w:val="1122"/>
              <w:rPr>
                <w:rStyle w:val="1127"/>
              </w:rPr>
            </w:pPr>
            <w:r>
              <w:rPr>
                <w:rStyle w:val="1127"/>
              </w:rPr>
            </w:r>
            <w:r>
              <w:rPr>
                <w:rStyle w:val="1127"/>
              </w:rPr>
            </w:r>
            <w:r>
              <w:rPr>
                <w:rStyle w:val="1127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0" w:name="_Ref125362837"/>
            <w:r/>
            <w:bookmarkEnd w:id="2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Начальная (максимальная) цена договора (цена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НМЦ составляет </w:t>
            </w:r>
            <w:r>
              <w:t xml:space="preserve">4 995 995,00 руб., без учета НДС.</w:t>
            </w:r>
            <w:r/>
          </w:p>
          <w:p>
            <w:pPr>
              <w:pStyle w:val="1122"/>
            </w:pPr>
            <w:r>
              <w:t xml:space="preserve">Сведения о начальной (максимальной) цене единицы продукции, необходимые для применения </w:t>
            </w:r>
            <w:r>
              <w:t xml:space="preserve">законодательства о национальном режиме</w:t>
            </w:r>
            <w:r>
              <w:t xml:space="preserve"> </w:t>
            </w:r>
            <w:r>
              <w:t xml:space="preserve">(</w:t>
            </w:r>
            <w: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Обоснование НМЦ </w:t>
            </w:r>
            <w: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46"/>
                </w:rPr>
                <w:t xml:space="preserve">Приложени</w:t>
              </w:r>
              <w:r>
                <w:rPr>
                  <w:rStyle w:val="1146"/>
                </w:rPr>
                <w:t xml:space="preserve">и</w:t>
              </w:r>
              <w:r>
                <w:rPr>
                  <w:rStyle w:val="1146"/>
                </w:rPr>
                <w:t xml:space="preserve"> №</w:t>
              </w:r>
              <w:r>
                <w:rPr>
                  <w:rStyle w:val="1146"/>
                </w:rPr>
                <w:t xml:space="preserve"> </w:t>
              </w:r>
              <w:r>
                <w:rPr>
                  <w:rStyle w:val="1146"/>
                </w:rPr>
                <w:t xml:space="preserve">9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1" w:name="_Ref125363076"/>
            <w:r/>
            <w:bookmarkEnd w:id="2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Обеспечение заявки на</w:t>
            </w:r>
            <w:r>
              <w:t xml:space="preserve"> </w:t>
            </w:r>
            <w:r>
              <w:t xml:space="preserve">участие в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highlight w:val="none"/>
              </w:rPr>
            </w:pPr>
            <w:r>
              <w:t xml:space="preserve">Не требуется.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122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1122"/>
              <w:rPr>
                <w:rStyle w:val="1127"/>
                <w:i w:val="0"/>
                <w:iCs w:val="0"/>
                <w:shd w:val="clear" w:color="auto" w:fill="auto"/>
              </w:rPr>
            </w:pP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размере не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соответствии с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тарифами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ператора ЭП.</w:t>
            </w:r>
            <w:r>
              <w:rPr>
                <w:rStyle w:val="1127"/>
                <w:i w:val="0"/>
                <w:iCs w:val="0"/>
                <w:shd w:val="clear" w:color="auto" w:fill="auto"/>
              </w:rPr>
            </w:r>
            <w:r>
              <w:rPr>
                <w:rStyle w:val="1127"/>
                <w:i w:val="0"/>
                <w:iCs w:val="0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2" w:name="_Ref125362995"/>
            <w:r/>
            <w:bookmarkEnd w:id="2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Требования</w:t>
            </w:r>
            <w:r>
              <w:br/>
            </w:r>
            <w:r>
              <w:t xml:space="preserve">к</w:t>
            </w:r>
            <w:r>
              <w:t xml:space="preserve"> </w:t>
            </w:r>
            <w:r>
              <w:t xml:space="preserve">описанию</w:t>
            </w:r>
            <w:r>
              <w:t xml:space="preserve"> </w:t>
            </w:r>
            <w:r>
              <w:t xml:space="preserve">продукции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С</w:t>
            </w:r>
            <w:r>
              <w:t xml:space="preserve">огласие (декларация) Участника на поставку продукции</w:t>
            </w:r>
            <w:r>
              <w:t xml:space="preserve"> </w:t>
            </w:r>
            <w:r>
              <w:t xml:space="preserve">по </w:t>
            </w:r>
            <w:r>
              <w:t xml:space="preserve">установленной </w:t>
            </w:r>
            <w:r>
              <w:t xml:space="preserve">форме Технического предложения</w:t>
            </w:r>
            <w:r>
              <w:t xml:space="preserve"> (форма </w:t>
            </w:r>
            <w:r>
              <w:t xml:space="preserve">4</w:t>
            </w:r>
            <w:r>
              <w:t xml:space="preserve">)</w:t>
            </w:r>
            <w:r>
              <w:t xml:space="preserve">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</w:t>
              </w:r>
              <w:r>
                <w:rPr>
                  <w:rStyle w:val="1146"/>
                </w:rPr>
                <w:t xml:space="preserve">4</w:t>
              </w:r>
            </w:hyperlink>
            <w:r>
              <w:t xml:space="preserve">) </w:t>
            </w:r>
            <w:r>
              <w:t xml:space="preserve">на</w:t>
            </w:r>
            <w:r>
              <w:t xml:space="preserve"> </w:t>
            </w:r>
            <w:r>
              <w:t xml:space="preserve">условиях, указанных в</w:t>
            </w:r>
            <w:r>
              <w:t xml:space="preserve"> </w:t>
            </w:r>
            <w:r>
              <w:t xml:space="preserve">Документации о закупке</w:t>
            </w:r>
            <w:r>
              <w:t xml:space="preserve"> и не</w:t>
            </w:r>
            <w:r>
              <w:t xml:space="preserve"> </w:t>
            </w:r>
            <w:r>
              <w:t xml:space="preserve">подлежащих изменению по результатам проведения закупки, без</w:t>
            </w:r>
            <w:r>
              <w:t xml:space="preserve"> </w:t>
            </w:r>
            <w:r>
              <w:t xml:space="preserve">направления Участником собственных подробных предложений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Применение законодательства о</w:t>
            </w:r>
            <w:r>
              <w:t xml:space="preserve"> </w:t>
            </w:r>
            <w:r>
              <w:t xml:space="preserve">национальном режиме: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14:ligatures w14:val="none"/>
              </w:rPr>
            </w:pPr>
            <w:r>
              <w:t xml:space="preserve">Национальный режим предоставляется.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1122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3" w:name="_Ref125475086"/>
            <w:r/>
            <w:bookmarkEnd w:id="2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Место </w:t>
            </w:r>
            <w:r>
              <w:t xml:space="preserve">и порядок</w:t>
            </w:r>
            <w:r>
              <w:br/>
            </w:r>
            <w:r>
              <w:t xml:space="preserve">подачи</w:t>
            </w:r>
            <w:r>
              <w:t xml:space="preserve"> </w:t>
            </w:r>
            <w:r>
              <w:t xml:space="preserve">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Заявки подаются </w:t>
            </w:r>
            <w:r>
              <w:t xml:space="preserve">посредством функционала ЭП, </w:t>
            </w:r>
            <w:r>
              <w:t xml:space="preserve">по</w:t>
            </w:r>
            <w:r>
              <w:t xml:space="preserve"> </w:t>
            </w:r>
            <w:r>
              <w:t xml:space="preserve">адресу ЭП, указанному 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Заявка должна состоять из двух частей и ценового предложения.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4" w:name="_Ref125360779"/>
            <w:r/>
            <w:bookmarkEnd w:id="2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начала</w:t>
            </w:r>
            <w:r>
              <w:t xml:space="preserve">;</w:t>
            </w:r>
            <w:r>
              <w:t xml:space="preserve"> дата и время окончания срока подачи 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Дата начала подачи заявок:</w:t>
            </w:r>
            <w:r/>
          </w:p>
          <w:p>
            <w:pPr>
              <w:pStyle w:val="1122"/>
            </w:pPr>
            <w:r>
              <w:t xml:space="preserve">«04»</w:t>
            </w:r>
            <w:r>
              <w:t xml:space="preserve"> </w:t>
            </w:r>
            <w:r>
              <w:t xml:space="preserve">марта 2026 г.</w:t>
            </w:r>
            <w:r/>
          </w:p>
          <w:p>
            <w:pPr>
              <w:pStyle w:val="1122"/>
            </w:pPr>
            <w:r>
              <w:t xml:space="preserve">Дата и время окончания срока подачи заявок:</w:t>
            </w:r>
            <w:r/>
          </w:p>
          <w:p>
            <w:pPr>
              <w:pStyle w:val="1122"/>
            </w:pPr>
            <w:r>
              <w:t xml:space="preserve">«13»</w:t>
            </w:r>
            <w:r>
              <w:t xml:space="preserve"> </w:t>
            </w:r>
            <w:r>
              <w:t xml:space="preserve">марта 2026 г. в 11ч. 00 мин.</w:t>
            </w:r>
            <w:r/>
          </w:p>
          <w:p>
            <w:pPr>
              <w:pStyle w:val="1122"/>
            </w:pPr>
            <w:r>
              <w:t xml:space="preserve">(по местному времени Организатора).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Срок предоставления Участникам разъяснений Документации о</w:t>
            </w:r>
            <w:r>
              <w:t xml:space="preserve"> </w:t>
            </w:r>
            <w:r>
              <w:t xml:space="preserve">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Дата и время окончания срока предоставления разъяснений:</w:t>
            </w:r>
            <w:r/>
          </w:p>
          <w:p>
            <w:pPr>
              <w:pStyle w:val="1122"/>
            </w:pPr>
            <w:r>
              <w:t xml:space="preserve">«13» марта 2026 г. в 11 ч. 00 мин.</w:t>
            </w:r>
            <w:r/>
          </w:p>
          <w:p>
            <w:pPr>
              <w:pStyle w:val="1122"/>
            </w:pPr>
            <w:r>
              <w:t xml:space="preserve">(по местному времени Организатора).</w:t>
            </w:r>
            <w:r/>
          </w:p>
          <w:p>
            <w:pPr>
              <w:pStyle w:val="1122"/>
            </w:pPr>
            <w:r>
              <w:t xml:space="preserve">Организатор вправе не предоставлять разъяснение </w:t>
            </w:r>
            <w:r>
              <w:t xml:space="preserve">е</w:t>
            </w:r>
            <w:r>
              <w:t xml:space="preserve">сли запрос от Участника поступил позднее чем за</w:t>
            </w:r>
            <w:r>
              <w:t xml:space="preserve"> </w:t>
            </w:r>
            <w:r>
              <w:t xml:space="preserve">3 (три) рабочих дня до даты окончания срока подачи заявок, установленной в пункте </w:t>
            </w:r>
            <w:r>
              <w:fldChar w:fldCharType="begin"/>
            </w:r>
            <w:r>
              <w:instrText xml:space="preserve"> REF _Ref125360779 \r \h  \* MERGEFORMAT </w:instrText>
            </w:r>
            <w:r>
              <w:fldChar w:fldCharType="separate"/>
            </w:r>
            <w:r>
              <w:t xml:space="preserve">1.2.17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5" w:name="_Ref125476197"/>
            <w:r/>
            <w:bookmarkEnd w:id="2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Место </w:t>
            </w:r>
            <w:r>
              <w:t xml:space="preserve">открытия</w:t>
            </w:r>
            <w:r>
              <w:br/>
            </w:r>
            <w:r>
              <w:t xml:space="preserve">доступа</w:t>
            </w:r>
            <w:r>
              <w:t xml:space="preserve"> </w:t>
            </w:r>
            <w:r>
              <w:t xml:space="preserve">к заявкам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Открытие доступа к заявкам осуществляется</w:t>
            </w:r>
            <w:r>
              <w:t xml:space="preserve"> автоматически на ЭП, расположенной по адресу согласно пункту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6" w:name="_Ref125362733"/>
            <w:r/>
            <w:bookmarkEnd w:id="2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первых частей </w:t>
            </w:r>
            <w:r>
              <w:t xml:space="preserve">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«20» марта 2026 г.</w:t>
            </w:r>
            <w:r/>
          </w:p>
          <w:p>
            <w:pPr>
              <w:pStyle w:val="1122"/>
              <w:rPr>
                <w:rStyle w:val="1127"/>
              </w:rPr>
            </w:pPr>
            <w:r>
              <w:rPr>
                <w:rStyle w:val="1127"/>
              </w:rPr>
            </w:r>
            <w:r>
              <w:rPr>
                <w:rStyle w:val="1127"/>
              </w:rPr>
            </w:r>
            <w:r>
              <w:rPr>
                <w:rStyle w:val="1127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Срок направления </w:t>
            </w:r>
            <w:r>
              <w:t xml:space="preserve">О</w:t>
            </w:r>
            <w:r>
              <w:t xml:space="preserve">ператором ЭП вторых частей заявок и ценовых предложений в адрес Организатора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Не позднее 1</w:t>
            </w:r>
            <w:r>
              <w:t xml:space="preserve"> </w:t>
            </w:r>
            <w:r>
              <w:t xml:space="preserve">(одного) рабочего дня, следующего за</w:t>
            </w:r>
            <w:r>
              <w:t xml:space="preserve"> </w:t>
            </w:r>
            <w:r>
              <w:t xml:space="preserve">днем официального размещения </w:t>
            </w:r>
            <w:r>
              <w:t xml:space="preserve">на Официальном сайте</w:t>
            </w:r>
            <w:r>
              <w:t xml:space="preserve"> </w:t>
            </w:r>
            <w:r>
              <w:t xml:space="preserve">(</w:t>
            </w:r>
            <w:r>
              <w:t xml:space="preserve">ЕИС</w:t>
            </w:r>
            <w:r>
              <w:t xml:space="preserve">)</w:t>
            </w:r>
            <w:r>
              <w:t xml:space="preserve"> протокола рассмотрения первых частей заявок.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7" w:name="_Ref132898515"/>
            <w:r/>
            <w:bookmarkEnd w:id="2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вторых частей </w:t>
            </w:r>
            <w:r>
              <w:t xml:space="preserve">заявок</w:t>
            </w:r>
            <w:r>
              <w:t xml:space="preserve"> и ценовых предложений: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«06» апреля 2026 г.</w:t>
            </w:r>
            <w:r/>
          </w:p>
          <w:p>
            <w:pPr>
              <w:pStyle w:val="1122"/>
            </w:pPr>
            <w:r>
              <w:rPr>
                <w:rStyle w:val="1127"/>
              </w:rPr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8" w:name="_Ref125362757"/>
            <w:r/>
            <w:bookmarkEnd w:id="2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подведения</w:t>
            </w:r>
            <w:r>
              <w:br/>
            </w:r>
            <w:r>
              <w:t xml:space="preserve">итогов</w:t>
            </w:r>
            <w:r>
              <w:t xml:space="preserve"> </w:t>
            </w:r>
            <w:r>
              <w:t xml:space="preserve">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«06» апреля 2026 г.</w:t>
            </w:r>
            <w:r/>
          </w:p>
          <w:p>
            <w:pPr>
              <w:pStyle w:val="1122"/>
              <w:rPr>
                <w:rStyle w:val="1127"/>
              </w:rPr>
            </w:pPr>
            <w:r>
              <w:rPr>
                <w:rStyle w:val="1127"/>
              </w:rPr>
            </w:r>
            <w:r>
              <w:rPr>
                <w:rStyle w:val="1127"/>
              </w:rPr>
            </w:r>
            <w:r>
              <w:rPr>
                <w:rStyle w:val="1127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9" w:name="_Ref125366047"/>
            <w:r/>
            <w:bookmarkEnd w:id="2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Преференция продукции, изготовленной с</w:t>
            </w:r>
            <w:r>
              <w:t xml:space="preserve"> </w:t>
            </w:r>
            <w:r>
              <w:t xml:space="preserve">использованием российского алюминия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алюминиевых полуфабрикатов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Не предоставляется</w:t>
            </w:r>
            <w:r>
              <w:t xml:space="preserve">.</w:t>
            </w:r>
            <w:r/>
          </w:p>
          <w:p>
            <w:pPr>
              <w:pStyle w:val="1152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0" w:name="_Ref125361769"/>
            <w:r/>
            <w:bookmarkEnd w:id="3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Рассмотрение</w:t>
            </w:r>
            <w:r>
              <w:t xml:space="preserve">,</w:t>
            </w:r>
            <w:r>
              <w:t xml:space="preserve"> оценка</w:t>
            </w:r>
            <w:r>
              <w:t xml:space="preserve"> и сопоставление</w:t>
            </w:r>
            <w:r>
              <w:t xml:space="preserve"> заявок Участников с</w:t>
            </w:r>
            <w:r>
              <w:t xml:space="preserve"> </w:t>
            </w:r>
            <w:r>
              <w:t xml:space="preserve">учетом привлекаемых субподрядчиков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2"/>
            </w:pPr>
            <w:r/>
            <w:r/>
          </w:p>
          <w:p>
            <w:pPr>
              <w:pStyle w:val="1122"/>
            </w:pPr>
            <w:r>
              <w:t xml:space="preserve">Не предусмотрено.</w:t>
            </w:r>
            <w:r/>
          </w:p>
          <w:p>
            <w:pPr>
              <w:pStyle w:val="1152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Порядок подведения итогов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t xml:space="preserve"> </w:t>
            </w:r>
            <w:r>
              <w:t xml:space="preserve">закупке и содержит лучшие условия исполнения Договора на основании </w:t>
            </w:r>
            <w:r>
              <w:t xml:space="preserve">установленных критериев оценки согласно Документации о закупке.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1" w:name="_Ref125366606"/>
            <w:r/>
            <w:bookmarkEnd w:id="3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Количество победителей закупки (в рамках одного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2"/>
            </w:pPr>
            <w:r/>
            <w:r/>
          </w:p>
          <w:p>
            <w:pPr>
              <w:pStyle w:val="1122"/>
            </w:pPr>
            <w:r>
              <w:t xml:space="preserve">Один победитель.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2" w:name="_Ref125366813"/>
            <w:r/>
            <w:bookmarkEnd w:id="3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Место подачи документов в отношении цепочки собственников, включая конечных бенефициаров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i/>
                <w:sz w:val="22"/>
                <w:szCs w:val="22"/>
                <w14:ligatures w14:val="none"/>
              </w:rPr>
            </w:pPr>
            <w:r>
              <w:t xml:space="preserve">Контактное лицо (Ф.И.О.):</w:t>
            </w:r>
            <w:r>
              <w:t xml:space="preserve"> -</w:t>
            </w:r>
            <w:r>
              <w:t xml:space="preserve"> </w:t>
            </w:r>
            <w:r>
              <w:t xml:space="preserve">Ведущий инженер ОППР </w:t>
            </w:r>
            <w:r>
              <w:t xml:space="preserve">СП «Хабаровская ТЭЦ-1» </w:t>
            </w:r>
            <w:r>
              <w:t xml:space="preserve">- </w:t>
            </w:r>
            <w:r>
              <w:rPr>
                <w:lang w:eastAsia="en-US"/>
              </w:rPr>
              <w:t xml:space="preserve">Коломин Олег Станиславович, тел. +7(4212) 26-51-39</w:t>
            </w:r>
            <w:r>
              <w:rPr>
                <w:i/>
                <w:sz w:val="22"/>
                <w:szCs w:val="22"/>
                <w14:ligatures w14:val="none"/>
              </w:rPr>
              <w:t xml:space="preserve">,</w:t>
            </w:r>
            <w:r>
              <w:rPr>
                <w:i/>
                <w:sz w:val="22"/>
                <w:szCs w:val="22"/>
                <w14:ligatures w14:val="none"/>
              </w:rPr>
            </w:r>
            <w:r>
              <w:rPr>
                <w:i/>
                <w:sz w:val="22"/>
                <w:szCs w:val="22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rPr>
                <w:i/>
                <w:sz w:val="22"/>
                <w:lang w:eastAsia="en-US"/>
                <w14:ligatures w14:val="none"/>
              </w:rPr>
            </w:pPr>
            <w:r>
              <w:t xml:space="preserve">Почтовый адрес</w:t>
            </w:r>
            <w:r>
              <w:t xml:space="preserve">:</w:t>
            </w:r>
            <w:r>
              <w:rPr>
                <w:lang w:eastAsia="en-US"/>
              </w:rPr>
              <w:t xml:space="preserve">680015, </w:t>
            </w:r>
            <w:r>
              <w:rPr>
                <w:lang w:eastAsia="en-US"/>
              </w:rPr>
              <w:t xml:space="preserve">Хабаровский край, </w:t>
            </w:r>
            <w:r>
              <w:rPr>
                <w:i/>
                <w:sz w:val="22"/>
                <w:lang w:eastAsia="en-US"/>
                <w14:ligatures w14:val="none"/>
              </w:rPr>
            </w:r>
            <w:r>
              <w:rPr>
                <w:i/>
                <w:sz w:val="22"/>
                <w:lang w:eastAsia="en-US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rPr>
                <w14:ligatures w14:val="none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  <w:t xml:space="preserve">г. Хабаровск, ул. Узловая, 15а,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3" w:name="_Ref125368490"/>
            <w:r/>
            <w:bookmarkEnd w:id="3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Некритичные пункты </w:t>
            </w:r>
            <w:r>
              <w:t xml:space="preserve">П</w:t>
            </w:r>
            <w:r>
              <w:t xml:space="preserve">роекта </w:t>
            </w:r>
            <w:r>
              <w:t xml:space="preserve">д</w:t>
            </w:r>
            <w:r>
              <w:t xml:space="preserve">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Отсутствуют.</w:t>
            </w:r>
            <w:r/>
          </w:p>
          <w:p>
            <w:pPr>
              <w:pStyle w:val="1152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Обеспечение</w:t>
            </w:r>
            <w:r>
              <w:br/>
            </w:r>
            <w:r>
              <w:t xml:space="preserve">исполнения</w:t>
            </w:r>
            <w:r>
              <w:t xml:space="preserve"> </w:t>
            </w:r>
            <w:r>
              <w:t xml:space="preserve">Договора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2"/>
            </w:pPr>
            <w:r/>
            <w:r/>
          </w:p>
          <w:p>
            <w:pPr>
              <w:pStyle w:val="1122"/>
            </w:pPr>
            <w:r>
              <w:t xml:space="preserve">Не требуется</w:t>
            </w:r>
            <w:r>
              <w:t xml:space="preserve">.</w:t>
            </w:r>
            <w:r/>
          </w:p>
        </w:tc>
      </w:tr>
    </w:tbl>
    <w:p>
      <w:pPr>
        <w:pStyle w:val="1116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17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18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18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18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Приложении № 2</w:t>
        </w:r>
      </w:hyperlink>
      <w:r>
        <w:t xml:space="preserve">.</w:t>
      </w:r>
      <w:r/>
    </w:p>
    <w:p>
      <w:pPr>
        <w:pStyle w:val="1118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46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№</w:t>
        </w:r>
        <w:r>
          <w:rPr>
            <w:rStyle w:val="1146"/>
          </w:rPr>
          <w:t xml:space="preserve"> </w:t>
        </w:r>
        <w:r>
          <w:rPr>
            <w:rStyle w:val="1146"/>
          </w:rPr>
          <w:t xml:space="preserve">5</w:t>
        </w:r>
      </w:hyperlink>
      <w:r>
        <w:t xml:space="preserve">.</w:t>
      </w:r>
      <w:r/>
    </w:p>
    <w:p>
      <w:pPr>
        <w:pStyle w:val="1117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18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18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18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18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18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18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18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18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17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18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18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18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19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19"/>
      </w:pPr>
      <w:r>
        <w:t xml:space="preserve">признать заявление Участника необоснованным.</w:t>
      </w:r>
      <w:r/>
    </w:p>
    <w:p>
      <w:pPr>
        <w:pStyle w:val="1118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18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19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19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22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17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18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18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18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18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18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17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18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18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18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16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17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18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18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18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18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Приложении № 3</w:t>
        </w:r>
      </w:hyperlink>
      <w:r>
        <w:t xml:space="preserve">:</w:t>
      </w:r>
      <w:r/>
    </w:p>
    <w:p>
      <w:pPr>
        <w:pStyle w:val="1119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19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19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17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18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18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18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19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19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19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19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19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19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18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18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18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18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18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19"/>
      </w:pPr>
      <w:r>
        <w:t xml:space="preserve">принимать участие в этой же закупке самостоятельно;</w:t>
      </w:r>
      <w:r/>
    </w:p>
    <w:p>
      <w:pPr>
        <w:pStyle w:val="1119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22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18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Приложени</w:t>
        </w:r>
        <w:r>
          <w:rPr>
            <w:rStyle w:val="1146"/>
          </w:rPr>
          <w:t xml:space="preserve">е</w:t>
        </w:r>
        <w:r>
          <w:rPr>
            <w:rStyle w:val="1146"/>
          </w:rPr>
          <w:t xml:space="preserve"> № 3</w:t>
        </w:r>
      </w:hyperlink>
      <w:r>
        <w:rPr>
          <w:rStyle w:val="1146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18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18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17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18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18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18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19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19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18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19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22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18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</w:t>
        </w:r>
        <w:r>
          <w:rPr>
            <w:rStyle w:val="1146"/>
          </w:rPr>
          <w:t xml:space="preserve">8</w:t>
        </w:r>
        <w:r>
          <w:rPr>
            <w:rStyle w:val="1146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18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18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18"/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17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18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43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22"/>
      </w:pPr>
      <w:r/>
      <w:bookmarkStart w:id="75" w:name="_Ref125362061"/>
      <w:r/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7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18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18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18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18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17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18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18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18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46"/>
          </w:rPr>
          <w:t xml:space="preserve">Приложением № </w:t>
        </w:r>
        <w:r>
          <w:rPr>
            <w:rStyle w:val="1146"/>
          </w:rPr>
          <w:t xml:space="preserve">6</w:t>
        </w:r>
        <w:r>
          <w:rPr>
            <w:rStyle w:val="1146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.</w:t>
      </w:r>
      <w:r/>
    </w:p>
    <w:p>
      <w:pPr>
        <w:pStyle w:val="1118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46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18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18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18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18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18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18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18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18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18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18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18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требованиях (Приложение №</w:t>
        </w:r>
        <w:r>
          <w:rPr>
            <w:rStyle w:val="1146"/>
          </w:rPr>
          <w:t xml:space="preserve"> </w:t>
        </w:r>
        <w:r>
          <w:rPr>
            <w:rStyle w:val="1146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18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19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19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18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19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19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18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19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19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19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19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19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18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17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18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18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18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18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18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18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</w:t>
        </w:r>
        <w:r>
          <w:rPr>
            <w:rStyle w:val="1146"/>
          </w:rPr>
          <w:t xml:space="preserve">роекта </w:t>
        </w:r>
        <w:r>
          <w:rPr>
            <w:rStyle w:val="1146"/>
          </w:rPr>
          <w:t xml:space="preserve">д</w:t>
        </w:r>
        <w:r>
          <w:rPr>
            <w:rStyle w:val="1146"/>
          </w:rPr>
          <w:t xml:space="preserve">оговора</w:t>
        </w:r>
        <w:r>
          <w:rPr>
            <w:rStyle w:val="1146"/>
          </w:rPr>
          <w:t xml:space="preserve"> (Приложения № 2)</w:t>
        </w:r>
      </w:hyperlink>
      <w:r>
        <w:rPr>
          <w:rStyle w:val="1146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18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17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18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18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19"/>
      </w:pPr>
      <w:r>
        <w:t xml:space="preserve">рассмотрения первых частей заявок;</w:t>
      </w:r>
      <w:r/>
    </w:p>
    <w:p>
      <w:pPr>
        <w:pStyle w:val="1119"/>
      </w:pPr>
      <w:r>
        <w:t xml:space="preserve">рассмотрения вторых частей заявок и ценовых предложений;</w:t>
      </w:r>
      <w:r/>
    </w:p>
    <w:p>
      <w:pPr>
        <w:pStyle w:val="1119"/>
      </w:pPr>
      <w:r>
        <w:t xml:space="preserve">подведения итогов закупки;</w:t>
      </w:r>
      <w:r/>
    </w:p>
    <w:p>
      <w:pPr>
        <w:pStyle w:val="1122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18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18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18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17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18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18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18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18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18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18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18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17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18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18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18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17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18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18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17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18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18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46"/>
          </w:rPr>
          <w:t xml:space="preserve">О</w:t>
        </w:r>
        <w:r>
          <w:rPr>
            <w:rStyle w:val="1146"/>
          </w:rPr>
          <w:t xml:space="preserve">тборочным критериям</w:t>
        </w:r>
        <w:r>
          <w:rPr>
            <w:rStyle w:val="1146"/>
          </w:rPr>
          <w:t xml:space="preserve"> рассмотрения заявок (Приложение № </w:t>
        </w:r>
        <w:r>
          <w:rPr>
            <w:rStyle w:val="1146"/>
          </w:rPr>
          <w:t xml:space="preserve">7</w:t>
        </w:r>
        <w:r>
          <w:rPr>
            <w:rStyle w:val="1146"/>
          </w:rPr>
          <w:t xml:space="preserve">)</w:t>
        </w:r>
      </w:hyperlink>
      <w:r>
        <w:t xml:space="preserve">.</w:t>
      </w:r>
      <w:r/>
    </w:p>
    <w:p>
      <w:pPr>
        <w:pStyle w:val="1118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18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19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30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20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2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19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19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19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18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30"/>
        </w:rPr>
        <w:footnoteReference w:id="4"/>
      </w:r>
      <w:r>
        <w:t xml:space="preserve">:</w:t>
      </w:r>
      <w:r/>
    </w:p>
    <w:p>
      <w:pPr>
        <w:pStyle w:val="1119"/>
      </w:pPr>
      <w:r>
        <w:t xml:space="preserve">дата подписания протокола;</w:t>
      </w:r>
      <w:r/>
    </w:p>
    <w:p>
      <w:pPr>
        <w:pStyle w:val="111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19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19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19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18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17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18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17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18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18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46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18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18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19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19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19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19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22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18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19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30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20"/>
      </w:pPr>
      <w:r>
        <w:t xml:space="preserve">недостоверных сведений</w:t>
      </w:r>
      <w:r>
        <w:rPr>
          <w:rStyle w:val="1130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2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20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19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19"/>
      </w:pPr>
      <w:r>
        <w:t xml:space="preserve">несоответствие Участников требованиям Документации о закупке;</w:t>
      </w:r>
      <w:r/>
    </w:p>
    <w:p>
      <w:pPr>
        <w:pStyle w:val="1119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19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18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30"/>
        </w:rPr>
        <w:footnoteReference w:id="7"/>
      </w:r>
      <w:r>
        <w:t xml:space="preserve">:</w:t>
      </w:r>
      <w:r/>
    </w:p>
    <w:p>
      <w:pPr>
        <w:pStyle w:val="1119"/>
      </w:pPr>
      <w:r>
        <w:t xml:space="preserve">дата подписания протокола;</w:t>
      </w:r>
      <w:r/>
    </w:p>
    <w:p>
      <w:pPr>
        <w:pStyle w:val="111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19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19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19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18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17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18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19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20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20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20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19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19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30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18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18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18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18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18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17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18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Порядком и критериями оценки и сопоставления заявок (Приложение № </w:t>
        </w:r>
        <w:r>
          <w:rPr>
            <w:rStyle w:val="1146"/>
          </w:rPr>
          <w:t xml:space="preserve">8</w:t>
        </w:r>
        <w:r>
          <w:rPr>
            <w:rStyle w:val="1146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18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18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18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18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17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18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1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1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30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18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17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18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18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18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18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30"/>
        </w:rPr>
        <w:footnoteReference w:id="10"/>
      </w:r>
      <w:r>
        <w:t xml:space="preserve">:</w:t>
      </w:r>
      <w:bookmarkEnd w:id="157"/>
      <w:r/>
      <w:r/>
    </w:p>
    <w:p>
      <w:pPr>
        <w:pStyle w:val="1119"/>
      </w:pPr>
      <w:r>
        <w:t xml:space="preserve">дата подписания протокола;</w:t>
      </w:r>
      <w:r/>
    </w:p>
    <w:p>
      <w:pPr>
        <w:pStyle w:val="111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19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19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19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19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19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19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19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22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18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18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18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17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18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19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19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19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18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18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19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19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17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18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18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18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17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1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18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18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18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30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18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18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18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18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19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19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19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4.19.8(л)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4.19.14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19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19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19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19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18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18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18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4.20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18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18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18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19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19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Проектом договора</w:t>
        </w:r>
      </w:hyperlink>
      <w:r>
        <w:t xml:space="preserve">).</w:t>
      </w:r>
      <w:r/>
    </w:p>
    <w:p>
      <w:pPr>
        <w:pStyle w:val="1118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19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19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19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19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19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18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17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1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18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18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18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18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19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19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18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16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17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18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17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18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18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18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Приложением № </w:t>
        </w:r>
        <w:r>
          <w:rPr>
            <w:rStyle w:val="1146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18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Приложением № 5</w:t>
        </w:r>
      </w:hyperlink>
      <w:r>
        <w:t xml:space="preserve">.</w:t>
      </w:r>
      <w:r/>
    </w:p>
    <w:p>
      <w:pPr>
        <w:pStyle w:val="1118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30"/>
        </w:rPr>
        <w:footnoteReference w:id="12"/>
      </w:r>
      <w:r>
        <w:t xml:space="preserve">:</w:t>
      </w:r>
      <w:bookmarkEnd w:id="197"/>
      <w:r/>
      <w:r/>
    </w:p>
    <w:p>
      <w:pPr>
        <w:pStyle w:val="1119"/>
        <w:keepNext/>
      </w:pPr>
      <w:r>
        <w:t xml:space="preserve">для юридического лица:</w:t>
      </w:r>
      <w:r/>
    </w:p>
    <w:p>
      <w:pPr>
        <w:pStyle w:val="1120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20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20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19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19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19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18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18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18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19"/>
      </w:pPr>
      <w:r>
        <w:t xml:space="preserve">итоговый протокол по результатам закупки;</w:t>
      </w:r>
      <w:r/>
    </w:p>
    <w:p>
      <w:pPr>
        <w:pStyle w:val="1119"/>
      </w:pPr>
      <w:r>
        <w:t xml:space="preserve">Извещение и Документация о закупке со всеми изменениями;</w:t>
      </w:r>
      <w:r/>
    </w:p>
    <w:p>
      <w:pPr>
        <w:pStyle w:val="1119"/>
      </w:pPr>
      <w:r>
        <w:t xml:space="preserve">заявка Победителя со всеми дополнениями и разъяснениями.</w:t>
      </w:r>
      <w:r/>
    </w:p>
    <w:p>
      <w:pPr>
        <w:pStyle w:val="1118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18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18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18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18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17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18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19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19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19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Приложением № </w:t>
        </w:r>
        <w:r>
          <w:rPr>
            <w:rStyle w:val="1146"/>
          </w:rPr>
          <w:t xml:space="preserve">5</w:t>
        </w:r>
      </w:hyperlink>
      <w:r>
        <w:t xml:space="preserve">;</w:t>
      </w:r>
      <w:r/>
    </w:p>
    <w:p>
      <w:pPr>
        <w:pStyle w:val="1119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46"/>
          </w:rPr>
          <w:t xml:space="preserve">Приложения №</w:t>
        </w:r>
        <w:r>
          <w:rPr>
            <w:rStyle w:val="1146"/>
          </w:rPr>
          <w:t xml:space="preserve"> </w:t>
        </w:r>
        <w:r>
          <w:rPr>
            <w:rStyle w:val="1146"/>
          </w:rPr>
          <w:t xml:space="preserve">1 </w:t>
        </w:r>
        <w:r>
          <w:rPr>
            <w:rStyle w:val="1146"/>
          </w:rPr>
          <w:t xml:space="preserve">– </w:t>
        </w:r>
        <w:r>
          <w:rPr>
            <w:rStyle w:val="1146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19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19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22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16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/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17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18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16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17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18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18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18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18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22"/>
        <w:jc w:val="center"/>
      </w:pPr>
      <w:r/>
      <w:bookmarkStart w:id="231" w:name="_MON_1736255517"/>
      <w:r/>
      <w:bookmarkEnd w:id="231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17" o:title=""/>
          </v:shape>
          <o:OLEObject DrawAspect="Icon" r:id="rId18" ObjectID="_1525040" ProgID="Word.Document.12" ShapeID="_x0000_i0" Type="Embed"/>
        </w:object>
      </w:r>
      <w:r/>
    </w:p>
    <w:p>
      <w:pPr>
        <w:pStyle w:val="1122"/>
      </w:pPr>
      <w:r/>
      <w:r/>
    </w:p>
    <w:p>
      <w:pPr>
        <w:pStyle w:val="1122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17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18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17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2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46"/>
                </w:rPr>
                <w:t xml:space="preserve">Приложение №</w:t>
              </w:r>
              <w:r>
                <w:rPr>
                  <w:rStyle w:val="1146"/>
                </w:rPr>
                <w:t xml:space="preserve"> </w:t>
              </w:r>
              <w:r>
                <w:rPr>
                  <w:rStyle w:val="1146"/>
                </w:rPr>
                <w:t xml:space="preserve">1</w:t>
              </w:r>
              <w:r>
                <w:rPr>
                  <w:rStyle w:val="1146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46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30"/>
              </w:rPr>
              <w:footnoteReference w:id="13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30"/>
              </w:rPr>
              <w:footnoteReference w:id="14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17"/>
        <w:spacing w:after="120"/>
      </w:pPr>
      <w:r/>
      <w:bookmarkStart w:id="404" w:name="_Toc47"/>
      <w:r/>
      <w:bookmarkStart w:id="259" w:name="_Ref125361442"/>
      <w:r/>
      <w:bookmarkStart w:id="260" w:name="_Ref125361633"/>
      <w:r/>
      <w:bookmarkStart w:id="261" w:name="_Ref125361671"/>
      <w:r/>
      <w:bookmarkStart w:id="262" w:name="_Ref125361869"/>
      <w:r/>
      <w:bookmarkStart w:id="263" w:name="_Ref125361937"/>
      <w:r/>
      <w:bookmarkStart w:id="264" w:name="_Ref125365459"/>
      <w:r/>
      <w:bookmarkStart w:id="265" w:name="_Ref125367521"/>
      <w:r/>
      <w:bookmarkStart w:id="266" w:name="_Ref125367539"/>
      <w:r/>
      <w:bookmarkStart w:id="267" w:name="_Ref125368818"/>
      <w:r/>
      <w:bookmarkStart w:id="268" w:name="_Ref125368901"/>
      <w:r/>
      <w:bookmarkStart w:id="269" w:name="_Ref125368916"/>
      <w:r/>
      <w:bookmarkStart w:id="270" w:name="_Ref125369099"/>
      <w:r/>
      <w:bookmarkStart w:id="271" w:name="_Ref125370079"/>
      <w:r/>
      <w:bookmarkStart w:id="272" w:name="_Ref125709153"/>
      <w:r/>
      <w:bookmarkStart w:id="273" w:name="_Ref125709250"/>
      <w:r/>
      <w:bookmarkStart w:id="274" w:name="_Ref125709401"/>
      <w:r/>
      <w:bookmarkStart w:id="275" w:name="_Ref125709888"/>
      <w:r>
        <w:t xml:space="preserve">Специальные требования</w:t>
      </w:r>
      <w:bookmarkEnd w:id="259"/>
      <w:r/>
      <w:bookmarkEnd w:id="260"/>
      <w:r/>
      <w:bookmarkEnd w:id="261"/>
      <w:r/>
      <w:bookmarkEnd w:id="262"/>
      <w:r/>
      <w:bookmarkEnd w:id="263"/>
      <w:r/>
      <w:bookmarkEnd w:id="264"/>
      <w:r/>
      <w:bookmarkEnd w:id="265"/>
      <w:r/>
      <w:bookmarkEnd w:id="266"/>
      <w:r/>
      <w:bookmarkEnd w:id="267"/>
      <w:r/>
      <w:bookmarkEnd w:id="268"/>
      <w:r/>
      <w:bookmarkEnd w:id="269"/>
      <w:r/>
      <w:bookmarkEnd w:id="270"/>
      <w:r/>
      <w:bookmarkEnd w:id="271"/>
      <w:r/>
      <w:bookmarkEnd w:id="272"/>
      <w:r/>
      <w:bookmarkEnd w:id="273"/>
      <w:r/>
      <w:bookmarkEnd w:id="274"/>
      <w:r/>
      <w:bookmarkEnd w:id="275"/>
      <w:r/>
      <w:bookmarkEnd w:id="404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  <w:p>
            <w:pPr>
              <w:pStyle w:val="1122"/>
            </w:pPr>
            <w:r>
              <w:rPr>
                <w:lang w:val="en-US"/>
              </w:rPr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17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17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22"/>
      </w:pPr>
      <w:r/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17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18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16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17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18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17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18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18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22"/>
        <w:jc w:val="center"/>
      </w:pPr>
      <w:r/>
      <w:bookmarkStart w:id="312" w:name="_MON_1741074142"/>
      <w:r/>
      <w:bookmarkEnd w:id="312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19" o:title=""/>
          </v:shape>
          <o:OLEObject DrawAspect="Icon" r:id="rId20" ObjectID="_1525041" ProgID="Word.Document.12" ShapeID="_x0000_i1" Type="Embed"/>
        </w:object>
      </w:r>
      <w:r/>
    </w:p>
    <w:p>
      <w:pPr>
        <w:pStyle w:val="1117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18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18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18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18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22"/>
        <w:jc w:val="center"/>
        <w:spacing w:after="120"/>
      </w:pPr>
      <w:r/>
      <w:bookmarkStart w:id="315" w:name="_MON_1741074184"/>
      <w:r/>
      <w:bookmarkEnd w:id="315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21" o:title=""/>
          </v:shape>
          <o:OLEObject DrawAspect="Icon" r:id="rId22" ObjectID="_1525042" ProgID="Word.Document.12" ShapeID="_x0000_i2" Type="Embed"/>
        </w:object>
      </w:r>
      <w:r/>
    </w:p>
    <w:p>
      <w:pPr>
        <w:pStyle w:val="1116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17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18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</w:t>
        </w:r>
        <w:r>
          <w:rPr>
            <w:rStyle w:val="1146"/>
          </w:rPr>
          <w:t xml:space="preserve">и</w:t>
        </w:r>
        <w:r>
          <w:rPr>
            <w:rStyle w:val="1146"/>
          </w:rPr>
          <w:t xml:space="preserve">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4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Календарный график (форма 5);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rPr>
                <w:rStyle w:val="1146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</w:t>
              </w:r>
              <w:r>
                <w:rPr>
                  <w:rStyle w:val="1146"/>
                </w:rPr>
                <w:t xml:space="preserve">е</w:t>
              </w:r>
              <w:r>
                <w:rPr>
                  <w:rStyle w:val="1146"/>
                </w:rPr>
                <w:t xml:space="preserve"> и критери</w:t>
              </w:r>
              <w:r>
                <w:rPr>
                  <w:rStyle w:val="1146"/>
                </w:rPr>
                <w:t xml:space="preserve">ях</w:t>
              </w:r>
              <w:r>
                <w:rPr>
                  <w:rStyle w:val="1146"/>
                </w:rPr>
                <w:t xml:space="preserve"> оценки и сопоставления заявок</w:t>
              </w:r>
              <w:r>
                <w:rPr>
                  <w:rStyle w:val="1146"/>
                </w:rPr>
                <w:t xml:space="preserve"> (Приложение № </w:t>
              </w:r>
              <w:r>
                <w:rPr>
                  <w:rStyle w:val="1146"/>
                </w:rPr>
                <w:t xml:space="preserve">8</w:t>
              </w:r>
              <w:r>
                <w:rPr>
                  <w:rStyle w:val="1146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18"/>
        <w:rPr>
          <w:rStyle w:val="1127"/>
          <w:i w:val="0"/>
          <w:iCs w:val="0"/>
          <w:shd w:val="clear" w:color="auto" w:fill="auto"/>
        </w:rPr>
      </w:pPr>
      <w:r>
        <w:rPr>
          <w:rStyle w:val="1127"/>
          <w:i w:val="0"/>
          <w:iCs w:val="0"/>
          <w:shd w:val="clear" w:color="auto" w:fill="auto"/>
        </w:rPr>
        <w:t xml:space="preserve">Е</w:t>
      </w:r>
      <w:r>
        <w:rPr>
          <w:rStyle w:val="1127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27"/>
          <w:i w:val="0"/>
          <w:iCs w:val="0"/>
          <w:shd w:val="clear" w:color="auto" w:fill="auto"/>
        </w:rPr>
        <w:t xml:space="preserve"> </w:t>
      </w:r>
      <w:r>
        <w:rPr>
          <w:rStyle w:val="1127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27"/>
          <w:i w:val="0"/>
          <w:iCs w:val="0"/>
          <w:shd w:val="clear" w:color="auto" w:fill="auto"/>
        </w:rPr>
        <w:t xml:space="preserve"> </w:t>
      </w:r>
      <w:r>
        <w:rPr>
          <w:rStyle w:val="1127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27"/>
          <w:i w:val="0"/>
          <w:iCs w:val="0"/>
          <w:shd w:val="clear" w:color="auto" w:fill="auto"/>
        </w:rPr>
        <w:t xml:space="preserve"> </w:t>
      </w:r>
      <w:r>
        <w:rPr>
          <w:rStyle w:val="1127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22"/>
        <w:rPr>
          <w:rStyle w:val="1127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16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17"/>
        <w:spacing w:after="120"/>
        <w:rPr>
          <w:rStyle w:val="1127"/>
          <w:i w:val="0"/>
          <w:iCs w:val="0"/>
          <w:shd w:val="clear" w:color="auto" w:fill="auto"/>
        </w:rPr>
      </w:pPr>
      <w:r/>
      <w:bookmarkStart w:id="416" w:name="_Toc59"/>
      <w:r>
        <w:rPr>
          <w:rStyle w:val="1127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27"/>
          <w:i w:val="0"/>
          <w:iCs w:val="0"/>
          <w:shd w:val="clear" w:color="auto" w:fill="auto"/>
        </w:rPr>
        <w:t xml:space="preserve">первых частей </w:t>
      </w:r>
      <w:r>
        <w:rPr>
          <w:rStyle w:val="1127"/>
          <w:i w:val="0"/>
          <w:iCs w:val="0"/>
          <w:shd w:val="clear" w:color="auto" w:fill="auto"/>
        </w:rPr>
        <w:t xml:space="preserve">заявок</w:t>
      </w:r>
      <w:r>
        <w:rPr>
          <w:rStyle w:val="1127"/>
          <w:i w:val="0"/>
          <w:iCs w:val="0"/>
          <w:shd w:val="clear" w:color="auto" w:fill="auto"/>
        </w:rPr>
      </w:r>
      <w:bookmarkEnd w:id="416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rStyle w:val="114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Приложение № 6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4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Проекте договора (Приложение № 2)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17"/>
        <w:spacing w:after="120"/>
        <w:rPr>
          <w:rStyle w:val="1127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27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27"/>
          <w:i w:val="0"/>
          <w:iCs w:val="0"/>
          <w:shd w:val="clear" w:color="auto" w:fill="auto"/>
        </w:rPr>
      </w:r>
      <w:bookmarkEnd w:id="417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rStyle w:val="114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Приложение № 6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4.19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22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22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4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</w:t>
              </w:r>
              <w:r>
                <w:rPr>
                  <w:rStyle w:val="1146"/>
                </w:rPr>
                <w:t xml:space="preserve">х</w:t>
              </w:r>
              <w:r>
                <w:rPr>
                  <w:rStyle w:val="1146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17"/>
        <w:spacing w:after="120"/>
        <w:rPr>
          <w:rStyle w:val="1127"/>
          <w:i w:val="0"/>
          <w:iCs w:val="0"/>
          <w:shd w:val="clear" w:color="auto" w:fill="auto"/>
        </w:rPr>
      </w:pPr>
      <w:r/>
      <w:bookmarkStart w:id="418" w:name="_Toc61"/>
      <w:r>
        <w:rPr>
          <w:rStyle w:val="1127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27"/>
          <w:i w:val="0"/>
          <w:iCs w:val="0"/>
          <w:shd w:val="clear" w:color="auto" w:fill="auto"/>
        </w:rPr>
      </w:r>
      <w:bookmarkEnd w:id="418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22"/>
              <w:jc w:val="center"/>
              <w:rPr>
                <w:rStyle w:val="1146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Приложение № 6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</w:t>
              </w:r>
              <w:r>
                <w:rPr>
                  <w:rStyle w:val="1146"/>
                </w:rPr>
                <w:t xml:space="preserve">х</w:t>
              </w:r>
              <w:r>
                <w:rPr>
                  <w:rStyle w:val="1146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46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17"/>
        <w:rPr>
          <w:rStyle w:val="1127"/>
          <w:i w:val="0"/>
          <w:iCs w:val="0"/>
          <w:shd w:val="clear" w:color="auto" w:fill="auto"/>
        </w:rPr>
      </w:pPr>
      <w:r/>
      <w:bookmarkStart w:id="419" w:name="_Toc62"/>
      <w:r>
        <w:rPr>
          <w:rStyle w:val="1127"/>
          <w:i w:val="0"/>
          <w:iCs w:val="0"/>
          <w:shd w:val="clear" w:color="auto" w:fill="auto"/>
        </w:rPr>
        <w:t xml:space="preserve">Дополнительные</w:t>
      </w:r>
      <w:r>
        <w:rPr>
          <w:rStyle w:val="1127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27"/>
          <w:i w:val="0"/>
          <w:iCs w:val="0"/>
          <w:shd w:val="clear" w:color="auto" w:fill="auto"/>
        </w:rPr>
        <w:t xml:space="preserve">ок</w:t>
      </w:r>
      <w:r>
        <w:rPr>
          <w:rStyle w:val="1127"/>
          <w:i w:val="0"/>
          <w:iCs w:val="0"/>
          <w:shd w:val="clear" w:color="auto" w:fill="auto"/>
        </w:rPr>
        <w:t xml:space="preserve"> на соответстви</w:t>
      </w:r>
      <w:r>
        <w:rPr>
          <w:rStyle w:val="1127"/>
          <w:i w:val="0"/>
          <w:iCs w:val="0"/>
          <w:shd w:val="clear" w:color="auto" w:fill="auto"/>
        </w:rPr>
        <w:t xml:space="preserve">е</w:t>
      </w:r>
      <w:r>
        <w:rPr>
          <w:rStyle w:val="1127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27"/>
          <w:i w:val="0"/>
          <w:iCs w:val="0"/>
          <w:shd w:val="clear" w:color="auto" w:fill="auto"/>
        </w:rPr>
      </w:r>
      <w:bookmarkEnd w:id="419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22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rStyle w:val="1146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22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22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22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22"/>
      </w:pPr>
      <w:r/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17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18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Style w:val="1143"/>
        <w:tblW w:w="14603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532"/>
        <w:gridCol w:w="1269"/>
        <w:gridCol w:w="1594"/>
        <w:gridCol w:w="1701"/>
        <w:gridCol w:w="1842"/>
        <w:gridCol w:w="1988"/>
        <w:gridCol w:w="4677"/>
      </w:tblGrid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критерия оценки в</w:t>
            </w:r>
            <w:r>
              <w:rPr>
                <w:sz w:val="18"/>
                <w:szCs w:val="18"/>
                <w:lang w:val="en-US"/>
              </w:rPr>
              <w:t xml:space="preserve"> </w:t>
            </w:r>
            <w:r>
              <w:rPr>
                <w:sz w:val="18"/>
                <w:szCs w:val="18"/>
              </w:rPr>
              <w:t xml:space="preserve">структуре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критерия оценки / направление оценки заявок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329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Значимость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988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частного 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оценки предпочтительности заявки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критерий оценки первого уровня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критерий оценки второго уровня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842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98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Неценовой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критери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й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оценк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и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первог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о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уровня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договора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spacing w:before="0"/>
              <w:rPr>
                <w:rFonts w:eastAsia="Calibri"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rFonts w:eastAsia="Calibri"/>
                <w:i/>
                <w:sz w:val="20"/>
                <w:szCs w:val="20"/>
              </w:rPr>
            </w:r>
            <w:r>
              <w:rPr>
                <w:rFonts w:eastAsia="Calibri"/>
                <w:i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  <w:t xml:space="preserve">отсутствует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90%</w:t>
            </w:r>
            <w:r>
              <w:rPr>
                <w:sz w:val="20"/>
                <w:szCs w:val="20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1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= 0,90)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 меньше цена договора, тем выше предпочтительность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r/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оценки предпочтительности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частному критерию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методу: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rStyle w:val="1127"/>
                <w:rFonts w:eastAsiaTheme="minorEastAsia"/>
                <w:iCs w:val="0"/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m:oMathPara>
              <m:oMathParaPr/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i w:val="0"/>
                        <w:iCs w:val="0"/>
                        <w:sz w:val="18"/>
                        <w:szCs w:val="18"/>
                        <w:highlight w:val="white"/>
                      </w:rPr>
                    </m:ctrlPr>
                  </m:sSubPr>
                  <m:e>
                    <m:r>
                      <w:rPr>
                        <w:rStyle w:val="1127"/>
                        <w:rFonts w:ascii="Cambria Math" w:hAnsi="Cambria Math"/>
                        <w:sz w:val="18"/>
                        <w:szCs w:val="18"/>
                        <w:highlight w:val="white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Style w:val="1127"/>
                        <w:rFonts w:ascii="Cambria Math" w:hAnsi="Cambria Math"/>
                        <w:sz w:val="18"/>
                        <w:szCs w:val="18"/>
                        <w:highlight w:val="white"/>
                      </w:rPr>
                      <m:rPr>
                        <m:sty m:val="p"/>
                      </m:rPr>
                      <m:t>1</m:t>
                    </m:r>
                  </m:sub>
                </m:sSub>
                <m:r>
                  <w:rPr>
                    <w:rStyle w:val="1127"/>
                    <w:rFonts w:ascii="Cambria Math" w:hAnsi="Cambria Math"/>
                    <w:sz w:val="18"/>
                    <w:szCs w:val="18"/>
                    <w:highlight w:val="white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i w:val="0"/>
                        <w:iCs w:val="0"/>
                        <w:sz w:val="18"/>
                        <w:szCs w:val="18"/>
                        <w:highlight w:val="whit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 w:val="0"/>
                            <w:iCs w:val="0"/>
                            <w:sz w:val="18"/>
                            <w:szCs w:val="18"/>
                            <w:highlight w:val="white"/>
                          </w:rPr>
                        </m:ctrlPr>
                      </m:sSubPr>
                      <m:e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ЦЕНА</m:t>
                        </m:r>
                      </m:e>
                      <m:sub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 w:val="0"/>
                            <w:iCs w:val="0"/>
                            <w:sz w:val="18"/>
                            <w:szCs w:val="18"/>
                            <w:highlight w:val="white"/>
                          </w:rPr>
                        </m:ctrlPr>
                      </m:sSubPr>
                      <m:e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ЦЕНА</m:t>
                        </m:r>
                      </m:e>
                      <m:sub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i</m:t>
                        </m:r>
                      </m:sub>
                    </m:sSub>
                  </m:den>
                </m:f>
                <m:r>
                  <w:rPr>
                    <w:rStyle w:val="1127"/>
                    <w:rFonts w:ascii="Cambria Math" w:hAnsi="Cambria Math"/>
                    <w:sz w:val="18"/>
                    <w:szCs w:val="18"/>
                    <w:highlight w:val="white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Style w:val="1127"/>
                <w:rFonts w:eastAsiaTheme="minorEastAsia"/>
                <w:iCs w:val="0"/>
                <w:sz w:val="18"/>
                <w:szCs w:val="18"/>
                <w:highlight w:val="white"/>
              </w:rPr>
            </w:r>
            <w:r>
              <w:rPr>
                <w:rStyle w:val="1127"/>
                <w:rFonts w:eastAsiaTheme="minorEastAsia"/>
                <w:iCs w:val="0"/>
                <w:sz w:val="18"/>
                <w:szCs w:val="18"/>
                <w:highlight w:val="whit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где: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1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ра</w:t>
            </w:r>
            <w:r>
              <w:rPr>
                <w:sz w:val="18"/>
                <w:szCs w:val="18"/>
              </w:rPr>
              <w:t xml:space="preserve">ссчитанная оценка предпочтител</w:t>
            </w:r>
            <w:r>
              <w:rPr>
                <w:sz w:val="18"/>
                <w:szCs w:val="18"/>
              </w:rPr>
              <w:t xml:space="preserve">ьно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 данному частному критерию оценки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баллах;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i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цена договора (заявки), указанная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</w:t>
            </w:r>
            <w:r>
              <w:rPr>
                <w:sz w:val="18"/>
                <w:szCs w:val="18"/>
              </w:rPr>
              <w:t xml:space="preserve">явке </w:t>
            </w:r>
            <w:r>
              <w:rPr>
                <w:sz w:val="18"/>
                <w:szCs w:val="18"/>
              </w:rPr>
              <w:t xml:space="preserve">допущенного участника, руб. без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учета НДС;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min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минимальная цена догов</w:t>
            </w:r>
            <w:r>
              <w:rPr>
                <w:sz w:val="18"/>
                <w:szCs w:val="18"/>
              </w:rPr>
              <w:t xml:space="preserve">ора (з</w:t>
            </w:r>
            <w:r>
              <w:rPr>
                <w:sz w:val="18"/>
                <w:szCs w:val="18"/>
              </w:rPr>
              <w:t xml:space="preserve">аявки) </w:t>
            </w:r>
            <w:r>
              <w:rPr>
                <w:sz w:val="18"/>
                <w:szCs w:val="18"/>
              </w:rPr>
              <w:t xml:space="preserve">среди всех допущенных заявок участников, руб. </w:t>
            </w:r>
            <w:r>
              <w:rPr>
                <w:sz w:val="18"/>
                <w:szCs w:val="18"/>
              </w:rPr>
              <w:t xml:space="preserve">без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учета НДС;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</w:rPr>
                <m:rPr/>
                <m:t>Ш</m:t>
              </m:r>
            </m:oMath>
            <w:r>
              <w:rPr>
                <w:sz w:val="18"/>
                <w:szCs w:val="18"/>
              </w:rPr>
              <w:t xml:space="preserve"> – максимально возможный балл (максимальная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возможная оценка предпочтительности)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шкале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оценок</w:t>
            </w:r>
            <w:r>
              <w:rPr>
                <w:sz w:val="18"/>
                <w:szCs w:val="18"/>
              </w:rPr>
              <w:t xml:space="preserve"> (</w:t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</w:rPr>
                <m:rPr/>
                <m:t>Ш=5</m:t>
              </m:r>
            </m:oMath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  <w:highlight w:val="none"/>
                <w14:ligatures w14:val="none"/>
              </w:rPr>
            </w:r>
            <w:r>
              <w:rPr>
                <w:sz w:val="18"/>
                <w:szCs w:val="18"/>
                <w:highlight w:val="none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 учета НДС.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Шкала оценок от 0 до 5 баллов.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72"/>
        </w:trPr>
        <w:tc>
          <w:tcPr>
            <w:tcW w:w="153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Неценовой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критери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й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оценк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и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первог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о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уровня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ТЕХ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отсутствует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2</w:t>
            </w:r>
            <w:r>
              <w:rPr>
                <w:sz w:val="20"/>
                <w:szCs w:val="20"/>
              </w:rPr>
              <w:t xml:space="preserve"> = 0,05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before="0"/>
            </w:pPr>
            <w:r>
              <w:rPr>
                <w:sz w:val="18"/>
                <w:szCs w:val="18"/>
              </w:rPr>
              <w:t xml:space="preserve">Чем больше опыт выполнения аналогич</w:t>
            </w:r>
            <w:r>
              <w:rPr>
                <w:sz w:val="18"/>
                <w:szCs w:val="18"/>
              </w:rPr>
              <w:t xml:space="preserve">ных профилю закупки работ </w:t>
            </w:r>
            <w:r>
              <w:rPr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антикоррозийная защита оборудования</w:t>
            </w:r>
            <w:r/>
            <w:r>
              <w:rPr>
                <w:sz w:val="18"/>
                <w:szCs w:val="18"/>
              </w:rPr>
              <w:t xml:space="preserve"> за последние 5 лет, предшествующие дате подачи заявки, тем выше </w:t>
            </w:r>
            <w:r>
              <w:rPr>
                <w:sz w:val="18"/>
                <w:szCs w:val="18"/>
              </w:rPr>
              <w:t xml:space="preserve">предпочт</w:t>
            </w:r>
            <w:r>
              <w:rPr>
                <w:sz w:val="18"/>
                <w:szCs w:val="18"/>
              </w:rPr>
              <w:t xml:space="preserve">ительность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Для целей проведения оценки по данному критерию Участник должен предоставить в составе 2-ой части  заявки (в Справке об опыте </w:t>
            </w:r>
            <w:r>
              <w:rPr>
                <w:sz w:val="18"/>
                <w:szCs w:val="18"/>
                <w:lang w:eastAsia="ru-RU"/>
              </w:rPr>
              <w:t xml:space="preserve">Участника по установленной в Документации о закупке форме) сведения о ранее исполненных договорах, подтверждающих наличие </w:t>
            </w:r>
            <w:r>
              <w:rPr>
                <w:sz w:val="18"/>
                <w:szCs w:val="18"/>
                <w:lang w:eastAsia="ru-RU"/>
              </w:rPr>
              <w:t xml:space="preserve">у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Участника  опыта (в рамках одного или нескольких договоров) выполнения ра</w:t>
            </w:r>
            <w:r>
              <w:rPr>
                <w:sz w:val="18"/>
                <w:szCs w:val="18"/>
                <w:lang w:eastAsia="ru-RU"/>
              </w:rPr>
              <w:t xml:space="preserve">бот  </w:t>
            </w:r>
            <w:r>
              <w:rPr>
                <w:sz w:val="18"/>
                <w:szCs w:val="18"/>
                <w:lang w:eastAsia="ru-RU"/>
              </w:rPr>
              <w:t xml:space="preserve">за последние 5 лет,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sz w:val="18"/>
                <w:szCs w:val="18"/>
                <w:lang w:eastAsia="ru-RU"/>
              </w:rPr>
              <w:t xml:space="preserve">,</w:t>
            </w:r>
            <w:r>
              <w:rPr>
                <w:sz w:val="18"/>
                <w:szCs w:val="18"/>
                <w:lang w:eastAsia="ru-RU"/>
              </w:rPr>
              <w:t xml:space="preserve"> с приложением следующих подтверждающих документов: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56"/>
              <w:numPr>
                <w:ilvl w:val="0"/>
                <w:numId w:val="30"/>
              </w:numPr>
              <w:ind w:left="0" w:right="0" w:firstLine="349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копии договоров, подписанных с обеих сторон </w:t>
            </w:r>
            <w:r>
              <w:rPr>
                <w:sz w:val="18"/>
                <w:szCs w:val="18"/>
                <w:lang w:eastAsia="ru-RU"/>
              </w:rPr>
              <w:t xml:space="preserve">и скрепленных печатью</w:t>
            </w:r>
            <w:r>
              <w:rPr>
                <w:sz w:val="18"/>
                <w:szCs w:val="18"/>
                <w:lang w:eastAsia="ru-RU"/>
              </w:rPr>
              <w:t xml:space="preserve"> 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56"/>
              <w:numPr>
                <w:ilvl w:val="0"/>
                <w:numId w:val="30"/>
              </w:numPr>
              <w:ind w:left="0" w:right="0" w:firstLine="349"/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копии документов, предусмотренных требованиями договора, подтверждающих факт его</w:t>
            </w:r>
            <w:r>
              <w:rPr>
                <w:sz w:val="18"/>
                <w:szCs w:val="18"/>
                <w:lang w:eastAsia="ru-RU"/>
              </w:rPr>
              <w:t xml:space="preserve"> исполнения, с указанием стоимости и наименования выполненных работ, подписанных с обеих сторон и скрепленных печатями каждой из сторон договора;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sz w:val="18"/>
                <w:szCs w:val="18"/>
                <w:lang w:eastAsia="ru-RU"/>
              </w:rPr>
              <w:t xml:space="preserve">ни</w:t>
            </w:r>
            <w:r>
              <w:rPr>
                <w:sz w:val="18"/>
                <w:szCs w:val="18"/>
                <w:lang w:eastAsia="ru-RU"/>
              </w:rPr>
              <w:t xml:space="preserve">я, не позволяющие явным (однозначным) образом определить опыт Участника: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sz w:val="18"/>
                <w:szCs w:val="18"/>
                <w:lang w:eastAsia="ru-RU"/>
              </w:rPr>
              <w:t xml:space="preserve">-ой заявке</w:t>
            </w:r>
            <w:r>
              <w:rPr>
                <w:sz w:val="18"/>
                <w:szCs w:val="18"/>
                <w:lang w:eastAsia="ru-RU"/>
              </w:rPr>
              <w:t xml:space="preserve"> сведений о наличии у Участника совокупного опыта выполнения работ </w:t>
            </w:r>
            <w:r>
              <w:rPr>
                <w:sz w:val="18"/>
                <w:szCs w:val="18"/>
                <w:lang w:eastAsia="ru-RU"/>
              </w:rPr>
              <w:t xml:space="preserve"> за последние 5 лет, на об</w:t>
            </w:r>
            <w:r>
              <w:rPr>
                <w:sz w:val="18"/>
                <w:szCs w:val="18"/>
                <w:lang w:eastAsia="ru-RU"/>
              </w:rPr>
              <w:t xml:space="preserve">щую сумму: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tbl>
            <w:tblPr>
              <w:tblW w:w="577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4675"/>
              <w:gridCol w:w="350"/>
            </w:tblGrid>
            <w:tr>
              <w:tblPrEx/>
              <w:trPr>
                <w:cantSplit/>
                <w:gridAfter w:val="1"/>
                <w:trHeight w:val="30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0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67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Опыт отсутствует/Опыт не подтвержден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1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20%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2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20%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 40%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3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40%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 60%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4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60%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80%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5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80% от НМЦ «без учета НДС»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и выше;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</w:tbl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Б</w:t>
            </w:r>
            <w:r>
              <w:rPr>
                <w:rFonts w:eastAsia="Calibri"/>
                <w:sz w:val="18"/>
                <w:szCs w:val="18"/>
                <w:vertAlign w:val="subscript"/>
              </w:rPr>
              <w:t xml:space="preserve">2</w:t>
            </w:r>
            <w:r>
              <w:rPr>
                <w:rFonts w:eastAsia="Calibri"/>
                <w:sz w:val="18"/>
                <w:szCs w:val="18"/>
              </w:rPr>
              <w:t xml:space="preserve">             –        рассчитанная оценка предпочтительности по данному частному критерию оценки в баллах.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Опыт, н</w:t>
            </w:r>
            <w:r>
              <w:rPr>
                <w:rFonts w:eastAsia="Calibri"/>
                <w:sz w:val="18"/>
                <w:szCs w:val="18"/>
              </w:rPr>
              <w:t xml:space="preserve">есоответствующий установленному, не оценивается.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</w:rPr>
              <w:t xml:space="preserve">Шкала оценок от 0 до 5 баллов.</w:t>
            </w:r>
            <w:bookmarkStart w:id="0" w:name="undefined"/>
            <w:r>
              <w:rPr>
                <w:b w:val="0"/>
                <w:bCs w:val="0"/>
                <w:sz w:val="18"/>
                <w:szCs w:val="18"/>
              </w:rPr>
            </w:r>
            <w:bookmarkEnd w:id="0"/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shd w:val="clear" w:color="ffffff" w:themeColor="background1" w:fill="ffffff" w:themeFill="background1"/>
              <w:rPr>
                <w:rStyle w:val="1127"/>
                <w:i w:val="0"/>
                <w:iCs w:val="0"/>
                <w:sz w:val="18"/>
                <w:szCs w:val="18"/>
                <w:highlight w:val="white"/>
                <w14:ligatures w14:val="none"/>
              </w:rPr>
            </w:pP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Не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ценовой критерий оценки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первого уровня/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14:ligatures w14:val="none"/>
              </w:rPr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shd w:val="clear" w:color="ffffff" w:themeColor="background1" w:fill="ffffff" w:themeFill="background1"/>
              <w:rPr>
                <w:rStyle w:val="1127"/>
                <w:bCs w:val="0"/>
                <w:i w:val="0"/>
                <w:sz w:val="18"/>
                <w:szCs w:val="18"/>
                <w:highlight w:val="white"/>
                <w14:ligatures w14:val="none"/>
              </w:rPr>
            </w:pP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Орг</w:t>
            </w:r>
            <w:r>
              <w:rPr>
                <w:rStyle w:val="1127"/>
                <w:bCs w:val="0"/>
                <w:i w:val="0"/>
                <w:sz w:val="18"/>
                <w:szCs w:val="18"/>
                <w:highlight w:val="white"/>
                <w14:ligatures w14:val="none"/>
              </w:rPr>
            </w:r>
            <w:r>
              <w:rPr>
                <w:rStyle w:val="1127"/>
                <w:bCs w:val="0"/>
                <w:i w:val="0"/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Ф</w:t>
            </w:r>
            <w:r>
              <w:rPr>
                <w:sz w:val="18"/>
                <w:szCs w:val="18"/>
                <w:highlight w:val="white"/>
              </w:rPr>
              <w:t xml:space="preserve">и</w:t>
            </w:r>
            <w:r>
              <w:rPr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нансо</w:t>
            </w:r>
            <w:r>
              <w:rPr>
                <w:sz w:val="18"/>
                <w:szCs w:val="18"/>
                <w:highlight w:val="white"/>
              </w:rPr>
              <w:t xml:space="preserve">во</w:t>
            </w:r>
            <w:r>
              <w:rPr>
                <w:sz w:val="18"/>
                <w:szCs w:val="18"/>
                <w:highlight w:val="white"/>
              </w:rPr>
              <w:t xml:space="preserve">е</w:t>
            </w:r>
            <w:r>
              <w:rPr>
                <w:sz w:val="18"/>
                <w:szCs w:val="18"/>
                <w:highlight w:val="white"/>
              </w:rPr>
              <w:t xml:space="preserve"> состояни</w:t>
            </w:r>
            <w:r>
              <w:rPr>
                <w:sz w:val="18"/>
                <w:szCs w:val="18"/>
                <w:highlight w:val="white"/>
              </w:rPr>
              <w:t xml:space="preserve">е</w:t>
            </w:r>
            <w:r>
              <w:rPr>
                <w:sz w:val="18"/>
                <w:szCs w:val="18"/>
                <w:highlight w:val="white"/>
              </w:rPr>
              <w:t xml:space="preserve"> (устойчивост</w:t>
            </w:r>
            <w:r>
              <w:rPr>
                <w:sz w:val="18"/>
                <w:szCs w:val="18"/>
                <w:highlight w:val="white"/>
              </w:rPr>
              <w:t xml:space="preserve">ь</w:t>
            </w:r>
            <w:r>
              <w:rPr>
                <w:sz w:val="18"/>
                <w:szCs w:val="18"/>
                <w:highlight w:val="white"/>
              </w:rPr>
              <w:t xml:space="preserve">) Участника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отсутствует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highlight w:val="none"/>
                <w14:ligatures w14:val="none"/>
              </w:rPr>
            </w:pPr>
            <w:r/>
            <m:oMathPara>
              <m:oMathParaPr/>
              <m:oMath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5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%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 </m:t>
                </m:r>
              </m:oMath>
            </m:oMathPara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3 </w:t>
            </w:r>
            <w:r>
              <w:rPr>
                <w:sz w:val="20"/>
                <w:szCs w:val="20"/>
              </w:rPr>
              <w:t xml:space="preserve">= 0,05)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Чем выше оценка финансового состояния (устойчивости) Участника, тем выше предпочтительность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eastAsia="Calibri"/>
                <w:sz w:val="18"/>
                <w:szCs w:val="18"/>
              </w:rPr>
              <w:t xml:space="preserve">полученного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Участником (с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-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заяв</w:t>
            </w:r>
            <w:r>
              <w:rPr>
                <w:rFonts w:eastAsia="Calibri"/>
                <w:sz w:val="18"/>
                <w:szCs w:val="18"/>
              </w:rPr>
              <w:t xml:space="preserve">кой) значения расчетного балла </w:t>
            </w:r>
            <w:r>
              <w:rPr>
                <w:rFonts w:eastAsia="Calibri"/>
                <w:sz w:val="18"/>
                <w:szCs w:val="18"/>
              </w:rPr>
              <w:t xml:space="preserve">(</w:t>
            </w:r>
            <w:r>
              <w:rPr>
                <w:rFonts w:eastAsia="Calibri"/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rFonts w:eastAsia="Calibri"/>
                <w:sz w:val="18"/>
                <w:szCs w:val="18"/>
              </w:rPr>
              <w:t xml:space="preserve">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rFonts w:eastAsia="Calibri"/>
                <w:sz w:val="18"/>
                <w:szCs w:val="18"/>
              </w:rPr>
              <w:t xml:space="preserve">ки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его </w:t>
            </w:r>
            <w:r>
              <w:rPr>
                <w:rFonts w:eastAsia="Calibri"/>
                <w:sz w:val="18"/>
                <w:szCs w:val="18"/>
              </w:rPr>
              <w:t xml:space="preserve">финансового состояния</w:t>
            </w:r>
            <w:r>
              <w:rPr>
                <w:rFonts w:eastAsia="Calibri"/>
                <w:sz w:val="18"/>
                <w:szCs w:val="18"/>
              </w:rPr>
              <w:t xml:space="preserve"> (</w:t>
            </w:r>
            <w:r>
              <w:rPr>
                <w:rFonts w:eastAsia="Calibri"/>
                <w:sz w:val="18"/>
                <w:szCs w:val="18"/>
              </w:rPr>
              <w:t xml:space="preserve">кризисное / неустойчивое / у</w:t>
            </w:r>
            <w:r>
              <w:rPr>
                <w:rFonts w:eastAsia="Calibri"/>
                <w:sz w:val="18"/>
                <w:szCs w:val="18"/>
              </w:rPr>
              <w:t xml:space="preserve">довлетворительное</w:t>
            </w:r>
            <w:r>
              <w:rPr>
                <w:rFonts w:eastAsia="Calibri"/>
                <w:sz w:val="18"/>
                <w:szCs w:val="18"/>
              </w:rPr>
              <w:t xml:space="preserve">)</w:t>
            </w:r>
            <w:r>
              <w:rPr>
                <w:rFonts w:eastAsia="Calibri"/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eastAsia="Calibri"/>
                <w:sz w:val="18"/>
                <w:szCs w:val="18"/>
              </w:rPr>
              <w:t xml:space="preserve">Участника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установлен Приложением</w:t>
            </w:r>
            <w:r>
              <w:rPr>
                <w:rFonts w:eastAsia="Calibri"/>
                <w:sz w:val="18"/>
                <w:szCs w:val="18"/>
              </w:rPr>
              <w:t xml:space="preserve"> 4</w:t>
            </w:r>
            <w:r>
              <w:rPr>
                <w:rFonts w:eastAsia="Calibri"/>
                <w:sz w:val="18"/>
                <w:szCs w:val="18"/>
              </w:rPr>
              <w:t xml:space="preserve"> к Положению об аккредитации</w:t>
            </w:r>
            <w:r>
              <w:rPr>
                <w:rFonts w:eastAsia="Calibri"/>
                <w:sz w:val="18"/>
                <w:szCs w:val="18"/>
              </w:rPr>
              <w:t xml:space="preserve">;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Участника </w:t>
            </w:r>
            <w:r>
              <w:rPr>
                <w:rFonts w:eastAsia="Calibri"/>
                <w:sz w:val="18"/>
                <w:szCs w:val="18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3" w:tooltip="https://bo.nalog.ru" w:history="1">
              <w:r>
                <w:rPr>
                  <w:rFonts w:eastAsia="Calibri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eastAsia="Calibri"/>
                <w:sz w:val="18"/>
                <w:szCs w:val="18"/>
              </w:rPr>
              <w:t xml:space="preserve">) за предыдущий отчетный период (год). 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сли </w:t>
            </w:r>
            <w:r>
              <w:rPr>
                <w:rFonts w:eastAsia="Calibri"/>
                <w:sz w:val="18"/>
                <w:szCs w:val="18"/>
              </w:rPr>
              <w:t xml:space="preserve">Участник в соответствии с законодательством </w:t>
            </w:r>
            <w:r>
              <w:rPr>
                <w:rFonts w:eastAsia="Calibri"/>
                <w:sz w:val="18"/>
                <w:szCs w:val="18"/>
              </w:rPr>
              <w:t xml:space="preserve">РФ </w:t>
            </w:r>
            <w:r>
              <w:rPr>
                <w:rFonts w:eastAsia="Calibri"/>
                <w:sz w:val="18"/>
                <w:szCs w:val="18"/>
              </w:rPr>
              <w:t xml:space="preserve">не размещает све</w:t>
            </w:r>
            <w:r>
              <w:rPr>
                <w:rFonts w:eastAsia="Calibri"/>
                <w:sz w:val="18"/>
                <w:szCs w:val="18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eastAsia="Calibri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оценки предпочтительности по частному критерию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осуществляется в соответствии со </w:t>
            </w:r>
            <w:r>
              <w:rPr>
                <w:rFonts w:eastAsia="Calibri"/>
                <w:sz w:val="18"/>
                <w:szCs w:val="18"/>
              </w:rPr>
              <w:t xml:space="preserve">ш</w:t>
            </w:r>
            <w:r>
              <w:rPr>
                <w:rFonts w:eastAsia="Calibri"/>
                <w:sz w:val="18"/>
                <w:szCs w:val="18"/>
              </w:rPr>
              <w:t xml:space="preserve">кал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tbl>
            <w:tblPr>
              <w:tblW w:w="6553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"/>
              <w:gridCol w:w="5760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9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tabs>
                      <w:tab w:val="clear" w:pos="0" w:leader="none"/>
                    </w:tabs>
                    <w:rPr>
                      <w:rFonts w:eastAsia="Calibri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76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(устойчивости):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i/>
                      <w:iCs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eastAsia="Calibri"/>
                      <w:i/>
                      <w:iCs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i/>
                      <w:iCs/>
                      <w:sz w:val="20"/>
                      <w:szCs w:val="20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исходных данных для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оценки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Участника,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 том числе если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он является: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вновь созданным юридическим лицом, которое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 на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дату подачи заявки на участие в закупке в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соответствии с законодательством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предоставил в налоговые органы бухгалтерскую (финансовую) отчетность за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завершенный финансовый год;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 предпринимателем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специальный налоговый режим «Налог на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бухгалтерскую (финансовую) отчетность;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9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tabs>
                      <w:tab w:val="clear" w:pos="0" w:leader="none"/>
                    </w:tabs>
                    <w:rPr>
                      <w:rFonts w:eastAsia="Calibri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76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 до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Неустойчивое финансовое состояние;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9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tabs>
                      <w:tab w:val="clear" w:pos="0" w:leader="none"/>
                    </w:tabs>
                    <w:rPr>
                      <w:rFonts w:eastAsia="Calibri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76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(устойчивости): б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</w:tc>
            </w:tr>
          </w:tbl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3</w:t>
            </w:r>
            <w:r>
              <w:rPr>
                <w:rFonts w:eastAsia="Calibri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eastAsia="Calibri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tabs>
                <w:tab w:val="clear" w:pos="360" w:leader="none"/>
              </w:tabs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eastAsia="Calibri"/>
                <w:sz w:val="18"/>
                <w:szCs w:val="18"/>
              </w:rPr>
              <w:t xml:space="preserve">Г</w:t>
            </w:r>
            <w:r>
              <w:rPr>
                <w:rFonts w:eastAsia="Calibri"/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Г</w:t>
            </w:r>
            <w:r>
              <w:rPr>
                <w:rFonts w:eastAsia="Calibri"/>
                <w:sz w:val="18"/>
                <w:szCs w:val="18"/>
              </w:rPr>
              <w:t xml:space="preserve">енерального подрядчика без учета субподрядчиков.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tabs>
                <w:tab w:val="clear" w:pos="0" w:leader="none"/>
              </w:tabs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eastAsia="Calibri"/>
                <w:sz w:val="18"/>
                <w:szCs w:val="18"/>
              </w:rPr>
              <w:t xml:space="preserve">К</w:t>
            </w:r>
            <w:r>
              <w:rPr>
                <w:rFonts w:eastAsia="Calibri"/>
                <w:sz w:val="18"/>
                <w:szCs w:val="18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(устойчивости) </w:t>
            </w:r>
            <w:r>
              <w:rPr>
                <w:rFonts w:eastAsia="Calibri"/>
                <w:sz w:val="18"/>
                <w:szCs w:val="18"/>
              </w:rPr>
              <w:t xml:space="preserve">каждого члена </w:t>
            </w:r>
            <w:r>
              <w:rPr>
                <w:rFonts w:eastAsia="Calibri"/>
                <w:sz w:val="18"/>
                <w:szCs w:val="18"/>
              </w:rPr>
              <w:t xml:space="preserve">К</w:t>
            </w:r>
            <w:r>
              <w:rPr>
                <w:rFonts w:eastAsia="Calibri"/>
                <w:sz w:val="18"/>
                <w:szCs w:val="18"/>
              </w:rPr>
              <w:t xml:space="preserve">оллективного участника определяется на основ</w:t>
            </w: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 объем</w:t>
            </w:r>
            <w:r>
              <w:rPr>
                <w:rFonts w:eastAsia="Calibri"/>
                <w:sz w:val="18"/>
                <w:szCs w:val="18"/>
              </w:rPr>
              <w:t xml:space="preserve">а (объемной доли) </w:t>
            </w:r>
            <w:r>
              <w:rPr>
                <w:rFonts w:eastAsia="Calibri"/>
                <w:sz w:val="18"/>
                <w:szCs w:val="18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eastAsia="Calibri"/>
                <w:sz w:val="18"/>
                <w:szCs w:val="18"/>
              </w:rPr>
              <w:t xml:space="preserve"> , приведена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)</w:t>
            </w:r>
            <w:r>
              <w:rPr>
                <w:rFonts w:eastAsia="Calibri"/>
                <w:sz w:val="18"/>
                <w:szCs w:val="18"/>
              </w:rPr>
              <w:t xml:space="preserve">.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tabs>
                <w:tab w:val="clear" w:pos="0" w:leader="none"/>
              </w:tabs>
              <w:rPr>
                <w:rFonts w:eastAsia="Calibri"/>
                <w:b/>
                <w:bCs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Calibri"/>
                <w:b/>
                <w:bCs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eastAsia="Calibr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eastAsia="Calibri"/>
                <w:b/>
                <w:bCs/>
                <w:sz w:val="20"/>
                <w:szCs w:val="20"/>
                <w14:ligatures w14:val="none"/>
              </w:rPr>
            </w:r>
          </w:p>
          <w:p>
            <w:r/>
            <w:r/>
          </w:p>
        </w:tc>
      </w:tr>
      <w:tr>
        <w:tblPrEx/>
        <w:trPr/>
        <w:tc>
          <w:tcPr>
            <w:gridSpan w:val="4"/>
            <w:tcW w:w="6096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Итоговая оценка предпочтительности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W w:w="8507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итоговой оценки предпочтительности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i</m:t>
              </m:r>
            </m:oMath>
            <w:r>
              <w:rPr>
                <w:sz w:val="18"/>
                <w:szCs w:val="18"/>
              </w:rPr>
              <w:t xml:space="preserve">-ой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i/>
                <w:sz w:val="18"/>
                <w:szCs w:val="18"/>
                <w:lang w:val="en-US"/>
              </w:rPr>
            </w:pPr>
            <w:r/>
            <m:oMathPara>
              <m:oMathParaPr/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rPr/>
                      <m:t>Б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rPr/>
                      <m:t>ИТОГ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rPr/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rPr/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rPr/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rPr/>
                              <m:t>k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sz w:val="18"/>
                    <w:szCs w:val="18"/>
                  </w:rPr>
                  <m:rPr/>
                  <m:t>,</m:t>
                </m:r>
              </m:oMath>
            </m:oMathPara>
            <w:r>
              <w:rPr>
                <w:i/>
                <w:sz w:val="18"/>
                <w:szCs w:val="18"/>
                <w:lang w:val="en-US"/>
              </w:rPr>
            </w:r>
            <w:r>
              <w:rPr>
                <w:i/>
                <w:sz w:val="18"/>
                <w:szCs w:val="18"/>
                <w:lang w:val="en-US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ИТОГ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рассчитанная итоговая оценка предпочтительности в 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rPr/>
                    <m:t>k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оценка предпочтительности по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-тому критерию оценки первого уровня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В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rPr/>
                    <m:t>k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значимость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-ого критерия оценки первого уровня, выраженная в диапазоне от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1% до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100% (или от 0,01 до 1,00) – вес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-ого критерия оценки первого уровня.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</w:t>
            </w: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  <w:t xml:space="preserve">соответствии с математическими правилами округления).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18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18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17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18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16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17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18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22"/>
        <w:jc w:val="center"/>
      </w:pPr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75.75pt;height:50.25pt;mso-wrap-distance-left:0.00pt;mso-wrap-distance-top:0.00pt;mso-wrap-distance-right:0.00pt;mso-wrap-distance-bottom:0.00pt;" filled="f" stroked="f">
            <v:path textboxrect="0,0,0,0"/>
            <v:imagedata r:id="rId24" o:title=""/>
          </v:shape>
          <o:OLEObject DrawAspect="Icon" r:id="rId25" ObjectID="_1525043" ProgID="Excel.Sheet.12" ShapeID="_x0000_i3" Type="Embed"/>
        </w:objec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2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31"/>
      </w:pPr>
      <w:r>
        <w:rPr>
          <w:rStyle w:val="113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31"/>
      </w:pPr>
      <w:r>
        <w:rPr>
          <w:rStyle w:val="1130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31"/>
      </w:pPr>
      <w:r>
        <w:rPr>
          <w:rStyle w:val="113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28"/>
        <w:ind w:left="567" w:hanging="567"/>
        <w:jc w:val="both"/>
        <w:rPr>
          <w:sz w:val="22"/>
        </w:rPr>
      </w:pPr>
      <w:r>
        <w:rPr>
          <w:rStyle w:val="1130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31"/>
      </w:pPr>
      <w:r>
        <w:rPr>
          <w:rStyle w:val="113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31"/>
      </w:pPr>
      <w:r>
        <w:rPr>
          <w:rStyle w:val="1130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57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59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6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1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1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1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19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20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50">
    <w:name w:val="Heading 1 Char"/>
    <w:basedOn w:val="1113"/>
    <w:link w:val="1110"/>
    <w:uiPriority w:val="9"/>
    <w:rPr>
      <w:rFonts w:ascii="Arial" w:hAnsi="Arial" w:eastAsia="Arial" w:cs="Arial"/>
      <w:sz w:val="40"/>
      <w:szCs w:val="40"/>
    </w:rPr>
  </w:style>
  <w:style w:type="character" w:styleId="951">
    <w:name w:val="Heading 2 Char"/>
    <w:basedOn w:val="1113"/>
    <w:link w:val="1111"/>
    <w:uiPriority w:val="9"/>
    <w:rPr>
      <w:rFonts w:ascii="Arial" w:hAnsi="Arial" w:eastAsia="Arial" w:cs="Arial"/>
      <w:sz w:val="34"/>
    </w:rPr>
  </w:style>
  <w:style w:type="character" w:styleId="952">
    <w:name w:val="Heading 3 Char"/>
    <w:basedOn w:val="1113"/>
    <w:link w:val="1112"/>
    <w:uiPriority w:val="9"/>
    <w:rPr>
      <w:rFonts w:ascii="Arial" w:hAnsi="Arial" w:eastAsia="Arial" w:cs="Arial"/>
      <w:sz w:val="30"/>
      <w:szCs w:val="30"/>
    </w:rPr>
  </w:style>
  <w:style w:type="paragraph" w:styleId="953">
    <w:name w:val="Heading 4"/>
    <w:basedOn w:val="1109"/>
    <w:next w:val="1109"/>
    <w:link w:val="9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54">
    <w:name w:val="Heading 4 Char"/>
    <w:basedOn w:val="1113"/>
    <w:link w:val="953"/>
    <w:uiPriority w:val="9"/>
    <w:rPr>
      <w:rFonts w:ascii="Arial" w:hAnsi="Arial" w:eastAsia="Arial" w:cs="Arial"/>
      <w:b/>
      <w:bCs/>
      <w:sz w:val="26"/>
      <w:szCs w:val="26"/>
    </w:rPr>
  </w:style>
  <w:style w:type="paragraph" w:styleId="955">
    <w:name w:val="Heading 5"/>
    <w:basedOn w:val="1109"/>
    <w:next w:val="1109"/>
    <w:link w:val="9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56">
    <w:name w:val="Heading 5 Char"/>
    <w:basedOn w:val="1113"/>
    <w:link w:val="955"/>
    <w:uiPriority w:val="9"/>
    <w:rPr>
      <w:rFonts w:ascii="Arial" w:hAnsi="Arial" w:eastAsia="Arial" w:cs="Arial"/>
      <w:b/>
      <w:bCs/>
      <w:sz w:val="24"/>
      <w:szCs w:val="24"/>
    </w:rPr>
  </w:style>
  <w:style w:type="paragraph" w:styleId="957">
    <w:name w:val="Heading 6"/>
    <w:basedOn w:val="1109"/>
    <w:next w:val="1109"/>
    <w:link w:val="9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58">
    <w:name w:val="Heading 6 Char"/>
    <w:basedOn w:val="1113"/>
    <w:link w:val="957"/>
    <w:uiPriority w:val="9"/>
    <w:rPr>
      <w:rFonts w:ascii="Arial" w:hAnsi="Arial" w:eastAsia="Arial" w:cs="Arial"/>
      <w:b/>
      <w:bCs/>
      <w:sz w:val="22"/>
      <w:szCs w:val="22"/>
    </w:rPr>
  </w:style>
  <w:style w:type="paragraph" w:styleId="959">
    <w:name w:val="Heading 7"/>
    <w:basedOn w:val="1109"/>
    <w:next w:val="1109"/>
    <w:link w:val="9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60">
    <w:name w:val="Heading 7 Char"/>
    <w:basedOn w:val="1113"/>
    <w:link w:val="9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61">
    <w:name w:val="Heading 8"/>
    <w:basedOn w:val="1109"/>
    <w:next w:val="1109"/>
    <w:link w:val="9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62">
    <w:name w:val="Heading 8 Char"/>
    <w:basedOn w:val="1113"/>
    <w:link w:val="961"/>
    <w:uiPriority w:val="9"/>
    <w:rPr>
      <w:rFonts w:ascii="Arial" w:hAnsi="Arial" w:eastAsia="Arial" w:cs="Arial"/>
      <w:i/>
      <w:iCs/>
      <w:sz w:val="22"/>
      <w:szCs w:val="22"/>
    </w:rPr>
  </w:style>
  <w:style w:type="paragraph" w:styleId="963">
    <w:name w:val="Heading 9"/>
    <w:basedOn w:val="1109"/>
    <w:next w:val="1109"/>
    <w:link w:val="9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4">
    <w:name w:val="Heading 9 Char"/>
    <w:basedOn w:val="1113"/>
    <w:link w:val="963"/>
    <w:uiPriority w:val="9"/>
    <w:rPr>
      <w:rFonts w:ascii="Arial" w:hAnsi="Arial" w:eastAsia="Arial" w:cs="Arial"/>
      <w:i/>
      <w:iCs/>
      <w:sz w:val="21"/>
      <w:szCs w:val="21"/>
    </w:rPr>
  </w:style>
  <w:style w:type="paragraph" w:styleId="965">
    <w:name w:val="No Spacing"/>
    <w:uiPriority w:val="1"/>
    <w:qFormat/>
    <w:pPr>
      <w:spacing w:before="0" w:after="0" w:line="240" w:lineRule="auto"/>
    </w:pPr>
  </w:style>
  <w:style w:type="paragraph" w:styleId="966">
    <w:name w:val="Title"/>
    <w:basedOn w:val="1109"/>
    <w:next w:val="1109"/>
    <w:link w:val="9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7">
    <w:name w:val="Title Char"/>
    <w:basedOn w:val="1113"/>
    <w:link w:val="966"/>
    <w:uiPriority w:val="10"/>
    <w:rPr>
      <w:sz w:val="48"/>
      <w:szCs w:val="48"/>
    </w:rPr>
  </w:style>
  <w:style w:type="paragraph" w:styleId="968">
    <w:name w:val="Subtitle"/>
    <w:basedOn w:val="1109"/>
    <w:next w:val="1109"/>
    <w:link w:val="969"/>
    <w:uiPriority w:val="11"/>
    <w:qFormat/>
    <w:pPr>
      <w:spacing w:before="200" w:after="200"/>
    </w:pPr>
    <w:rPr>
      <w:sz w:val="24"/>
      <w:szCs w:val="24"/>
    </w:rPr>
  </w:style>
  <w:style w:type="character" w:styleId="969">
    <w:name w:val="Subtitle Char"/>
    <w:basedOn w:val="1113"/>
    <w:link w:val="968"/>
    <w:uiPriority w:val="11"/>
    <w:rPr>
      <w:sz w:val="24"/>
      <w:szCs w:val="24"/>
    </w:rPr>
  </w:style>
  <w:style w:type="paragraph" w:styleId="970">
    <w:name w:val="Quote"/>
    <w:basedOn w:val="1109"/>
    <w:next w:val="1109"/>
    <w:link w:val="971"/>
    <w:uiPriority w:val="29"/>
    <w:qFormat/>
    <w:pPr>
      <w:ind w:left="720" w:right="720"/>
    </w:pPr>
    <w:rPr>
      <w:i/>
    </w:rPr>
  </w:style>
  <w:style w:type="character" w:styleId="971">
    <w:name w:val="Quote Char"/>
    <w:link w:val="970"/>
    <w:uiPriority w:val="29"/>
    <w:rPr>
      <w:i/>
    </w:rPr>
  </w:style>
  <w:style w:type="paragraph" w:styleId="972">
    <w:name w:val="Intense Quote"/>
    <w:basedOn w:val="1109"/>
    <w:next w:val="1109"/>
    <w:link w:val="9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3">
    <w:name w:val="Intense Quote Char"/>
    <w:link w:val="972"/>
    <w:uiPriority w:val="30"/>
    <w:rPr>
      <w:i/>
    </w:rPr>
  </w:style>
  <w:style w:type="character" w:styleId="974">
    <w:name w:val="Header Char"/>
    <w:basedOn w:val="1113"/>
    <w:link w:val="1123"/>
    <w:uiPriority w:val="99"/>
  </w:style>
  <w:style w:type="character" w:styleId="975">
    <w:name w:val="Footer Char"/>
    <w:basedOn w:val="1113"/>
    <w:link w:val="1125"/>
    <w:uiPriority w:val="99"/>
  </w:style>
  <w:style w:type="paragraph" w:styleId="976">
    <w:name w:val="Caption"/>
    <w:basedOn w:val="1109"/>
    <w:next w:val="11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77">
    <w:name w:val="Caption Char"/>
    <w:basedOn w:val="976"/>
    <w:link w:val="1125"/>
    <w:uiPriority w:val="99"/>
  </w:style>
  <w:style w:type="table" w:styleId="978">
    <w:name w:val="Table Grid Light"/>
    <w:basedOn w:val="11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9">
    <w:name w:val="Plain Table 1"/>
    <w:basedOn w:val="11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0">
    <w:name w:val="Plain Table 2"/>
    <w:basedOn w:val="11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1">
    <w:name w:val="Plain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2">
    <w:name w:val="Plain Table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Plain Table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4">
    <w:name w:val="Grid Table 1 Light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2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4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6">
    <w:name w:val="Grid Table 4 - Accent 1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7">
    <w:name w:val="Grid Table 4 - Accent 2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8">
    <w:name w:val="Grid Table 4 - Accent 3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9">
    <w:name w:val="Grid Table 4 - Accent 4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0">
    <w:name w:val="Grid Table 4 - Accent 5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1">
    <w:name w:val="Grid Table 4 - Accent 6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2">
    <w:name w:val="Grid Table 5 Dark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13">
    <w:name w:val="Grid Table 5 Dark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14">
    <w:name w:val="Grid Table 5 Dark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19">
    <w:name w:val="Grid Table 6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20">
    <w:name w:val="Grid Table 6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1">
    <w:name w:val="Grid Table 6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22">
    <w:name w:val="Grid Table 6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3">
    <w:name w:val="Grid Table 6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24">
    <w:name w:val="Grid Table 6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5">
    <w:name w:val="Grid Table 6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6">
    <w:name w:val="Grid Table 7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7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1">
    <w:name w:val="List Table 2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42">
    <w:name w:val="List Table 2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3">
    <w:name w:val="List Table 2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44">
    <w:name w:val="List Table 2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45">
    <w:name w:val="List Table 2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46">
    <w:name w:val="List Table 2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7">
    <w:name w:val="List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5 Dark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2">
    <w:name w:val="List Table 5 Dark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3">
    <w:name w:val="List Table 5 Dark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4">
    <w:name w:val="List Table 5 Dark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5">
    <w:name w:val="List Table 5 Dark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6">
    <w:name w:val="List Table 5 Dark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7">
    <w:name w:val="List Table 5 Dark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8">
    <w:name w:val="List Table 6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9">
    <w:name w:val="List Table 6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0">
    <w:name w:val="List Table 6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1">
    <w:name w:val="List Table 6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72">
    <w:name w:val="List Table 6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3">
    <w:name w:val="List Table 6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74">
    <w:name w:val="List Table 6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75">
    <w:name w:val="List Table 7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76">
    <w:name w:val="List Table 7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77">
    <w:name w:val="List Table 7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78">
    <w:name w:val="List Table 7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79">
    <w:name w:val="List Table 7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80">
    <w:name w:val="List Table 7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81">
    <w:name w:val="List Table 7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82">
    <w:name w:val="Lined - Accent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3">
    <w:name w:val="Lined - Accent 1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84">
    <w:name w:val="Lined - Accent 2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5">
    <w:name w:val="Lined - Accent 3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86">
    <w:name w:val="Lined - Accent 4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7">
    <w:name w:val="Lined - Accent 5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88">
    <w:name w:val="Lined - Accent 6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9">
    <w:name w:val="Bordered &amp; Lined - Accent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0">
    <w:name w:val="Bordered &amp; Lined - Accent 1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91">
    <w:name w:val="Bordered &amp; Lined - Accent 2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2">
    <w:name w:val="Bordered &amp; Lined - Accent 3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3">
    <w:name w:val="Bordered &amp; Lined - Accent 4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4">
    <w:name w:val="Bordered &amp; Lined - Accent 5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95">
    <w:name w:val="Bordered &amp; Lined - Accent 6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6">
    <w:name w:val="Bordered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7">
    <w:name w:val="Bordered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8">
    <w:name w:val="Bordered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9">
    <w:name w:val="Bordered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00">
    <w:name w:val="Bordered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1">
    <w:name w:val="Bordered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02">
    <w:name w:val="Bordered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3">
    <w:name w:val="Footnote Text Char"/>
    <w:link w:val="1128"/>
    <w:uiPriority w:val="99"/>
    <w:rPr>
      <w:sz w:val="18"/>
    </w:rPr>
  </w:style>
  <w:style w:type="paragraph" w:styleId="1104">
    <w:name w:val="endnote text"/>
    <w:basedOn w:val="1109"/>
    <w:link w:val="1105"/>
    <w:uiPriority w:val="99"/>
    <w:semiHidden/>
    <w:unhideWhenUsed/>
    <w:pPr>
      <w:spacing w:after="0" w:line="240" w:lineRule="auto"/>
    </w:pPr>
    <w:rPr>
      <w:sz w:val="20"/>
    </w:rPr>
  </w:style>
  <w:style w:type="character" w:styleId="1105">
    <w:name w:val="Endnote Text Char"/>
    <w:link w:val="1104"/>
    <w:uiPriority w:val="99"/>
    <w:rPr>
      <w:sz w:val="20"/>
    </w:rPr>
  </w:style>
  <w:style w:type="character" w:styleId="1106">
    <w:name w:val="endnote reference"/>
    <w:basedOn w:val="1113"/>
    <w:uiPriority w:val="99"/>
    <w:semiHidden/>
    <w:unhideWhenUsed/>
    <w:rPr>
      <w:vertAlign w:val="superscript"/>
    </w:rPr>
  </w:style>
  <w:style w:type="paragraph" w:styleId="1107">
    <w:name w:val="TOC Heading"/>
    <w:uiPriority w:val="39"/>
    <w:unhideWhenUsed/>
  </w:style>
  <w:style w:type="paragraph" w:styleId="1108">
    <w:name w:val="table of figures"/>
    <w:basedOn w:val="1109"/>
    <w:next w:val="1109"/>
    <w:uiPriority w:val="99"/>
    <w:unhideWhenUsed/>
    <w:pPr>
      <w:spacing w:after="0" w:afterAutospacing="0"/>
    </w:pPr>
  </w:style>
  <w:style w:type="paragraph" w:styleId="1109" w:default="1">
    <w:name w:val="Normal"/>
    <w:qFormat/>
  </w:style>
  <w:style w:type="paragraph" w:styleId="1110">
    <w:name w:val="Heading 1"/>
    <w:basedOn w:val="1109"/>
    <w:next w:val="1109"/>
    <w:link w:val="1161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11">
    <w:name w:val="Heading 2"/>
    <w:basedOn w:val="1109"/>
    <w:next w:val="1109"/>
    <w:link w:val="1162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12">
    <w:name w:val="Heading 3"/>
    <w:basedOn w:val="1109"/>
    <w:next w:val="1109"/>
    <w:link w:val="1163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13" w:default="1">
    <w:name w:val="Default Paragraph Font"/>
    <w:uiPriority w:val="1"/>
    <w:semiHidden/>
    <w:unhideWhenUsed/>
  </w:style>
  <w:style w:type="table" w:styleId="11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5" w:default="1">
    <w:name w:val="No List"/>
    <w:uiPriority w:val="99"/>
    <w:semiHidden/>
    <w:unhideWhenUsed/>
  </w:style>
  <w:style w:type="paragraph" w:styleId="1116" w:customStyle="1">
    <w:name w:val="[РГ] Раздел"/>
    <w:basedOn w:val="1109"/>
    <w:next w:val="1117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17" w:customStyle="1">
    <w:name w:val="[РГ] Подраздел"/>
    <w:basedOn w:val="1109"/>
    <w:next w:val="1118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18" w:customStyle="1">
    <w:name w:val="[РГ] Пункт"/>
    <w:basedOn w:val="1109"/>
    <w:qFormat/>
    <w:pPr>
      <w:numPr>
        <w:ilvl w:val="2"/>
        <w:numId w:val="1"/>
      </w:numPr>
      <w:jc w:val="both"/>
      <w:outlineLvl w:val="2"/>
    </w:pPr>
  </w:style>
  <w:style w:type="paragraph" w:styleId="1119" w:customStyle="1">
    <w:name w:val="[РГ] Подпункт"/>
    <w:basedOn w:val="1109"/>
    <w:qFormat/>
    <w:pPr>
      <w:numPr>
        <w:ilvl w:val="3"/>
        <w:numId w:val="1"/>
      </w:numPr>
      <w:jc w:val="both"/>
      <w:outlineLvl w:val="3"/>
    </w:pPr>
  </w:style>
  <w:style w:type="paragraph" w:styleId="1120" w:customStyle="1">
    <w:name w:val="[РГ] Перечисление"/>
    <w:basedOn w:val="1109"/>
    <w:qFormat/>
    <w:pPr>
      <w:numPr>
        <w:ilvl w:val="4"/>
        <w:numId w:val="1"/>
      </w:numPr>
      <w:jc w:val="both"/>
      <w:outlineLvl w:val="4"/>
    </w:pPr>
  </w:style>
  <w:style w:type="paragraph" w:styleId="1121" w:customStyle="1">
    <w:name w:val="[РГ] Заголовок"/>
    <w:basedOn w:val="1109"/>
    <w:next w:val="1122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22" w:customStyle="1">
    <w:name w:val="[РГ] Текст"/>
    <w:basedOn w:val="1109"/>
    <w:qFormat/>
    <w:pPr>
      <w:jc w:val="both"/>
    </w:pPr>
  </w:style>
  <w:style w:type="paragraph" w:styleId="1123">
    <w:name w:val="Header"/>
    <w:basedOn w:val="1109"/>
    <w:link w:val="1124"/>
    <w:uiPriority w:val="99"/>
    <w:unhideWhenUsed/>
    <w:pPr>
      <w:jc w:val="center"/>
      <w:spacing w:before="0" w:after="120"/>
    </w:pPr>
  </w:style>
  <w:style w:type="character" w:styleId="1124" w:customStyle="1">
    <w:name w:val="Верхний колонтитул Знак"/>
    <w:basedOn w:val="1113"/>
    <w:link w:val="1123"/>
    <w:uiPriority w:val="99"/>
  </w:style>
  <w:style w:type="paragraph" w:styleId="1125">
    <w:name w:val="Footer"/>
    <w:basedOn w:val="1109"/>
    <w:link w:val="1126"/>
    <w:unhideWhenUsed/>
    <w:pPr>
      <w:jc w:val="right"/>
    </w:pPr>
  </w:style>
  <w:style w:type="character" w:styleId="1126" w:customStyle="1">
    <w:name w:val="Нижний колонтитул Знак"/>
    <w:basedOn w:val="1113"/>
    <w:link w:val="1125"/>
    <w:uiPriority w:val="99"/>
  </w:style>
  <w:style w:type="character" w:styleId="1127" w:customStyle="1">
    <w:name w:val="[РГ] Инструкция для организатора"/>
    <w:basedOn w:val="1113"/>
    <w:uiPriority w:val="1"/>
    <w:qFormat/>
    <w:rPr>
      <w:i/>
      <w:iCs/>
      <w:shd w:val="clear" w:color="auto" w:fill="ffff99"/>
      <w:lang w:val="ru-RU"/>
    </w:rPr>
  </w:style>
  <w:style w:type="paragraph" w:styleId="1128">
    <w:name w:val="footnote text"/>
    <w:basedOn w:val="1109"/>
    <w:link w:val="1129"/>
    <w:uiPriority w:val="99"/>
    <w:semiHidden/>
    <w:unhideWhenUsed/>
    <w:pPr>
      <w:spacing w:before="0"/>
    </w:pPr>
    <w:rPr>
      <w:sz w:val="20"/>
      <w:szCs w:val="20"/>
    </w:rPr>
  </w:style>
  <w:style w:type="character" w:styleId="1129" w:customStyle="1">
    <w:name w:val="Текст сноски Знак"/>
    <w:basedOn w:val="1113"/>
    <w:link w:val="1128"/>
    <w:uiPriority w:val="99"/>
    <w:semiHidden/>
    <w:rPr>
      <w:sz w:val="20"/>
      <w:szCs w:val="20"/>
    </w:rPr>
  </w:style>
  <w:style w:type="character" w:styleId="1130">
    <w:name w:val="footnote reference"/>
    <w:basedOn w:val="1113"/>
    <w:unhideWhenUsed/>
    <w:rPr>
      <w:vertAlign w:val="superscript"/>
    </w:rPr>
  </w:style>
  <w:style w:type="paragraph" w:styleId="1131" w:customStyle="1">
    <w:name w:val="[РГ] Сноска"/>
    <w:basedOn w:val="1128"/>
    <w:qFormat/>
    <w:pPr>
      <w:ind w:left="567" w:hanging="567"/>
      <w:jc w:val="both"/>
      <w:spacing w:before="80"/>
    </w:pPr>
    <w:rPr>
      <w:sz w:val="22"/>
    </w:rPr>
  </w:style>
  <w:style w:type="character" w:styleId="1132">
    <w:name w:val="Hyperlink"/>
    <w:basedOn w:val="1113"/>
    <w:uiPriority w:val="99"/>
    <w:unhideWhenUsed/>
    <w:rPr>
      <w:color w:val="0563c1" w:themeColor="hyperlink"/>
      <w:u w:val="single"/>
    </w:rPr>
  </w:style>
  <w:style w:type="character" w:styleId="1133">
    <w:name w:val="Unresolved Mention"/>
    <w:basedOn w:val="1113"/>
    <w:uiPriority w:val="99"/>
    <w:semiHidden/>
    <w:unhideWhenUsed/>
    <w:rPr>
      <w:color w:val="605e5c"/>
      <w:shd w:val="clear" w:color="auto" w:fill="e1dfdd"/>
    </w:rPr>
  </w:style>
  <w:style w:type="paragraph" w:styleId="1134">
    <w:name w:val="toc 2"/>
    <w:basedOn w:val="1109"/>
    <w:next w:val="1109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35">
    <w:name w:val="toc 1"/>
    <w:basedOn w:val="1109"/>
    <w:next w:val="1109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36">
    <w:name w:val="toc 3"/>
    <w:basedOn w:val="1109"/>
    <w:next w:val="1109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37">
    <w:name w:val="toc 4"/>
    <w:basedOn w:val="1109"/>
    <w:next w:val="1109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38">
    <w:name w:val="toc 5"/>
    <w:basedOn w:val="1109"/>
    <w:next w:val="1109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39">
    <w:name w:val="toc 6"/>
    <w:basedOn w:val="1109"/>
    <w:next w:val="1109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0">
    <w:name w:val="toc 7"/>
    <w:basedOn w:val="1109"/>
    <w:next w:val="1109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1">
    <w:name w:val="toc 8"/>
    <w:basedOn w:val="1109"/>
    <w:next w:val="1109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2">
    <w:name w:val="toc 9"/>
    <w:basedOn w:val="1109"/>
    <w:next w:val="1109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43" w:customStyle="1">
    <w:name w:val="[РГ] Таблица"/>
    <w:basedOn w:val="1114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44">
    <w:name w:val="Table Grid"/>
    <w:basedOn w:val="1114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45">
    <w:name w:val="Placeholder Text"/>
    <w:basedOn w:val="1113"/>
    <w:uiPriority w:val="99"/>
    <w:semiHidden/>
    <w:rPr>
      <w:color w:val="808080"/>
    </w:rPr>
  </w:style>
  <w:style w:type="character" w:styleId="1146" w:customStyle="1">
    <w:name w:val="[РГ] Отсылка"/>
    <w:basedOn w:val="1113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47">
    <w:name w:val="annotation reference"/>
    <w:basedOn w:val="1113"/>
    <w:uiPriority w:val="99"/>
    <w:unhideWhenUsed/>
    <w:rPr>
      <w:sz w:val="16"/>
      <w:szCs w:val="16"/>
    </w:rPr>
  </w:style>
  <w:style w:type="paragraph" w:styleId="1148">
    <w:name w:val="annotation text"/>
    <w:basedOn w:val="1109"/>
    <w:link w:val="1149"/>
    <w:uiPriority w:val="99"/>
    <w:unhideWhenUsed/>
    <w:rPr>
      <w:sz w:val="20"/>
      <w:szCs w:val="20"/>
    </w:rPr>
  </w:style>
  <w:style w:type="character" w:styleId="1149" w:customStyle="1">
    <w:name w:val="Текст примечания Знак"/>
    <w:basedOn w:val="1113"/>
    <w:link w:val="1148"/>
    <w:uiPriority w:val="99"/>
    <w:rPr>
      <w:sz w:val="20"/>
      <w:szCs w:val="20"/>
    </w:rPr>
  </w:style>
  <w:style w:type="paragraph" w:styleId="1150">
    <w:name w:val="annotation subject"/>
    <w:basedOn w:val="1148"/>
    <w:next w:val="1148"/>
    <w:link w:val="1151"/>
    <w:uiPriority w:val="99"/>
    <w:semiHidden/>
    <w:unhideWhenUsed/>
    <w:rPr>
      <w:b/>
      <w:bCs/>
    </w:rPr>
  </w:style>
  <w:style w:type="character" w:styleId="1151" w:customStyle="1">
    <w:name w:val="Тема примечания Знак"/>
    <w:basedOn w:val="1149"/>
    <w:link w:val="1150"/>
    <w:uiPriority w:val="99"/>
    <w:semiHidden/>
    <w:rPr>
      <w:b/>
      <w:bCs/>
      <w:sz w:val="20"/>
      <w:szCs w:val="20"/>
    </w:rPr>
  </w:style>
  <w:style w:type="paragraph" w:styleId="1152" w:customStyle="1">
    <w:name w:val="[РГ] Альтернатива / Дополнение"/>
    <w:basedOn w:val="1122"/>
    <w:next w:val="1122"/>
    <w:qFormat/>
    <w:rPr>
      <w:i/>
      <w:shd w:val="clear" w:color="auto" w:fill="ccecff"/>
    </w:rPr>
  </w:style>
  <w:style w:type="character" w:styleId="1153" w:customStyle="1">
    <w:name w:val="[РГ] Инструкция для участника"/>
    <w:basedOn w:val="1113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54">
    <w:name w:val="Revision"/>
    <w:hidden/>
    <w:uiPriority w:val="99"/>
    <w:semiHidden/>
    <w:pPr>
      <w:spacing w:before="0"/>
    </w:pPr>
  </w:style>
  <w:style w:type="character" w:styleId="1155">
    <w:name w:val="FollowedHyperlink"/>
    <w:basedOn w:val="1113"/>
    <w:uiPriority w:val="99"/>
    <w:semiHidden/>
    <w:unhideWhenUsed/>
    <w:rPr>
      <w:color w:val="954f72" w:themeColor="followedHyperlink"/>
      <w:u w:val="single"/>
    </w:rPr>
  </w:style>
  <w:style w:type="paragraph" w:styleId="1156">
    <w:name w:val="List Paragraph"/>
    <w:basedOn w:val="1109"/>
    <w:uiPriority w:val="34"/>
    <w:qFormat/>
    <w:pPr>
      <w:contextualSpacing/>
      <w:ind w:left="720"/>
    </w:pPr>
  </w:style>
  <w:style w:type="paragraph" w:styleId="1157" w:customStyle="1">
    <w:name w:val="Пункт"/>
    <w:basedOn w:val="1109"/>
    <w:link w:val="1158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58" w:customStyle="1">
    <w:name w:val="Пункт Знак2"/>
    <w:link w:val="1157"/>
    <w:rPr>
      <w:rFonts w:eastAsia="Times New Roman" w:cs="Times New Roman"/>
      <w:szCs w:val="26"/>
      <w:lang w:eastAsia="ru-RU"/>
    </w:rPr>
  </w:style>
  <w:style w:type="paragraph" w:styleId="1159" w:customStyle="1">
    <w:name w:val="Подпункт"/>
    <w:basedOn w:val="1157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60" w:customStyle="1">
    <w:name w:val="Подподпункт"/>
    <w:basedOn w:val="1159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61" w:customStyle="1">
    <w:name w:val="Заголовок 1 Знак"/>
    <w:basedOn w:val="1113"/>
    <w:link w:val="1110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62" w:customStyle="1">
    <w:name w:val="Заголовок 2 Знак"/>
    <w:basedOn w:val="1113"/>
    <w:link w:val="1111"/>
    <w:rPr>
      <w:rFonts w:eastAsia="Times New Roman" w:cs="Times New Roman"/>
      <w:b/>
      <w:sz w:val="32"/>
      <w:szCs w:val="26"/>
      <w:lang w:eastAsia="ru-RU"/>
    </w:rPr>
  </w:style>
  <w:style w:type="character" w:styleId="1163" w:customStyle="1">
    <w:name w:val="Заголовок 3 Знак"/>
    <w:basedOn w:val="1113"/>
    <w:link w:val="1112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64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5" w:customStyle="1">
    <w:name w:val="УРОВЕНЬ_Абзац_тип3"/>
    <w:qFormat/>
    <w:pPr>
      <w:numPr>
        <w:ilvl w:val="7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66" w:customStyle="1">
    <w:name w:val="УРОВЕНЬ_-"/>
    <w:basedOn w:val="1068"/>
    <w:qFormat/>
    <w:pPr>
      <w:numPr>
        <w:ilvl w:val="4"/>
        <w:numId w:val="0"/>
      </w:numPr>
      <w:contextualSpacing w:val="0"/>
      <w:ind w:left="2268" w:right="0" w:hanging="567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67" w:customStyle="1">
    <w:name w:val="УРОВЕНЬ_Абзац_тип2"/>
    <w:basedOn w:val="1068"/>
    <w:qFormat/>
    <w:pPr>
      <w:numPr>
        <w:ilvl w:val="6"/>
        <w:numId w:val="0"/>
      </w:numPr>
      <w:contextualSpacing w:val="0"/>
      <w:ind w:left="1701" w:right="0" w:firstLine="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68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msp.roseltorg.ru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hyperlink" Target="mailto:-sb@dgk.ru" TargetMode="External"/><Relationship Id="rId17" Type="http://schemas.openxmlformats.org/officeDocument/2006/relationships/image" Target="media/image1.emf"/><Relationship Id="rId18" Type="http://schemas.openxmlformats.org/officeDocument/2006/relationships/package" Target="embeddings/Microsoft_Word_Document1.docx"/><Relationship Id="rId19" Type="http://schemas.openxmlformats.org/officeDocument/2006/relationships/image" Target="media/image2.emf"/><Relationship Id="rId20" Type="http://schemas.openxmlformats.org/officeDocument/2006/relationships/package" Target="embeddings/Microsoft_Word_Document2.docx"/><Relationship Id="rId21" Type="http://schemas.openxmlformats.org/officeDocument/2006/relationships/image" Target="media/image3.emf"/><Relationship Id="rId22" Type="http://schemas.openxmlformats.org/officeDocument/2006/relationships/package" Target="embeddings/Microsoft_Word_Document3.docx"/><Relationship Id="rId23" Type="http://schemas.openxmlformats.org/officeDocument/2006/relationships/hyperlink" Target="https://bo.nalog.ru" TargetMode="External"/><Relationship Id="rId24" Type="http://schemas.openxmlformats.org/officeDocument/2006/relationships/image" Target="media/image4.emf"/><Relationship Id="rId25" Type="http://schemas.openxmlformats.org/officeDocument/2006/relationships/package" Target="embeddings/Microsoft_Excel_Worksheet4.xls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revision>145</cp:revision>
  <dcterms:created xsi:type="dcterms:W3CDTF">2023-08-16T07:54:00Z</dcterms:created>
  <dcterms:modified xsi:type="dcterms:W3CDTF">2026-03-03T23:39:39Z</dcterms:modified>
</cp:coreProperties>
</file>