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jc w:val="center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управлению ресурсами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jc w:val="right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jc w:val="right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9"/>
        <w:ind w:left="4536"/>
        <w:keepNext/>
      </w:pPr>
      <w:r/>
      <w:r/>
    </w:p>
    <w:p>
      <w:pPr>
        <w:pStyle w:val="1139"/>
      </w:pPr>
      <w:r/>
      <w:r/>
    </w:p>
    <w:p>
      <w:pPr>
        <w:pStyle w:val="1139"/>
      </w:pPr>
      <w:r/>
      <w:r/>
    </w:p>
    <w:p>
      <w:pPr>
        <w:pStyle w:val="1139"/>
      </w:pPr>
      <w:r/>
      <w:r/>
    </w:p>
    <w:p>
      <w:pPr>
        <w:pStyle w:val="1139"/>
      </w:pPr>
      <w:r/>
      <w:r/>
    </w:p>
    <w:p>
      <w:pPr>
        <w:pStyle w:val="1139"/>
      </w:pPr>
      <w:r/>
      <w:r/>
    </w:p>
    <w:p>
      <w:pPr>
        <w:pStyle w:val="1139"/>
        <w:jc w:val="center"/>
        <w:keepNext/>
        <w:rPr>
          <w:b/>
          <w:bCs/>
          <w:caps/>
          <w:color w:val="000000" w:themeColor="text1"/>
        </w:rPr>
        <w:outlineLvl w:val="2"/>
      </w:pPr>
      <w:r>
        <w:rPr>
          <w:b/>
          <w:bCs/>
          <w:caps/>
          <w:color w:val="000000" w:themeColor="text1"/>
        </w:rPr>
        <w:t xml:space="preserve">Документация о закупке</w:t>
      </w:r>
      <w:r>
        <w:rPr>
          <w:b/>
          <w:bCs/>
          <w:caps/>
          <w:color w:val="000000" w:themeColor="text1"/>
        </w:rPr>
      </w:r>
      <w:r>
        <w:rPr>
          <w:b/>
          <w:bCs/>
          <w:caps/>
          <w:color w:val="000000" w:themeColor="text1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прос предложений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в электронной форме,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ОКПД2 42.21.22.120 Выполнение проектных и строительно-монтажных работ по реконструкции квартальных тепловых сетей пгт. Новорайчихинск, в рамках выполнения инвестиционного проекта N_505-АГ-115ис, для Амурских тепловых сетей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Лот №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22134006-ТПИР ОБСЛ-2026-ДГК-АТС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ind w:right="-108" w:firstLine="0"/>
        <w:jc w:val="left"/>
        <w:spacing w:before="60" w:after="60" w:line="240" w:lineRule="auto"/>
        <w:rPr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ind w:right="-108" w:firstLine="0"/>
        <w:jc w:val="center"/>
        <w:spacing w:before="60" w:after="60" w:line="240" w:lineRule="auto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39"/>
        <w:jc w:val="center"/>
        <w:keepNext/>
        <w:spacing w:before="240"/>
        <w:rPr>
          <w:rStyle w:val="1144"/>
        </w:rPr>
      </w:pPr>
      <w:r>
        <w:rPr>
          <w:rStyle w:val="1144"/>
        </w:rPr>
      </w:r>
      <w:r>
        <w:rPr>
          <w:rStyle w:val="1144"/>
        </w:rPr>
      </w:r>
      <w:r>
        <w:rPr>
          <w:rStyle w:val="1144"/>
        </w:rPr>
      </w:r>
    </w:p>
    <w:p>
      <w:pPr>
        <w:pStyle w:val="1138"/>
        <w:outlineLvl w:val="2"/>
      </w:pPr>
      <w:r>
        <w:t xml:space="preserve">Содержание</w:t>
      </w:r>
      <w:r/>
    </w:p>
    <w:p>
      <w:pPr>
        <w:pStyle w:val="1152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49"/>
          </w:rPr>
        </w:r>
        <w:r>
          <w:rPr>
            <w:rStyle w:val="1149"/>
          </w:rPr>
          <w:t xml:space="preserve">Сокращения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  <w:r/>
    </w:p>
    <w:p>
      <w:pPr>
        <w:pStyle w:val="1152"/>
        <w:tabs>
          <w:tab w:val="right" w:pos="9923" w:leader="none"/>
        </w:tabs>
      </w:pPr>
      <w:r/>
      <w:hyperlink w:tooltip="#_Toc2" w:anchor="_Toc2" w:history="1">
        <w:r>
          <w:rPr>
            <w:rStyle w:val="1149"/>
          </w:rPr>
        </w:r>
        <w:r>
          <w:rPr>
            <w:rStyle w:val="1149"/>
          </w:rPr>
          <w:t xml:space="preserve">Термины и определения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Основные сведения о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Статус настоящего раздела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Информация о проводимой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Общие положения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Общие сведения о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Правовой статус документов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Обжалование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16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Особые положения при проведении закупки с использованием ЭП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17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Прочие положения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17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Требования к </w:t>
        </w:r>
        <w:r>
          <w:rPr>
            <w:rStyle w:val="1149"/>
          </w:rPr>
          <w:t xml:space="preserve">У</w:t>
        </w:r>
        <w:r>
          <w:rPr>
            <w:rStyle w:val="1149"/>
          </w:rPr>
          <w:t xml:space="preserve">частникам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18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Общие требования к Участникам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18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Генеральные подрядчики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18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Порядок проведения закупки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20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Общий порядок проведения закупки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Официальное размещение Извещения и Документации о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22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Подготовка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Разъяснение Документации о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Изменения </w:t>
        </w:r>
        <w:r>
          <w:rPr>
            <w:rStyle w:val="1149"/>
          </w:rPr>
          <w:t xml:space="preserve">Извещени</w:t>
        </w:r>
        <w:r>
          <w:rPr>
            <w:rStyle w:val="1149"/>
          </w:rPr>
          <w:t xml:space="preserve">я</w:t>
        </w:r>
        <w:r>
          <w:rPr>
            <w:rStyle w:val="1149"/>
          </w:rPr>
          <w:t xml:space="preserve"> </w:t>
        </w:r>
        <w:r>
          <w:rPr>
            <w:rStyle w:val="1149"/>
          </w:rPr>
          <w:t xml:space="preserve">и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(или)</w:t>
        </w:r>
        <w:r>
          <w:rPr>
            <w:rStyle w:val="1149"/>
          </w:rPr>
          <w:t xml:space="preserve"> </w:t>
        </w:r>
        <w:r>
          <w:rPr>
            <w:rStyle w:val="1149"/>
          </w:rPr>
          <w:t xml:space="preserve">Документаци</w:t>
        </w:r>
        <w:r>
          <w:rPr>
            <w:rStyle w:val="1149"/>
          </w:rPr>
          <w:t xml:space="preserve">и</w:t>
        </w:r>
        <w:r>
          <w:rPr>
            <w:rStyle w:val="1149"/>
          </w:rPr>
          <w:t xml:space="preserve"> о закупке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Подача заявок и их прием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26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Изменение и отзыв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27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Открытие доступа к первым частям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27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Рассмотрение </w:t>
        </w:r>
        <w:r>
          <w:rPr>
            <w:rStyle w:val="1149"/>
          </w:rPr>
          <w:t xml:space="preserve">первых частей </w:t>
        </w:r>
        <w:r>
          <w:rPr>
            <w:rStyle w:val="1149"/>
          </w:rPr>
          <w:t xml:space="preserve">заявок</w:t>
        </w:r>
        <w:r>
          <w:rPr>
            <w:rStyle w:val="1149"/>
          </w:rPr>
          <w:t xml:space="preserve"> </w:t>
        </w:r>
        <w:r>
          <w:rPr>
            <w:rStyle w:val="1149"/>
          </w:rPr>
          <w:t xml:space="preserve">(</w:t>
        </w:r>
        <w:r>
          <w:rPr>
            <w:rStyle w:val="1149"/>
          </w:rPr>
          <w:t xml:space="preserve">отборочная стадия</w:t>
        </w:r>
        <w:r>
          <w:rPr>
            <w:rStyle w:val="1149"/>
          </w:rPr>
          <w:t xml:space="preserve">)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27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Открытие доступа ко вторым частям заявок и ценовым предложениям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29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Рассмотрение вторых частей заявок</w:t>
        </w:r>
        <w:r>
          <w:rPr>
            <w:rStyle w:val="1149"/>
          </w:rPr>
          <w:t xml:space="preserve"> (отборочная стадия)</w:t>
        </w:r>
        <w:r>
          <w:rPr>
            <w:rStyle w:val="1149"/>
          </w:rPr>
          <w:t xml:space="preserve">, в том числе (при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необходимости) проведение аккредитации,</w:t>
        </w:r>
        <w:r>
          <w:rPr>
            <w:rStyle w:val="1149"/>
          </w:rPr>
          <w:t xml:space="preserve"> и ценовых предложений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29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Дополнительные запросы разъяснений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Оценка и сопоставление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Применение </w:t>
        </w:r>
        <w:r>
          <w:rPr>
            <w:rStyle w:val="1149"/>
          </w:rPr>
          <w:t xml:space="preserve">законодательства о национальном режиме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</w:t>
        </w:r>
        <w:r>
          <w:rPr>
            <w:rStyle w:val="1149"/>
          </w:rPr>
          <w:t xml:space="preserve">одведение итогов закупки</w:t>
        </w:r>
        <w:r>
          <w:rPr>
            <w:rStyle w:val="1149"/>
          </w:rPr>
          <w:t xml:space="preserve"> (</w:t>
        </w:r>
        <w:r>
          <w:rPr>
            <w:rStyle w:val="1149"/>
          </w:rPr>
          <w:t xml:space="preserve">о</w:t>
        </w:r>
        <w:r>
          <w:rPr>
            <w:rStyle w:val="1149"/>
          </w:rPr>
          <w:t xml:space="preserve">пределение Победителя</w:t>
        </w:r>
        <w:r>
          <w:rPr>
            <w:rStyle w:val="1149"/>
          </w:rPr>
          <w:t xml:space="preserve">)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33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Признание закупки несостоявшейся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Отказ от проведения закупки</w:t>
        </w:r>
        <w:r>
          <w:rPr>
            <w:rStyle w:val="1149"/>
          </w:rPr>
          <w:t xml:space="preserve"> (отмена закупки)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Особенности</w:t>
        </w:r>
        <w:r>
          <w:rPr>
            <w:rStyle w:val="1149"/>
          </w:rPr>
          <w:t xml:space="preserve"> проведения закупки с необходимостью обеспечения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Особенности проведения м</w:t>
        </w:r>
        <w:r>
          <w:rPr>
            <w:rStyle w:val="1149"/>
          </w:rPr>
          <w:t xml:space="preserve">ноголотов</w:t>
        </w:r>
        <w:r>
          <w:rPr>
            <w:rStyle w:val="1149"/>
          </w:rPr>
          <w:t xml:space="preserve">ой</w:t>
        </w:r>
        <w:r>
          <w:rPr>
            <w:rStyle w:val="1149"/>
          </w:rPr>
          <w:t xml:space="preserve"> закупк</w:t>
        </w:r>
        <w:r>
          <w:rPr>
            <w:rStyle w:val="1149"/>
          </w:rPr>
          <w:t xml:space="preserve">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39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</w:t>
        </w:r>
        <w:r>
          <w:rPr>
            <w:rStyle w:val="1149"/>
          </w:rPr>
          <w:t xml:space="preserve">орядок заключения </w:t>
        </w:r>
        <w:r>
          <w:rPr>
            <w:rStyle w:val="1149"/>
          </w:rPr>
          <w:t xml:space="preserve">Д</w:t>
        </w:r>
        <w:r>
          <w:rPr>
            <w:rStyle w:val="1149"/>
          </w:rPr>
          <w:t xml:space="preserve">оговора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Общие положения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Заключение Договора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Уклонение Победителя от заключения Договора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 </w:t>
        </w:r>
        <w:r>
          <w:rPr>
            <w:rStyle w:val="1149"/>
          </w:rPr>
          <w:t xml:space="preserve">Приложение № 1 – Технические требования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44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Техническим требованиям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44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 2 – Проект договора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45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</w:t>
        </w:r>
        <w:r>
          <w:rPr>
            <w:rStyle w:val="1149"/>
          </w:rPr>
          <w:t xml:space="preserve">П</w:t>
        </w:r>
        <w:r>
          <w:rPr>
            <w:rStyle w:val="1149"/>
          </w:rPr>
          <w:t xml:space="preserve">роекту договора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45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3 – Требования к </w:t>
        </w:r>
        <w:r>
          <w:rPr>
            <w:rStyle w:val="1149"/>
          </w:rPr>
          <w:t xml:space="preserve">У</w:t>
        </w:r>
        <w:r>
          <w:rPr>
            <w:rStyle w:val="1149"/>
          </w:rPr>
          <w:t xml:space="preserve">частникам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46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</w:t>
        </w:r>
        <w:r>
          <w:rPr>
            <w:rStyle w:val="1149"/>
          </w:rPr>
          <w:t xml:space="preserve">требованиям к </w:t>
        </w:r>
        <w:r>
          <w:rPr>
            <w:rStyle w:val="1149"/>
          </w:rPr>
          <w:t xml:space="preserve">У</w:t>
        </w:r>
        <w:r>
          <w:rPr>
            <w:rStyle w:val="1149"/>
          </w:rPr>
          <w:t xml:space="preserve">частникам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46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Обязательные требования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46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  <w:rPr>
          <w:highlight w:val="white"/>
        </w:rPr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49"/>
          </w:rPr>
        </w:r>
        <w:r>
          <w:rPr>
            <w:rStyle w:val="1149"/>
            <w:highlight w:val="white"/>
          </w:rPr>
          <w:t xml:space="preserve">Специальные требования</w:t>
        </w:r>
        <w:r>
          <w:rPr>
            <w:rStyle w:val="1149"/>
            <w:highlight w:val="white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49</w:t>
          <w:fldChar w:fldCharType="end"/>
        </w:r>
      </w:hyperlink>
      <w:r>
        <w:rPr>
          <w:highlight w:val="white"/>
        </w:rPr>
      </w:r>
      <w:r>
        <w:rPr>
          <w:highlight w:val="white"/>
        </w:rPr>
      </w:r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Дополнительные т</w:t>
        </w:r>
        <w:r>
          <w:rPr>
            <w:rStyle w:val="1149"/>
          </w:rPr>
          <w:t xml:space="preserve">ребования к Генеральным подрядчикам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50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 </w:t>
        </w:r>
        <w:r>
          <w:rPr>
            <w:rStyle w:val="1149"/>
          </w:rPr>
          <w:t xml:space="preserve">4</w:t>
        </w:r>
        <w:r>
          <w:rPr>
            <w:rStyle w:val="1149"/>
          </w:rPr>
          <w:t xml:space="preserve"> </w:t>
        </w:r>
        <w:r>
          <w:rPr>
            <w:rStyle w:val="1149"/>
          </w:rPr>
          <w:t xml:space="preserve">– </w:t>
        </w:r>
        <w:r>
          <w:rPr>
            <w:rStyle w:val="1149"/>
          </w:rPr>
          <w:t xml:space="preserve">Образцы форм документов, включаемых в состав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52</w:t>
          <w:fldChar w:fldCharType="end"/>
        </w:r>
      </w:hyperlink>
      <w:r/>
      <w:r/>
    </w:p>
    <w:p>
      <w:pPr>
        <w:pStyle w:val="1151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Образца</w:t>
        </w:r>
        <w:r>
          <w:rPr>
            <w:rStyle w:val="1149"/>
          </w:rPr>
          <w:t xml:space="preserve">м</w:t>
        </w:r>
        <w:r>
          <w:rPr>
            <w:rStyle w:val="1149"/>
          </w:rPr>
          <w:t xml:space="preserve"> форм документов, включаемых в состав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52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 5 </w:t>
        </w:r>
        <w:r>
          <w:rPr>
            <w:rStyle w:val="1149"/>
          </w:rPr>
          <w:t xml:space="preserve">– </w:t>
        </w:r>
        <w:r>
          <w:rPr>
            <w:rStyle w:val="1149"/>
          </w:rPr>
          <w:t xml:space="preserve">Образцы форм документов, предоставляемых Победителем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53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Образцам форм документов, предоставляемых Победителем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53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53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Форма «Заверение об обстоятельствах»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53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6</w:t>
        </w:r>
        <w:r>
          <w:rPr>
            <w:rStyle w:val="1149"/>
          </w:rPr>
          <w:t xml:space="preserve"> – Состав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55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Состав заявки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55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7</w:t>
        </w:r>
        <w:r>
          <w:rPr>
            <w:rStyle w:val="1149"/>
          </w:rPr>
          <w:t xml:space="preserve"> – Отборочные критерии рассмотрения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58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  <w:rPr>
          <w:rStyle w:val="1144"/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49"/>
          </w:rPr>
        </w:r>
        <w:r>
          <w:rPr>
            <w:rStyle w:val="1149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49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49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49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58</w:t>
          <w:fldChar w:fldCharType="end"/>
        </w:r>
      </w:hyperlink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51"/>
        <w:tabs>
          <w:tab w:val="left" w:pos="850" w:leader="none"/>
          <w:tab w:val="right" w:pos="9923" w:leader="none"/>
        </w:tabs>
        <w:rPr>
          <w:rStyle w:val="1144"/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49"/>
          </w:rPr>
        </w:r>
        <w:r>
          <w:rPr>
            <w:rStyle w:val="1149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49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59</w:t>
          <w:fldChar w:fldCharType="end"/>
        </w:r>
      </w:hyperlink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51"/>
        <w:tabs>
          <w:tab w:val="left" w:pos="850" w:leader="none"/>
          <w:tab w:val="right" w:pos="9923" w:leader="none"/>
        </w:tabs>
        <w:rPr>
          <w:rStyle w:val="1144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49"/>
          </w:rPr>
        </w:r>
        <w:r>
          <w:rPr>
            <w:rStyle w:val="1149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49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62</w:t>
          <w:fldChar w:fldCharType="end"/>
        </w:r>
      </w:hyperlink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51"/>
        <w:tabs>
          <w:tab w:val="left" w:pos="850" w:leader="none"/>
          <w:tab w:val="right" w:pos="9923" w:leader="none"/>
        </w:tabs>
        <w:rPr>
          <w:rStyle w:val="1144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49"/>
          </w:rPr>
        </w:r>
        <w:r>
          <w:rPr>
            <w:rStyle w:val="1149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49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49"/>
            <w:i w:val="0"/>
            <w:iCs w:val="0"/>
            <w:shd w:val="clear" w:color="auto" w:fill="auto"/>
          </w:rPr>
          <w:t xml:space="preserve">ок</w:t>
        </w:r>
        <w:r>
          <w:rPr>
            <w:rStyle w:val="1149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49"/>
            <w:i w:val="0"/>
            <w:iCs w:val="0"/>
            <w:shd w:val="clear" w:color="auto" w:fill="auto"/>
          </w:rPr>
          <w:t xml:space="preserve">е</w:t>
        </w:r>
        <w:r>
          <w:rPr>
            <w:rStyle w:val="1149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49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63</w:t>
          <w:fldChar w:fldCharType="end"/>
        </w:r>
      </w:hyperlink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</w:t>
        </w:r>
        <w:r>
          <w:rPr>
            <w:rStyle w:val="1149"/>
          </w:rPr>
          <w:t xml:space="preserve"> </w:t>
        </w:r>
        <w:r>
          <w:rPr>
            <w:rStyle w:val="1149"/>
          </w:rPr>
          <w:t xml:space="preserve">8</w:t>
        </w:r>
        <w:r>
          <w:rPr>
            <w:rStyle w:val="1149"/>
          </w:rPr>
          <w:t xml:space="preserve"> – Порядок и критерии оценки и сопоставления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65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Порядок и критерии оценки и сопоставления заявок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65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 </w:t>
        </w:r>
        <w:r>
          <w:rPr>
            <w:rStyle w:val="1149"/>
          </w:rPr>
          <w:t xml:space="preserve">9</w:t>
        </w:r>
        <w:r>
          <w:rPr>
            <w:rStyle w:val="1149"/>
          </w:rPr>
          <w:t xml:space="preserve"> – Обоснование НМЦ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69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Обоснованию НМЦ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69</w:t>
          <w:fldChar w:fldCharType="end"/>
        </w:r>
      </w:hyperlink>
      <w:r/>
      <w:r/>
    </w:p>
    <w:p>
      <w:pPr>
        <w:pStyle w:val="1152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Приложение № 1</w:t>
        </w:r>
        <w:r>
          <w:rPr>
            <w:rStyle w:val="1149"/>
          </w:rPr>
          <w:t xml:space="preserve">0</w:t>
        </w:r>
        <w:r>
          <w:rPr>
            <w:rStyle w:val="1149"/>
          </w:rPr>
          <w:t xml:space="preserve"> – Форма Заявки на аккредитацию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70</w:t>
          <w:fldChar w:fldCharType="end"/>
        </w:r>
      </w:hyperlink>
      <w:r/>
      <w:r/>
    </w:p>
    <w:p>
      <w:pPr>
        <w:pStyle w:val="1151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49"/>
          </w:rPr>
        </w:r>
        <w:r>
          <w:rPr>
            <w:rStyle w:val="1149"/>
          </w:rPr>
          <w:t xml:space="preserve">Пояснения к форме Заявки на аккредитацию</w:t>
        </w:r>
        <w:r>
          <w:rPr>
            <w:rStyle w:val="1149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70</w:t>
          <w:fldChar w:fldCharType="end"/>
        </w:r>
      </w:hyperlink>
      <w:r/>
      <w:r/>
    </w:p>
    <w:p>
      <w:pPr>
        <w:pStyle w:val="1139"/>
      </w:pPr>
      <w:r>
        <w:fldChar w:fldCharType="end"/>
      </w:r>
      <w:r/>
    </w:p>
    <w:p>
      <w:pPr>
        <w:pStyle w:val="1139"/>
        <w:keepNext/>
        <w:spacing w:before="60"/>
        <w:rPr>
          <w:rStyle w:val="1170"/>
        </w:rPr>
      </w:pPr>
      <w:r>
        <w:rPr>
          <w:rStyle w:val="1170"/>
        </w:rPr>
        <w:t xml:space="preserve">[Примечание (дополнительные удобства работы с Документацией о закупке; </w:t>
      </w:r>
      <w:r>
        <w:rPr>
          <w:rStyle w:val="1170"/>
        </w:rPr>
        <w:t xml:space="preserve">Microsoft Word | </w:t>
      </w:r>
      <w:r>
        <w:rPr>
          <w:rStyle w:val="1170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70"/>
        </w:rPr>
        <w:t xml:space="preserve">):</w:t>
      </w:r>
      <w:r>
        <w:rPr>
          <w:rStyle w:val="1170"/>
        </w:rPr>
      </w:r>
      <w:r>
        <w:rPr>
          <w:rStyle w:val="1170"/>
        </w:rPr>
      </w:r>
    </w:p>
    <w:p>
      <w:pPr>
        <w:pStyle w:val="1139"/>
        <w:numPr>
          <w:ilvl w:val="0"/>
          <w:numId w:val="13"/>
        </w:numPr>
        <w:ind w:left="284" w:hanging="284"/>
        <w:spacing w:before="60"/>
        <w:rPr>
          <w:rStyle w:val="1170"/>
        </w:rPr>
      </w:pPr>
      <w:r>
        <w:rPr>
          <w:rStyle w:val="1170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0"/>
        </w:rPr>
        <w:t xml:space="preserve"> </w:t>
      </w:r>
      <w:r>
        <w:rPr>
          <w:rStyle w:val="1170"/>
        </w:rPr>
        <w:t xml:space="preserve">| </w:t>
      </w:r>
      <w:r>
        <w:rPr>
          <w:rStyle w:val="1170"/>
          <w:color w:val="4472c4" w:themeColor="accent1"/>
        </w:rPr>
        <w:t xml:space="preserve">включается на вкладке «Вид» опцией «Навигатор»</w:t>
      </w:r>
      <w:r>
        <w:rPr>
          <w:rStyle w:val="1170"/>
        </w:rPr>
        <w:t xml:space="preserve">;</w:t>
      </w:r>
      <w:r>
        <w:rPr>
          <w:rStyle w:val="1170"/>
        </w:rPr>
      </w:r>
      <w:r>
        <w:rPr>
          <w:rStyle w:val="1170"/>
        </w:rPr>
      </w:r>
    </w:p>
    <w:p>
      <w:pPr>
        <w:pStyle w:val="1139"/>
        <w:numPr>
          <w:ilvl w:val="0"/>
          <w:numId w:val="13"/>
        </w:numPr>
        <w:ind w:left="284" w:hanging="284"/>
        <w:spacing w:before="60"/>
        <w:rPr>
          <w:rStyle w:val="1170"/>
        </w:rPr>
      </w:pPr>
      <w:r>
        <w:rPr>
          <w:rStyle w:val="1170"/>
        </w:rPr>
        <w:t xml:space="preserve">переход по перекрестным и другим ссылкам осуществляется левым кликом мыши с</w:t>
      </w:r>
      <w:r>
        <w:rPr>
          <w:rStyle w:val="1170"/>
          <w:lang w:val="en-US"/>
        </w:rPr>
        <w:t xml:space="preserve"> </w:t>
      </w:r>
      <w:r>
        <w:rPr>
          <w:rStyle w:val="1170"/>
        </w:rPr>
        <w:t xml:space="preserve">зажатой клавишей Ctrl, обратный возврат на место в тексте, с котор</w:t>
      </w:r>
      <w:r>
        <w:rPr>
          <w:rStyle w:val="1170"/>
        </w:rPr>
        <w:t xml:space="preserve">ого</w:t>
      </w:r>
      <w:r>
        <w:rPr>
          <w:rStyle w:val="1170"/>
        </w:rPr>
        <w:t xml:space="preserve"> был </w:t>
      </w:r>
      <w:r>
        <w:rPr>
          <w:rStyle w:val="1170"/>
        </w:rPr>
        <w:t xml:space="preserve">сделан</w:t>
      </w:r>
      <w:r>
        <w:rPr>
          <w:rStyle w:val="1170"/>
        </w:rPr>
        <w:t xml:space="preserve"> переход, осуществляется нажатием стрелки влево (←) с зажатой левой клавишей Alt</w:t>
      </w:r>
      <w:r>
        <w:rPr>
          <w:rStyle w:val="1170"/>
        </w:rPr>
        <w:t xml:space="preserve"> </w:t>
      </w:r>
      <w:r>
        <w:rPr>
          <w:rStyle w:val="1170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0"/>
        </w:rPr>
        <w:t xml:space="preserve">;</w:t>
      </w:r>
      <w:r>
        <w:rPr>
          <w:rStyle w:val="1170"/>
        </w:rPr>
      </w:r>
      <w:r>
        <w:rPr>
          <w:rStyle w:val="1170"/>
        </w:rPr>
      </w:r>
    </w:p>
    <w:p>
      <w:pPr>
        <w:pStyle w:val="1139"/>
        <w:numPr>
          <w:ilvl w:val="0"/>
          <w:numId w:val="13"/>
        </w:numPr>
        <w:ind w:left="284" w:hanging="284"/>
        <w:spacing w:before="60"/>
        <w:rPr>
          <w:rStyle w:val="1170"/>
        </w:rPr>
      </w:pPr>
      <w:r>
        <w:rPr>
          <w:rStyle w:val="1170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0"/>
        </w:rPr>
        <w:t xml:space="preserve">е</w:t>
      </w:r>
      <w:r>
        <w:rPr>
          <w:rStyle w:val="1170"/>
        </w:rPr>
        <w:t xml:space="preserve"> документа (файла) в</w:t>
      </w:r>
      <w:r>
        <w:rPr>
          <w:rStyle w:val="1170"/>
          <w:lang w:val="en-US"/>
        </w:rPr>
        <w:t xml:space="preserve"> </w:t>
      </w:r>
      <w:r>
        <w:rPr>
          <w:rStyle w:val="1170"/>
        </w:rPr>
        <w:t xml:space="preserve">тексте</w:t>
      </w:r>
      <w:r>
        <w:rPr>
          <w:rStyle w:val="1170"/>
        </w:rPr>
        <w:t xml:space="preserve">;</w:t>
      </w:r>
      <w:r>
        <w:rPr>
          <w:rStyle w:val="1170"/>
        </w:rPr>
      </w:r>
      <w:r>
        <w:rPr>
          <w:rStyle w:val="1170"/>
        </w:rPr>
      </w:r>
    </w:p>
    <w:p>
      <w:pPr>
        <w:pStyle w:val="1139"/>
        <w:numPr>
          <w:ilvl w:val="0"/>
          <w:numId w:val="13"/>
        </w:numPr>
        <w:ind w:left="284" w:hanging="284"/>
        <w:spacing w:before="60"/>
        <w:rPr>
          <w:rStyle w:val="1170"/>
        </w:rPr>
      </w:pPr>
      <w:r>
        <w:rPr>
          <w:rStyle w:val="1170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0"/>
        </w:rPr>
        <w:t xml:space="preserve">.]</w:t>
      </w:r>
      <w:r>
        <w:rPr>
          <w:rStyle w:val="1170"/>
        </w:rPr>
      </w:r>
      <w:r>
        <w:rPr>
          <w:rStyle w:val="1170"/>
        </w:rPr>
      </w:r>
    </w:p>
    <w:p>
      <w:pPr>
        <w:pStyle w:val="1138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39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39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39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39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39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39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39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39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39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39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39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39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39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39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39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39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39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39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39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39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39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38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39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39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9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39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39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39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39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39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39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39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39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39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39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39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9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39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39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39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39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39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39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39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47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39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39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</w:t>
      </w:r>
      <w:r>
        <w:t xml:space="preserve">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</w:t>
      </w:r>
      <w:r>
        <w:t xml:space="preserve">, в том числе индивидуальный предприниматель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39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33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34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35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35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</w:t>
        </w:r>
        <w:r>
          <w:rPr>
            <w:rStyle w:val="1163"/>
          </w:rPr>
          <w:t xml:space="preserve">х</w:t>
        </w:r>
        <w:r>
          <w:rPr>
            <w:rStyle w:val="1163"/>
          </w:rPr>
          <w:t xml:space="preserve"> требовани</w:t>
        </w:r>
        <w:r>
          <w:rPr>
            <w:rStyle w:val="1163"/>
          </w:rPr>
          <w:t xml:space="preserve">ях (Приложение № 1)</w:t>
        </w:r>
      </w:hyperlink>
      <w:r>
        <w:rPr>
          <w:rStyle w:val="1163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</w:t>
        </w:r>
        <w:r>
          <w:rPr>
            <w:rStyle w:val="1163"/>
          </w:rPr>
          <w:t xml:space="preserve">роект</w:t>
        </w:r>
        <w:r>
          <w:rPr>
            <w:rStyle w:val="1163"/>
          </w:rPr>
          <w:t xml:space="preserve">е</w:t>
        </w:r>
        <w:r>
          <w:rPr>
            <w:rStyle w:val="1163"/>
          </w:rPr>
          <w:t xml:space="preserve"> </w:t>
        </w:r>
        <w:r>
          <w:rPr>
            <w:rStyle w:val="1163"/>
          </w:rPr>
          <w:t xml:space="preserve">д</w:t>
        </w:r>
        <w:r>
          <w:rPr>
            <w:rStyle w:val="1163"/>
          </w:rPr>
          <w:t xml:space="preserve">оговора</w:t>
        </w:r>
        <w:r>
          <w:rPr>
            <w:rStyle w:val="1163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35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34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60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64"/>
        </w:trPr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от 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22134006-ТПИР ОБСЛ-2026-ДГК-АТС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ОКПД2 42.21.22.120 Выполнение проектных и строительно-монтажных работ по реконструкции квартальных тепловых сетей пгт. Новорайчихинск, в рамках выполнения инвестиционного проекта N_505-АГ-115ис, для Амурских тепловых сетей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3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81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49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49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3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Заказчик</w:t>
            </w:r>
            <w:r>
              <w:rPr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Место нахождения: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Почтовый адрес: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hyperlink r:id="rId13" w:tooltip="mailto:dgk@dgk.ru" w:history="1">
              <w:r>
                <w:rPr>
                  <w:rStyle w:val="1149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49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1149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49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1149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b w:val="0"/>
                <w:bCs w:val="0"/>
                <w:color w:val="2f5696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81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Контактный телефон: +7(4212) 26-4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-3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26"/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ачальнику ОКС СП «АТС» АО «ДГК»  Ключко Елена Леонидовна, тел. (4164)746-06-6;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klyuchko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el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dgk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81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1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1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81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49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9"/>
                  <w:b w:val="0"/>
                  <w:color w:val="2f5696"/>
                  <w:sz w:val="24"/>
                  <w:szCs w:val="24"/>
                </w:rPr>
                <w:t xml:space="preserve">@</w:t>
              </w:r>
              <w:r>
                <w:rPr>
                  <w:rStyle w:val="1149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9"/>
                  <w:b w:val="0"/>
                  <w:color w:val="2f5696"/>
                  <w:sz w:val="24"/>
                  <w:szCs w:val="24"/>
                </w:rPr>
                <w:t xml:space="preserve">.</w:t>
              </w:r>
              <w:r>
                <w:rPr>
                  <w:rStyle w:val="1149"/>
                  <w:b w:val="0"/>
                  <w:color w:val="2f5696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81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-3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</w:t>
            </w:r>
            <w:r>
              <w:rPr>
                <w:b w:val="0"/>
                <w:sz w:val="24"/>
                <w:szCs w:val="24"/>
              </w:rPr>
              <w:t xml:space="preserve">Лутфуллина Екатерина Евгеньевна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26-42-30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color w:val="2f5696"/>
                <w:sz w:val="24"/>
                <w:szCs w:val="24"/>
              </w:rPr>
              <w:t xml:space="preserve">lutfullina-ee@dgk.ru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«27» марта 2</w:t>
            </w:r>
            <w:r>
              <w:rPr>
                <w:sz w:val="24"/>
                <w:szCs w:val="24"/>
              </w:rPr>
              <w:t xml:space="preserve">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6 500 000,00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39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63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9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3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63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tabs>
                <w:tab w:val="left" w:pos="295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Национальный режим предоставляется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«27» марта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апреля</w:t>
            </w:r>
            <w:r>
              <w:rPr>
                <w:sz w:val="24"/>
                <w:szCs w:val="24"/>
              </w:rPr>
              <w:t xml:space="preserve"> 2026 г. в 15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«08» апреля 2026 г. в 15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«15»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</w:rPr>
              <w:t xml:space="preserve">«29» апреля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«29»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9"/>
              <w:rPr>
                <w:rStyle w:val="1144"/>
                <w:sz w:val="24"/>
                <w:szCs w:val="24"/>
              </w:rPr>
            </w:pPr>
            <w:r>
              <w:rPr>
                <w:rStyle w:val="1144"/>
                <w:sz w:val="24"/>
                <w:szCs w:val="24"/>
              </w:rPr>
            </w:r>
            <w:r>
              <w:rPr>
                <w:rStyle w:val="1144"/>
                <w:sz w:val="24"/>
                <w:szCs w:val="24"/>
              </w:rPr>
            </w:r>
            <w:r>
              <w:rPr>
                <w:rStyle w:val="1144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</w:t>
            </w:r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Амурская область, г. Благовещенск, ул. Нагорная 19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  <w:p>
            <w:pPr>
              <w:pStyle w:val="1126"/>
              <w:ind w:right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pacing w:val="-6"/>
                <w:sz w:val="24"/>
                <w:szCs w:val="24"/>
              </w:rPr>
              <w:t xml:space="preserve">Контактное лицо для приема документов (Ф.И.О.):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Начальник ОКС СП «АТС» АО «ДГК»  Ключко Е.Л., тел. 8 (4164)746-06-6;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klyuchko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el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dgk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highlight w:val="yellow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Внимание</w:t>
            </w:r>
            <w:r>
              <w:rPr>
                <w:sz w:val="24"/>
                <w:szCs w:val="24"/>
              </w:rPr>
              <w:t xml:space="preserve">!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3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26"/>
              <w:contextualSpacing/>
              <w:ind w:left="0" w:right="0" w:firstLine="0"/>
              <w:jc w:val="both"/>
              <w:spacing w:before="0" w:after="0" w:afterAutospacing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Требуется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pStyle w:val="1126"/>
              <w:contextualSpacing/>
              <w:ind w:left="0" w:right="0" w:firstLine="0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Способы внесения обеспечения договора: Независимая гарантия;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pStyle w:val="1126"/>
              <w:contextualSpacing/>
              <w:ind w:left="0" w:right="0" w:firstLine="0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Размер обеспечения исполнения договора: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не менее 5%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от цены заключаемого договора , или в размере аванса.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</w:p>
          <w:p>
            <w:pPr>
              <w:contextualSpacing/>
              <w:ind w:left="0" w:right="0" w:firstLine="0"/>
              <w:jc w:val="both"/>
              <w:spacing w:before="0" w:after="0" w:afterAutospacing="0"/>
              <w:shd w:val="clear" w:color="ffffff" w:themeColor="background1" w:fill="ffffff" w:themeFill="background1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закупке).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</w:tr>
    </w:tbl>
    <w:p>
      <w:pPr>
        <w:pStyle w:val="1133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34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35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35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35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Приложении № 2</w:t>
        </w:r>
      </w:hyperlink>
      <w:r>
        <w:t xml:space="preserve">.</w:t>
      </w:r>
      <w:r/>
    </w:p>
    <w:p>
      <w:pPr>
        <w:pStyle w:val="1135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63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№</w:t>
        </w:r>
        <w:r>
          <w:rPr>
            <w:rStyle w:val="1163"/>
          </w:rPr>
          <w:t xml:space="preserve"> </w:t>
        </w:r>
        <w:r>
          <w:rPr>
            <w:rStyle w:val="1163"/>
          </w:rPr>
          <w:t xml:space="preserve">5</w:t>
        </w:r>
      </w:hyperlink>
      <w:r>
        <w:t xml:space="preserve">.</w:t>
      </w:r>
      <w:r/>
    </w:p>
    <w:p>
      <w:pPr>
        <w:pStyle w:val="1134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35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35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35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35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35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35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35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35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34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35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35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35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36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36"/>
      </w:pPr>
      <w:r>
        <w:t xml:space="preserve">признать заявление Участника необоснованным.</w:t>
      </w:r>
      <w:r/>
    </w:p>
    <w:p>
      <w:pPr>
        <w:pStyle w:val="1135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35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36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36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39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34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35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35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35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35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35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34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35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35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35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33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34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35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</w:t>
      </w:r>
      <w:r>
        <w:t xml:space="preserve">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</w:t>
      </w:r>
      <w:r>
        <w:t xml:space="preserve">.</w:t>
      </w:r>
      <w:bookmarkEnd w:id="49"/>
      <w:r/>
      <w:r/>
    </w:p>
    <w:p>
      <w:pPr>
        <w:pStyle w:val="1135"/>
      </w:pPr>
      <w:r>
        <w:t xml:space="preserve">Однако, чтобы претендовать на победу в закупке Участник самостоятельно</w:t>
      </w:r>
      <w:r>
        <w:t xml:space="preserve">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35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35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3"/>
          </w:rPr>
          <w:t xml:space="preserve">Приложении № 3</w:t>
        </w:r>
      </w:hyperlink>
      <w:r>
        <w:t xml:space="preserve">:</w:t>
      </w:r>
      <w:r/>
    </w:p>
    <w:p>
      <w:pPr>
        <w:pStyle w:val="1136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36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5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36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/>
      <w:r>
        <w:t xml:space="preserve">3.2</w:t>
      </w:r>
      <w:r/>
      <w:r/>
      <w:r>
        <w:fldChar w:fldCharType="end"/>
      </w:r>
      <w:r>
        <w:t xml:space="preserve">)</w:t>
      </w:r>
      <w:r>
        <w:t xml:space="preserve">.</w:t>
      </w:r>
      <w:r/>
    </w:p>
    <w:p>
      <w:pPr>
        <w:pStyle w:val="1135"/>
      </w:pPr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3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34"/>
      </w:pPr>
      <w:r/>
      <w:bookmarkStart w:id="371" w:name="_Toc14"/>
      <w:r/>
      <w:bookmarkStart w:id="64" w:name="_Ref125361702"/>
      <w:r>
        <w:t xml:space="preserve">Генеральные подрядчики</w:t>
      </w:r>
      <w:bookmarkEnd w:id="64"/>
      <w:r/>
      <w:bookmarkEnd w:id="371"/>
      <w:r/>
      <w:r/>
    </w:p>
    <w:p>
      <w:pPr>
        <w:pStyle w:val="1135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35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3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5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36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6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36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5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36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6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39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5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63"/>
          </w:rPr>
          <w:t xml:space="preserve">Порядке и критериях оценки и сопоставления заявок (Приложение № </w:t>
        </w:r>
        <w:r>
          <w:rPr>
            <w:rStyle w:val="1163"/>
          </w:rPr>
          <w:t xml:space="preserve">8</w:t>
        </w:r>
        <w:r>
          <w:rPr>
            <w:rStyle w:val="1163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35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35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3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35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3"/>
      </w:pPr>
      <w:r/>
      <w:bookmarkStart w:id="372" w:name="_Toc15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2"/>
      <w:r/>
      <w:r/>
    </w:p>
    <w:p>
      <w:pPr>
        <w:pStyle w:val="1134"/>
      </w:pPr>
      <w:r/>
      <w:bookmarkStart w:id="373" w:name="_Toc16"/>
      <w:r/>
      <w:bookmarkStart w:id="73" w:name="_Ref126141932"/>
      <w:r>
        <w:t xml:space="preserve">Общий порядок проведения закупки</w:t>
      </w:r>
      <w:bookmarkEnd w:id="73"/>
      <w:r/>
      <w:bookmarkEnd w:id="373"/>
      <w:r/>
      <w:r/>
    </w:p>
    <w:p>
      <w:pPr>
        <w:pStyle w:val="1135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60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39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39"/>
      </w:pPr>
      <w:r/>
      <w:bookmarkStart w:id="75" w:name="_Ref125362061"/>
      <w:r/>
      <w:r/>
    </w:p>
    <w:p>
      <w:pPr>
        <w:pStyle w:val="1139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4"/>
      </w:pPr>
      <w:r/>
      <w:bookmarkStart w:id="374" w:name="_Toc17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4"/>
      <w:r/>
      <w:r/>
    </w:p>
    <w:p>
      <w:pPr>
        <w:pStyle w:val="1135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35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35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35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34"/>
      </w:pPr>
      <w:r/>
      <w:bookmarkStart w:id="375" w:name="_Toc18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5"/>
      <w:r/>
      <w:r/>
    </w:p>
    <w:p>
      <w:pPr>
        <w:pStyle w:val="1135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35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35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3"/>
          </w:rPr>
          <w:t xml:space="preserve">Приложением № </w:t>
        </w:r>
        <w:r>
          <w:rPr>
            <w:rStyle w:val="1163"/>
          </w:rPr>
          <w:t xml:space="preserve">6</w:t>
        </w:r>
        <w:r>
          <w:rPr>
            <w:rStyle w:val="1163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4</w:t>
        </w:r>
      </w:hyperlink>
      <w:r>
        <w:t xml:space="preserve">.</w:t>
      </w:r>
      <w:r/>
    </w:p>
    <w:p>
      <w:pPr>
        <w:pStyle w:val="1135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63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35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63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5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3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5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35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35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35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35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35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35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35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35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Технических требованиях (Приложение №</w:t>
        </w:r>
        <w:r>
          <w:rPr>
            <w:rStyle w:val="1163"/>
          </w:rPr>
          <w:t xml:space="preserve"> </w:t>
        </w:r>
        <w:r>
          <w:rPr>
            <w:rStyle w:val="1163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35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36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36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35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36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36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35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36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36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36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36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36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35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34"/>
      </w:pPr>
      <w:r/>
      <w:bookmarkStart w:id="376" w:name="_Toc19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6"/>
      <w:r/>
      <w:r/>
    </w:p>
    <w:p>
      <w:pPr>
        <w:pStyle w:val="1135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35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35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35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35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35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</w:t>
        </w:r>
        <w:r>
          <w:rPr>
            <w:rStyle w:val="1163"/>
          </w:rPr>
          <w:t xml:space="preserve">роекта </w:t>
        </w:r>
        <w:r>
          <w:rPr>
            <w:rStyle w:val="1163"/>
          </w:rPr>
          <w:t xml:space="preserve">д</w:t>
        </w:r>
        <w:r>
          <w:rPr>
            <w:rStyle w:val="1163"/>
          </w:rPr>
          <w:t xml:space="preserve">оговора</w:t>
        </w:r>
        <w:r>
          <w:rPr>
            <w:rStyle w:val="1163"/>
          </w:rPr>
          <w:t xml:space="preserve"> (Приложения № 2)</w:t>
        </w:r>
      </w:hyperlink>
      <w:r>
        <w:rPr>
          <w:rStyle w:val="1163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35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34"/>
      </w:pPr>
      <w:r/>
      <w:bookmarkStart w:id="377" w:name="_Toc20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7"/>
      <w:r/>
      <w:r/>
    </w:p>
    <w:p>
      <w:pPr>
        <w:pStyle w:val="1135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35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36"/>
      </w:pPr>
      <w:r>
        <w:t xml:space="preserve">рассмотрения первых частей заявок;</w:t>
      </w:r>
      <w:r/>
    </w:p>
    <w:p>
      <w:pPr>
        <w:pStyle w:val="1136"/>
      </w:pPr>
      <w:r>
        <w:t xml:space="preserve">рассмотрения вторых частей заявок и ценовых предложений;</w:t>
      </w:r>
      <w:r/>
    </w:p>
    <w:p>
      <w:pPr>
        <w:pStyle w:val="1136"/>
      </w:pPr>
      <w:r>
        <w:t xml:space="preserve">подведения итогов закупки;</w:t>
      </w:r>
      <w:r/>
    </w:p>
    <w:p>
      <w:pPr>
        <w:pStyle w:val="1139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35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35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35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34"/>
      </w:pPr>
      <w:r/>
      <w:bookmarkStart w:id="378" w:name="_Toc21"/>
      <w:r/>
      <w:bookmarkStart w:id="104" w:name="_Ref125362119"/>
      <w:r>
        <w:t xml:space="preserve">Подача заявок и их прием</w:t>
      </w:r>
      <w:bookmarkEnd w:id="104"/>
      <w:r/>
      <w:bookmarkEnd w:id="378"/>
      <w:r/>
      <w:r/>
    </w:p>
    <w:p>
      <w:pPr>
        <w:pStyle w:val="1135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35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35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35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35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35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35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34"/>
      </w:pPr>
      <w:r/>
      <w:bookmarkStart w:id="379" w:name="_Toc22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79"/>
      <w:r/>
      <w:r/>
    </w:p>
    <w:p>
      <w:pPr>
        <w:pStyle w:val="1135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35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35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35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34"/>
      </w:pPr>
      <w:r/>
      <w:bookmarkStart w:id="380" w:name="_Toc23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0"/>
      <w:r/>
      <w:r/>
    </w:p>
    <w:p>
      <w:pPr>
        <w:pStyle w:val="1135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35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34"/>
      </w:pPr>
      <w:r/>
      <w:bookmarkStart w:id="381" w:name="_Toc24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1"/>
      <w:r/>
      <w:r/>
    </w:p>
    <w:p>
      <w:pPr>
        <w:pStyle w:val="1135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5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3"/>
          </w:rPr>
          <w:t xml:space="preserve">О</w:t>
        </w:r>
        <w:r>
          <w:rPr>
            <w:rStyle w:val="1163"/>
          </w:rPr>
          <w:t xml:space="preserve">тборочным критериям</w:t>
        </w:r>
        <w:r>
          <w:rPr>
            <w:rStyle w:val="1163"/>
          </w:rPr>
          <w:t xml:space="preserve"> рассмотрения заявок (Приложение № </w:t>
        </w:r>
        <w:r>
          <w:rPr>
            <w:rStyle w:val="1163"/>
          </w:rPr>
          <w:t xml:space="preserve">7</w:t>
        </w:r>
        <w:r>
          <w:rPr>
            <w:rStyle w:val="1163"/>
          </w:rPr>
          <w:t xml:space="preserve">)</w:t>
        </w:r>
      </w:hyperlink>
      <w:r>
        <w:t xml:space="preserve">.</w:t>
      </w:r>
      <w:r/>
    </w:p>
    <w:p>
      <w:pPr>
        <w:pStyle w:val="1135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35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36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47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37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37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36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36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36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35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47"/>
        </w:rPr>
        <w:footnoteReference w:id="4"/>
      </w:r>
      <w:r>
        <w:t xml:space="preserve">:</w:t>
      </w:r>
      <w:r/>
    </w:p>
    <w:p>
      <w:pPr>
        <w:pStyle w:val="1136"/>
      </w:pPr>
      <w:r>
        <w:t xml:space="preserve">дата подписания протокола;</w:t>
      </w:r>
      <w:r/>
    </w:p>
    <w:p>
      <w:pPr>
        <w:pStyle w:val="1136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6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36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37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37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36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5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34"/>
      </w:pPr>
      <w:r/>
      <w:bookmarkStart w:id="382" w:name="_Toc25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2"/>
      <w:r/>
      <w:r/>
    </w:p>
    <w:p>
      <w:pPr>
        <w:pStyle w:val="1135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5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34"/>
      </w:pPr>
      <w:r/>
      <w:bookmarkStart w:id="383" w:name="_Toc26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3"/>
      <w:r/>
      <w:r/>
    </w:p>
    <w:p>
      <w:pPr>
        <w:pStyle w:val="1135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5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3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35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35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36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36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36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36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39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35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36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47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37"/>
      </w:pPr>
      <w:r>
        <w:t xml:space="preserve">недостоверных сведений</w:t>
      </w:r>
      <w:r>
        <w:rPr>
          <w:rStyle w:val="1147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37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37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36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36"/>
      </w:pPr>
      <w:r>
        <w:t xml:space="preserve">несоответствие Участников требованиям Документации о закупке;</w:t>
      </w:r>
      <w:r/>
    </w:p>
    <w:p>
      <w:pPr>
        <w:pStyle w:val="1136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36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35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47"/>
        </w:rPr>
        <w:footnoteReference w:id="7"/>
      </w:r>
      <w:r>
        <w:t xml:space="preserve">:</w:t>
      </w:r>
      <w:r/>
    </w:p>
    <w:p>
      <w:pPr>
        <w:pStyle w:val="1136"/>
      </w:pPr>
      <w:r>
        <w:t xml:space="preserve">дата подписания протокола;</w:t>
      </w:r>
      <w:r/>
    </w:p>
    <w:p>
      <w:pPr>
        <w:pStyle w:val="1136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36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36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37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37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36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5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34"/>
      </w:pPr>
      <w:r/>
      <w:bookmarkStart w:id="384" w:name="_Toc27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4"/>
      <w:r/>
      <w:r/>
    </w:p>
    <w:p>
      <w:pPr>
        <w:pStyle w:val="1135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36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37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37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37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36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36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47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35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5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35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35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35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35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35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34"/>
      </w:pPr>
      <w:r/>
      <w:bookmarkStart w:id="385" w:name="_Toc28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5"/>
      <w:r/>
      <w:r/>
    </w:p>
    <w:p>
      <w:pPr>
        <w:pStyle w:val="1135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63"/>
          </w:rPr>
          <w:t xml:space="preserve">Порядком и критериями оценки и сопоставления заявок (Приложение № </w:t>
        </w:r>
        <w:r>
          <w:rPr>
            <w:rStyle w:val="1163"/>
          </w:rPr>
          <w:t xml:space="preserve">8</w:t>
        </w:r>
        <w:r>
          <w:rPr>
            <w:rStyle w:val="1163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35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35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35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35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34"/>
      </w:pPr>
      <w:r/>
      <w:bookmarkStart w:id="386" w:name="_Toc29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6"/>
      <w:r/>
      <w:r/>
    </w:p>
    <w:p>
      <w:pPr>
        <w:pStyle w:val="1135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5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5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5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47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35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3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34"/>
      </w:pPr>
      <w:r/>
      <w:bookmarkStart w:id="387" w:name="_Toc30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7"/>
      <w:r/>
      <w:r/>
    </w:p>
    <w:p>
      <w:pPr>
        <w:pStyle w:val="1135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35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35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35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47"/>
        </w:rPr>
        <w:footnoteReference w:id="10"/>
      </w:r>
      <w:r>
        <w:t xml:space="preserve">:</w:t>
      </w:r>
      <w:bookmarkEnd w:id="157"/>
      <w:r/>
      <w:r/>
    </w:p>
    <w:p>
      <w:pPr>
        <w:pStyle w:val="1136"/>
      </w:pPr>
      <w:r>
        <w:t xml:space="preserve">дата подписания протокола;</w:t>
      </w:r>
      <w:r/>
    </w:p>
    <w:p>
      <w:pPr>
        <w:pStyle w:val="1136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6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36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37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37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36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37"/>
      </w:pPr>
      <w:r>
        <w:t xml:space="preserve">количества заявок, которые были отклонены;</w:t>
      </w:r>
      <w:r/>
    </w:p>
    <w:p>
      <w:pPr>
        <w:pStyle w:val="1137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36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36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36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36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39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35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35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35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34"/>
      </w:pPr>
      <w:r/>
      <w:bookmarkStart w:id="388" w:name="_Toc31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8"/>
      <w:r/>
      <w:r/>
    </w:p>
    <w:p>
      <w:pPr>
        <w:pStyle w:val="1135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36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36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36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35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35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36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36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36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34"/>
      </w:pPr>
      <w:r/>
      <w:bookmarkStart w:id="389" w:name="_Toc32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89"/>
      <w:r/>
      <w:r/>
    </w:p>
    <w:p>
      <w:pPr>
        <w:pStyle w:val="1135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35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35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34"/>
      </w:pPr>
      <w:r/>
      <w:bookmarkStart w:id="390" w:name="_Toc33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0"/>
      <w:r/>
      <w:r/>
    </w:p>
    <w:p>
      <w:pPr>
        <w:pStyle w:val="1135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35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35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35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47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35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35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35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35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36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36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36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6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36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36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36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36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36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36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36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36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36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35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35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35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35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35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35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36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36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3"/>
          </w:rPr>
          <w:t xml:space="preserve">Проектом договора</w:t>
        </w:r>
      </w:hyperlink>
      <w:r>
        <w:t xml:space="preserve">).</w:t>
      </w:r>
      <w:r/>
    </w:p>
    <w:p>
      <w:pPr>
        <w:pStyle w:val="1135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5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36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36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36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36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36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35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34"/>
      </w:pPr>
      <w:r/>
      <w:bookmarkStart w:id="391" w:name="_Toc34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1"/>
      <w:r/>
      <w:r/>
    </w:p>
    <w:p>
      <w:pPr>
        <w:pStyle w:val="1135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35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35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35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35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36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36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35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33"/>
      </w:pPr>
      <w:r/>
      <w:bookmarkStart w:id="392" w:name="_Toc35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2"/>
      <w:r/>
      <w:r/>
    </w:p>
    <w:p>
      <w:pPr>
        <w:pStyle w:val="1134"/>
      </w:pPr>
      <w:r/>
      <w:bookmarkStart w:id="393" w:name="_Toc36"/>
      <w:r/>
      <w:bookmarkStart w:id="189" w:name="_Ref125366947"/>
      <w:r/>
      <w:bookmarkStart w:id="190" w:name="_Ref125368755"/>
      <w:r>
        <w:t xml:space="preserve">Общие положения</w:t>
      </w:r>
      <w:bookmarkEnd w:id="393"/>
      <w:r/>
      <w:r/>
    </w:p>
    <w:p>
      <w:pPr>
        <w:pStyle w:val="1135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34"/>
      </w:pPr>
      <w:r/>
      <w:bookmarkStart w:id="394" w:name="_Toc37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4"/>
      <w:r/>
      <w:r/>
    </w:p>
    <w:p>
      <w:pPr>
        <w:pStyle w:val="1135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35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5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Приложением № </w:t>
        </w:r>
        <w:r>
          <w:rPr>
            <w:rStyle w:val="1163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35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Приложением № 5</w:t>
        </w:r>
      </w:hyperlink>
      <w:r>
        <w:t xml:space="preserve">.</w:t>
      </w:r>
      <w:r/>
    </w:p>
    <w:p>
      <w:pPr>
        <w:pStyle w:val="1135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3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:</w:t>
      </w:r>
      <w:bookmarkEnd w:id="197"/>
      <w:r/>
      <w:r/>
    </w:p>
    <w:p>
      <w:pPr>
        <w:pStyle w:val="1136"/>
        <w:keepNext/>
      </w:pPr>
      <w:r>
        <w:t xml:space="preserve">для юридического лица:</w:t>
      </w:r>
      <w:r/>
    </w:p>
    <w:p>
      <w:pPr>
        <w:pStyle w:val="1137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37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37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36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36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35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35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35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36"/>
      </w:pPr>
      <w:r>
        <w:t xml:space="preserve">итоговый протокол по результатам закупки;</w:t>
      </w:r>
      <w:r/>
    </w:p>
    <w:p>
      <w:pPr>
        <w:pStyle w:val="1136"/>
      </w:pPr>
      <w:r>
        <w:t xml:space="preserve">Извещение и Документация о закупке со всеми изменениями;</w:t>
      </w:r>
      <w:r/>
    </w:p>
    <w:p>
      <w:pPr>
        <w:pStyle w:val="1136"/>
      </w:pPr>
      <w:r>
        <w:t xml:space="preserve">заявка Победителя со всеми дополнениями и разъяснениями.</w:t>
      </w:r>
      <w:r/>
    </w:p>
    <w:p>
      <w:pPr>
        <w:pStyle w:val="1135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35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35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35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35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34"/>
      </w:pPr>
      <w:r/>
      <w:bookmarkStart w:id="395" w:name="_Toc38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5"/>
      <w:r/>
      <w:r/>
    </w:p>
    <w:p>
      <w:pPr>
        <w:pStyle w:val="1135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36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36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36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Приложение № </w:t>
        </w:r>
        <w:r>
          <w:rPr>
            <w:rStyle w:val="1163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36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3"/>
          </w:rPr>
          <w:t xml:space="preserve">Приложением № </w:t>
        </w:r>
        <w:r>
          <w:rPr>
            <w:rStyle w:val="1163"/>
          </w:rPr>
          <w:t xml:space="preserve">5</w:t>
        </w:r>
      </w:hyperlink>
      <w:r>
        <w:t xml:space="preserve">;</w:t>
      </w:r>
      <w:r/>
    </w:p>
    <w:p>
      <w:pPr>
        <w:pStyle w:val="1136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3"/>
          </w:rPr>
          <w:t xml:space="preserve">Приложения №</w:t>
        </w:r>
        <w:r>
          <w:rPr>
            <w:rStyle w:val="1163"/>
          </w:rPr>
          <w:t xml:space="preserve"> </w:t>
        </w:r>
        <w:r>
          <w:rPr>
            <w:rStyle w:val="1163"/>
          </w:rPr>
          <w:t xml:space="preserve">1 </w:t>
        </w:r>
        <w:r>
          <w:rPr>
            <w:rStyle w:val="1163"/>
          </w:rPr>
          <w:t xml:space="preserve">– </w:t>
        </w:r>
        <w:r>
          <w:rPr>
            <w:rStyle w:val="1163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36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36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39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33"/>
      </w:pPr>
      <w:r/>
      <w:bookmarkStart w:id="396" w:name="_Toc39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6"/>
      <w:r/>
      <w:r/>
    </w:p>
    <w:p>
      <w:pPr>
        <w:pStyle w:val="1134"/>
      </w:pPr>
      <w:r/>
      <w:bookmarkStart w:id="397" w:name="_Toc40"/>
      <w:r>
        <w:t xml:space="preserve">Пояснения к Техническим требованиям</w:t>
      </w:r>
      <w:bookmarkEnd w:id="397"/>
      <w:r/>
      <w:r/>
    </w:p>
    <w:p>
      <w:pPr>
        <w:pStyle w:val="1135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33"/>
      </w:pPr>
      <w:r/>
      <w:bookmarkStart w:id="398" w:name="_Toc41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8"/>
      <w:r/>
      <w:r/>
    </w:p>
    <w:p>
      <w:pPr>
        <w:pStyle w:val="1134"/>
      </w:pPr>
      <w:r/>
      <w:bookmarkStart w:id="399" w:name="_Toc42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399"/>
      <w:r/>
      <w:r/>
    </w:p>
    <w:p>
      <w:pPr>
        <w:pStyle w:val="1135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35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35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35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39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139"/>
      </w:pPr>
      <w:r/>
      <w:r/>
    </w:p>
    <w:p>
      <w:pPr>
        <w:pStyle w:val="1139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3"/>
      </w:pPr>
      <w:r/>
      <w:bookmarkStart w:id="400" w:name="_Toc43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0"/>
      <w:r/>
      <w:r/>
    </w:p>
    <w:p>
      <w:pPr>
        <w:pStyle w:val="1134"/>
      </w:pPr>
      <w:r/>
      <w:bookmarkStart w:id="401" w:name="_Toc44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1"/>
      <w:r/>
      <w:r/>
    </w:p>
    <w:p>
      <w:pPr>
        <w:pStyle w:val="1135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34"/>
        <w:spacing w:after="120"/>
      </w:pPr>
      <w:r/>
      <w:bookmarkStart w:id="402" w:name="_Toc45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2"/>
      <w:r/>
      <w:r/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39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39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39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39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3"/>
                </w:rPr>
                <w:t xml:space="preserve">Приложение №</w:t>
              </w:r>
              <w:r>
                <w:rPr>
                  <w:rStyle w:val="1163"/>
                </w:rPr>
                <w:t xml:space="preserve"> </w:t>
              </w:r>
              <w:r>
                <w:rPr>
                  <w:rStyle w:val="1163"/>
                </w:rPr>
                <w:t xml:space="preserve">1</w:t>
              </w:r>
              <w:r>
                <w:rPr>
                  <w:rStyle w:val="1163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39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9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3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9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47"/>
              </w:rPr>
              <w:footnoteReference w:id="12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47"/>
              </w:rPr>
              <w:footnoteReference w:id="13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34"/>
        <w:spacing w:after="120"/>
        <w:rPr>
          <w:highlight w:val="yellow"/>
        </w:rPr>
      </w:pPr>
      <w:r>
        <w:rPr>
          <w:highlight w:val="yellow"/>
        </w:rPr>
      </w:r>
      <w:bookmarkStart w:id="403" w:name="_Toc46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3"/>
      <w:r>
        <w:rPr>
          <w:highlight w:val="yellow"/>
        </w:rPr>
      </w:r>
      <w:r>
        <w:rPr>
          <w:highlight w:val="yellow"/>
        </w:rPr>
      </w:r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i w:val="0"/>
                <w:iCs w:val="0"/>
                <w:sz w:val="24"/>
                <w:szCs w:val="24"/>
              </w:rPr>
              <w:br/>
              <w:t xml:space="preserve">п/п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Требования к Участник</w:t>
            </w:r>
            <w:r>
              <w:rPr>
                <w:i w:val="0"/>
                <w:iCs w:val="0"/>
                <w:sz w:val="24"/>
                <w:szCs w:val="24"/>
              </w:rPr>
              <w:t xml:space="preserve">у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  <w:spacing w:before="0" w:beforeAutospacing="0" w:after="0" w:afterAutospacing="0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Требования к документам,</w:t>
            </w:r>
            <w:r>
              <w:rPr>
                <w:i w:val="0"/>
                <w:iCs w:val="0"/>
                <w:sz w:val="24"/>
                <w:szCs w:val="24"/>
              </w:rPr>
              <w:br/>
            </w:r>
            <w:r>
              <w:rPr>
                <w:i w:val="0"/>
                <w:iCs w:val="0"/>
                <w:sz w:val="24"/>
                <w:szCs w:val="24"/>
              </w:rPr>
              <w:t xml:space="preserve">подтверждающим соответствие Участника установленным требованиям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bCs w:val="0"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1.</w:t>
            </w:r>
            <w:r>
              <w:rPr>
                <w:bCs w:val="0"/>
                <w:i w:val="0"/>
                <w:sz w:val="24"/>
                <w:szCs w:val="24"/>
              </w:rPr>
            </w:r>
            <w:r>
              <w:rPr>
                <w:bCs w:val="0"/>
                <w:i w:val="0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6"/>
              <w:jc w:val="both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В соответствии со ст. 55.8 Градостроительного кодекса РФ от 29.12.2004 № 190-ФЗ: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Участник закупки должен быть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(в течение срока действия заявки на участие в закупке) 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членом саморегулируемой организации, основанной на членстве лиц, осуществляющих</w:t>
            </w:r>
            <w:r>
              <w:rPr>
                <w:i w:val="0"/>
                <w:iCs w:val="0"/>
                <w:sz w:val="24"/>
                <w:szCs w:val="24"/>
              </w:rPr>
              <w:t xml:space="preserve"> подготовку проектной документации</w:t>
            </w:r>
            <w:r>
              <w:rPr>
                <w:i w:val="0"/>
                <w:iCs w:val="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 и иметь право выполнять работы в отношении </w:t>
            </w:r>
            <w:r>
              <w:rPr>
                <w:i w:val="0"/>
                <w:iCs w:val="0"/>
                <w:sz w:val="24"/>
                <w:szCs w:val="24"/>
              </w:rPr>
              <w:t xml:space="preserve">объектов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126"/>
              <w:ind w:left="74"/>
              <w:jc w:val="both"/>
              <w:spacing w:before="0" w:beforeAutospacing="0" w:after="0" w:afterAutospacing="0"/>
              <w:widowControl w:val="off"/>
              <w:tabs>
                <w:tab w:val="left" w:pos="358" w:leader="none"/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При этом: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73"/>
              <w:numPr>
                <w:ilvl w:val="0"/>
                <w:numId w:val="44"/>
              </w:numPr>
              <w:contextualSpacing/>
              <w:ind w:left="380" w:hanging="38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уровень</w:t>
            </w:r>
            <w:r>
              <w:rPr>
                <w:rFonts w:eastAsia="Times New Roman"/>
                <w:i w:val="0"/>
                <w:iCs w:val="0"/>
                <w:sz w:val="24"/>
                <w:szCs w:val="24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73"/>
              <w:numPr>
                <w:ilvl w:val="0"/>
                <w:numId w:val="44"/>
              </w:numPr>
              <w:contextualSpacing/>
              <w:ind w:left="380" w:hanging="38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уровень</w:t>
            </w:r>
            <w:r>
              <w:rPr>
                <w:rFonts w:eastAsia="Times New Roman"/>
                <w:i w:val="0"/>
                <w:iCs w:val="0"/>
                <w:sz w:val="24"/>
                <w:szCs w:val="24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26"/>
              <w:ind w:left="0" w:firstLine="0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 w:val="0"/>
                <w:iCs w:val="0"/>
                <w:sz w:val="24"/>
                <w:szCs w:val="24"/>
              </w:rPr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  <w:p>
            <w:pPr>
              <w:pStyle w:val="1126"/>
              <w:ind w:left="463" w:hanging="425"/>
              <w:jc w:val="both"/>
              <w:spacing w:before="0" w:beforeAutospacing="0" w:after="0" w:afterAutospacing="0"/>
              <w:widowControl w:val="off"/>
              <w:tabs>
                <w:tab w:val="left" w:pos="142" w:leader="none"/>
                <w:tab w:val="clear" w:pos="708" w:leader="none"/>
              </w:tabs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1 – 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  <w:r>
              <w:rPr>
                <w:rFonts w:eastAsia="Calibri"/>
                <w:i/>
                <w:iCs/>
                <w:sz w:val="22"/>
                <w:szCs w:val="22"/>
              </w:rPr>
            </w:r>
            <w:r>
              <w:rPr>
                <w:rFonts w:eastAsia="Calibri"/>
                <w:i/>
                <w:iCs/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6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Предоставление документов не требуется.</w:t>
            </w:r>
            <w:r>
              <w:rPr>
                <w:rFonts w:eastAsia="Calibri"/>
                <w:i/>
                <w:sz w:val="22"/>
                <w:szCs w:val="22"/>
              </w:rPr>
            </w:r>
            <w:r>
              <w:rPr>
                <w:rFonts w:eastAsia="Calibri"/>
                <w:i/>
                <w:sz w:val="22"/>
                <w:szCs w:val="22"/>
              </w:rPr>
            </w:r>
          </w:p>
          <w:p>
            <w:pPr>
              <w:pStyle w:val="1126"/>
              <w:jc w:val="both"/>
              <w:spacing w:before="0" w:beforeAutospacing="0" w:after="0" w:afterAutospacing="0"/>
              <w:widowControl w:val="off"/>
              <w:tabs>
                <w:tab w:val="left" w:pos="426" w:leader="none"/>
                <w:tab w:val="clear" w:pos="708" w:leader="none"/>
              </w:tabs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</w:t>
            </w: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eastAsia="Calibri"/>
                <w:i/>
                <w:iCs/>
                <w:sz w:val="22"/>
                <w:szCs w:val="22"/>
              </w:rPr>
            </w:r>
            <w:r>
              <w:rPr>
                <w:rFonts w:eastAsia="Calibri"/>
                <w:i/>
                <w:iCs/>
                <w:sz w:val="22"/>
                <w:szCs w:val="22"/>
              </w:rPr>
            </w:r>
          </w:p>
          <w:p>
            <w:pPr>
              <w:pStyle w:val="1173"/>
              <w:numPr>
                <w:ilvl w:val="0"/>
                <w:numId w:val="45"/>
              </w:numPr>
              <w:contextualSpacing w:val="0"/>
              <w:ind w:left="282" w:hanging="275"/>
              <w:jc w:val="left"/>
              <w:spacing w:before="0" w:beforeAutospacing="0" w:after="0" w:afterAutospacing="0"/>
              <w:widowControl w:val="off"/>
              <w:tabs>
                <w:tab w:val="left" w:pos="282" w:leader="none"/>
                <w:tab w:val="clear" w:pos="708" w:leader="none"/>
              </w:tabs>
              <w:rPr>
                <w:i/>
                <w:sz w:val="22"/>
                <w:szCs w:val="22"/>
                <w:highlight w:val="white"/>
              </w:rPr>
            </w:pPr>
            <w:r>
              <w:rPr>
                <w:rFonts w:eastAsia="Calibri"/>
                <w:i w:val="0"/>
                <w:iCs w:val="0"/>
                <w:sz w:val="24"/>
                <w:szCs w:val="24"/>
              </w:rPr>
              <w:t xml:space="preserve">Национальное объединение изыскателей и проектировщиков НОПРИЗ - сервис «Единый реестр членов СРО» (</w:t>
            </w:r>
            <w:hyperlink r:id="rId17" w:tooltip="http://nopriz.ru/nreesters/elektronnyy-reestr/" w:history="1">
              <w:r>
                <w:rPr>
                  <w:rStyle w:val="1149"/>
                  <w:rFonts w:eastAsia="Calibri"/>
                  <w:i w:val="0"/>
                  <w:iCs w:val="0"/>
                  <w:sz w:val="24"/>
                  <w:szCs w:val="24"/>
                </w:rPr>
                <w:t xml:space="preserve">http://nopriz.ru/nreesters/elektronnyy-</w:t>
              </w:r>
              <w:r>
                <w:rPr>
                  <w:rStyle w:val="1149"/>
                  <w:rFonts w:eastAsia="Calibri"/>
                  <w:i w:val="0"/>
                  <w:iCs w:val="0"/>
                  <w:sz w:val="24"/>
                  <w:szCs w:val="24"/>
                  <w:highlight w:val="white"/>
                </w:rPr>
                <w:t xml:space="preserve">reestr/</w:t>
              </w:r>
            </w:hyperlink>
            <w:r>
              <w:rPr>
                <w:rFonts w:eastAsia="Calibri"/>
                <w:i w:val="0"/>
                <w:iCs w:val="0"/>
                <w:sz w:val="24"/>
                <w:szCs w:val="24"/>
                <w:highlight w:val="white"/>
              </w:rPr>
              <w:t xml:space="preserve">).</w:t>
            </w:r>
            <w:r>
              <w:rPr>
                <w:i/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</w:r>
          </w:p>
          <w:p>
            <w:pPr>
              <w:pStyle w:val="1126"/>
              <w:jc w:val="left"/>
              <w:keepNext/>
              <w:spacing w:before="0" w:beforeAutospacing="0" w:after="0" w:afterAutospacing="0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  <w:p>
            <w:pPr>
              <w:pStyle w:val="1173"/>
              <w:ind w:left="0"/>
              <w:jc w:val="both"/>
              <w:spacing w:before="0" w:beforeAutospacing="0" w:after="0" w:afterAutospacing="0"/>
              <w:widowControl w:val="off"/>
              <w:rPr>
                <w:i w:val="0"/>
                <w:iCs w:val="0"/>
                <w:sz w:val="24"/>
                <w:szCs w:val="24"/>
                <w:highlight w:val="yellow"/>
              </w:rPr>
              <w:suppressLineNumbers w:val="0"/>
            </w:pPr>
            <w:r>
              <w:rPr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</w:p>
          <w:p>
            <w:pPr>
              <w:jc w:val="both"/>
              <w:spacing w:before="0" w:beforeAutospacing="0" w:after="0" w:afterAutospacing="0"/>
              <w:rPr>
                <w:i w:val="0"/>
                <w:iCs w:val="0"/>
                <w:sz w:val="24"/>
                <w:szCs w:val="24"/>
                <w:highlight w:val="yellow"/>
              </w:rPr>
            </w:pP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</w:p>
          <w:p>
            <w:pPr>
              <w:spacing w:before="0" w:beforeAutospacing="0" w:after="0" w:afterAutospacing="0"/>
              <w:rPr>
                <w:i w:val="0"/>
                <w:iCs w:val="0"/>
                <w:sz w:val="24"/>
                <w:szCs w:val="24"/>
                <w:highlight w:val="yellow"/>
              </w:rPr>
            </w:pP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i w:val="0"/>
                <w:iCs w:val="0"/>
                <w:sz w:val="24"/>
                <w:szCs w:val="24"/>
                <w:highlight w:val="yellow"/>
              </w:rPr>
            </w:r>
          </w:p>
        </w:tc>
      </w:tr>
    </w:tbl>
    <w:p>
      <w:pPr>
        <w:pStyle w:val="1134"/>
        <w:spacing w:after="120"/>
      </w:pPr>
      <w:r/>
      <w:bookmarkStart w:id="404" w:name="_Toc47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4"/>
      <w:r/>
      <w:r/>
    </w:p>
    <w:tbl>
      <w:tblPr>
        <w:tblStyle w:val="1160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9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9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9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9"/>
      </w:pPr>
      <w:r/>
      <w:r/>
    </w:p>
    <w:p>
      <w:pPr>
        <w:pStyle w:val="1139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3"/>
      </w:pPr>
      <w:r/>
      <w:bookmarkStart w:id="405" w:name="_Toc48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5"/>
      <w:r/>
      <w:r/>
    </w:p>
    <w:p>
      <w:pPr>
        <w:pStyle w:val="1134"/>
      </w:pPr>
      <w:r/>
      <w:bookmarkStart w:id="406" w:name="_Toc49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6"/>
      <w:r/>
      <w:r/>
    </w:p>
    <w:p>
      <w:pPr>
        <w:pStyle w:val="1135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33"/>
      </w:pPr>
      <w:r/>
      <w:bookmarkStart w:id="407" w:name="_Toc50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7"/>
      <w:r/>
      <w:r/>
    </w:p>
    <w:p>
      <w:pPr>
        <w:pStyle w:val="1134"/>
      </w:pPr>
      <w:r/>
      <w:bookmarkStart w:id="408" w:name="_Toc51"/>
      <w:r>
        <w:t xml:space="preserve">Пояснения к Образцам форм документов, предоставляемых Победителем</w:t>
      </w:r>
      <w:bookmarkEnd w:id="408"/>
      <w:r/>
      <w:r/>
    </w:p>
    <w:p>
      <w:pPr>
        <w:pStyle w:val="1135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34"/>
      </w:pPr>
      <w:r/>
      <w:bookmarkStart w:id="409" w:name="_Toc52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09"/>
      <w:r/>
      <w:r/>
    </w:p>
    <w:p>
      <w:pPr>
        <w:pStyle w:val="1135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35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9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34"/>
      </w:pPr>
      <w:r/>
      <w:bookmarkStart w:id="410" w:name="_Toc53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0"/>
      <w:r/>
      <w:r/>
    </w:p>
    <w:p>
      <w:pPr>
        <w:pStyle w:val="1135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35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35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35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9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33"/>
      </w:pPr>
      <w:r/>
      <w:bookmarkStart w:id="411" w:name="_Toc54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1"/>
      <w:r/>
      <w:r/>
    </w:p>
    <w:p>
      <w:pPr>
        <w:pStyle w:val="1134"/>
      </w:pPr>
      <w:r/>
      <w:bookmarkStart w:id="412" w:name="_Toc55"/>
      <w:r>
        <w:t xml:space="preserve">Состав заявки</w:t>
      </w:r>
      <w:bookmarkEnd w:id="412"/>
      <w:r/>
      <w:r/>
    </w:p>
    <w:p>
      <w:pPr>
        <w:pStyle w:val="1135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63"/>
          </w:rPr>
          <w:t xml:space="preserve">Приложени</w:t>
        </w:r>
        <w:r>
          <w:rPr>
            <w:rStyle w:val="1163"/>
          </w:rPr>
          <w:t xml:space="preserve">и</w:t>
        </w:r>
        <w:r>
          <w:rPr>
            <w:rStyle w:val="1163"/>
          </w:rPr>
          <w:t xml:space="preserve"> № </w:t>
        </w:r>
        <w:r>
          <w:rPr>
            <w:rStyle w:val="1163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60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генерального подрядчика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3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/>
            <w:r>
              <w:t xml:space="preserve">8.4</w:t>
            </w:r>
            <w:r/>
            <w:r/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/>
            <w:r>
              <w:t xml:space="preserve">3.2</w:t>
            </w:r>
            <w:r/>
            <w:r/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39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9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/>
            <w:r>
              <w:t xml:space="preserve">8.4</w:t>
            </w:r>
            <w:r/>
            <w:r/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3"/>
                </w:rPr>
                <w:t xml:space="preserve">Порядк</w:t>
              </w:r>
              <w:r>
                <w:rPr>
                  <w:rStyle w:val="1163"/>
                </w:rPr>
                <w:t xml:space="preserve">е</w:t>
              </w:r>
              <w:r>
                <w:rPr>
                  <w:rStyle w:val="1163"/>
                </w:rPr>
                <w:t xml:space="preserve"> и критери</w:t>
              </w:r>
              <w:r>
                <w:rPr>
                  <w:rStyle w:val="1163"/>
                </w:rPr>
                <w:t xml:space="preserve">ях</w:t>
              </w:r>
              <w:r>
                <w:rPr>
                  <w:rStyle w:val="1163"/>
                </w:rPr>
                <w:t xml:space="preserve"> оценки и сопоставления заявок</w:t>
              </w:r>
              <w:r>
                <w:rPr>
                  <w:rStyle w:val="1163"/>
                </w:rPr>
                <w:t xml:space="preserve"> (Приложение № </w:t>
              </w:r>
              <w:r>
                <w:rPr>
                  <w:rStyle w:val="1163"/>
                </w:rPr>
                <w:t xml:space="preserve">8</w:t>
              </w:r>
              <w:r>
                <w:rPr>
                  <w:rStyle w:val="1163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3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3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3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9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35"/>
        <w:rPr>
          <w:rStyle w:val="1144"/>
          <w:i w:val="0"/>
          <w:iCs w:val="0"/>
          <w:shd w:val="clear" w:color="auto" w:fill="auto"/>
        </w:rPr>
      </w:pPr>
      <w:r>
        <w:rPr>
          <w:rStyle w:val="1144"/>
          <w:i w:val="0"/>
          <w:iCs w:val="0"/>
          <w:shd w:val="clear" w:color="auto" w:fill="auto"/>
        </w:rPr>
        <w:t xml:space="preserve">Е</w:t>
      </w:r>
      <w:r>
        <w:rPr>
          <w:rStyle w:val="1144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4"/>
          <w:i w:val="0"/>
          <w:iCs w:val="0"/>
          <w:shd w:val="clear" w:color="auto" w:fill="auto"/>
        </w:rPr>
        <w:t xml:space="preserve"> </w:t>
      </w:r>
      <w:r>
        <w:rPr>
          <w:rStyle w:val="1144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4"/>
          <w:i w:val="0"/>
          <w:iCs w:val="0"/>
          <w:shd w:val="clear" w:color="auto" w:fill="auto"/>
        </w:rPr>
        <w:t xml:space="preserve"> </w:t>
      </w:r>
      <w:r>
        <w:rPr>
          <w:rStyle w:val="1144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4"/>
          <w:i w:val="0"/>
          <w:iCs w:val="0"/>
          <w:shd w:val="clear" w:color="auto" w:fill="auto"/>
        </w:rPr>
        <w:t xml:space="preserve"> </w:t>
      </w:r>
      <w:r>
        <w:rPr>
          <w:rStyle w:val="1144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39"/>
        <w:rPr>
          <w:rStyle w:val="1144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33"/>
      </w:pPr>
      <w:r/>
      <w:bookmarkStart w:id="413" w:name="_Toc56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3"/>
      <w:r/>
      <w:r/>
    </w:p>
    <w:p>
      <w:pPr>
        <w:pStyle w:val="1134"/>
        <w:spacing w:after="120"/>
        <w:rPr>
          <w:rStyle w:val="1144"/>
          <w:i w:val="0"/>
          <w:iCs w:val="0"/>
          <w:shd w:val="clear" w:color="auto" w:fill="auto"/>
        </w:rPr>
      </w:pPr>
      <w:r/>
      <w:bookmarkStart w:id="414" w:name="_Toc57"/>
      <w:r>
        <w:rPr>
          <w:rStyle w:val="1144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44"/>
          <w:i w:val="0"/>
          <w:iCs w:val="0"/>
          <w:shd w:val="clear" w:color="auto" w:fill="auto"/>
        </w:rPr>
        <w:t xml:space="preserve">первых частей </w:t>
      </w:r>
      <w:r>
        <w:rPr>
          <w:rStyle w:val="1144"/>
          <w:i w:val="0"/>
          <w:iCs w:val="0"/>
          <w:shd w:val="clear" w:color="auto" w:fill="auto"/>
        </w:rPr>
        <w:t xml:space="preserve">заявок</w:t>
      </w:r>
      <w:r>
        <w:rPr>
          <w:rStyle w:val="1144"/>
          <w:i w:val="0"/>
          <w:iCs w:val="0"/>
          <w:shd w:val="clear" w:color="auto" w:fill="auto"/>
        </w:rPr>
      </w:r>
      <w:bookmarkEnd w:id="414"/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rStyle w:val="1163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Приложение № 6</w:t>
              </w:r>
            </w:hyperlink>
            <w:r>
              <w:rPr>
                <w:rStyle w:val="1163"/>
              </w:rPr>
            </w:r>
            <w:r>
              <w:rPr>
                <w:rStyle w:val="1163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3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3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3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3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3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3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4"/>
        <w:spacing w:after="120"/>
        <w:rPr>
          <w:rStyle w:val="1144"/>
          <w:i w:val="0"/>
          <w:iCs w:val="0"/>
          <w:shd w:val="clear" w:color="auto" w:fill="auto"/>
        </w:rPr>
      </w:pPr>
      <w:r/>
      <w:bookmarkStart w:id="415" w:name="_Toc58"/>
      <w:r/>
      <w:bookmarkStart w:id="328" w:name="_Hlk132891087"/>
      <w:r>
        <w:rPr>
          <w:rStyle w:val="1144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44"/>
          <w:i w:val="0"/>
          <w:iCs w:val="0"/>
          <w:shd w:val="clear" w:color="auto" w:fill="auto"/>
        </w:rPr>
      </w:r>
      <w:bookmarkEnd w:id="415"/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rStyle w:val="1163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Приложение № 6</w:t>
              </w:r>
            </w:hyperlink>
            <w:r>
              <w:rPr>
                <w:rStyle w:val="1163"/>
              </w:rPr>
            </w:r>
            <w:r>
              <w:rPr>
                <w:rStyle w:val="1163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39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9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/>
            <w:r>
              <w:t xml:space="preserve">3.2</w:t>
            </w:r>
            <w:r/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/>
            <w:r>
              <w:t xml:space="preserve">8.4</w:t>
            </w:r>
            <w:r/>
            <w:r/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/>
            <w:r>
              <w:t xml:space="preserve">8.4</w:t>
            </w:r>
            <w:r/>
            <w:r/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3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3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</w:t>
              </w:r>
              <w:r>
                <w:rPr>
                  <w:rStyle w:val="1163"/>
                </w:rPr>
                <w:t xml:space="preserve">х</w:t>
              </w:r>
              <w:r>
                <w:rPr>
                  <w:rStyle w:val="1163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4"/>
        <w:spacing w:after="120"/>
        <w:rPr>
          <w:rStyle w:val="1144"/>
          <w:i w:val="0"/>
          <w:iCs w:val="0"/>
          <w:shd w:val="clear" w:color="auto" w:fill="auto"/>
        </w:rPr>
      </w:pPr>
      <w:r/>
      <w:bookmarkStart w:id="416" w:name="_Toc59"/>
      <w:r>
        <w:rPr>
          <w:rStyle w:val="1144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44"/>
          <w:i w:val="0"/>
          <w:iCs w:val="0"/>
          <w:shd w:val="clear" w:color="auto" w:fill="auto"/>
        </w:rPr>
      </w:r>
      <w:bookmarkEnd w:id="416"/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39"/>
              <w:jc w:val="center"/>
              <w:rPr>
                <w:rStyle w:val="1163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63"/>
                </w:rPr>
                <w:t xml:space="preserve">Приложение № 6</w:t>
              </w:r>
            </w:hyperlink>
            <w:r>
              <w:rPr>
                <w:rStyle w:val="1163"/>
              </w:rPr>
            </w:r>
            <w:r>
              <w:rPr>
                <w:rStyle w:val="1163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9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Технически</w:t>
              </w:r>
              <w:r>
                <w:rPr>
                  <w:rStyle w:val="1163"/>
                </w:rPr>
                <w:t xml:space="preserve">х</w:t>
              </w:r>
              <w:r>
                <w:rPr>
                  <w:rStyle w:val="1163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39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3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3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4"/>
        <w:rPr>
          <w:rStyle w:val="1144"/>
          <w:i w:val="0"/>
          <w:iCs w:val="0"/>
          <w:shd w:val="clear" w:color="auto" w:fill="auto"/>
        </w:rPr>
      </w:pPr>
      <w:r/>
      <w:bookmarkStart w:id="417" w:name="_Toc60"/>
      <w:r>
        <w:rPr>
          <w:rStyle w:val="1144"/>
          <w:i w:val="0"/>
          <w:iCs w:val="0"/>
          <w:shd w:val="clear" w:color="auto" w:fill="auto"/>
        </w:rPr>
        <w:t xml:space="preserve">Дополнительные</w:t>
      </w:r>
      <w:r>
        <w:rPr>
          <w:rStyle w:val="1144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44"/>
          <w:i w:val="0"/>
          <w:iCs w:val="0"/>
          <w:shd w:val="clear" w:color="auto" w:fill="auto"/>
        </w:rPr>
        <w:t xml:space="preserve">ок</w:t>
      </w:r>
      <w:r>
        <w:rPr>
          <w:rStyle w:val="1144"/>
          <w:i w:val="0"/>
          <w:iCs w:val="0"/>
          <w:shd w:val="clear" w:color="auto" w:fill="auto"/>
        </w:rPr>
        <w:t xml:space="preserve"> на соответстви</w:t>
      </w:r>
      <w:r>
        <w:rPr>
          <w:rStyle w:val="1144"/>
          <w:i w:val="0"/>
          <w:iCs w:val="0"/>
          <w:shd w:val="clear" w:color="auto" w:fill="auto"/>
        </w:rPr>
        <w:t xml:space="preserve">е</w:t>
      </w:r>
      <w:r>
        <w:rPr>
          <w:rStyle w:val="1144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44"/>
          <w:i w:val="0"/>
          <w:iCs w:val="0"/>
          <w:shd w:val="clear" w:color="auto" w:fill="auto"/>
        </w:rPr>
      </w:r>
      <w:bookmarkEnd w:id="417"/>
      <w:r>
        <w:rPr>
          <w:rStyle w:val="1144"/>
          <w:i w:val="0"/>
          <w:iCs w:val="0"/>
          <w:shd w:val="clear" w:color="auto" w:fill="auto"/>
        </w:rPr>
      </w:r>
      <w:r>
        <w:rPr>
          <w:rStyle w:val="1144"/>
          <w:i w:val="0"/>
          <w:iCs w:val="0"/>
          <w:shd w:val="clear" w:color="auto" w:fill="auto"/>
        </w:rPr>
      </w:r>
    </w:p>
    <w:p>
      <w:pPr>
        <w:pStyle w:val="1139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60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9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9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9"/>
              <w:jc w:val="center"/>
              <w:rPr>
                <w:rStyle w:val="1163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3"/>
                </w:rPr>
                <w:t xml:space="preserve">Приложение № 4</w:t>
              </w:r>
            </w:hyperlink>
            <w:r>
              <w:rPr>
                <w:rStyle w:val="1163"/>
              </w:rPr>
            </w:r>
            <w:r>
              <w:rPr>
                <w:rStyle w:val="1163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9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9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39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39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39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39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39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39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39"/>
      </w:pPr>
      <w:r/>
      <w:r/>
    </w:p>
    <w:p>
      <w:pPr>
        <w:pStyle w:val="1139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3"/>
      </w:pPr>
      <w:r/>
      <w:bookmarkStart w:id="418" w:name="_Toc61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18"/>
      <w:r/>
      <w:r/>
    </w:p>
    <w:p>
      <w:pPr>
        <w:pStyle w:val="1134"/>
      </w:pPr>
      <w:r/>
      <w:bookmarkStart w:id="419" w:name="_Toc62"/>
      <w:r>
        <w:t xml:space="preserve">Порядок и критерии оценки и сопоставления заявок</w:t>
      </w:r>
      <w:bookmarkEnd w:id="419"/>
      <w:r/>
      <w:r/>
    </w:p>
    <w:p>
      <w:pPr>
        <w:pStyle w:val="1135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39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ем больше опыт выполнения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аналогичных профилю закупки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работ по </w:t>
            </w:r>
            <w:r>
              <w:rPr>
                <w:sz w:val="20"/>
                <w:szCs w:val="20"/>
                <w:highlight w:val="yellow"/>
              </w:rPr>
              <w:t xml:space="preserve">(</w:t>
            </w:r>
            <w:r>
              <w:rPr>
                <w:i/>
                <w:iCs/>
                <w:sz w:val="20"/>
                <w:szCs w:val="20"/>
                <w:highlight w:val="yellow"/>
              </w:rPr>
              <w:t xml:space="preserve">строительство и /или реконструкция внешних тепловых сетей</w:t>
            </w:r>
            <w:r>
              <w:rPr>
                <w:i/>
                <w:iCs/>
                <w:sz w:val="20"/>
                <w:szCs w:val="20"/>
                <w:highlight w:val="yellow"/>
              </w:rPr>
              <w:t xml:space="preserve">)</w:t>
            </w:r>
            <w:r>
              <w:rPr>
                <w:i/>
                <w:i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за 5 лет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предшест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вующих дате подачи заявки, тем выше предпочтительность.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firstLine="567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color w:val="000000" w:themeColor="text1"/>
                <w:sz w:val="20"/>
                <w:szCs w:val="20"/>
              </w:rPr>
              <w:t xml:space="preserve">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1189"/>
              <w:numPr>
                <w:ilvl w:val="7"/>
                <w:numId w:val="42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</w:rPr>
              <w:suppressLineNumbers w:val="0"/>
            </w:pPr>
            <w:r>
              <w:rPr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 -копии документов, предусмотренных т</w:t>
            </w:r>
            <w:r>
              <w:rPr>
                <w:sz w:val="20"/>
                <w:szCs w:val="20"/>
              </w:rPr>
              <w:t xml:space="preserve">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sz w:val="20"/>
                <w:szCs w:val="20"/>
              </w:rPr>
              <w:t xml:space="preserve">и скрепленных печатью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20"/>
                <w:szCs w:val="20"/>
              </w:rPr>
              <w:t xml:space="preserve">ни</w:t>
            </w:r>
            <w:r>
              <w:rPr>
                <w:sz w:val="20"/>
                <w:szCs w:val="20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1189"/>
              <w:numPr>
                <w:ilvl w:val="7"/>
                <w:numId w:val="43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0% (Опыт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9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3"/>
        </w:trPr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89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9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89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89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47"/>
                <w:rFonts w:ascii="Times New Roman" w:hAnsi="Times New Roman" w:eastAsia="Times New Roman" w:cs="Times New Roman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49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978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6094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9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6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6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9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86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9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86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8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8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9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9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35"/>
        <w:numPr>
          <w:ilvl w:val="0"/>
          <w:numId w:val="0"/>
        </w:numPr>
      </w:pPr>
      <w:r/>
      <w:r/>
    </w:p>
    <w:p>
      <w:pPr>
        <w:pStyle w:val="1135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35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5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39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3"/>
      </w:pPr>
      <w:r/>
      <w:bookmarkStart w:id="420" w:name="_Toc63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0"/>
      <w:r/>
      <w:r/>
    </w:p>
    <w:p>
      <w:pPr>
        <w:pStyle w:val="1134"/>
      </w:pPr>
      <w:r/>
      <w:bookmarkStart w:id="421" w:name="_Toc64"/>
      <w:r>
        <w:t xml:space="preserve">Пояснения к Обоснованию НМЦ</w:t>
      </w:r>
      <w:bookmarkEnd w:id="421"/>
      <w:r/>
      <w:r/>
    </w:p>
    <w:p>
      <w:pPr>
        <w:pStyle w:val="1135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33"/>
      </w:pPr>
      <w:r/>
      <w:bookmarkStart w:id="422" w:name="_Toc65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2"/>
      <w:r/>
      <w:r/>
    </w:p>
    <w:p>
      <w:pPr>
        <w:pStyle w:val="1134"/>
      </w:pPr>
      <w:r/>
      <w:bookmarkStart w:id="423" w:name="_Toc66"/>
      <w:r>
        <w:t xml:space="preserve">Пояснения к форме Заявки на аккредитацию</w:t>
      </w:r>
      <w:bookmarkEnd w:id="423"/>
      <w:r/>
      <w:r/>
    </w:p>
    <w:p>
      <w:pPr>
        <w:pStyle w:val="1135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39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48"/>
      </w:pPr>
      <w:r>
        <w:rPr>
          <w:rStyle w:val="114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48"/>
      </w:pPr>
      <w:r>
        <w:rPr>
          <w:rStyle w:val="1147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48"/>
      </w:pPr>
      <w:r>
        <w:rPr>
          <w:rStyle w:val="114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5"/>
        <w:ind w:left="567" w:hanging="567"/>
        <w:jc w:val="both"/>
        <w:rPr>
          <w:sz w:val="22"/>
        </w:rPr>
      </w:pPr>
      <w:r>
        <w:rPr>
          <w:rStyle w:val="1147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48"/>
      </w:pPr>
      <w:r>
        <w:rPr>
          <w:rStyle w:val="1147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48"/>
      </w:pPr>
      <w:r>
        <w:rPr>
          <w:rStyle w:val="1147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45"/>
      </w:pPr>
      <w:r>
        <w:rPr>
          <w:rStyle w:val="1147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76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77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4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6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7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5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86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87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88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89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7">
    <w:name w:val="Heading 1 Char"/>
    <w:basedOn w:val="1130"/>
    <w:link w:val="1127"/>
    <w:uiPriority w:val="9"/>
    <w:rPr>
      <w:rFonts w:ascii="Arial" w:hAnsi="Arial" w:eastAsia="Arial" w:cs="Arial"/>
      <w:sz w:val="40"/>
      <w:szCs w:val="40"/>
    </w:rPr>
  </w:style>
  <w:style w:type="character" w:styleId="968">
    <w:name w:val="Heading 2 Char"/>
    <w:basedOn w:val="1130"/>
    <w:link w:val="1128"/>
    <w:uiPriority w:val="9"/>
    <w:rPr>
      <w:rFonts w:ascii="Arial" w:hAnsi="Arial" w:eastAsia="Arial" w:cs="Arial"/>
      <w:sz w:val="34"/>
    </w:rPr>
  </w:style>
  <w:style w:type="character" w:styleId="969">
    <w:name w:val="Heading 3 Char"/>
    <w:basedOn w:val="1130"/>
    <w:link w:val="1129"/>
    <w:uiPriority w:val="9"/>
    <w:rPr>
      <w:rFonts w:ascii="Arial" w:hAnsi="Arial" w:eastAsia="Arial" w:cs="Arial"/>
      <w:sz w:val="30"/>
      <w:szCs w:val="30"/>
    </w:rPr>
  </w:style>
  <w:style w:type="paragraph" w:styleId="970">
    <w:name w:val="Heading 4"/>
    <w:basedOn w:val="1126"/>
    <w:next w:val="1126"/>
    <w:link w:val="9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1">
    <w:name w:val="Heading 4 Char"/>
    <w:basedOn w:val="1130"/>
    <w:link w:val="970"/>
    <w:uiPriority w:val="9"/>
    <w:rPr>
      <w:rFonts w:ascii="Arial" w:hAnsi="Arial" w:eastAsia="Arial" w:cs="Arial"/>
      <w:b/>
      <w:bCs/>
      <w:sz w:val="26"/>
      <w:szCs w:val="26"/>
    </w:rPr>
  </w:style>
  <w:style w:type="paragraph" w:styleId="972">
    <w:name w:val="Heading 5"/>
    <w:basedOn w:val="1126"/>
    <w:next w:val="1126"/>
    <w:link w:val="9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3">
    <w:name w:val="Heading 5 Char"/>
    <w:basedOn w:val="1130"/>
    <w:link w:val="972"/>
    <w:uiPriority w:val="9"/>
    <w:rPr>
      <w:rFonts w:ascii="Arial" w:hAnsi="Arial" w:eastAsia="Arial" w:cs="Arial"/>
      <w:b/>
      <w:bCs/>
      <w:sz w:val="24"/>
      <w:szCs w:val="24"/>
    </w:rPr>
  </w:style>
  <w:style w:type="paragraph" w:styleId="974">
    <w:name w:val="Heading 6"/>
    <w:basedOn w:val="1126"/>
    <w:next w:val="1126"/>
    <w:link w:val="9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5">
    <w:name w:val="Heading 6 Char"/>
    <w:basedOn w:val="1130"/>
    <w:link w:val="974"/>
    <w:uiPriority w:val="9"/>
    <w:rPr>
      <w:rFonts w:ascii="Arial" w:hAnsi="Arial" w:eastAsia="Arial" w:cs="Arial"/>
      <w:b/>
      <w:bCs/>
      <w:sz w:val="22"/>
      <w:szCs w:val="22"/>
    </w:rPr>
  </w:style>
  <w:style w:type="paragraph" w:styleId="976">
    <w:name w:val="Heading 7"/>
    <w:basedOn w:val="1126"/>
    <w:next w:val="1126"/>
    <w:link w:val="9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7">
    <w:name w:val="Heading 7 Char"/>
    <w:basedOn w:val="1130"/>
    <w:link w:val="9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8">
    <w:name w:val="Heading 8"/>
    <w:basedOn w:val="1126"/>
    <w:next w:val="1126"/>
    <w:link w:val="9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9">
    <w:name w:val="Heading 8 Char"/>
    <w:basedOn w:val="1130"/>
    <w:link w:val="978"/>
    <w:uiPriority w:val="9"/>
    <w:rPr>
      <w:rFonts w:ascii="Arial" w:hAnsi="Arial" w:eastAsia="Arial" w:cs="Arial"/>
      <w:i/>
      <w:iCs/>
      <w:sz w:val="22"/>
      <w:szCs w:val="22"/>
    </w:rPr>
  </w:style>
  <w:style w:type="paragraph" w:styleId="980">
    <w:name w:val="Heading 9"/>
    <w:basedOn w:val="1126"/>
    <w:next w:val="1126"/>
    <w:link w:val="9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1">
    <w:name w:val="Heading 9 Char"/>
    <w:basedOn w:val="1130"/>
    <w:link w:val="980"/>
    <w:uiPriority w:val="9"/>
    <w:rPr>
      <w:rFonts w:ascii="Arial" w:hAnsi="Arial" w:eastAsia="Arial" w:cs="Arial"/>
      <w:i/>
      <w:iCs/>
      <w:sz w:val="21"/>
      <w:szCs w:val="21"/>
    </w:rPr>
  </w:style>
  <w:style w:type="paragraph" w:styleId="982">
    <w:name w:val="No Spacing"/>
    <w:uiPriority w:val="1"/>
    <w:qFormat/>
    <w:pPr>
      <w:spacing w:before="0" w:after="0" w:line="240" w:lineRule="auto"/>
    </w:pPr>
  </w:style>
  <w:style w:type="paragraph" w:styleId="983">
    <w:name w:val="Title"/>
    <w:basedOn w:val="1126"/>
    <w:next w:val="1126"/>
    <w:link w:val="9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4">
    <w:name w:val="Title Char"/>
    <w:basedOn w:val="1130"/>
    <w:link w:val="983"/>
    <w:uiPriority w:val="10"/>
    <w:rPr>
      <w:sz w:val="48"/>
      <w:szCs w:val="48"/>
    </w:rPr>
  </w:style>
  <w:style w:type="paragraph" w:styleId="985">
    <w:name w:val="Subtitle"/>
    <w:basedOn w:val="1126"/>
    <w:next w:val="1126"/>
    <w:link w:val="986"/>
    <w:uiPriority w:val="11"/>
    <w:qFormat/>
    <w:pPr>
      <w:spacing w:before="200" w:after="200"/>
    </w:pPr>
    <w:rPr>
      <w:sz w:val="24"/>
      <w:szCs w:val="24"/>
    </w:rPr>
  </w:style>
  <w:style w:type="character" w:styleId="986">
    <w:name w:val="Subtitle Char"/>
    <w:basedOn w:val="1130"/>
    <w:link w:val="985"/>
    <w:uiPriority w:val="11"/>
    <w:rPr>
      <w:sz w:val="24"/>
      <w:szCs w:val="24"/>
    </w:rPr>
  </w:style>
  <w:style w:type="paragraph" w:styleId="987">
    <w:name w:val="Quote"/>
    <w:basedOn w:val="1126"/>
    <w:next w:val="1126"/>
    <w:link w:val="988"/>
    <w:uiPriority w:val="29"/>
    <w:qFormat/>
    <w:pPr>
      <w:ind w:left="720" w:right="720"/>
    </w:pPr>
    <w:rPr>
      <w:i/>
    </w:rPr>
  </w:style>
  <w:style w:type="character" w:styleId="988">
    <w:name w:val="Quote Char"/>
    <w:link w:val="987"/>
    <w:uiPriority w:val="29"/>
    <w:rPr>
      <w:i/>
    </w:rPr>
  </w:style>
  <w:style w:type="paragraph" w:styleId="989">
    <w:name w:val="Intense Quote"/>
    <w:basedOn w:val="1126"/>
    <w:next w:val="1126"/>
    <w:link w:val="9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0">
    <w:name w:val="Intense Quote Char"/>
    <w:link w:val="989"/>
    <w:uiPriority w:val="30"/>
    <w:rPr>
      <w:i/>
    </w:rPr>
  </w:style>
  <w:style w:type="character" w:styleId="991">
    <w:name w:val="Header Char"/>
    <w:basedOn w:val="1130"/>
    <w:link w:val="1140"/>
    <w:uiPriority w:val="99"/>
  </w:style>
  <w:style w:type="character" w:styleId="992">
    <w:name w:val="Footer Char"/>
    <w:basedOn w:val="1130"/>
    <w:link w:val="1142"/>
    <w:uiPriority w:val="99"/>
  </w:style>
  <w:style w:type="paragraph" w:styleId="993">
    <w:name w:val="Caption"/>
    <w:basedOn w:val="1126"/>
    <w:next w:val="1126"/>
    <w:link w:val="9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4">
    <w:name w:val="Caption Char"/>
    <w:basedOn w:val="993"/>
    <w:link w:val="1142"/>
    <w:uiPriority w:val="99"/>
  </w:style>
  <w:style w:type="table" w:styleId="995">
    <w:name w:val="Table Grid Light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6">
    <w:name w:val="Plain Table 1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7">
    <w:name w:val="Plain Table 2"/>
    <w:basedOn w:val="11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8">
    <w:name w:val="Plain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9">
    <w:name w:val="Plain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Plain Table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1">
    <w:name w:val="Grid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3">
    <w:name w:val="Grid Table 4 - Accent 1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4">
    <w:name w:val="Grid Table 4 - Accent 2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5">
    <w:name w:val="Grid Table 4 - Accent 3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6">
    <w:name w:val="Grid Table 4 - Accent 4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7">
    <w:name w:val="Grid Table 4 - Accent 5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8">
    <w:name w:val="Grid Table 4 - Accent 6"/>
    <w:basedOn w:val="11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9">
    <w:name w:val="Grid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0">
    <w:name w:val="Grid Table 5 Dark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3">
    <w:name w:val="Grid Table 5 Dark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4">
    <w:name w:val="Grid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6">
    <w:name w:val="Grid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7">
    <w:name w:val="Grid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8">
    <w:name w:val="Grid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9">
    <w:name w:val="Grid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0">
    <w:name w:val="Grid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1">
    <w:name w:val="Grid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2">
    <w:name w:val="Grid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3">
    <w:name w:val="Grid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8">
    <w:name w:val="List Table 2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9">
    <w:name w:val="List Table 2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0">
    <w:name w:val="List Table 2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1">
    <w:name w:val="List Table 2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2">
    <w:name w:val="List Table 2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3">
    <w:name w:val="List Table 2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4">
    <w:name w:val="List Table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5 Dark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6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6">
    <w:name w:val="List Table 6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7">
    <w:name w:val="List Table 6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8">
    <w:name w:val="List Table 6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9">
    <w:name w:val="List Table 6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0">
    <w:name w:val="List Table 6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1">
    <w:name w:val="List Table 6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2">
    <w:name w:val="List Table 7 Colorful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3">
    <w:name w:val="List Table 7 Colorful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4">
    <w:name w:val="List Table 7 Colorful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5">
    <w:name w:val="List Table 7 Colorful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6">
    <w:name w:val="List Table 7 Colorful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7">
    <w:name w:val="List Table 7 Colorful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98">
    <w:name w:val="List Table 7 Colorful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9">
    <w:name w:val="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0">
    <w:name w:val="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1">
    <w:name w:val="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2">
    <w:name w:val="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3">
    <w:name w:val="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4">
    <w:name w:val="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5">
    <w:name w:val="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6">
    <w:name w:val="Bordered &amp; Lined - Accent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7">
    <w:name w:val="Bordered &amp; Lined - Accent 1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8">
    <w:name w:val="Bordered &amp; Lined - Accent 2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9">
    <w:name w:val="Bordered &amp; Lined - Accent 3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0">
    <w:name w:val="Bordered &amp; Lined - Accent 4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1">
    <w:name w:val="Bordered &amp; Lined - Accent 5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2">
    <w:name w:val="Bordered &amp; Lined - Accent 6"/>
    <w:basedOn w:val="11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3">
    <w:name w:val="Bordered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4">
    <w:name w:val="Bordered - Accent 1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5">
    <w:name w:val="Bordered - Accent 2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6">
    <w:name w:val="Bordered - Accent 3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7">
    <w:name w:val="Bordered - Accent 4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8">
    <w:name w:val="Bordered - Accent 5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9">
    <w:name w:val="Bordered - Accent 6"/>
    <w:basedOn w:val="11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0">
    <w:name w:val="Footnote Text Char"/>
    <w:link w:val="1145"/>
    <w:uiPriority w:val="99"/>
    <w:rPr>
      <w:sz w:val="18"/>
    </w:rPr>
  </w:style>
  <w:style w:type="paragraph" w:styleId="1121">
    <w:name w:val="endnote text"/>
    <w:basedOn w:val="1126"/>
    <w:link w:val="1122"/>
    <w:uiPriority w:val="99"/>
    <w:semiHidden/>
    <w:unhideWhenUsed/>
    <w:pPr>
      <w:spacing w:after="0" w:line="240" w:lineRule="auto"/>
    </w:pPr>
    <w:rPr>
      <w:sz w:val="20"/>
    </w:rPr>
  </w:style>
  <w:style w:type="character" w:styleId="1122">
    <w:name w:val="Endnote Text Char"/>
    <w:link w:val="1121"/>
    <w:uiPriority w:val="99"/>
    <w:rPr>
      <w:sz w:val="20"/>
    </w:rPr>
  </w:style>
  <w:style w:type="character" w:styleId="1123">
    <w:name w:val="endnote reference"/>
    <w:basedOn w:val="1130"/>
    <w:uiPriority w:val="99"/>
    <w:semiHidden/>
    <w:unhideWhenUsed/>
    <w:rPr>
      <w:vertAlign w:val="superscript"/>
    </w:rPr>
  </w:style>
  <w:style w:type="paragraph" w:styleId="1124">
    <w:name w:val="TOC Heading"/>
    <w:uiPriority w:val="39"/>
    <w:unhideWhenUsed/>
  </w:style>
  <w:style w:type="paragraph" w:styleId="1125">
    <w:name w:val="table of figures"/>
    <w:basedOn w:val="1126"/>
    <w:next w:val="1126"/>
    <w:uiPriority w:val="99"/>
    <w:unhideWhenUsed/>
    <w:pPr>
      <w:spacing w:after="0" w:afterAutospacing="0"/>
    </w:pPr>
  </w:style>
  <w:style w:type="paragraph" w:styleId="1126" w:default="1">
    <w:name w:val="Normal"/>
    <w:qFormat/>
  </w:style>
  <w:style w:type="paragraph" w:styleId="1127">
    <w:name w:val="Heading 1"/>
    <w:basedOn w:val="1126"/>
    <w:next w:val="1126"/>
    <w:link w:val="1178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28">
    <w:name w:val="Heading 2"/>
    <w:basedOn w:val="1126"/>
    <w:next w:val="1126"/>
    <w:link w:val="1179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29">
    <w:name w:val="Heading 3"/>
    <w:basedOn w:val="1126"/>
    <w:next w:val="1126"/>
    <w:link w:val="1180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0" w:default="1">
    <w:name w:val="Default Paragraph Font"/>
    <w:uiPriority w:val="1"/>
    <w:semiHidden/>
    <w:unhideWhenUsed/>
  </w:style>
  <w:style w:type="table" w:styleId="11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2" w:default="1">
    <w:name w:val="No List"/>
    <w:uiPriority w:val="99"/>
    <w:semiHidden/>
    <w:unhideWhenUsed/>
  </w:style>
  <w:style w:type="paragraph" w:styleId="1133" w:customStyle="1">
    <w:name w:val="[РГ] Раздел"/>
    <w:basedOn w:val="1126"/>
    <w:next w:val="1134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4" w:customStyle="1">
    <w:name w:val="[РГ] Подраздел"/>
    <w:basedOn w:val="1126"/>
    <w:next w:val="1135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5" w:customStyle="1">
    <w:name w:val="[РГ] Пункт"/>
    <w:basedOn w:val="1126"/>
    <w:qFormat/>
    <w:pPr>
      <w:numPr>
        <w:ilvl w:val="2"/>
        <w:numId w:val="1"/>
      </w:numPr>
      <w:jc w:val="both"/>
      <w:outlineLvl w:val="2"/>
    </w:pPr>
  </w:style>
  <w:style w:type="paragraph" w:styleId="1136" w:customStyle="1">
    <w:name w:val="[РГ] Подпункт"/>
    <w:basedOn w:val="1126"/>
    <w:qFormat/>
    <w:pPr>
      <w:numPr>
        <w:ilvl w:val="3"/>
        <w:numId w:val="1"/>
      </w:numPr>
      <w:jc w:val="both"/>
      <w:outlineLvl w:val="3"/>
    </w:pPr>
  </w:style>
  <w:style w:type="paragraph" w:styleId="1137" w:customStyle="1">
    <w:name w:val="[РГ] Перечисление"/>
    <w:basedOn w:val="1126"/>
    <w:qFormat/>
    <w:pPr>
      <w:numPr>
        <w:ilvl w:val="4"/>
        <w:numId w:val="1"/>
      </w:numPr>
      <w:jc w:val="both"/>
      <w:outlineLvl w:val="4"/>
    </w:pPr>
  </w:style>
  <w:style w:type="paragraph" w:styleId="1138" w:customStyle="1">
    <w:name w:val="[РГ] Заголовок"/>
    <w:basedOn w:val="1126"/>
    <w:next w:val="1139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39" w:customStyle="1">
    <w:name w:val="[РГ] Текст"/>
    <w:basedOn w:val="1126"/>
    <w:qFormat/>
    <w:pPr>
      <w:jc w:val="both"/>
    </w:pPr>
  </w:style>
  <w:style w:type="paragraph" w:styleId="1140">
    <w:name w:val="Header"/>
    <w:basedOn w:val="1126"/>
    <w:link w:val="1141"/>
    <w:uiPriority w:val="99"/>
    <w:unhideWhenUsed/>
    <w:pPr>
      <w:jc w:val="center"/>
      <w:spacing w:before="0" w:after="120"/>
    </w:pPr>
  </w:style>
  <w:style w:type="character" w:styleId="1141" w:customStyle="1">
    <w:name w:val="Верхний колонтитул Знак"/>
    <w:basedOn w:val="1130"/>
    <w:link w:val="1140"/>
    <w:uiPriority w:val="99"/>
  </w:style>
  <w:style w:type="paragraph" w:styleId="1142">
    <w:name w:val="Footer"/>
    <w:basedOn w:val="1126"/>
    <w:link w:val="1143"/>
    <w:unhideWhenUsed/>
    <w:pPr>
      <w:jc w:val="right"/>
    </w:pPr>
  </w:style>
  <w:style w:type="character" w:styleId="1143" w:customStyle="1">
    <w:name w:val="Нижний колонтитул Знак"/>
    <w:basedOn w:val="1130"/>
    <w:link w:val="1142"/>
    <w:uiPriority w:val="99"/>
  </w:style>
  <w:style w:type="character" w:styleId="1144" w:customStyle="1">
    <w:name w:val="[РГ] Инструкция для организатора"/>
    <w:basedOn w:val="1130"/>
    <w:uiPriority w:val="1"/>
    <w:qFormat/>
    <w:rPr>
      <w:i/>
      <w:iCs/>
      <w:shd w:val="clear" w:color="auto" w:fill="ffff99"/>
      <w:lang w:val="ru-RU"/>
    </w:rPr>
  </w:style>
  <w:style w:type="paragraph" w:styleId="1145">
    <w:name w:val="footnote text"/>
    <w:basedOn w:val="1126"/>
    <w:link w:val="1146"/>
    <w:uiPriority w:val="99"/>
    <w:semiHidden/>
    <w:unhideWhenUsed/>
    <w:pPr>
      <w:spacing w:before="0"/>
    </w:pPr>
    <w:rPr>
      <w:sz w:val="20"/>
      <w:szCs w:val="20"/>
    </w:rPr>
  </w:style>
  <w:style w:type="character" w:styleId="1146" w:customStyle="1">
    <w:name w:val="Текст сноски Знак"/>
    <w:basedOn w:val="1130"/>
    <w:link w:val="1145"/>
    <w:uiPriority w:val="99"/>
    <w:semiHidden/>
    <w:rPr>
      <w:sz w:val="20"/>
      <w:szCs w:val="20"/>
    </w:rPr>
  </w:style>
  <w:style w:type="character" w:styleId="1147">
    <w:name w:val="footnote reference"/>
    <w:basedOn w:val="1130"/>
    <w:unhideWhenUsed/>
    <w:rPr>
      <w:vertAlign w:val="superscript"/>
    </w:rPr>
  </w:style>
  <w:style w:type="paragraph" w:styleId="1148" w:customStyle="1">
    <w:name w:val="[РГ] Сноска"/>
    <w:basedOn w:val="1145"/>
    <w:qFormat/>
    <w:pPr>
      <w:ind w:left="567" w:hanging="567"/>
      <w:jc w:val="both"/>
      <w:spacing w:before="80"/>
    </w:pPr>
    <w:rPr>
      <w:sz w:val="22"/>
    </w:rPr>
  </w:style>
  <w:style w:type="character" w:styleId="1149">
    <w:name w:val="Hyperlink"/>
    <w:basedOn w:val="1130"/>
    <w:uiPriority w:val="99"/>
    <w:unhideWhenUsed/>
    <w:rPr>
      <w:color w:val="0563c1" w:themeColor="hyperlink"/>
      <w:u w:val="single"/>
    </w:rPr>
  </w:style>
  <w:style w:type="character" w:styleId="1150">
    <w:name w:val="Unresolved Mention"/>
    <w:basedOn w:val="1130"/>
    <w:uiPriority w:val="99"/>
    <w:semiHidden/>
    <w:unhideWhenUsed/>
    <w:rPr>
      <w:color w:val="605e5c"/>
      <w:shd w:val="clear" w:color="auto" w:fill="e1dfdd"/>
    </w:rPr>
  </w:style>
  <w:style w:type="paragraph" w:styleId="1151">
    <w:name w:val="toc 2"/>
    <w:basedOn w:val="1126"/>
    <w:next w:val="1126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2">
    <w:name w:val="toc 1"/>
    <w:basedOn w:val="1126"/>
    <w:next w:val="1126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3">
    <w:name w:val="toc 3"/>
    <w:basedOn w:val="1126"/>
    <w:next w:val="1126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4">
    <w:name w:val="toc 4"/>
    <w:basedOn w:val="1126"/>
    <w:next w:val="1126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5"/>
    <w:basedOn w:val="1126"/>
    <w:next w:val="1126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6">
    <w:name w:val="toc 6"/>
    <w:basedOn w:val="1126"/>
    <w:next w:val="1126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7">
    <w:name w:val="toc 7"/>
    <w:basedOn w:val="1126"/>
    <w:next w:val="1126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8"/>
    <w:basedOn w:val="1126"/>
    <w:next w:val="1126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9"/>
    <w:basedOn w:val="1126"/>
    <w:next w:val="1126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0" w:customStyle="1">
    <w:name w:val="[РГ] Таблица"/>
    <w:basedOn w:val="1131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1">
    <w:name w:val="Table Grid"/>
    <w:basedOn w:val="1131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2">
    <w:name w:val="Placeholder Text"/>
    <w:basedOn w:val="1130"/>
    <w:uiPriority w:val="99"/>
    <w:semiHidden/>
    <w:rPr>
      <w:color w:val="808080"/>
    </w:rPr>
  </w:style>
  <w:style w:type="character" w:styleId="1163" w:customStyle="1">
    <w:name w:val="[РГ] Отсылка"/>
    <w:basedOn w:val="1130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4">
    <w:name w:val="annotation reference"/>
    <w:basedOn w:val="1130"/>
    <w:uiPriority w:val="99"/>
    <w:unhideWhenUsed/>
    <w:rPr>
      <w:sz w:val="16"/>
      <w:szCs w:val="16"/>
    </w:rPr>
  </w:style>
  <w:style w:type="paragraph" w:styleId="1165">
    <w:name w:val="annotation text"/>
    <w:basedOn w:val="1126"/>
    <w:link w:val="1166"/>
    <w:uiPriority w:val="99"/>
    <w:unhideWhenUsed/>
    <w:rPr>
      <w:sz w:val="20"/>
      <w:szCs w:val="20"/>
    </w:rPr>
  </w:style>
  <w:style w:type="character" w:styleId="1166" w:customStyle="1">
    <w:name w:val="Текст примечания Знак"/>
    <w:basedOn w:val="1130"/>
    <w:link w:val="1165"/>
    <w:uiPriority w:val="99"/>
    <w:rPr>
      <w:sz w:val="20"/>
      <w:szCs w:val="20"/>
    </w:rPr>
  </w:style>
  <w:style w:type="paragraph" w:styleId="1167">
    <w:name w:val="annotation subject"/>
    <w:basedOn w:val="1165"/>
    <w:next w:val="1165"/>
    <w:link w:val="1168"/>
    <w:uiPriority w:val="99"/>
    <w:semiHidden/>
    <w:unhideWhenUsed/>
    <w:rPr>
      <w:b/>
      <w:bCs/>
    </w:rPr>
  </w:style>
  <w:style w:type="character" w:styleId="1168" w:customStyle="1">
    <w:name w:val="Тема примечания Знак"/>
    <w:basedOn w:val="1166"/>
    <w:link w:val="1167"/>
    <w:uiPriority w:val="99"/>
    <w:semiHidden/>
    <w:rPr>
      <w:b/>
      <w:bCs/>
      <w:sz w:val="20"/>
      <w:szCs w:val="20"/>
    </w:rPr>
  </w:style>
  <w:style w:type="paragraph" w:styleId="1169" w:customStyle="1">
    <w:name w:val="[РГ] Альтернатива / Дополнение"/>
    <w:basedOn w:val="1139"/>
    <w:next w:val="1139"/>
    <w:qFormat/>
    <w:rPr>
      <w:i/>
      <w:shd w:val="clear" w:color="auto" w:fill="ccecff"/>
    </w:rPr>
  </w:style>
  <w:style w:type="character" w:styleId="1170" w:customStyle="1">
    <w:name w:val="[РГ] Инструкция для участника"/>
    <w:basedOn w:val="1130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1">
    <w:name w:val="Revision"/>
    <w:hidden/>
    <w:uiPriority w:val="99"/>
    <w:semiHidden/>
    <w:pPr>
      <w:spacing w:before="0"/>
    </w:pPr>
  </w:style>
  <w:style w:type="character" w:styleId="1172">
    <w:name w:val="FollowedHyperlink"/>
    <w:basedOn w:val="1130"/>
    <w:uiPriority w:val="99"/>
    <w:semiHidden/>
    <w:unhideWhenUsed/>
    <w:rPr>
      <w:color w:val="954f72" w:themeColor="followedHyperlink"/>
      <w:u w:val="single"/>
    </w:rPr>
  </w:style>
  <w:style w:type="paragraph" w:styleId="1173">
    <w:name w:val="List Paragraph"/>
    <w:basedOn w:val="1126"/>
    <w:uiPriority w:val="34"/>
    <w:qFormat/>
    <w:pPr>
      <w:contextualSpacing/>
      <w:ind w:left="720"/>
    </w:pPr>
  </w:style>
  <w:style w:type="paragraph" w:styleId="1174" w:customStyle="1">
    <w:name w:val="Пункт"/>
    <w:basedOn w:val="1126"/>
    <w:link w:val="1175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5" w:customStyle="1">
    <w:name w:val="Пункт Знак2"/>
    <w:link w:val="1174"/>
    <w:rPr>
      <w:rFonts w:eastAsia="Times New Roman" w:cs="Times New Roman"/>
      <w:szCs w:val="26"/>
      <w:lang w:eastAsia="ru-RU"/>
    </w:rPr>
  </w:style>
  <w:style w:type="paragraph" w:styleId="1176" w:customStyle="1">
    <w:name w:val="Подпункт"/>
    <w:basedOn w:val="1174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77" w:customStyle="1">
    <w:name w:val="Подподпункт"/>
    <w:basedOn w:val="1176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78" w:customStyle="1">
    <w:name w:val="Заголовок 1 Знак"/>
    <w:basedOn w:val="1130"/>
    <w:link w:val="1127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79" w:customStyle="1">
    <w:name w:val="Заголовок 2 Знак"/>
    <w:basedOn w:val="1130"/>
    <w:link w:val="1128"/>
    <w:rPr>
      <w:rFonts w:eastAsia="Times New Roman" w:cs="Times New Roman"/>
      <w:b/>
      <w:sz w:val="32"/>
      <w:szCs w:val="26"/>
      <w:lang w:eastAsia="ru-RU"/>
    </w:rPr>
  </w:style>
  <w:style w:type="character" w:styleId="1180" w:customStyle="1">
    <w:name w:val="Заголовок 3 Знак"/>
    <w:basedOn w:val="1130"/>
    <w:link w:val="112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1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2" w:customStyle="1">
    <w:name w:val="комментарий"/>
    <w:rPr>
      <w:b/>
      <w:i/>
      <w:shd w:val="clear" w:color="auto" w:fill="ffff99"/>
    </w:rPr>
  </w:style>
  <w:style w:type="paragraph" w:styleId="1183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4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5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6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7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8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9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0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1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2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image" Target="media/image1.png"/><Relationship Id="rId16" Type="http://schemas.openxmlformats.org/officeDocument/2006/relationships/image" Target="media/media1.svg"/><Relationship Id="rId17" Type="http://schemas.openxmlformats.org/officeDocument/2006/relationships/hyperlink" Target="http://nopriz.ru/nreesters/elektronnyy-reestr/" TargetMode="External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210</cp:revision>
  <dcterms:created xsi:type="dcterms:W3CDTF">2023-08-16T07:54:00Z</dcterms:created>
  <dcterms:modified xsi:type="dcterms:W3CDTF">2026-03-27T00:12:35Z</dcterms:modified>
</cp:coreProperties>
</file>