
<file path=[Content_Types].xml><?xml version="1.0" encoding="utf-8"?>
<Types xmlns="http://schemas.openxmlformats.org/package/2006/content-types">
  <Default Extension="svg" ContentType="image/svg+xml"/>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b/>
          <w:szCs w:val="28"/>
        </w:rPr>
      </w:pPr>
      <w:r>
        <w:rPr>
          <w:rFonts w:ascii="Impact" w:hAnsi="Impact"/>
          <w:i/>
          <w:color w:val="000000"/>
          <w:sz w:val="16"/>
          <w:szCs w:val="16"/>
          <w:lang w:eastAsia="ru-RU"/>
        </w:rPr>
      </w:r>
      <w:r>
        <w:rPr>
          <w:b/>
          <w:szCs w:val="28"/>
        </w:rPr>
      </w:r>
      <w:r>
        <w:rPr>
          <w:b/>
          <w:szCs w:val="28"/>
        </w:rPr>
      </w:r>
    </w:p>
    <w:p>
      <w:pPr>
        <w:pStyle w:val="1180"/>
        <w:ind w:left="4536"/>
        <w:keepNext/>
      </w:pPr>
      <w:r>
        <w:t xml:space="preserve">«УТВЕРЖДАЮ»</w:t>
      </w:r>
      <w:r/>
    </w:p>
    <w:p>
      <w:pPr>
        <w:ind w:left="4535" w:right="0" w:firstLine="0"/>
        <w:spacing w:before="0"/>
        <w:widowControl w:val="off"/>
        <w:rPr>
          <w:sz w:val="24"/>
          <w:szCs w:val="24"/>
        </w:rPr>
      </w:pPr>
      <w:r>
        <w:rPr>
          <w:sz w:val="24"/>
          <w:szCs w:val="24"/>
        </w:rPr>
        <w:t xml:space="preserve">Председатель</w:t>
      </w:r>
      <w:r>
        <w:rPr>
          <w:sz w:val="24"/>
          <w:szCs w:val="24"/>
        </w:rPr>
        <w:t xml:space="preserve"> закупочной комиссии 1-го уровня</w:t>
      </w:r>
      <w:r>
        <w:rPr>
          <w:sz w:val="24"/>
          <w:szCs w:val="24"/>
        </w:rPr>
        <w:t xml:space="preserve"> – Заместитель генерального директора по управлению ресурсами</w:t>
      </w:r>
      <w:r>
        <w:rPr>
          <w:sz w:val="24"/>
          <w:szCs w:val="24"/>
        </w:rPr>
        <w:t xml:space="preserve"> АО «ДГК»</w:t>
      </w:r>
      <w:r>
        <w:rPr>
          <w:sz w:val="24"/>
          <w:szCs w:val="24"/>
        </w:rPr>
      </w:r>
      <w:r>
        <w:rPr>
          <w:sz w:val="24"/>
          <w:szCs w:val="24"/>
        </w:rPr>
      </w:r>
    </w:p>
    <w:p>
      <w:pPr>
        <w:ind w:left="5103"/>
        <w:spacing w:before="0"/>
        <w:widowControl w:val="off"/>
        <w:rPr>
          <w:sz w:val="24"/>
          <w:szCs w:val="24"/>
        </w:rPr>
      </w:pPr>
      <w:r>
        <w:rPr>
          <w:sz w:val="24"/>
          <w:szCs w:val="24"/>
        </w:rPr>
      </w:r>
      <w:r>
        <w:rPr>
          <w:sz w:val="24"/>
          <w:szCs w:val="24"/>
        </w:rPr>
      </w:r>
      <w:r>
        <w:rPr>
          <w:sz w:val="24"/>
          <w:szCs w:val="24"/>
        </w:rPr>
      </w:r>
    </w:p>
    <w:p>
      <w:pPr>
        <w:ind w:left="4535" w:right="0" w:firstLine="0"/>
        <w:spacing w:before="0"/>
        <w:widowControl w:val="off"/>
        <w:rPr>
          <w:sz w:val="24"/>
          <w:szCs w:val="24"/>
        </w:rPr>
      </w:pPr>
      <w:r>
        <w:rPr>
          <w:sz w:val="24"/>
          <w:szCs w:val="24"/>
        </w:rPr>
        <w:t xml:space="preserve">__________________Д.А. Богонатов</w:t>
      </w:r>
      <w:r>
        <w:rPr>
          <w:sz w:val="24"/>
          <w:szCs w:val="24"/>
        </w:rPr>
      </w:r>
      <w:r>
        <w:rPr>
          <w:sz w:val="24"/>
          <w:szCs w:val="24"/>
        </w:rPr>
      </w:r>
    </w:p>
    <w:p>
      <w:pPr>
        <w:ind w:left="0" w:right="0" w:firstLine="4535"/>
        <w:spacing w:before="0" w:line="276" w:lineRule="auto"/>
        <w:widowControl w:val="off"/>
        <w:rPr>
          <w:sz w:val="24"/>
          <w:szCs w:val="24"/>
        </w:rPr>
      </w:pPr>
      <w:r>
        <w:rPr>
          <w:sz w:val="24"/>
          <w:szCs w:val="24"/>
        </w:rPr>
        <w:t xml:space="preserve">«___»_______________ 2026 г </w:t>
      </w:r>
      <w:r>
        <w:rPr>
          <w:sz w:val="24"/>
          <w:szCs w:val="24"/>
        </w:rPr>
      </w:r>
      <w:r>
        <w:rPr>
          <w:sz w:val="24"/>
          <w:szCs w:val="24"/>
        </w:rPr>
      </w:r>
    </w:p>
    <w:p>
      <w:pPr>
        <w:pStyle w:val="1180"/>
      </w:pPr>
      <w:r/>
      <w:r/>
    </w:p>
    <w:p>
      <w:pPr>
        <w:pStyle w:val="1180"/>
      </w:pPr>
      <w:r/>
      <w:r/>
    </w:p>
    <w:p>
      <w:pPr>
        <w:pStyle w:val="1180"/>
      </w:pPr>
      <w:r/>
      <w:r/>
    </w:p>
    <w:p>
      <w:pPr>
        <w:pStyle w:val="1180"/>
      </w:pPr>
      <w:r/>
      <w:r/>
    </w:p>
    <w:p>
      <w:pPr>
        <w:pStyle w:val="1180"/>
      </w:pPr>
      <w:r/>
      <w:r/>
    </w:p>
    <w:p>
      <w:pPr>
        <w:pStyle w:val="1180"/>
        <w:jc w:val="center"/>
        <w:keepNext/>
        <w:rPr>
          <w:b/>
          <w:bCs/>
          <w:caps/>
          <w:highlight w:val="none"/>
        </w:rPr>
        <w:outlineLvl w:val="2"/>
      </w:pPr>
      <w:r>
        <w:rPr>
          <w:b/>
          <w:bCs/>
          <w:caps/>
        </w:rPr>
        <w:t xml:space="preserve">Документация о закупке</w:t>
      </w:r>
      <w:r>
        <w:rPr>
          <w:b/>
          <w:bCs/>
          <w:caps/>
          <w:highlight w:val="none"/>
        </w:rPr>
      </w:r>
      <w:r>
        <w:rPr>
          <w:b/>
          <w:bCs/>
          <w:caps/>
          <w:highlight w:val="none"/>
        </w:rPr>
      </w:r>
    </w:p>
    <w:p>
      <w:pPr>
        <w:pStyle w:val="1180"/>
        <w:jc w:val="center"/>
        <w:keepNext/>
        <w:rPr>
          <w:b/>
          <w:bCs/>
          <w:caps/>
        </w:rPr>
        <w:outlineLvl w:val="2"/>
      </w:pPr>
      <w:r>
        <w:rPr>
          <w:b/>
          <w:bCs/>
          <w:caps/>
          <w:highlight w:val="none"/>
        </w:rPr>
      </w:r>
      <w:r>
        <w:rPr>
          <w:b/>
          <w:bCs/>
          <w:caps/>
        </w:rPr>
      </w:r>
      <w:r>
        <w:rPr>
          <w:b/>
          <w:bCs/>
          <w:caps/>
        </w:rPr>
      </w:r>
    </w:p>
    <w:p>
      <w:pPr>
        <w:pStyle w:val="1180"/>
        <w:contextualSpacing w:val="0"/>
        <w:jc w:val="center"/>
        <w:keepNext/>
        <w:spacing w:before="0" w:after="0" w:line="240" w:lineRule="auto"/>
        <w:rPr>
          <w:sz w:val="26"/>
          <w:szCs w:val="26"/>
        </w:rPr>
        <w:suppressLineNumbers w:val="0"/>
      </w:pPr>
      <w:r>
        <w:t xml:space="preserve">З</w:t>
      </w:r>
      <w:r>
        <w:rPr>
          <w:sz w:val="26"/>
          <w:szCs w:val="26"/>
        </w:rPr>
        <w:t xml:space="preserve">апрос предложений в электронной форме,</w:t>
      </w:r>
      <w:r>
        <w:rPr>
          <w:sz w:val="26"/>
          <w:szCs w:val="26"/>
        </w:rPr>
        <w:br/>
      </w:r>
      <w:r>
        <w:rPr>
          <w:sz w:val="26"/>
          <w:szCs w:val="26"/>
        </w:rPr>
        <w:t xml:space="preserve">на право заключения договора на</w:t>
      </w:r>
      <w:r>
        <w:rPr>
          <w:sz w:val="26"/>
          <w:szCs w:val="26"/>
        </w:rPr>
        <w:t xml:space="preserve"> </w:t>
      </w:r>
      <w:r>
        <w:rPr>
          <w:sz w:val="26"/>
          <w:szCs w:val="26"/>
        </w:rPr>
        <w:t xml:space="preserve">ОКПД2 38.22.19.000 Оказание услуг по вывозу и утилизации опасных отходов для Хабаровской ТЭЦ-1, г. Хабаровск</w:t>
      </w:r>
      <w:r>
        <w:rPr>
          <w:sz w:val="26"/>
          <w:szCs w:val="26"/>
        </w:rPr>
      </w:r>
      <w:r>
        <w:rPr>
          <w:sz w:val="26"/>
          <w:szCs w:val="26"/>
        </w:rPr>
      </w:r>
    </w:p>
    <w:p>
      <w:pPr>
        <w:pStyle w:val="1180"/>
        <w:contextualSpacing w:val="0"/>
        <w:jc w:val="center"/>
        <w:keepNext/>
        <w:spacing w:before="0" w:after="0" w:line="240" w:lineRule="auto"/>
        <w:rPr>
          <w:rStyle w:val="1185"/>
        </w:rPr>
        <w:suppressLineNumbers w:val="0"/>
      </w:pPr>
      <w:r>
        <w:rPr>
          <w:rStyle w:val="1185"/>
        </w:rPr>
      </w:r>
      <w:r>
        <w:rPr>
          <w:rStyle w:val="1185"/>
        </w:rPr>
      </w:r>
      <w:r>
        <w:rPr>
          <w:rStyle w:val="1185"/>
        </w:rPr>
      </w:r>
    </w:p>
    <w:p>
      <w:pPr>
        <w:pStyle w:val="1180"/>
        <w:contextualSpacing w:val="0"/>
        <w:jc w:val="center"/>
        <w:keepNext/>
        <w:spacing w:before="0" w:after="0" w:line="240" w:lineRule="auto"/>
        <w:rPr>
          <w:rStyle w:val="1185"/>
        </w:rPr>
        <w:suppressLineNumbers w:val="0"/>
      </w:pPr>
      <w:r>
        <w:rPr>
          <w:rStyle w:val="1185"/>
          <w:highlight w:val="none"/>
        </w:rPr>
      </w:r>
      <w:r>
        <w:rPr>
          <w:rStyle w:val="1185"/>
        </w:rPr>
      </w:r>
      <w:r>
        <w:rPr>
          <w:rStyle w:val="1185"/>
        </w:rPr>
      </w:r>
    </w:p>
    <w:p>
      <w:pPr>
        <w:pStyle w:val="1180"/>
        <w:contextualSpacing w:val="0"/>
        <w:jc w:val="center"/>
        <w:keepNext/>
        <w:spacing w:before="0" w:after="0" w:line="240" w:lineRule="auto"/>
        <w:rPr>
          <w:highlight w:val="white"/>
        </w:rPr>
        <w:suppressLineNumbers w:val="0"/>
      </w:pPr>
      <w:r>
        <w:rPr>
          <w:highlight w:val="white"/>
        </w:rPr>
        <w:t xml:space="preserve">(</w:t>
      </w:r>
      <w:r>
        <w:rPr>
          <w:highlight w:val="white"/>
        </w:rPr>
        <w:t xml:space="preserve">Л</w:t>
      </w:r>
      <w:r>
        <w:rPr>
          <w:highlight w:val="white"/>
        </w:rPr>
        <w:t xml:space="preserve">от № </w:t>
      </w:r>
      <w:r>
        <w:rPr>
          <w:rFonts w:eastAsia="Calibri"/>
          <w:sz w:val="24"/>
          <w:szCs w:val="24"/>
          <w:highlight w:val="white"/>
        </w:rPr>
        <w:t xml:space="preserve">41020024-ЭКСП ОРГ-2026-ДГК-ХТЭЦ1</w:t>
      </w:r>
      <w:r>
        <w:rPr>
          <w:highlight w:val="white"/>
        </w:rPr>
        <w:t xml:space="preserve">)</w:t>
      </w:r>
      <w:r>
        <w:rPr>
          <w:highlight w:val="white"/>
        </w:rPr>
      </w:r>
      <w:r>
        <w:rPr>
          <w:highlight w:val="white"/>
        </w:rPr>
      </w:r>
    </w:p>
    <w:p>
      <w:pPr>
        <w:pStyle w:val="1180"/>
        <w:keepNext/>
      </w:pPr>
      <w:r/>
      <w:r/>
    </w:p>
    <w:p>
      <w:pPr>
        <w:pStyle w:val="1180"/>
        <w:sectPr>
          <w:footnotePr/>
          <w:endnotePr/>
          <w:type w:val="nextPage"/>
          <w:pgSz w:w="11906" w:h="16838" w:orient="portrait"/>
          <w:pgMar w:top="851" w:right="850" w:bottom="851" w:left="1134" w:header="709" w:footer="709" w:gutter="0"/>
          <w:cols w:num="1" w:sep="0" w:space="708" w:equalWidth="1"/>
          <w:docGrid w:linePitch="360"/>
        </w:sectPr>
      </w:pPr>
      <w:r/>
      <w:r/>
    </w:p>
    <w:p>
      <w:pPr>
        <w:pStyle w:val="1179"/>
        <w:outlineLvl w:val="2"/>
      </w:pPr>
      <w:r>
        <w:t xml:space="preserve">Содержание</w:t>
      </w:r>
      <w:r/>
    </w:p>
    <w:p>
      <w:pPr>
        <w:pStyle w:val="1193"/>
        <w:rPr>
          <w:rFonts w:asciiTheme="minorHAnsi" w:hAnsiTheme="minorHAnsi" w:eastAsiaTheme="minorEastAsia"/>
          <w:b w:val="0"/>
          <w:caps w:val="0"/>
          <w:sz w:val="22"/>
          <w:lang w:eastAsia="ru-RU"/>
        </w:rPr>
      </w:pPr>
      <w:r>
        <w:fldChar w:fldCharType="begin"/>
      </w:r>
      <w:r>
        <w:instrText xml:space="preserve"> TOC \o "1-2" \h \z \u </w:instrText>
      </w:r>
      <w:r>
        <w:fldChar w:fldCharType="separate"/>
      </w:r>
      <w:hyperlink w:tooltip="#_Toc232579407" w:anchor="_Toc232579407" w:history="1">
        <w:r>
          <w:rPr>
            <w:rStyle w:val="1190"/>
          </w:rPr>
          <w:t xml:space="preserve">Сокращения</w:t>
        </w:r>
        <w:r>
          <w:tab/>
        </w:r>
        <w:r>
          <w:fldChar w:fldCharType="begin"/>
        </w:r>
        <w:r>
          <w:instrText xml:space="preserve"> PAGEREF _Toc232579407 \h </w:instrText>
        </w:r>
        <w:r>
          <w:fldChar w:fldCharType="separate"/>
        </w:r>
        <w:r>
          <w:t xml:space="preserve">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3"/>
        <w:rPr>
          <w:rFonts w:asciiTheme="minorHAnsi" w:hAnsiTheme="minorHAnsi" w:eastAsiaTheme="minorEastAsia"/>
          <w:b w:val="0"/>
          <w:caps w:val="0"/>
          <w:sz w:val="22"/>
          <w:lang w:eastAsia="ru-RU"/>
        </w:rPr>
      </w:pPr>
      <w:r/>
      <w:hyperlink w:tooltip="#_Toc232579408" w:anchor="_Toc232579408" w:history="1">
        <w:r>
          <w:rPr>
            <w:rStyle w:val="1190"/>
          </w:rPr>
          <w:t xml:space="preserve">Термины и определения</w:t>
        </w:r>
        <w:r>
          <w:tab/>
        </w:r>
        <w:r>
          <w:fldChar w:fldCharType="begin"/>
        </w:r>
        <w:r>
          <w:instrText xml:space="preserve"> PAGEREF _Toc232579408 \h </w:instrText>
        </w:r>
        <w:r>
          <w:fldChar w:fldCharType="separate"/>
        </w:r>
        <w:r>
          <w:t xml:space="preserve">7</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3"/>
        <w:rPr>
          <w:rFonts w:asciiTheme="minorHAnsi" w:hAnsiTheme="minorHAnsi" w:eastAsiaTheme="minorEastAsia"/>
          <w:b w:val="0"/>
          <w:caps w:val="0"/>
          <w:sz w:val="22"/>
          <w:lang w:eastAsia="ru-RU"/>
        </w:rPr>
      </w:pPr>
      <w:r/>
      <w:hyperlink w:tooltip="#_Toc232579409" w:anchor="_Toc232579409" w:history="1">
        <w:r>
          <w:rPr>
            <w:rStyle w:val="1190"/>
          </w:rPr>
          <w:t xml:space="preserve">1.</w:t>
        </w:r>
        <w:r>
          <w:rPr>
            <w:rFonts w:asciiTheme="minorHAnsi" w:hAnsiTheme="minorHAnsi" w:eastAsiaTheme="minorEastAsia"/>
            <w:b w:val="0"/>
            <w:caps w:val="0"/>
            <w:sz w:val="22"/>
            <w:lang w:eastAsia="ru-RU"/>
          </w:rPr>
          <w:tab/>
        </w:r>
        <w:r>
          <w:rPr>
            <w:rStyle w:val="1190"/>
          </w:rPr>
          <w:t xml:space="preserve">Основные сведения о закупке</w:t>
        </w:r>
        <w:r>
          <w:tab/>
        </w:r>
        <w:r>
          <w:fldChar w:fldCharType="begin"/>
        </w:r>
        <w:r>
          <w:instrText xml:space="preserve"> PAGEREF _Toc232579409 \h </w:instrText>
        </w:r>
        <w:r>
          <w:fldChar w:fldCharType="separate"/>
        </w:r>
        <w:r>
          <w:t xml:space="preserve">11</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10" w:anchor="_Toc232579410" w:history="1">
        <w:r>
          <w:rPr>
            <w:rStyle w:val="1190"/>
          </w:rPr>
          <w:t xml:space="preserve">1.1</w:t>
        </w:r>
        <w:r>
          <w:rPr>
            <w:rFonts w:asciiTheme="minorHAnsi" w:hAnsiTheme="minorHAnsi" w:eastAsiaTheme="minorEastAsia"/>
            <w:sz w:val="22"/>
            <w:lang w:eastAsia="ru-RU"/>
          </w:rPr>
          <w:tab/>
        </w:r>
        <w:r>
          <w:rPr>
            <w:rStyle w:val="1190"/>
          </w:rPr>
          <w:t xml:space="preserve">Статус настоящего раздела</w:t>
        </w:r>
        <w:r>
          <w:tab/>
        </w:r>
        <w:r>
          <w:fldChar w:fldCharType="begin"/>
        </w:r>
        <w:r>
          <w:instrText xml:space="preserve"> PAGEREF _Toc232579410 \h </w:instrText>
        </w:r>
        <w:r>
          <w:fldChar w:fldCharType="separate"/>
        </w:r>
        <w:r>
          <w:t xml:space="preserve">11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11" w:anchor="_Toc232579411" w:history="1">
        <w:r>
          <w:rPr>
            <w:rStyle w:val="1190"/>
          </w:rPr>
          <w:t xml:space="preserve">1.2</w:t>
        </w:r>
        <w:r>
          <w:rPr>
            <w:rFonts w:asciiTheme="minorHAnsi" w:hAnsiTheme="minorHAnsi" w:eastAsiaTheme="minorEastAsia"/>
            <w:sz w:val="22"/>
            <w:lang w:eastAsia="ru-RU"/>
          </w:rPr>
          <w:tab/>
        </w:r>
        <w:r>
          <w:rPr>
            <w:rStyle w:val="1190"/>
          </w:rPr>
          <w:t xml:space="preserve">Информация о проводимой закупке</w:t>
        </w:r>
        <w:r>
          <w:tab/>
        </w:r>
        <w:r>
          <w:fldChar w:fldCharType="begin"/>
        </w:r>
        <w:r>
          <w:instrText xml:space="preserve"> PAGEREF _Toc232579411 \h </w:instrText>
        </w:r>
        <w:r>
          <w:fldChar w:fldCharType="separate"/>
        </w:r>
        <w:r>
          <w:t xml:space="preserve">11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3"/>
        <w:rPr>
          <w:rFonts w:asciiTheme="minorHAnsi" w:hAnsiTheme="minorHAnsi" w:eastAsiaTheme="minorEastAsia"/>
          <w:b w:val="0"/>
          <w:caps w:val="0"/>
          <w:sz w:val="22"/>
          <w:lang w:eastAsia="ru-RU"/>
        </w:rPr>
      </w:pPr>
      <w:r/>
      <w:hyperlink w:tooltip="#_Toc232579412" w:anchor="_Toc232579412" w:history="1">
        <w:r>
          <w:rPr>
            <w:rStyle w:val="1190"/>
          </w:rPr>
          <w:t xml:space="preserve">2.</w:t>
        </w:r>
        <w:r>
          <w:rPr>
            <w:rFonts w:asciiTheme="minorHAnsi" w:hAnsiTheme="minorHAnsi" w:eastAsiaTheme="minorEastAsia"/>
            <w:b w:val="0"/>
            <w:caps w:val="0"/>
            <w:sz w:val="22"/>
            <w:lang w:eastAsia="ru-RU"/>
          </w:rPr>
          <w:tab/>
        </w:r>
        <w:r>
          <w:rPr>
            <w:rStyle w:val="1190"/>
          </w:rPr>
          <w:t xml:space="preserve">Общие положения</w:t>
        </w:r>
        <w:r>
          <w:tab/>
        </w:r>
        <w:r>
          <w:fldChar w:fldCharType="begin"/>
        </w:r>
        <w:r>
          <w:instrText xml:space="preserve"> PAGEREF _Toc232579412 \h </w:instrText>
        </w:r>
        <w:r>
          <w:fldChar w:fldCharType="separate"/>
        </w:r>
        <w:r>
          <w:t xml:space="preserve">17</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13" w:anchor="_Toc232579413" w:history="1">
        <w:r>
          <w:rPr>
            <w:rStyle w:val="1190"/>
          </w:rPr>
          <w:t xml:space="preserve">2.1</w:t>
        </w:r>
        <w:r>
          <w:rPr>
            <w:rFonts w:asciiTheme="minorHAnsi" w:hAnsiTheme="minorHAnsi" w:eastAsiaTheme="minorEastAsia"/>
            <w:sz w:val="22"/>
            <w:lang w:eastAsia="ru-RU"/>
          </w:rPr>
          <w:tab/>
        </w:r>
        <w:r>
          <w:rPr>
            <w:rStyle w:val="1190"/>
          </w:rPr>
          <w:t xml:space="preserve">Общие сведения о закупке</w:t>
        </w:r>
        <w:r>
          <w:tab/>
        </w:r>
        <w:r>
          <w:fldChar w:fldCharType="begin"/>
        </w:r>
        <w:r>
          <w:instrText xml:space="preserve"> PAGEREF _Toc232579413 \h </w:instrText>
        </w:r>
        <w:r>
          <w:fldChar w:fldCharType="separate"/>
        </w:r>
        <w:r>
          <w:t xml:space="preserve">17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14" w:anchor="_Toc232579414" w:history="1">
        <w:r>
          <w:rPr>
            <w:rStyle w:val="1190"/>
          </w:rPr>
          <w:t xml:space="preserve">2.2</w:t>
        </w:r>
        <w:r>
          <w:rPr>
            <w:rFonts w:asciiTheme="minorHAnsi" w:hAnsiTheme="minorHAnsi" w:eastAsiaTheme="minorEastAsia"/>
            <w:sz w:val="22"/>
            <w:lang w:eastAsia="ru-RU"/>
          </w:rPr>
          <w:tab/>
        </w:r>
        <w:r>
          <w:rPr>
            <w:rStyle w:val="1190"/>
          </w:rPr>
          <w:t xml:space="preserve">Правовой статус документов</w:t>
        </w:r>
        <w:r>
          <w:tab/>
        </w:r>
        <w:r>
          <w:fldChar w:fldCharType="begin"/>
        </w:r>
        <w:r>
          <w:instrText xml:space="preserve"> PAGEREF _Toc232579414 \h </w:instrText>
        </w:r>
        <w:r>
          <w:fldChar w:fldCharType="separate"/>
        </w:r>
        <w:r>
          <w:t xml:space="preserve">17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15" w:anchor="_Toc232579415" w:history="1">
        <w:r>
          <w:rPr>
            <w:rStyle w:val="1190"/>
          </w:rPr>
          <w:t xml:space="preserve">2.3</w:t>
        </w:r>
        <w:r>
          <w:rPr>
            <w:rFonts w:asciiTheme="minorHAnsi" w:hAnsiTheme="minorHAnsi" w:eastAsiaTheme="minorEastAsia"/>
            <w:sz w:val="22"/>
            <w:lang w:eastAsia="ru-RU"/>
          </w:rPr>
          <w:tab/>
        </w:r>
        <w:r>
          <w:rPr>
            <w:rStyle w:val="1190"/>
          </w:rPr>
          <w:t xml:space="preserve">Обжалование</w:t>
        </w:r>
        <w:r>
          <w:tab/>
        </w:r>
        <w:r>
          <w:fldChar w:fldCharType="begin"/>
        </w:r>
        <w:r>
          <w:instrText xml:space="preserve"> PAGEREF _Toc232579415 \h </w:instrText>
        </w:r>
        <w:r>
          <w:fldChar w:fldCharType="separate"/>
        </w:r>
        <w:r>
          <w:t xml:space="preserve">18</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16" w:anchor="_Toc232579416" w:history="1">
        <w:r>
          <w:rPr>
            <w:rStyle w:val="1190"/>
          </w:rPr>
          <w:t xml:space="preserve">2.4</w:t>
        </w:r>
        <w:r>
          <w:rPr>
            <w:rFonts w:asciiTheme="minorHAnsi" w:hAnsiTheme="minorHAnsi" w:eastAsiaTheme="minorEastAsia"/>
            <w:sz w:val="22"/>
            <w:lang w:eastAsia="ru-RU"/>
          </w:rPr>
          <w:tab/>
        </w:r>
        <w:r>
          <w:rPr>
            <w:rStyle w:val="1190"/>
          </w:rPr>
          <w:t xml:space="preserve">Особые положения при проведении закупки с использованием ЭП</w:t>
        </w:r>
        <w:r>
          <w:tab/>
        </w:r>
        <w:r>
          <w:fldChar w:fldCharType="begin"/>
        </w:r>
        <w:r>
          <w:instrText xml:space="preserve"> PAGEREF _Toc232579416 \h </w:instrText>
        </w:r>
        <w:r>
          <w:fldChar w:fldCharType="separate"/>
        </w:r>
        <w:r>
          <w:t xml:space="preserve">19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17" w:anchor="_Toc232579417" w:history="1">
        <w:r>
          <w:rPr>
            <w:rStyle w:val="1190"/>
          </w:rPr>
          <w:t xml:space="preserve">2.5</w:t>
        </w:r>
        <w:r>
          <w:rPr>
            <w:rFonts w:asciiTheme="minorHAnsi" w:hAnsiTheme="minorHAnsi" w:eastAsiaTheme="minorEastAsia"/>
            <w:sz w:val="22"/>
            <w:lang w:eastAsia="ru-RU"/>
          </w:rPr>
          <w:tab/>
        </w:r>
        <w:r>
          <w:rPr>
            <w:rStyle w:val="1190"/>
          </w:rPr>
          <w:t xml:space="preserve">Прочие положения</w:t>
        </w:r>
        <w:r>
          <w:tab/>
        </w:r>
        <w:r>
          <w:fldChar w:fldCharType="begin"/>
        </w:r>
        <w:r>
          <w:instrText xml:space="preserve"> PAGEREF _Toc232579417 \h </w:instrText>
        </w:r>
        <w:r>
          <w:fldChar w:fldCharType="separate"/>
        </w:r>
        <w:r>
          <w:t xml:space="preserve">19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3"/>
        <w:rPr>
          <w:rFonts w:asciiTheme="minorHAnsi" w:hAnsiTheme="minorHAnsi" w:eastAsiaTheme="minorEastAsia"/>
          <w:b w:val="0"/>
          <w:caps w:val="0"/>
          <w:sz w:val="22"/>
          <w:lang w:eastAsia="ru-RU"/>
        </w:rPr>
      </w:pPr>
      <w:r/>
      <w:hyperlink w:tooltip="#_Toc232579418" w:anchor="_Toc232579418" w:history="1">
        <w:r>
          <w:rPr>
            <w:rStyle w:val="1190"/>
          </w:rPr>
          <w:t xml:space="preserve">3.</w:t>
        </w:r>
        <w:r>
          <w:rPr>
            <w:rFonts w:asciiTheme="minorHAnsi" w:hAnsiTheme="minorHAnsi" w:eastAsiaTheme="minorEastAsia"/>
            <w:b w:val="0"/>
            <w:caps w:val="0"/>
            <w:sz w:val="22"/>
            <w:lang w:eastAsia="ru-RU"/>
          </w:rPr>
          <w:tab/>
        </w:r>
        <w:r>
          <w:rPr>
            <w:rStyle w:val="1190"/>
          </w:rPr>
          <w:t xml:space="preserve">Требования к Участникам</w:t>
        </w:r>
        <w:r>
          <w:tab/>
        </w:r>
        <w:r>
          <w:fldChar w:fldCharType="begin"/>
        </w:r>
        <w:r>
          <w:instrText xml:space="preserve"> PAGEREF _Toc232579418 \h </w:instrText>
        </w:r>
        <w:r>
          <w:fldChar w:fldCharType="separate"/>
        </w:r>
        <w:r>
          <w:t xml:space="preserve">20</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19" w:anchor="_Toc232579419" w:history="1">
        <w:r>
          <w:rPr>
            <w:rStyle w:val="1190"/>
          </w:rPr>
          <w:t xml:space="preserve">3.1</w:t>
        </w:r>
        <w:r>
          <w:rPr>
            <w:rFonts w:asciiTheme="minorHAnsi" w:hAnsiTheme="minorHAnsi" w:eastAsiaTheme="minorEastAsia"/>
            <w:sz w:val="22"/>
            <w:lang w:eastAsia="ru-RU"/>
          </w:rPr>
          <w:tab/>
        </w:r>
        <w:r>
          <w:rPr>
            <w:rStyle w:val="1190"/>
          </w:rPr>
          <w:t xml:space="preserve">Общие требования к Участникам</w:t>
        </w:r>
        <w:r>
          <w:tab/>
        </w:r>
        <w:r>
          <w:fldChar w:fldCharType="begin"/>
        </w:r>
        <w:r>
          <w:instrText xml:space="preserve"> PAGEREF _Toc232579419 \h </w:instrText>
        </w:r>
        <w:r>
          <w:fldChar w:fldCharType="separate"/>
        </w:r>
        <w:r>
          <w:t xml:space="preserve">20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20" w:anchor="_Toc232579420" w:history="1">
        <w:r>
          <w:rPr>
            <w:rStyle w:val="1190"/>
          </w:rPr>
          <w:t xml:space="preserve">3.2</w:t>
        </w:r>
        <w:r>
          <w:rPr>
            <w:rFonts w:asciiTheme="minorHAnsi" w:hAnsiTheme="minorHAnsi" w:eastAsiaTheme="minorEastAsia"/>
            <w:sz w:val="22"/>
            <w:lang w:eastAsia="ru-RU"/>
          </w:rPr>
          <w:tab/>
        </w:r>
        <w:r>
          <w:rPr>
            <w:rStyle w:val="1190"/>
          </w:rPr>
          <w:t xml:space="preserve">Коллективные участники</w:t>
        </w:r>
        <w:r>
          <w:tab/>
        </w:r>
        <w:r>
          <w:fldChar w:fldCharType="begin"/>
        </w:r>
        <w:r>
          <w:instrText xml:space="preserve"> PAGEREF _Toc232579420 \h </w:instrText>
        </w:r>
        <w:r>
          <w:fldChar w:fldCharType="separate"/>
        </w:r>
        <w:r>
          <w:t xml:space="preserve">20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21" w:anchor="_Toc232579421" w:history="1">
        <w:r>
          <w:rPr>
            <w:rStyle w:val="1190"/>
          </w:rPr>
          <w:t xml:space="preserve">3.3</w:t>
        </w:r>
        <w:r>
          <w:rPr>
            <w:rFonts w:asciiTheme="minorHAnsi" w:hAnsiTheme="minorHAnsi" w:eastAsiaTheme="minorEastAsia"/>
            <w:sz w:val="22"/>
            <w:lang w:eastAsia="ru-RU"/>
          </w:rPr>
          <w:tab/>
        </w:r>
        <w:r>
          <w:rPr>
            <w:rStyle w:val="1190"/>
          </w:rPr>
          <w:t xml:space="preserve">Генеральные подрядчики</w:t>
        </w:r>
        <w:r>
          <w:tab/>
        </w:r>
        <w:r>
          <w:fldChar w:fldCharType="begin"/>
        </w:r>
        <w:r>
          <w:instrText xml:space="preserve"> PAGEREF _Toc232579421 \h </w:instrText>
        </w:r>
        <w:r>
          <w:fldChar w:fldCharType="separate"/>
        </w:r>
        <w:r>
          <w:t xml:space="preserve">22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22" w:anchor="_Toc232579422" w:history="1">
        <w:r>
          <w:rPr>
            <w:rStyle w:val="1190"/>
          </w:rPr>
          <w:t xml:space="preserve">3.4</w:t>
        </w:r>
        <w:r>
          <w:rPr>
            <w:rFonts w:asciiTheme="minorHAnsi" w:hAnsiTheme="minorHAnsi" w:eastAsiaTheme="minorEastAsia"/>
            <w:sz w:val="22"/>
            <w:lang w:eastAsia="ru-RU"/>
          </w:rPr>
          <w:tab/>
        </w:r>
        <w:r>
          <w:rPr>
            <w:rStyle w:val="1190"/>
          </w:rPr>
          <w:t xml:space="preserve">Привлечение субподрядчиков (соисполнителей) из числа субъектов МСП</w:t>
        </w:r>
        <w:r>
          <w:tab/>
        </w:r>
        <w:r>
          <w:fldChar w:fldCharType="begin"/>
        </w:r>
        <w:r>
          <w:instrText xml:space="preserve"> PAGEREF _Toc232579422 \h </w:instrText>
        </w:r>
        <w:r>
          <w:fldChar w:fldCharType="separate"/>
        </w:r>
        <w:r>
          <w:t xml:space="preserve">24</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3"/>
        <w:rPr>
          <w:rFonts w:asciiTheme="minorHAnsi" w:hAnsiTheme="minorHAnsi" w:eastAsiaTheme="minorEastAsia"/>
          <w:b w:val="0"/>
          <w:caps w:val="0"/>
          <w:sz w:val="22"/>
          <w:lang w:eastAsia="ru-RU"/>
        </w:rPr>
      </w:pPr>
      <w:r/>
      <w:hyperlink w:tooltip="#_Toc232579423" w:anchor="_Toc232579423" w:history="1">
        <w:r>
          <w:rPr>
            <w:rStyle w:val="1190"/>
          </w:rPr>
          <w:t xml:space="preserve">4.</w:t>
        </w:r>
        <w:r>
          <w:rPr>
            <w:rFonts w:asciiTheme="minorHAnsi" w:hAnsiTheme="minorHAnsi" w:eastAsiaTheme="minorEastAsia"/>
            <w:b w:val="0"/>
            <w:caps w:val="0"/>
            <w:sz w:val="22"/>
            <w:lang w:eastAsia="ru-RU"/>
          </w:rPr>
          <w:tab/>
        </w:r>
        <w:r>
          <w:rPr>
            <w:rStyle w:val="1190"/>
          </w:rPr>
          <w:t xml:space="preserve">Порядок проведения закупки</w:t>
        </w:r>
        <w:r>
          <w:tab/>
        </w:r>
        <w:r>
          <w:fldChar w:fldCharType="begin"/>
        </w:r>
        <w:r>
          <w:instrText xml:space="preserve"> PAGEREF _Toc232579423 \h </w:instrText>
        </w:r>
        <w:r>
          <w:fldChar w:fldCharType="separate"/>
        </w:r>
        <w:r>
          <w:t xml:space="preserve">25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24" w:anchor="_Toc232579424" w:history="1">
        <w:r>
          <w:rPr>
            <w:rStyle w:val="1190"/>
          </w:rPr>
          <w:t xml:space="preserve">4.1</w:t>
        </w:r>
        <w:r>
          <w:rPr>
            <w:rFonts w:asciiTheme="minorHAnsi" w:hAnsiTheme="minorHAnsi" w:eastAsiaTheme="minorEastAsia"/>
            <w:sz w:val="22"/>
            <w:lang w:eastAsia="ru-RU"/>
          </w:rPr>
          <w:tab/>
        </w:r>
        <w:r>
          <w:rPr>
            <w:rStyle w:val="1190"/>
          </w:rPr>
          <w:t xml:space="preserve">Общий порядок проведения закупки</w:t>
        </w:r>
        <w:r>
          <w:tab/>
        </w:r>
        <w:r>
          <w:fldChar w:fldCharType="begin"/>
        </w:r>
        <w:r>
          <w:instrText xml:space="preserve"> PAGEREF _Toc232579424 \h </w:instrText>
        </w:r>
        <w:r>
          <w:fldChar w:fldCharType="separate"/>
        </w:r>
        <w:r>
          <w:t xml:space="preserve">25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25" w:anchor="_Toc232579425" w:history="1">
        <w:r>
          <w:rPr>
            <w:rStyle w:val="1190"/>
          </w:rPr>
          <w:t xml:space="preserve">4.2</w:t>
        </w:r>
        <w:r>
          <w:rPr>
            <w:rFonts w:asciiTheme="minorHAnsi" w:hAnsiTheme="minorHAnsi" w:eastAsiaTheme="minorEastAsia"/>
            <w:sz w:val="22"/>
            <w:lang w:eastAsia="ru-RU"/>
          </w:rPr>
          <w:tab/>
        </w:r>
        <w:r>
          <w:rPr>
            <w:rStyle w:val="1190"/>
          </w:rPr>
          <w:t xml:space="preserve">Официальное размещение Извещения и Документации о закупке</w:t>
        </w:r>
        <w:r>
          <w:tab/>
        </w:r>
        <w:r>
          <w:fldChar w:fldCharType="begin"/>
        </w:r>
        <w:r>
          <w:instrText xml:space="preserve"> PAGEREF _Toc232579425 \h </w:instrText>
        </w:r>
        <w:r>
          <w:fldChar w:fldCharType="separate"/>
        </w:r>
        <w:r>
          <w:t xml:space="preserve">27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26" w:anchor="_Toc232579426" w:history="1">
        <w:r>
          <w:rPr>
            <w:rStyle w:val="1190"/>
          </w:rPr>
          <w:t xml:space="preserve">4.3</w:t>
        </w:r>
        <w:r>
          <w:rPr>
            <w:rFonts w:asciiTheme="minorHAnsi" w:hAnsiTheme="minorHAnsi" w:eastAsiaTheme="minorEastAsia"/>
            <w:sz w:val="22"/>
            <w:lang w:eastAsia="ru-RU"/>
          </w:rPr>
          <w:tab/>
        </w:r>
        <w:r>
          <w:rPr>
            <w:rStyle w:val="1190"/>
          </w:rPr>
          <w:t xml:space="preserve">Подготовка заявки</w:t>
        </w:r>
        <w:r>
          <w:tab/>
        </w:r>
        <w:r>
          <w:fldChar w:fldCharType="begin"/>
        </w:r>
        <w:r>
          <w:instrText xml:space="preserve"> PAGEREF _Toc232579426 \h </w:instrText>
        </w:r>
        <w:r>
          <w:fldChar w:fldCharType="separate"/>
        </w:r>
        <w:r>
          <w:t xml:space="preserve">27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27" w:anchor="_Toc232579427" w:history="1">
        <w:r>
          <w:rPr>
            <w:rStyle w:val="1190"/>
          </w:rPr>
          <w:t xml:space="preserve">4.4</w:t>
        </w:r>
        <w:r>
          <w:rPr>
            <w:rFonts w:asciiTheme="minorHAnsi" w:hAnsiTheme="minorHAnsi" w:eastAsiaTheme="minorEastAsia"/>
            <w:sz w:val="22"/>
            <w:lang w:eastAsia="ru-RU"/>
          </w:rPr>
          <w:tab/>
        </w:r>
        <w:r>
          <w:rPr>
            <w:rStyle w:val="1190"/>
          </w:rPr>
          <w:t xml:space="preserve">Разъяснение Документации о закупке</w:t>
        </w:r>
        <w:r>
          <w:tab/>
        </w:r>
        <w:r>
          <w:fldChar w:fldCharType="begin"/>
        </w:r>
        <w:r>
          <w:instrText xml:space="preserve"> PAGEREF _Toc232579427 \h </w:instrText>
        </w:r>
        <w:r>
          <w:fldChar w:fldCharType="separate"/>
        </w:r>
        <w:r>
          <w:t xml:space="preserve">30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28" w:anchor="_Toc232579428" w:history="1">
        <w:r>
          <w:rPr>
            <w:rStyle w:val="1190"/>
          </w:rPr>
          <w:t xml:space="preserve">4.5</w:t>
        </w:r>
        <w:r>
          <w:rPr>
            <w:rFonts w:asciiTheme="minorHAnsi" w:hAnsiTheme="minorHAnsi" w:eastAsiaTheme="minorEastAsia"/>
            <w:sz w:val="22"/>
            <w:lang w:eastAsia="ru-RU"/>
          </w:rPr>
          <w:tab/>
        </w:r>
        <w:r>
          <w:rPr>
            <w:rStyle w:val="1190"/>
          </w:rPr>
          <w:t xml:space="preserve">Изменения Извещения и (или) Документации о закупке</w:t>
        </w:r>
        <w:r>
          <w:tab/>
        </w:r>
        <w:r>
          <w:fldChar w:fldCharType="begin"/>
        </w:r>
        <w:r>
          <w:instrText xml:space="preserve"> PAGEREF _Toc232579428 \h </w:instrText>
        </w:r>
        <w:r>
          <w:fldChar w:fldCharType="separate"/>
        </w:r>
        <w:r>
          <w:t xml:space="preserve">30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29" w:anchor="_Toc232579429" w:history="1">
        <w:r>
          <w:rPr>
            <w:rStyle w:val="1190"/>
          </w:rPr>
          <w:t xml:space="preserve">4.6</w:t>
        </w:r>
        <w:r>
          <w:rPr>
            <w:rFonts w:asciiTheme="minorHAnsi" w:hAnsiTheme="minorHAnsi" w:eastAsiaTheme="minorEastAsia"/>
            <w:sz w:val="22"/>
            <w:lang w:eastAsia="ru-RU"/>
          </w:rPr>
          <w:tab/>
        </w:r>
        <w:r>
          <w:rPr>
            <w:rStyle w:val="1190"/>
          </w:rPr>
          <w:t xml:space="preserve">Подача заявок и их прием</w:t>
        </w:r>
        <w:r>
          <w:tab/>
        </w:r>
        <w:r>
          <w:fldChar w:fldCharType="begin"/>
        </w:r>
        <w:r>
          <w:instrText xml:space="preserve"> PAGEREF _Toc232579429 \h </w:instrText>
        </w:r>
        <w:r>
          <w:fldChar w:fldCharType="separate"/>
        </w:r>
        <w:r>
          <w:t xml:space="preserve">31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30" w:anchor="_Toc232579430" w:history="1">
        <w:r>
          <w:rPr>
            <w:rStyle w:val="1190"/>
          </w:rPr>
          <w:t xml:space="preserve">4.7</w:t>
        </w:r>
        <w:r>
          <w:rPr>
            <w:rFonts w:asciiTheme="minorHAnsi" w:hAnsiTheme="minorHAnsi" w:eastAsiaTheme="minorEastAsia"/>
            <w:sz w:val="22"/>
            <w:lang w:eastAsia="ru-RU"/>
          </w:rPr>
          <w:tab/>
        </w:r>
        <w:r>
          <w:rPr>
            <w:rStyle w:val="1190"/>
          </w:rPr>
          <w:t xml:space="preserve">Изменение и отзыв заявок</w:t>
        </w:r>
        <w:r>
          <w:tab/>
        </w:r>
        <w:r>
          <w:fldChar w:fldCharType="begin"/>
        </w:r>
        <w:r>
          <w:instrText xml:space="preserve"> PAGEREF _Toc232579430 \h </w:instrText>
        </w:r>
        <w:r>
          <w:fldChar w:fldCharType="separate"/>
        </w:r>
        <w:r>
          <w:t xml:space="preserve">32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31" w:anchor="_Toc232579431" w:history="1">
        <w:r>
          <w:rPr>
            <w:rStyle w:val="1190"/>
          </w:rPr>
          <w:t xml:space="preserve">4.8</w:t>
        </w:r>
        <w:r>
          <w:rPr>
            <w:rFonts w:asciiTheme="minorHAnsi" w:hAnsiTheme="minorHAnsi" w:eastAsiaTheme="minorEastAsia"/>
            <w:sz w:val="22"/>
            <w:lang w:eastAsia="ru-RU"/>
          </w:rPr>
          <w:tab/>
        </w:r>
        <w:r>
          <w:rPr>
            <w:rStyle w:val="1190"/>
          </w:rPr>
          <w:t xml:space="preserve">Открытие доступа к заявкам</w:t>
        </w:r>
        <w:r>
          <w:tab/>
        </w:r>
        <w:r>
          <w:fldChar w:fldCharType="begin"/>
        </w:r>
        <w:r>
          <w:instrText xml:space="preserve"> PAGEREF _Toc232579431 \h </w:instrText>
        </w:r>
        <w:r>
          <w:fldChar w:fldCharType="separate"/>
        </w:r>
        <w:r>
          <w:t xml:space="preserve">32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32" w:anchor="_Toc232579432" w:history="1">
        <w:r>
          <w:rPr>
            <w:rStyle w:val="1190"/>
          </w:rPr>
          <w:t xml:space="preserve">4.9</w:t>
        </w:r>
        <w:r>
          <w:rPr>
            <w:rFonts w:asciiTheme="minorHAnsi" w:hAnsiTheme="minorHAnsi" w:eastAsiaTheme="minorEastAsia"/>
            <w:sz w:val="22"/>
            <w:lang w:eastAsia="ru-RU"/>
          </w:rPr>
          <w:tab/>
        </w:r>
        <w:r>
          <w:rPr>
            <w:rStyle w:val="1190"/>
          </w:rPr>
          <w:t xml:space="preserve">Рассмотрение заявок (отборочная стадия), в том числе (при необходимости) проведение аккредитации</w:t>
        </w:r>
        <w:r>
          <w:tab/>
        </w:r>
        <w:r>
          <w:fldChar w:fldCharType="begin"/>
        </w:r>
        <w:r>
          <w:instrText xml:space="preserve"> PAGEREF _Toc232579432 \h </w:instrText>
        </w:r>
        <w:r>
          <w:fldChar w:fldCharType="separate"/>
        </w:r>
        <w:r>
          <w:t xml:space="preserve">33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33" w:anchor="_Toc232579433" w:history="1">
        <w:r>
          <w:rPr>
            <w:rStyle w:val="1190"/>
          </w:rPr>
          <w:t xml:space="preserve">4.10</w:t>
        </w:r>
        <w:r>
          <w:rPr>
            <w:rFonts w:asciiTheme="minorHAnsi" w:hAnsiTheme="minorHAnsi" w:eastAsiaTheme="minorEastAsia"/>
            <w:sz w:val="22"/>
            <w:lang w:eastAsia="ru-RU"/>
          </w:rPr>
          <w:tab/>
        </w:r>
        <w:r>
          <w:rPr>
            <w:rStyle w:val="1190"/>
          </w:rPr>
          <w:t xml:space="preserve">Дополнительные запросы разъяснений заявок</w:t>
        </w:r>
        <w:r>
          <w:tab/>
        </w:r>
        <w:r>
          <w:fldChar w:fldCharType="begin"/>
        </w:r>
        <w:r>
          <w:instrText xml:space="preserve"> PAGEREF _Toc232579433 \h </w:instrText>
        </w:r>
        <w:r>
          <w:fldChar w:fldCharType="separate"/>
        </w:r>
        <w:r>
          <w:t xml:space="preserve">35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34" w:anchor="_Toc232579434" w:history="1">
        <w:r>
          <w:rPr>
            <w:rStyle w:val="1190"/>
          </w:rPr>
          <w:t xml:space="preserve">4.11</w:t>
        </w:r>
        <w:r>
          <w:rPr>
            <w:rFonts w:asciiTheme="minorHAnsi" w:hAnsiTheme="minorHAnsi" w:eastAsiaTheme="minorEastAsia"/>
            <w:sz w:val="22"/>
            <w:lang w:eastAsia="ru-RU"/>
          </w:rPr>
          <w:tab/>
        </w:r>
        <w:r>
          <w:rPr>
            <w:rStyle w:val="1190"/>
          </w:rPr>
          <w:t xml:space="preserve">Переторжка</w:t>
        </w:r>
        <w:r>
          <w:tab/>
        </w:r>
        <w:r>
          <w:fldChar w:fldCharType="begin"/>
        </w:r>
        <w:r>
          <w:instrText xml:space="preserve"> PAGEREF _Toc232579434 \h </w:instrText>
        </w:r>
        <w:r>
          <w:fldChar w:fldCharType="separate"/>
        </w:r>
        <w:r>
          <w:t xml:space="preserve">37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35" w:anchor="_Toc232579435" w:history="1">
        <w:r>
          <w:rPr>
            <w:rStyle w:val="1190"/>
          </w:rPr>
          <w:t xml:space="preserve">4.12</w:t>
        </w:r>
        <w:r>
          <w:rPr>
            <w:rFonts w:asciiTheme="minorHAnsi" w:hAnsiTheme="minorHAnsi" w:eastAsiaTheme="minorEastAsia"/>
            <w:sz w:val="22"/>
            <w:lang w:eastAsia="ru-RU"/>
          </w:rPr>
          <w:tab/>
        </w:r>
        <w:r>
          <w:rPr>
            <w:rStyle w:val="1190"/>
          </w:rPr>
          <w:t xml:space="preserve">Оценка и сопоставление заявок</w:t>
        </w:r>
        <w:r>
          <w:tab/>
        </w:r>
        <w:r>
          <w:fldChar w:fldCharType="begin"/>
        </w:r>
        <w:r>
          <w:instrText xml:space="preserve"> PAGEREF _Toc232579435 \h </w:instrText>
        </w:r>
        <w:r>
          <w:fldChar w:fldCharType="separate"/>
        </w:r>
        <w:r>
          <w:t xml:space="preserve">39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36" w:anchor="_Toc232579436" w:history="1">
        <w:r>
          <w:rPr>
            <w:rStyle w:val="1190"/>
          </w:rPr>
          <w:t xml:space="preserve">4.13</w:t>
        </w:r>
        <w:r>
          <w:rPr>
            <w:rFonts w:asciiTheme="minorHAnsi" w:hAnsiTheme="minorHAnsi" w:eastAsiaTheme="minorEastAsia"/>
            <w:sz w:val="22"/>
            <w:lang w:eastAsia="ru-RU"/>
          </w:rPr>
          <w:tab/>
        </w:r>
        <w:r>
          <w:rPr>
            <w:rStyle w:val="1190"/>
          </w:rPr>
          <w:t xml:space="preserve">Применение законодательства о национальном режиме</w:t>
        </w:r>
        <w:r>
          <w:tab/>
        </w:r>
        <w:r>
          <w:fldChar w:fldCharType="begin"/>
        </w:r>
        <w:r>
          <w:instrText xml:space="preserve"> PAGEREF _Toc232579436 \h </w:instrText>
        </w:r>
        <w:r>
          <w:fldChar w:fldCharType="separate"/>
        </w:r>
        <w:r>
          <w:t xml:space="preserve">40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37" w:anchor="_Toc232579437" w:history="1">
        <w:r>
          <w:rPr>
            <w:rStyle w:val="1190"/>
          </w:rPr>
          <w:t xml:space="preserve">4.14</w:t>
        </w:r>
        <w:r>
          <w:rPr>
            <w:rFonts w:asciiTheme="minorHAnsi" w:hAnsiTheme="minorHAnsi" w:eastAsiaTheme="minorEastAsia"/>
            <w:sz w:val="22"/>
            <w:lang w:eastAsia="ru-RU"/>
          </w:rPr>
          <w:tab/>
        </w:r>
        <w:r>
          <w:rPr>
            <w:rStyle w:val="1190"/>
          </w:rPr>
          <w:t xml:space="preserve">Подведение итогов закупки (определение Победителя)</w:t>
        </w:r>
        <w:r>
          <w:tab/>
        </w:r>
        <w:r>
          <w:fldChar w:fldCharType="begin"/>
        </w:r>
        <w:r>
          <w:instrText xml:space="preserve"> PAGEREF _Toc232579437 \h </w:instrText>
        </w:r>
        <w:r>
          <w:fldChar w:fldCharType="separate"/>
        </w:r>
        <w:r>
          <w:t xml:space="preserve">40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38" w:anchor="_Toc232579438" w:history="1">
        <w:r>
          <w:rPr>
            <w:rStyle w:val="1190"/>
          </w:rPr>
          <w:t xml:space="preserve">4.15</w:t>
        </w:r>
        <w:r>
          <w:rPr>
            <w:rFonts w:asciiTheme="minorHAnsi" w:hAnsiTheme="minorHAnsi" w:eastAsiaTheme="minorEastAsia"/>
            <w:sz w:val="22"/>
            <w:lang w:eastAsia="ru-RU"/>
          </w:rPr>
          <w:tab/>
        </w:r>
        <w:r>
          <w:rPr>
            <w:rStyle w:val="1190"/>
          </w:rPr>
          <w:t xml:space="preserve">Признание закупки несостоявшейся</w:t>
        </w:r>
        <w:r>
          <w:tab/>
        </w:r>
        <w:r>
          <w:fldChar w:fldCharType="begin"/>
        </w:r>
        <w:r>
          <w:instrText xml:space="preserve"> PAGEREF _Toc232579438 \h </w:instrText>
        </w:r>
        <w:r>
          <w:fldChar w:fldCharType="separate"/>
        </w:r>
        <w:r>
          <w:t xml:space="preserve">42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39" w:anchor="_Toc232579439" w:history="1">
        <w:r>
          <w:rPr>
            <w:rStyle w:val="1190"/>
          </w:rPr>
          <w:t xml:space="preserve">4.16</w:t>
        </w:r>
        <w:r>
          <w:rPr>
            <w:rFonts w:asciiTheme="minorHAnsi" w:hAnsiTheme="minorHAnsi" w:eastAsiaTheme="minorEastAsia"/>
            <w:sz w:val="22"/>
            <w:lang w:eastAsia="ru-RU"/>
          </w:rPr>
          <w:tab/>
        </w:r>
        <w:r>
          <w:rPr>
            <w:rStyle w:val="1190"/>
          </w:rPr>
          <w:t xml:space="preserve">Отказ от проведения закупки (отмена закупки)</w:t>
        </w:r>
        <w:r>
          <w:tab/>
        </w:r>
        <w:r>
          <w:fldChar w:fldCharType="begin"/>
        </w:r>
        <w:r>
          <w:instrText xml:space="preserve"> PAGEREF _Toc232579439 \h </w:instrText>
        </w:r>
        <w:r>
          <w:fldChar w:fldCharType="separate"/>
        </w:r>
        <w:r>
          <w:t xml:space="preserve">43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40" w:anchor="_Toc232579440" w:history="1">
        <w:r>
          <w:rPr>
            <w:rStyle w:val="1190"/>
          </w:rPr>
          <w:t xml:space="preserve">4.17</w:t>
        </w:r>
        <w:r>
          <w:rPr>
            <w:rFonts w:asciiTheme="minorHAnsi" w:hAnsiTheme="minorHAnsi" w:eastAsiaTheme="minorEastAsia"/>
            <w:sz w:val="22"/>
            <w:lang w:eastAsia="ru-RU"/>
          </w:rPr>
          <w:tab/>
        </w:r>
        <w:r>
          <w:rPr>
            <w:rStyle w:val="1190"/>
          </w:rPr>
          <w:t xml:space="preserve">Особенности проведения закупки с необходимостью обеспечения заявки</w:t>
        </w:r>
        <w:r>
          <w:tab/>
        </w:r>
        <w:r>
          <w:fldChar w:fldCharType="begin"/>
        </w:r>
        <w:r>
          <w:instrText xml:space="preserve"> PAGEREF _Toc232579440 \h </w:instrText>
        </w:r>
        <w:r>
          <w:fldChar w:fldCharType="separate"/>
        </w:r>
        <w:r>
          <w:t xml:space="preserve">43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41" w:anchor="_Toc232579441" w:history="1">
        <w:r>
          <w:rPr>
            <w:rStyle w:val="1190"/>
          </w:rPr>
          <w:t xml:space="preserve">4.18</w:t>
        </w:r>
        <w:r>
          <w:rPr>
            <w:rFonts w:asciiTheme="minorHAnsi" w:hAnsiTheme="minorHAnsi" w:eastAsiaTheme="minorEastAsia"/>
            <w:sz w:val="22"/>
            <w:lang w:eastAsia="ru-RU"/>
          </w:rPr>
          <w:tab/>
        </w:r>
        <w:r>
          <w:rPr>
            <w:rStyle w:val="1190"/>
          </w:rPr>
          <w:t xml:space="preserve">Особенности проведения многолотовой закупки</w:t>
        </w:r>
        <w:r>
          <w:tab/>
        </w:r>
        <w:r>
          <w:fldChar w:fldCharType="begin"/>
        </w:r>
        <w:r>
          <w:instrText xml:space="preserve"> PAGEREF _Toc232579441 \h </w:instrText>
        </w:r>
        <w:r>
          <w:fldChar w:fldCharType="separate"/>
        </w:r>
        <w:r>
          <w:t xml:space="preserve">46</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42" w:anchor="_Toc232579442" w:history="1">
        <w:r>
          <w:rPr>
            <w:rStyle w:val="1190"/>
          </w:rPr>
          <w:t xml:space="preserve">4.19</w:t>
        </w:r>
        <w:r>
          <w:rPr>
            <w:rFonts w:asciiTheme="minorHAnsi" w:hAnsiTheme="minorHAnsi" w:eastAsiaTheme="minorEastAsia"/>
            <w:sz w:val="22"/>
            <w:lang w:eastAsia="ru-RU"/>
          </w:rPr>
          <w:tab/>
        </w:r>
        <w:r>
          <w:rPr>
            <w:rStyle w:val="1190"/>
          </w:rPr>
          <w:t xml:space="preserve">Особенности проведения закупки с возможностью подачи альтернативных предложений</w:t>
        </w:r>
        <w:r>
          <w:tab/>
        </w:r>
        <w:r>
          <w:fldChar w:fldCharType="begin"/>
        </w:r>
        <w:r>
          <w:instrText xml:space="preserve"> PAGEREF _Toc232579442 \h </w:instrText>
        </w:r>
        <w:r>
          <w:fldChar w:fldCharType="separate"/>
        </w:r>
        <w:r>
          <w:t xml:space="preserve">47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3"/>
        <w:rPr>
          <w:rFonts w:asciiTheme="minorHAnsi" w:hAnsiTheme="minorHAnsi" w:eastAsiaTheme="minorEastAsia"/>
          <w:b w:val="0"/>
          <w:caps w:val="0"/>
          <w:sz w:val="22"/>
          <w:lang w:eastAsia="ru-RU"/>
        </w:rPr>
      </w:pPr>
      <w:r/>
      <w:hyperlink w:tooltip="#_Toc232579443" w:anchor="_Toc232579443" w:history="1">
        <w:r>
          <w:rPr>
            <w:rStyle w:val="1190"/>
          </w:rPr>
          <w:t xml:space="preserve">5.</w:t>
        </w:r>
        <w:r>
          <w:rPr>
            <w:rFonts w:asciiTheme="minorHAnsi" w:hAnsiTheme="minorHAnsi" w:eastAsiaTheme="minorEastAsia"/>
            <w:b w:val="0"/>
            <w:caps w:val="0"/>
            <w:sz w:val="22"/>
            <w:lang w:eastAsia="ru-RU"/>
          </w:rPr>
          <w:tab/>
        </w:r>
        <w:r>
          <w:rPr>
            <w:rStyle w:val="1190"/>
          </w:rPr>
          <w:t xml:space="preserve">Порядок заключения Договора</w:t>
        </w:r>
        <w:r>
          <w:tab/>
        </w:r>
        <w:r>
          <w:fldChar w:fldCharType="begin"/>
        </w:r>
        <w:r>
          <w:instrText xml:space="preserve"> PAGEREF _Toc232579443 \h </w:instrText>
        </w:r>
        <w:r>
          <w:fldChar w:fldCharType="separate"/>
        </w:r>
        <w:r>
          <w:t xml:space="preserve">49</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44" w:anchor="_Toc232579444" w:history="1">
        <w:r>
          <w:rPr>
            <w:rStyle w:val="1190"/>
          </w:rPr>
          <w:t xml:space="preserve">5.1</w:t>
        </w:r>
        <w:r>
          <w:rPr>
            <w:rFonts w:asciiTheme="minorHAnsi" w:hAnsiTheme="minorHAnsi" w:eastAsiaTheme="minorEastAsia"/>
            <w:sz w:val="22"/>
            <w:lang w:eastAsia="ru-RU"/>
          </w:rPr>
          <w:tab/>
        </w:r>
        <w:r>
          <w:rPr>
            <w:rStyle w:val="1190"/>
          </w:rPr>
          <w:t xml:space="preserve">Общие положения</w:t>
        </w:r>
        <w:r>
          <w:tab/>
        </w:r>
        <w:r>
          <w:fldChar w:fldCharType="begin"/>
        </w:r>
        <w:r>
          <w:instrText xml:space="preserve"> PAGEREF _Toc232579444 \h </w:instrText>
        </w:r>
        <w:r>
          <w:fldChar w:fldCharType="separate"/>
        </w:r>
        <w:r>
          <w:t xml:space="preserve">49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45" w:anchor="_Toc232579445" w:history="1">
        <w:r>
          <w:rPr>
            <w:rStyle w:val="1190"/>
          </w:rPr>
          <w:t xml:space="preserve">5.2</w:t>
        </w:r>
        <w:r>
          <w:rPr>
            <w:rFonts w:asciiTheme="minorHAnsi" w:hAnsiTheme="minorHAnsi" w:eastAsiaTheme="minorEastAsia"/>
            <w:sz w:val="22"/>
            <w:lang w:eastAsia="ru-RU"/>
          </w:rPr>
          <w:tab/>
        </w:r>
        <w:r>
          <w:rPr>
            <w:rStyle w:val="1190"/>
          </w:rPr>
          <w:t xml:space="preserve">Заключение Договора</w:t>
        </w:r>
        <w:r>
          <w:tab/>
        </w:r>
        <w:r>
          <w:fldChar w:fldCharType="begin"/>
        </w:r>
        <w:r>
          <w:instrText xml:space="preserve"> PAGEREF _Toc232579445 \h </w:instrText>
        </w:r>
        <w:r>
          <w:fldChar w:fldCharType="separate"/>
        </w:r>
        <w:r>
          <w:t xml:space="preserve">49</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46" w:anchor="_Toc232579446" w:history="1">
        <w:r>
          <w:rPr>
            <w:rStyle w:val="1190"/>
          </w:rPr>
          <w:t xml:space="preserve">5.3</w:t>
        </w:r>
        <w:r>
          <w:rPr>
            <w:rFonts w:asciiTheme="minorHAnsi" w:hAnsiTheme="minorHAnsi" w:eastAsiaTheme="minorEastAsia"/>
            <w:sz w:val="22"/>
            <w:lang w:eastAsia="ru-RU"/>
          </w:rPr>
          <w:tab/>
        </w:r>
        <w:r>
          <w:rPr>
            <w:rStyle w:val="1190"/>
          </w:rPr>
          <w:t xml:space="preserve">Преддоговорные переговоры</w:t>
        </w:r>
        <w:r>
          <w:tab/>
        </w:r>
        <w:r>
          <w:fldChar w:fldCharType="begin"/>
        </w:r>
        <w:r>
          <w:instrText xml:space="preserve"> PAGEREF _Toc232579446 \h </w:instrText>
        </w:r>
        <w:r>
          <w:fldChar w:fldCharType="separate"/>
        </w:r>
        <w:r>
          <w:t xml:space="preserve">51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47" w:anchor="_Toc232579447" w:history="1">
        <w:r>
          <w:rPr>
            <w:rStyle w:val="1190"/>
          </w:rPr>
          <w:t xml:space="preserve">5.4</w:t>
        </w:r>
        <w:r>
          <w:rPr>
            <w:rFonts w:asciiTheme="minorHAnsi" w:hAnsiTheme="minorHAnsi" w:eastAsiaTheme="minorEastAsia"/>
            <w:sz w:val="22"/>
            <w:lang w:eastAsia="ru-RU"/>
          </w:rPr>
          <w:tab/>
        </w:r>
        <w:r>
          <w:rPr>
            <w:rStyle w:val="1190"/>
          </w:rPr>
          <w:t xml:space="preserve">Уклонение Победителя от заключения Договора</w:t>
        </w:r>
        <w:r>
          <w:tab/>
        </w:r>
        <w:r>
          <w:fldChar w:fldCharType="begin"/>
        </w:r>
        <w:r>
          <w:instrText xml:space="preserve"> PAGEREF _Toc232579447 \h </w:instrText>
        </w:r>
        <w:r>
          <w:fldChar w:fldCharType="separate"/>
        </w:r>
        <w:r>
          <w:t xml:space="preserve">53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3"/>
        <w:rPr>
          <w:rFonts w:asciiTheme="minorHAnsi" w:hAnsiTheme="minorHAnsi" w:eastAsiaTheme="minorEastAsia"/>
          <w:b w:val="0"/>
          <w:caps w:val="0"/>
          <w:sz w:val="22"/>
          <w:lang w:eastAsia="ru-RU"/>
        </w:rPr>
      </w:pPr>
      <w:r/>
      <w:hyperlink w:tooltip="#_Toc232579448" w:anchor="_Toc232579448" w:history="1">
        <w:r>
          <w:rPr>
            <w:rStyle w:val="1190"/>
          </w:rPr>
          <w:t xml:space="preserve">6.</w:t>
        </w:r>
        <w:r>
          <w:rPr>
            <w:rFonts w:asciiTheme="minorHAnsi" w:hAnsiTheme="minorHAnsi" w:eastAsiaTheme="minorEastAsia"/>
            <w:b w:val="0"/>
            <w:caps w:val="0"/>
            <w:sz w:val="22"/>
            <w:lang w:eastAsia="ru-RU"/>
          </w:rPr>
          <w:tab/>
        </w:r>
        <w:r>
          <w:rPr>
            <w:rStyle w:val="1190"/>
          </w:rPr>
          <w:t xml:space="preserve">Приложение № 1 – Технические требования</w:t>
        </w:r>
        <w:r>
          <w:tab/>
        </w:r>
        <w:r>
          <w:fldChar w:fldCharType="begin"/>
        </w:r>
        <w:r>
          <w:instrText xml:space="preserve"> PAGEREF _Toc232579448 \h </w:instrText>
        </w:r>
        <w:r>
          <w:fldChar w:fldCharType="separate"/>
        </w:r>
        <w:r>
          <w:t xml:space="preserve">54</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49" w:anchor="_Toc232579449" w:history="1">
        <w:r>
          <w:rPr>
            <w:rStyle w:val="1190"/>
          </w:rPr>
          <w:t xml:space="preserve">6.1</w:t>
        </w:r>
        <w:r>
          <w:rPr>
            <w:rFonts w:asciiTheme="minorHAnsi" w:hAnsiTheme="minorHAnsi" w:eastAsiaTheme="minorEastAsia"/>
            <w:sz w:val="22"/>
            <w:lang w:eastAsia="ru-RU"/>
          </w:rPr>
          <w:tab/>
        </w:r>
        <w:r>
          <w:rPr>
            <w:rStyle w:val="1190"/>
          </w:rPr>
          <w:t xml:space="preserve">Пояснения к Техническим требованиям</w:t>
        </w:r>
        <w:r>
          <w:tab/>
        </w:r>
        <w:r>
          <w:fldChar w:fldCharType="begin"/>
        </w:r>
        <w:r>
          <w:instrText xml:space="preserve"> PAGEREF _Toc232579449 \h </w:instrText>
        </w:r>
        <w:r>
          <w:fldChar w:fldCharType="separate"/>
        </w:r>
        <w:r>
          <w:t xml:space="preserve">54</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3"/>
        <w:rPr>
          <w:rFonts w:asciiTheme="minorHAnsi" w:hAnsiTheme="minorHAnsi" w:eastAsiaTheme="minorEastAsia"/>
          <w:b w:val="0"/>
          <w:caps w:val="0"/>
          <w:sz w:val="22"/>
          <w:lang w:eastAsia="ru-RU"/>
        </w:rPr>
      </w:pPr>
      <w:r/>
      <w:hyperlink w:tooltip="#_Toc232579450" w:anchor="_Toc232579450" w:history="1">
        <w:r>
          <w:rPr>
            <w:rStyle w:val="1190"/>
          </w:rPr>
          <w:t xml:space="preserve">7.</w:t>
        </w:r>
        <w:r>
          <w:rPr>
            <w:rFonts w:asciiTheme="minorHAnsi" w:hAnsiTheme="minorHAnsi" w:eastAsiaTheme="minorEastAsia"/>
            <w:b w:val="0"/>
            <w:caps w:val="0"/>
            <w:sz w:val="22"/>
            <w:lang w:eastAsia="ru-RU"/>
          </w:rPr>
          <w:tab/>
        </w:r>
        <w:r>
          <w:rPr>
            <w:rStyle w:val="1190"/>
          </w:rPr>
          <w:t xml:space="preserve">Приложение № 2 – Проект договора</w:t>
        </w:r>
        <w:r>
          <w:tab/>
        </w:r>
        <w:r>
          <w:fldChar w:fldCharType="begin"/>
        </w:r>
        <w:r>
          <w:instrText xml:space="preserve"> PAGEREF _Toc232579450 \h </w:instrText>
        </w:r>
        <w:r>
          <w:fldChar w:fldCharType="separate"/>
        </w:r>
        <w:r>
          <w:t xml:space="preserve">55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51" w:anchor="_Toc232579451" w:history="1">
        <w:r>
          <w:rPr>
            <w:rStyle w:val="1190"/>
          </w:rPr>
          <w:t xml:space="preserve">7.1</w:t>
        </w:r>
        <w:r>
          <w:rPr>
            <w:rFonts w:asciiTheme="minorHAnsi" w:hAnsiTheme="minorHAnsi" w:eastAsiaTheme="minorEastAsia"/>
            <w:sz w:val="22"/>
            <w:lang w:eastAsia="ru-RU"/>
          </w:rPr>
          <w:tab/>
        </w:r>
        <w:r>
          <w:rPr>
            <w:rStyle w:val="1190"/>
          </w:rPr>
          <w:t xml:space="preserve">Пояснения к Проекту договора</w:t>
        </w:r>
        <w:r>
          <w:tab/>
        </w:r>
        <w:r>
          <w:fldChar w:fldCharType="begin"/>
        </w:r>
        <w:r>
          <w:instrText xml:space="preserve"> PAGEREF _Toc232579451 \h </w:instrText>
        </w:r>
        <w:r>
          <w:fldChar w:fldCharType="separate"/>
        </w:r>
        <w:r>
          <w:t xml:space="preserve">55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3"/>
        <w:rPr>
          <w:rFonts w:asciiTheme="minorHAnsi" w:hAnsiTheme="minorHAnsi" w:eastAsiaTheme="minorEastAsia"/>
          <w:b w:val="0"/>
          <w:caps w:val="0"/>
          <w:sz w:val="22"/>
          <w:lang w:eastAsia="ru-RU"/>
        </w:rPr>
      </w:pPr>
      <w:r/>
      <w:hyperlink w:tooltip="#_Toc232579452" w:anchor="_Toc232579452" w:history="1">
        <w:r>
          <w:rPr>
            <w:rStyle w:val="1190"/>
          </w:rPr>
          <w:t xml:space="preserve">8.</w:t>
        </w:r>
        <w:r>
          <w:rPr>
            <w:rFonts w:asciiTheme="minorHAnsi" w:hAnsiTheme="minorHAnsi" w:eastAsiaTheme="minorEastAsia"/>
            <w:b w:val="0"/>
            <w:caps w:val="0"/>
            <w:sz w:val="22"/>
            <w:lang w:eastAsia="ru-RU"/>
          </w:rPr>
          <w:tab/>
        </w:r>
        <w:r>
          <w:rPr>
            <w:rStyle w:val="1190"/>
          </w:rPr>
          <w:t xml:space="preserve">Приложение № 3 – Требования к Участникам</w:t>
        </w:r>
        <w:r>
          <w:tab/>
        </w:r>
        <w:r>
          <w:fldChar w:fldCharType="begin"/>
        </w:r>
        <w:r>
          <w:instrText xml:space="preserve"> PAGEREF _Toc232579452 \h </w:instrText>
        </w:r>
        <w:r>
          <w:fldChar w:fldCharType="separate"/>
        </w:r>
        <w:r>
          <w:t xml:space="preserve">56</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53" w:anchor="_Toc232579453" w:history="1">
        <w:r>
          <w:rPr>
            <w:rStyle w:val="1190"/>
          </w:rPr>
          <w:t xml:space="preserve">8.1</w:t>
        </w:r>
        <w:r>
          <w:rPr>
            <w:rFonts w:asciiTheme="minorHAnsi" w:hAnsiTheme="minorHAnsi" w:eastAsiaTheme="minorEastAsia"/>
            <w:sz w:val="22"/>
            <w:lang w:eastAsia="ru-RU"/>
          </w:rPr>
          <w:tab/>
        </w:r>
        <w:r>
          <w:rPr>
            <w:rStyle w:val="1190"/>
          </w:rPr>
          <w:t xml:space="preserve">Пояснения к требованиям к Участникам</w:t>
        </w:r>
        <w:r>
          <w:tab/>
        </w:r>
        <w:r>
          <w:fldChar w:fldCharType="begin"/>
        </w:r>
        <w:r>
          <w:instrText xml:space="preserve"> PAGEREF _Toc232579453 \h </w:instrText>
        </w:r>
        <w:r>
          <w:fldChar w:fldCharType="separate"/>
        </w:r>
        <w:r>
          <w:t xml:space="preserve">56</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54" w:anchor="_Toc232579454" w:history="1">
        <w:r>
          <w:rPr>
            <w:rStyle w:val="1190"/>
          </w:rPr>
          <w:t xml:space="preserve">8.2</w:t>
        </w:r>
        <w:r>
          <w:rPr>
            <w:rFonts w:asciiTheme="minorHAnsi" w:hAnsiTheme="minorHAnsi" w:eastAsiaTheme="minorEastAsia"/>
            <w:sz w:val="22"/>
            <w:lang w:eastAsia="ru-RU"/>
          </w:rPr>
          <w:tab/>
        </w:r>
        <w:r>
          <w:rPr>
            <w:rStyle w:val="1190"/>
          </w:rPr>
          <w:t xml:space="preserve">Обязательные требования</w:t>
        </w:r>
        <w:r>
          <w:tab/>
        </w:r>
        <w:r>
          <w:fldChar w:fldCharType="begin"/>
        </w:r>
        <w:r>
          <w:instrText xml:space="preserve"> PAGEREF _Toc232579454 \h </w:instrText>
        </w:r>
        <w:r>
          <w:fldChar w:fldCharType="separate"/>
        </w:r>
        <w:r>
          <w:t xml:space="preserve">56</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55" w:anchor="_Toc232579455" w:history="1">
        <w:r>
          <w:rPr>
            <w:rStyle w:val="1190"/>
          </w:rPr>
          <w:t xml:space="preserve">8.3</w:t>
        </w:r>
        <w:r>
          <w:rPr>
            <w:rFonts w:asciiTheme="minorHAnsi" w:hAnsiTheme="minorHAnsi" w:eastAsiaTheme="minorEastAsia"/>
            <w:sz w:val="22"/>
            <w:lang w:eastAsia="ru-RU"/>
          </w:rPr>
          <w:tab/>
        </w:r>
        <w:r>
          <w:rPr>
            <w:rStyle w:val="1190"/>
          </w:rPr>
          <w:t xml:space="preserve">Специальные требования</w:t>
        </w:r>
        <w:r>
          <w:tab/>
        </w:r>
        <w:r>
          <w:fldChar w:fldCharType="begin"/>
        </w:r>
        <w:r>
          <w:instrText xml:space="preserve"> PAGEREF _Toc232579455 \h </w:instrText>
        </w:r>
        <w:r>
          <w:fldChar w:fldCharType="separate"/>
        </w:r>
        <w:r>
          <w:t xml:space="preserve">60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56" w:anchor="_Toc232579456" w:history="1">
        <w:r>
          <w:rPr>
            <w:rStyle w:val="1190"/>
          </w:rPr>
          <w:t xml:space="preserve">8.4</w:t>
        </w:r>
        <w:r>
          <w:rPr>
            <w:rFonts w:asciiTheme="minorHAnsi" w:hAnsiTheme="minorHAnsi" w:eastAsiaTheme="minorEastAsia"/>
            <w:sz w:val="22"/>
            <w:lang w:eastAsia="ru-RU"/>
          </w:rPr>
          <w:tab/>
        </w:r>
        <w:r>
          <w:rPr>
            <w:rStyle w:val="1190"/>
          </w:rPr>
          <w:t xml:space="preserve">Квалификационные требования</w:t>
        </w:r>
        <w:r>
          <w:tab/>
        </w:r>
        <w:r>
          <w:fldChar w:fldCharType="begin"/>
        </w:r>
        <w:r>
          <w:instrText xml:space="preserve"> PAGEREF _Toc232579456 \h </w:instrText>
        </w:r>
        <w:r>
          <w:fldChar w:fldCharType="separate"/>
        </w:r>
        <w:r>
          <w:t xml:space="preserve">61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57" w:anchor="_Toc232579457" w:history="1">
        <w:r>
          <w:rPr>
            <w:rStyle w:val="1190"/>
          </w:rPr>
          <w:t xml:space="preserve">8.5</w:t>
        </w:r>
        <w:r>
          <w:rPr>
            <w:rFonts w:asciiTheme="minorHAnsi" w:hAnsiTheme="minorHAnsi" w:eastAsiaTheme="minorEastAsia"/>
            <w:sz w:val="22"/>
            <w:lang w:eastAsia="ru-RU"/>
          </w:rPr>
          <w:tab/>
        </w:r>
        <w:r>
          <w:rPr>
            <w:rStyle w:val="1190"/>
          </w:rPr>
          <w:t xml:space="preserve">Дополнительные требования к Коллективным участникам</w:t>
        </w:r>
        <w:r>
          <w:tab/>
        </w:r>
        <w:r>
          <w:fldChar w:fldCharType="begin"/>
        </w:r>
        <w:r>
          <w:instrText xml:space="preserve"> PAGEREF _Toc232579457 \h </w:instrText>
        </w:r>
        <w:r>
          <w:fldChar w:fldCharType="separate"/>
        </w:r>
        <w:r>
          <w:t xml:space="preserve">61</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58" w:anchor="_Toc232579458" w:history="1">
        <w:r>
          <w:rPr>
            <w:rStyle w:val="1190"/>
          </w:rPr>
          <w:t xml:space="preserve">8.6</w:t>
        </w:r>
        <w:r>
          <w:rPr>
            <w:rFonts w:asciiTheme="minorHAnsi" w:hAnsiTheme="minorHAnsi" w:eastAsiaTheme="minorEastAsia"/>
            <w:sz w:val="22"/>
            <w:lang w:eastAsia="ru-RU"/>
          </w:rPr>
          <w:tab/>
        </w:r>
        <w:r>
          <w:rPr>
            <w:rStyle w:val="1190"/>
          </w:rPr>
          <w:t xml:space="preserve">Дополнительные требования к Генеральным подрядчикам</w:t>
        </w:r>
        <w:r>
          <w:tab/>
        </w:r>
        <w:r>
          <w:fldChar w:fldCharType="begin"/>
        </w:r>
        <w:r>
          <w:instrText xml:space="preserve"> PAGEREF _Toc232579458 \h </w:instrText>
        </w:r>
        <w:r>
          <w:fldChar w:fldCharType="separate"/>
        </w:r>
        <w:r>
          <w:t xml:space="preserve">62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59" w:anchor="_Toc232579459" w:history="1">
        <w:r>
          <w:rPr>
            <w:rStyle w:val="1190"/>
          </w:rPr>
          <w:t xml:space="preserve">8.7</w:t>
        </w:r>
        <w:r>
          <w:rPr>
            <w:rFonts w:asciiTheme="minorHAnsi" w:hAnsiTheme="minorHAnsi" w:eastAsiaTheme="minorEastAsia"/>
            <w:sz w:val="22"/>
            <w:lang w:eastAsia="ru-RU"/>
          </w:rPr>
          <w:tab/>
        </w:r>
        <w:r>
          <w:rPr>
            <w:rStyle w:val="1190"/>
          </w:rPr>
          <w:t xml:space="preserve">Дополнительные требования в отношении Генеральных подрядчиков с обязательным привлечением субподрядчиков (соисполнителей) из числа субъектов МСП</w:t>
        </w:r>
        <w:r>
          <w:tab/>
        </w:r>
        <w:r>
          <w:fldChar w:fldCharType="begin"/>
        </w:r>
        <w:r>
          <w:instrText xml:space="preserve"> PAGEREF _Toc232579459 \h </w:instrText>
        </w:r>
        <w:r>
          <w:fldChar w:fldCharType="separate"/>
        </w:r>
        <w:r>
          <w:t xml:space="preserve">63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3"/>
        <w:rPr>
          <w:rFonts w:asciiTheme="minorHAnsi" w:hAnsiTheme="minorHAnsi" w:eastAsiaTheme="minorEastAsia"/>
          <w:b w:val="0"/>
          <w:caps w:val="0"/>
          <w:sz w:val="22"/>
          <w:lang w:eastAsia="ru-RU"/>
        </w:rPr>
      </w:pPr>
      <w:r/>
      <w:hyperlink w:tooltip="#_Toc232579460" w:anchor="_Toc232579460" w:history="1">
        <w:r>
          <w:rPr>
            <w:rStyle w:val="1190"/>
          </w:rPr>
          <w:t xml:space="preserve">9.</w:t>
        </w:r>
        <w:r>
          <w:rPr>
            <w:rFonts w:asciiTheme="minorHAnsi" w:hAnsiTheme="minorHAnsi" w:eastAsiaTheme="minorEastAsia"/>
            <w:b w:val="0"/>
            <w:caps w:val="0"/>
            <w:sz w:val="22"/>
            <w:lang w:eastAsia="ru-RU"/>
          </w:rPr>
          <w:tab/>
        </w:r>
        <w:r>
          <w:rPr>
            <w:rStyle w:val="1190"/>
          </w:rPr>
          <w:t xml:space="preserve">Приложение № 4 – Образцы форм документов, включаемых в состав заявки</w:t>
        </w:r>
        <w:r>
          <w:tab/>
        </w:r>
        <w:r>
          <w:fldChar w:fldCharType="begin"/>
        </w:r>
        <w:r>
          <w:instrText xml:space="preserve"> PAGEREF _Toc232579460 \h </w:instrText>
        </w:r>
        <w:r>
          <w:fldChar w:fldCharType="separate"/>
        </w:r>
        <w:r>
          <w:t xml:space="preserve">64</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61" w:anchor="_Toc232579461" w:history="1">
        <w:r>
          <w:rPr>
            <w:rStyle w:val="1190"/>
          </w:rPr>
          <w:t xml:space="preserve">9.1</w:t>
        </w:r>
        <w:r>
          <w:rPr>
            <w:rFonts w:asciiTheme="minorHAnsi" w:hAnsiTheme="minorHAnsi" w:eastAsiaTheme="minorEastAsia"/>
            <w:sz w:val="22"/>
            <w:lang w:eastAsia="ru-RU"/>
          </w:rPr>
          <w:tab/>
        </w:r>
        <w:r>
          <w:rPr>
            <w:rStyle w:val="1190"/>
          </w:rPr>
          <w:t xml:space="preserve">Пояснения к Образцам форм документов, включаемых в состав заявки</w:t>
        </w:r>
        <w:r>
          <w:tab/>
        </w:r>
        <w:r>
          <w:fldChar w:fldCharType="begin"/>
        </w:r>
        <w:r>
          <w:instrText xml:space="preserve"> PAGEREF _Toc232579461 \h </w:instrText>
        </w:r>
        <w:r>
          <w:fldChar w:fldCharType="separate"/>
        </w:r>
        <w:r>
          <w:t xml:space="preserve">64</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3"/>
        <w:rPr>
          <w:rFonts w:asciiTheme="minorHAnsi" w:hAnsiTheme="minorHAnsi" w:eastAsiaTheme="minorEastAsia"/>
          <w:b w:val="0"/>
          <w:caps w:val="0"/>
          <w:sz w:val="22"/>
          <w:lang w:eastAsia="ru-RU"/>
        </w:rPr>
      </w:pPr>
      <w:r/>
      <w:hyperlink w:tooltip="#_Toc232579462" w:anchor="_Toc232579462" w:history="1">
        <w:r>
          <w:rPr>
            <w:rStyle w:val="1190"/>
          </w:rPr>
          <w:t xml:space="preserve">10.</w:t>
        </w:r>
        <w:r>
          <w:rPr>
            <w:rFonts w:asciiTheme="minorHAnsi" w:hAnsiTheme="minorHAnsi" w:eastAsiaTheme="minorEastAsia"/>
            <w:b w:val="0"/>
            <w:caps w:val="0"/>
            <w:sz w:val="22"/>
            <w:lang w:eastAsia="ru-RU"/>
          </w:rPr>
          <w:tab/>
        </w:r>
        <w:r>
          <w:rPr>
            <w:rStyle w:val="1190"/>
          </w:rPr>
          <w:t xml:space="preserve">Приложение № 5 – Образцы форм документов, предоставляемых Победителем</w:t>
        </w:r>
        <w:r>
          <w:tab/>
        </w:r>
        <w:r>
          <w:fldChar w:fldCharType="begin"/>
        </w:r>
        <w:r>
          <w:instrText xml:space="preserve"> PAGEREF _Toc232579462 \h </w:instrText>
        </w:r>
        <w:r>
          <w:fldChar w:fldCharType="separate"/>
        </w:r>
        <w:r>
          <w:t xml:space="preserve">65</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63" w:anchor="_Toc232579463" w:history="1">
        <w:r>
          <w:rPr>
            <w:rStyle w:val="1190"/>
          </w:rPr>
          <w:t xml:space="preserve">10.1</w:t>
        </w:r>
        <w:r>
          <w:rPr>
            <w:rFonts w:asciiTheme="minorHAnsi" w:hAnsiTheme="minorHAnsi" w:eastAsiaTheme="minorEastAsia"/>
            <w:sz w:val="22"/>
            <w:lang w:eastAsia="ru-RU"/>
          </w:rPr>
          <w:tab/>
        </w:r>
        <w:r>
          <w:rPr>
            <w:rStyle w:val="1190"/>
          </w:rPr>
          <w:t xml:space="preserve">Пояснения к Образцам форм документов, предоставляемых Победителем</w:t>
        </w:r>
        <w:r>
          <w:tab/>
        </w:r>
        <w:r>
          <w:fldChar w:fldCharType="begin"/>
        </w:r>
        <w:r>
          <w:instrText xml:space="preserve"> PAGEREF _Toc232579463 \h </w:instrText>
        </w:r>
        <w:r>
          <w:fldChar w:fldCharType="separate"/>
        </w:r>
        <w:r>
          <w:t xml:space="preserve">65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64" w:anchor="_Toc232579464" w:history="1">
        <w:r>
          <w:rPr>
            <w:rStyle w:val="1190"/>
          </w:rPr>
          <w:t xml:space="preserve">10.2</w:t>
        </w:r>
        <w:r>
          <w:rPr>
            <w:rFonts w:asciiTheme="minorHAnsi" w:hAnsiTheme="minorHAnsi" w:eastAsiaTheme="minorEastAsia"/>
            <w:sz w:val="22"/>
            <w:lang w:eastAsia="ru-RU"/>
          </w:rPr>
          <w:tab/>
        </w:r>
        <w:r>
          <w:rPr>
            <w:rStyle w:val="1190"/>
          </w:rPr>
          <w:t xml:space="preserve">Форма справки «Сведения о цепочке собственников, включая бенефициаров (в том числе конечных)»</w:t>
        </w:r>
        <w:r>
          <w:tab/>
        </w:r>
        <w:r>
          <w:fldChar w:fldCharType="begin"/>
        </w:r>
        <w:r>
          <w:instrText xml:space="preserve"> PAGEREF _Toc232579464 \h </w:instrText>
        </w:r>
        <w:r>
          <w:fldChar w:fldCharType="separate"/>
        </w:r>
        <w:r>
          <w:t xml:space="preserve">65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65" w:anchor="_Toc232579465" w:history="1">
        <w:r>
          <w:rPr>
            <w:rStyle w:val="1190"/>
          </w:rPr>
          <w:t xml:space="preserve">10.3</w:t>
        </w:r>
        <w:r>
          <w:rPr>
            <w:rFonts w:asciiTheme="minorHAnsi" w:hAnsiTheme="minorHAnsi" w:eastAsiaTheme="minorEastAsia"/>
            <w:sz w:val="22"/>
            <w:lang w:eastAsia="ru-RU"/>
          </w:rPr>
          <w:tab/>
        </w:r>
        <w:r>
          <w:rPr>
            <w:rStyle w:val="1190"/>
          </w:rPr>
          <w:t xml:space="preserve">Форма «Заверение об обстоятельствах»</w:t>
        </w:r>
        <w:r>
          <w:tab/>
        </w:r>
        <w:r>
          <w:fldChar w:fldCharType="begin"/>
        </w:r>
        <w:r>
          <w:instrText xml:space="preserve"> PAGEREF _Toc232579465 \h </w:instrText>
        </w:r>
        <w:r>
          <w:fldChar w:fldCharType="separate"/>
        </w:r>
        <w:r>
          <w:t xml:space="preserve">65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3"/>
        <w:rPr>
          <w:rFonts w:asciiTheme="minorHAnsi" w:hAnsiTheme="minorHAnsi" w:eastAsiaTheme="minorEastAsia"/>
          <w:b w:val="0"/>
          <w:caps w:val="0"/>
          <w:sz w:val="22"/>
          <w:lang w:eastAsia="ru-RU"/>
        </w:rPr>
      </w:pPr>
      <w:r/>
      <w:hyperlink w:tooltip="#_Toc232579466" w:anchor="_Toc232579466" w:history="1">
        <w:r>
          <w:rPr>
            <w:rStyle w:val="1190"/>
          </w:rPr>
          <w:t xml:space="preserve">11.</w:t>
        </w:r>
        <w:r>
          <w:rPr>
            <w:rFonts w:asciiTheme="minorHAnsi" w:hAnsiTheme="minorHAnsi" w:eastAsiaTheme="minorEastAsia"/>
            <w:b w:val="0"/>
            <w:caps w:val="0"/>
            <w:sz w:val="22"/>
            <w:lang w:eastAsia="ru-RU"/>
          </w:rPr>
          <w:tab/>
        </w:r>
        <w:r>
          <w:rPr>
            <w:rStyle w:val="1190"/>
          </w:rPr>
          <w:t xml:space="preserve">Приложение № 6 – Состав заявки</w:t>
        </w:r>
        <w:r>
          <w:tab/>
        </w:r>
        <w:r>
          <w:fldChar w:fldCharType="begin"/>
        </w:r>
        <w:r>
          <w:instrText xml:space="preserve"> PAGEREF _Toc232579466 \h </w:instrText>
        </w:r>
        <w:r>
          <w:fldChar w:fldCharType="separate"/>
        </w:r>
        <w:r>
          <w:t xml:space="preserve">67</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67" w:anchor="_Toc232579467" w:history="1">
        <w:r>
          <w:rPr>
            <w:rStyle w:val="1190"/>
          </w:rPr>
          <w:t xml:space="preserve">11.1</w:t>
        </w:r>
        <w:r>
          <w:rPr>
            <w:rFonts w:asciiTheme="minorHAnsi" w:hAnsiTheme="minorHAnsi" w:eastAsiaTheme="minorEastAsia"/>
            <w:sz w:val="22"/>
            <w:lang w:eastAsia="ru-RU"/>
          </w:rPr>
          <w:tab/>
        </w:r>
        <w:r>
          <w:rPr>
            <w:rStyle w:val="1190"/>
          </w:rPr>
          <w:t xml:space="preserve">Состав заявки</w:t>
        </w:r>
        <w:r>
          <w:tab/>
        </w:r>
        <w:r>
          <w:fldChar w:fldCharType="begin"/>
        </w:r>
        <w:r>
          <w:instrText xml:space="preserve"> PAGEREF _Toc232579467 \h </w:instrText>
        </w:r>
        <w:r>
          <w:fldChar w:fldCharType="separate"/>
        </w:r>
        <w:r>
          <w:t xml:space="preserve">67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3"/>
        <w:rPr>
          <w:rFonts w:asciiTheme="minorHAnsi" w:hAnsiTheme="minorHAnsi" w:eastAsiaTheme="minorEastAsia"/>
          <w:b w:val="0"/>
          <w:caps w:val="0"/>
          <w:sz w:val="22"/>
          <w:lang w:eastAsia="ru-RU"/>
        </w:rPr>
      </w:pPr>
      <w:r/>
      <w:hyperlink w:tooltip="#_Toc232579468" w:anchor="_Toc232579468" w:history="1">
        <w:r>
          <w:rPr>
            <w:rStyle w:val="1190"/>
          </w:rPr>
          <w:t xml:space="preserve">12.</w:t>
        </w:r>
        <w:r>
          <w:rPr>
            <w:rFonts w:asciiTheme="minorHAnsi" w:hAnsiTheme="minorHAnsi" w:eastAsiaTheme="minorEastAsia"/>
            <w:b w:val="0"/>
            <w:caps w:val="0"/>
            <w:sz w:val="22"/>
            <w:lang w:eastAsia="ru-RU"/>
          </w:rPr>
          <w:tab/>
        </w:r>
        <w:r>
          <w:rPr>
            <w:rStyle w:val="1190"/>
          </w:rPr>
          <w:t xml:space="preserve">Приложение № 7 – Отборочные критерии рассмотрения заявок</w:t>
        </w:r>
        <w:r>
          <w:tab/>
        </w:r>
        <w:r>
          <w:fldChar w:fldCharType="begin"/>
        </w:r>
        <w:r>
          <w:instrText xml:space="preserve"> PAGEREF _Toc232579468 \h </w:instrText>
        </w:r>
        <w:r>
          <w:fldChar w:fldCharType="separate"/>
        </w:r>
        <w:r>
          <w:t xml:space="preserve">70</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69" w:anchor="_Toc232579469" w:history="1">
        <w:r>
          <w:rPr>
            <w:rStyle w:val="1190"/>
          </w:rPr>
          <w:t xml:space="preserve">12.1</w:t>
        </w:r>
        <w:r>
          <w:rPr>
            <w:rFonts w:asciiTheme="minorHAnsi" w:hAnsiTheme="minorHAnsi" w:eastAsiaTheme="minorEastAsia"/>
            <w:sz w:val="22"/>
            <w:lang w:eastAsia="ru-RU"/>
          </w:rPr>
          <w:tab/>
        </w:r>
        <w:r>
          <w:rPr>
            <w:rStyle w:val="1190"/>
          </w:rPr>
          <w:t xml:space="preserve">Отборочные критерии рассмотрения заявок</w:t>
        </w:r>
        <w:r>
          <w:tab/>
        </w:r>
        <w:r>
          <w:fldChar w:fldCharType="begin"/>
        </w:r>
        <w:r>
          <w:instrText xml:space="preserve"> PAGEREF _Toc232579469 \h </w:instrText>
        </w:r>
        <w:r>
          <w:fldChar w:fldCharType="separate"/>
        </w:r>
        <w:r>
          <w:t xml:space="preserve">70</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2"/>
        <w:rPr>
          <w:rFonts w:asciiTheme="minorHAnsi" w:hAnsiTheme="minorHAnsi" w:eastAsiaTheme="minorEastAsia"/>
          <w:sz w:val="22"/>
          <w:lang w:eastAsia="ru-RU"/>
        </w:rPr>
      </w:pPr>
      <w:r/>
      <w:hyperlink w:tooltip="#_Toc232579470" w:anchor="_Toc232579470" w:history="1">
        <w:r>
          <w:rPr>
            <w:rStyle w:val="1190"/>
          </w:rPr>
          <w:t xml:space="preserve">12.2</w:t>
        </w:r>
        <w:r>
          <w:rPr>
            <w:rFonts w:asciiTheme="minorHAnsi" w:hAnsiTheme="minorHAnsi" w:eastAsiaTheme="minorEastAsia"/>
            <w:sz w:val="22"/>
            <w:lang w:eastAsia="ru-RU"/>
          </w:rPr>
          <w:tab/>
        </w:r>
        <w:r>
          <w:rPr>
            <w:rStyle w:val="1190"/>
          </w:rPr>
          <w:t xml:space="preserve">Дополнительные критерии проверки заявок на соответствие условиям Документации о закупке</w:t>
        </w:r>
        <w:r>
          <w:tab/>
        </w:r>
        <w:r>
          <w:fldChar w:fldCharType="begin"/>
        </w:r>
        <w:r>
          <w:instrText xml:space="preserve"> PAGEREF _Toc232579470 \h </w:instrText>
        </w:r>
        <w:r>
          <w:fldChar w:fldCharType="separate"/>
        </w:r>
        <w:r>
          <w:t xml:space="preserve">75</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3"/>
        <w:rPr>
          <w:rFonts w:asciiTheme="minorHAnsi" w:hAnsiTheme="minorHAnsi" w:eastAsiaTheme="minorEastAsia"/>
          <w:b w:val="0"/>
          <w:caps w:val="0"/>
          <w:sz w:val="22"/>
          <w:lang w:eastAsia="ru-RU"/>
        </w:rPr>
      </w:pPr>
      <w:r/>
      <w:hyperlink w:tooltip="#_Toc232579471" w:anchor="_Toc232579471" w:history="1">
        <w:r>
          <w:rPr>
            <w:rStyle w:val="1190"/>
          </w:rPr>
          <w:t xml:space="preserve">13.</w:t>
        </w:r>
        <w:r>
          <w:rPr>
            <w:rFonts w:asciiTheme="minorHAnsi" w:hAnsiTheme="minorHAnsi" w:eastAsiaTheme="minorEastAsia"/>
            <w:b w:val="0"/>
            <w:caps w:val="0"/>
            <w:sz w:val="22"/>
            <w:lang w:eastAsia="ru-RU"/>
          </w:rPr>
          <w:tab/>
        </w:r>
        <w:r>
          <w:rPr>
            <w:rStyle w:val="1190"/>
          </w:rPr>
          <w:t xml:space="preserve">Приложение № 8 – Порядок и критерии оценки и сопоставления заявок</w:t>
        </w:r>
        <w:r>
          <w:tab/>
        </w:r>
        <w:r>
          <w:fldChar w:fldCharType="begin"/>
        </w:r>
        <w:r>
          <w:instrText xml:space="preserve"> PAGEREF _Toc232579471 \h </w:instrText>
        </w:r>
        <w:r>
          <w:fldChar w:fldCharType="separate"/>
        </w:r>
        <w:r>
          <w:t xml:space="preserve">77</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72" w:anchor="_Toc232579472" w:history="1">
        <w:r>
          <w:rPr>
            <w:rStyle w:val="1190"/>
          </w:rPr>
          <w:t xml:space="preserve">13.1</w:t>
        </w:r>
        <w:r>
          <w:rPr>
            <w:rFonts w:asciiTheme="minorHAnsi" w:hAnsiTheme="minorHAnsi" w:eastAsiaTheme="minorEastAsia"/>
            <w:sz w:val="22"/>
            <w:lang w:eastAsia="ru-RU"/>
          </w:rPr>
          <w:tab/>
        </w:r>
        <w:r>
          <w:rPr>
            <w:rStyle w:val="1190"/>
          </w:rPr>
          <w:t xml:space="preserve">Порядок и критерии оценки и сопоставления заявок</w:t>
        </w:r>
        <w:r>
          <w:tab/>
        </w:r>
        <w:r>
          <w:fldChar w:fldCharType="begin"/>
        </w:r>
        <w:r>
          <w:instrText xml:space="preserve"> PAGEREF _Toc232579472 \h </w:instrText>
        </w:r>
        <w:r>
          <w:fldChar w:fldCharType="separate"/>
        </w:r>
        <w:r>
          <w:t xml:space="preserve">77</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3"/>
        <w:rPr>
          <w:rFonts w:asciiTheme="minorHAnsi" w:hAnsiTheme="minorHAnsi" w:eastAsiaTheme="minorEastAsia"/>
          <w:b w:val="0"/>
          <w:caps w:val="0"/>
          <w:sz w:val="22"/>
          <w:lang w:eastAsia="ru-RU"/>
        </w:rPr>
      </w:pPr>
      <w:r/>
      <w:hyperlink w:tooltip="#_Toc232579473" w:anchor="_Toc232579473" w:history="1">
        <w:r>
          <w:rPr>
            <w:rStyle w:val="1190"/>
          </w:rPr>
          <w:t xml:space="preserve">14.</w:t>
        </w:r>
        <w:r>
          <w:rPr>
            <w:rFonts w:asciiTheme="minorHAnsi" w:hAnsiTheme="minorHAnsi" w:eastAsiaTheme="minorEastAsia"/>
            <w:b w:val="0"/>
            <w:caps w:val="0"/>
            <w:sz w:val="22"/>
            <w:lang w:eastAsia="ru-RU"/>
          </w:rPr>
          <w:tab/>
        </w:r>
        <w:r>
          <w:rPr>
            <w:rStyle w:val="1190"/>
          </w:rPr>
          <w:t xml:space="preserve">Приложение № 9 – Обоснование НМЦ</w:t>
        </w:r>
        <w:r>
          <w:tab/>
        </w:r>
        <w:r>
          <w:fldChar w:fldCharType="begin"/>
        </w:r>
        <w:r>
          <w:instrText xml:space="preserve"> PAGEREF _Toc232579473 \h </w:instrText>
        </w:r>
        <w:r>
          <w:fldChar w:fldCharType="separate"/>
        </w:r>
        <w:r>
          <w:t xml:space="preserve">82</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74" w:anchor="_Toc232579474" w:history="1">
        <w:r>
          <w:rPr>
            <w:rStyle w:val="1190"/>
          </w:rPr>
          <w:t xml:space="preserve">14.1</w:t>
        </w:r>
        <w:r>
          <w:rPr>
            <w:rFonts w:asciiTheme="minorHAnsi" w:hAnsiTheme="minorHAnsi" w:eastAsiaTheme="minorEastAsia"/>
            <w:sz w:val="22"/>
            <w:lang w:eastAsia="ru-RU"/>
          </w:rPr>
          <w:tab/>
        </w:r>
        <w:r>
          <w:rPr>
            <w:rStyle w:val="1190"/>
          </w:rPr>
          <w:t xml:space="preserve">Пояснения к Обоснованию НМЦ</w:t>
        </w:r>
        <w:r>
          <w:tab/>
        </w:r>
        <w:r>
          <w:fldChar w:fldCharType="begin"/>
        </w:r>
        <w:r>
          <w:instrText xml:space="preserve"> PAGEREF _Toc232579474 \h </w:instrText>
        </w:r>
        <w:r>
          <w:fldChar w:fldCharType="separate"/>
        </w:r>
        <w:r>
          <w:t xml:space="preserve">82</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3"/>
        <w:rPr>
          <w:rFonts w:asciiTheme="minorHAnsi" w:hAnsiTheme="minorHAnsi" w:eastAsiaTheme="minorEastAsia"/>
          <w:b w:val="0"/>
          <w:caps w:val="0"/>
          <w:sz w:val="22"/>
          <w:lang w:eastAsia="ru-RU"/>
        </w:rPr>
      </w:pPr>
      <w:r/>
      <w:hyperlink w:tooltip="#_Toc232579475" w:anchor="_Toc232579475" w:history="1">
        <w:r>
          <w:rPr>
            <w:rStyle w:val="1190"/>
          </w:rPr>
          <w:t xml:space="preserve">15.</w:t>
        </w:r>
        <w:r>
          <w:rPr>
            <w:rFonts w:asciiTheme="minorHAnsi" w:hAnsiTheme="minorHAnsi" w:eastAsiaTheme="minorEastAsia"/>
            <w:b w:val="0"/>
            <w:caps w:val="0"/>
            <w:sz w:val="22"/>
            <w:lang w:eastAsia="ru-RU"/>
          </w:rPr>
          <w:tab/>
        </w:r>
        <w:r>
          <w:rPr>
            <w:rStyle w:val="1190"/>
          </w:rPr>
          <w:t xml:space="preserve">Приложение № 10 – Форма Заявки на аккредитацию</w:t>
        </w:r>
        <w:r>
          <w:tab/>
        </w:r>
        <w:r>
          <w:fldChar w:fldCharType="begin"/>
        </w:r>
        <w:r>
          <w:instrText xml:space="preserve"> PAGEREF _Toc232579475 \h </w:instrText>
        </w:r>
        <w:r>
          <w:fldChar w:fldCharType="separate"/>
        </w:r>
        <w:r>
          <w:t xml:space="preserve">83</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76" w:anchor="_Toc232579476" w:history="1">
        <w:r>
          <w:rPr>
            <w:rStyle w:val="1190"/>
          </w:rPr>
          <w:t xml:space="preserve">15.1</w:t>
        </w:r>
        <w:r>
          <w:rPr>
            <w:rFonts w:asciiTheme="minorHAnsi" w:hAnsiTheme="minorHAnsi" w:eastAsiaTheme="minorEastAsia"/>
            <w:sz w:val="22"/>
            <w:lang w:eastAsia="ru-RU"/>
          </w:rPr>
          <w:tab/>
        </w:r>
        <w:r>
          <w:rPr>
            <w:rStyle w:val="1190"/>
          </w:rPr>
          <w:t xml:space="preserve">Пояснения к форме Заявки на аккредитацию</w:t>
        </w:r>
        <w:r>
          <w:tab/>
        </w:r>
        <w:r>
          <w:fldChar w:fldCharType="begin"/>
        </w:r>
        <w:r>
          <w:instrText xml:space="preserve"> PAGEREF _Toc232579476 \h </w:instrText>
        </w:r>
        <w:r>
          <w:fldChar w:fldCharType="separate"/>
        </w:r>
        <w:r>
          <w:t xml:space="preserve">83</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93"/>
        <w:rPr>
          <w:rFonts w:asciiTheme="minorHAnsi" w:hAnsiTheme="minorHAnsi" w:eastAsiaTheme="minorEastAsia"/>
          <w:b w:val="0"/>
          <w:caps w:val="0"/>
          <w:sz w:val="22"/>
          <w:lang w:eastAsia="ru-RU"/>
        </w:rPr>
      </w:pPr>
      <w:r/>
      <w:hyperlink w:tooltip="#_Toc232579477" w:anchor="_Toc232579477" w:history="1">
        <w:r>
          <w:rPr>
            <w:rStyle w:val="1190"/>
            <w:rFonts w:cs="Times New Roman"/>
          </w:rPr>
          <w:t xml:space="preserve">16.</w:t>
        </w:r>
        <w:r>
          <w:rPr>
            <w:rFonts w:asciiTheme="minorHAnsi" w:hAnsiTheme="minorHAnsi" w:eastAsiaTheme="minorEastAsia"/>
            <w:b w:val="0"/>
            <w:caps w:val="0"/>
            <w:sz w:val="22"/>
            <w:lang w:eastAsia="ru-RU"/>
          </w:rPr>
          <w:tab/>
        </w:r>
        <w:r>
          <w:rPr>
            <w:rStyle w:val="1190"/>
            <w:rFonts w:cs="Times New Roman"/>
          </w:rPr>
          <w:t xml:space="preserve">Приложение № 11 – форма Данных бухгалтерской (финансовой) отчетности</w:t>
        </w:r>
        <w:r>
          <w:tab/>
        </w:r>
        <w:r>
          <w:fldChar w:fldCharType="begin"/>
        </w:r>
        <w:r>
          <w:instrText xml:space="preserve"> PAGEREF _Toc232579477 \h </w:instrText>
        </w:r>
        <w:r>
          <w:fldChar w:fldCharType="separate"/>
        </w:r>
        <w:r>
          <w:t xml:space="preserve">84</w:t>
        </w:r>
        <w:r>
          <w:fldChar w:fldCharType="end"/>
        </w:r>
      </w:hyperlink>
      <w:r>
        <w:rPr>
          <w:rFonts w:asciiTheme="minorHAnsi" w:hAnsiTheme="minorHAnsi" w:eastAsiaTheme="minorEastAsia"/>
          <w:b w:val="0"/>
          <w:caps w:val="0"/>
          <w:sz w:val="22"/>
          <w:lang w:eastAsia="ru-RU"/>
        </w:rPr>
      </w:r>
      <w:r>
        <w:rPr>
          <w:rFonts w:asciiTheme="minorHAnsi" w:hAnsiTheme="minorHAnsi" w:eastAsiaTheme="minorEastAsia"/>
          <w:b w:val="0"/>
          <w:caps w:val="0"/>
          <w:sz w:val="22"/>
          <w:lang w:eastAsia="ru-RU"/>
        </w:rPr>
      </w:r>
    </w:p>
    <w:p>
      <w:pPr>
        <w:pStyle w:val="1192"/>
        <w:rPr>
          <w:rFonts w:asciiTheme="minorHAnsi" w:hAnsiTheme="minorHAnsi" w:eastAsiaTheme="minorEastAsia"/>
          <w:sz w:val="22"/>
          <w:lang w:eastAsia="ru-RU"/>
        </w:rPr>
      </w:pPr>
      <w:r/>
      <w:hyperlink w:tooltip="#_Toc232579478" w:anchor="_Toc232579478" w:history="1">
        <w:r>
          <w:rPr>
            <w:rStyle w:val="1190"/>
            <w:rFonts w:cs="Times New Roman"/>
          </w:rPr>
          <w:t xml:space="preserve">16.1</w:t>
        </w:r>
        <w:r>
          <w:rPr>
            <w:rFonts w:asciiTheme="minorHAnsi" w:hAnsiTheme="minorHAnsi" w:eastAsiaTheme="minorEastAsia"/>
            <w:sz w:val="22"/>
            <w:lang w:eastAsia="ru-RU"/>
          </w:rPr>
          <w:tab/>
        </w:r>
        <w:r>
          <w:rPr>
            <w:rStyle w:val="1190"/>
            <w:rFonts w:cs="Times New Roman"/>
          </w:rPr>
          <w:t xml:space="preserve">Пояснения к форме Данных бухгалтерской (финансовой) отчетности</w:t>
        </w:r>
        <w:r>
          <w:tab/>
        </w:r>
        <w:r>
          <w:fldChar w:fldCharType="begin"/>
        </w:r>
        <w:r>
          <w:instrText xml:space="preserve"> PAGEREF _Toc232579478 \h </w:instrText>
        </w:r>
        <w:r>
          <w:fldChar w:fldCharType="separate"/>
        </w:r>
        <w:r>
          <w:t xml:space="preserve">84</w:t>
        </w:r>
        <w:r>
          <w:fldChar w:fldCharType="end"/>
        </w:r>
      </w:hyperlink>
      <w:r>
        <w:rPr>
          <w:rFonts w:asciiTheme="minorHAnsi" w:hAnsiTheme="minorHAnsi" w:eastAsiaTheme="minorEastAsia"/>
          <w:sz w:val="22"/>
          <w:lang w:eastAsia="ru-RU"/>
        </w:rPr>
      </w:r>
      <w:r>
        <w:rPr>
          <w:rFonts w:asciiTheme="minorHAnsi" w:hAnsiTheme="minorHAnsi" w:eastAsiaTheme="minorEastAsia"/>
          <w:sz w:val="22"/>
          <w:lang w:eastAsia="ru-RU"/>
        </w:rPr>
      </w:r>
    </w:p>
    <w:p>
      <w:pPr>
        <w:pStyle w:val="1180"/>
      </w:pPr>
      <w:r>
        <w:fldChar w:fldCharType="end"/>
      </w:r>
      <w:r/>
    </w:p>
    <w:p>
      <w:pPr>
        <w:pStyle w:val="1180"/>
        <w:keepNext/>
        <w:spacing w:before="60"/>
        <w:rPr>
          <w:rStyle w:val="1211"/>
        </w:rPr>
      </w:pPr>
      <w:r>
        <w:rPr>
          <w:rStyle w:val="1211"/>
        </w:rPr>
        <w:t xml:space="preserve">[Примечание (дополнительные удобства работы с Документацией о закупке; </w:t>
      </w:r>
      <w:r>
        <w:rPr>
          <w:rStyle w:val="1211"/>
        </w:rPr>
        <w:t xml:space="preserve">Microsoft</w:t>
      </w:r>
      <w:r>
        <w:rPr>
          <w:rStyle w:val="1211"/>
        </w:rPr>
        <w:t xml:space="preserve"> </w:t>
      </w:r>
      <w:r>
        <w:rPr>
          <w:rStyle w:val="1211"/>
        </w:rPr>
        <w:t xml:space="preserve">Word</w:t>
      </w:r>
      <w:r>
        <w:rPr>
          <w:rStyle w:val="1211"/>
        </w:rPr>
        <w:t xml:space="preserve"> | </w:t>
      </w:r>
      <w:r>
        <w:rPr>
          <w:rStyle w:val="1211"/>
          <w:color w:val="4472c4" w:themeColor="accent1"/>
        </w:rPr>
        <w:t xml:space="preserve">Alt</w:t>
      </w:r>
      <w:r>
        <w:rPr>
          <w:rStyle w:val="1211"/>
          <w:color w:val="4472c4" w:themeColor="accent1"/>
        </w:rPr>
        <w:t xml:space="preserve">erOffice</w:t>
      </w:r>
      <w:r>
        <w:rPr>
          <w:rStyle w:val="1211"/>
          <w:color w:val="4472c4" w:themeColor="accent1"/>
        </w:rPr>
        <w:t xml:space="preserve"> </w:t>
      </w:r>
      <w:r>
        <w:rPr>
          <w:rStyle w:val="1211"/>
          <w:color w:val="4472c4" w:themeColor="accent1"/>
        </w:rPr>
        <w:t xml:space="preserve">AText</w:t>
      </w:r>
      <w:r>
        <w:rPr>
          <w:rStyle w:val="1211"/>
          <w:color w:val="4472c4" w:themeColor="accent1"/>
        </w:rPr>
        <w:t xml:space="preserve"> – отмечены отличи</w:t>
      </w:r>
      <w:r>
        <w:rPr>
          <w:rStyle w:val="1211"/>
          <w:color w:val="4472c4" w:themeColor="accent1"/>
        </w:rPr>
        <w:t xml:space="preserve">я для данного текстового редактора</w:t>
      </w:r>
      <w:r>
        <w:rPr>
          <w:rStyle w:val="1211"/>
        </w:rPr>
        <w:t xml:space="preserve">):</w:t>
      </w:r>
      <w:r>
        <w:rPr>
          <w:rStyle w:val="1211"/>
        </w:rPr>
      </w:r>
      <w:r>
        <w:rPr>
          <w:rStyle w:val="1211"/>
        </w:rPr>
      </w:r>
    </w:p>
    <w:p>
      <w:pPr>
        <w:pStyle w:val="1180"/>
        <w:numPr>
          <w:ilvl w:val="0"/>
          <w:numId w:val="12"/>
        </w:numPr>
        <w:ind w:left="284" w:hanging="284"/>
        <w:spacing w:before="60"/>
        <w:rPr>
          <w:rStyle w:val="1211"/>
        </w:rPr>
      </w:pPr>
      <w:r>
        <w:rPr>
          <w:rStyle w:val="1211"/>
        </w:rPr>
        <w:t xml:space="preserve">для навигации рекомендуется использовать боковое меню – включается на вкладке «Вид» в разделе «Отображение» опцией «Область навигации»</w:t>
      </w:r>
      <w:r>
        <w:rPr>
          <w:rStyle w:val="1211"/>
        </w:rPr>
        <w:t xml:space="preserve"> </w:t>
      </w:r>
      <w:r>
        <w:rPr>
          <w:rStyle w:val="1211"/>
        </w:rPr>
        <w:t xml:space="preserve">| </w:t>
      </w:r>
      <w:r>
        <w:rPr>
          <w:rStyle w:val="1211"/>
          <w:color w:val="4472c4" w:themeColor="accent1"/>
        </w:rPr>
        <w:t xml:space="preserve">включается на вкладке «Вид» опцией «Навигатор»</w:t>
      </w:r>
      <w:r>
        <w:rPr>
          <w:rStyle w:val="1211"/>
        </w:rPr>
        <w:t xml:space="preserve">;</w:t>
      </w:r>
      <w:r>
        <w:rPr>
          <w:rStyle w:val="1211"/>
        </w:rPr>
      </w:r>
      <w:r>
        <w:rPr>
          <w:rStyle w:val="1211"/>
        </w:rPr>
      </w:r>
    </w:p>
    <w:p>
      <w:pPr>
        <w:pStyle w:val="1180"/>
        <w:numPr>
          <w:ilvl w:val="0"/>
          <w:numId w:val="12"/>
        </w:numPr>
        <w:ind w:left="284" w:hanging="284"/>
        <w:spacing w:before="60"/>
        <w:rPr>
          <w:rStyle w:val="1211"/>
        </w:rPr>
      </w:pPr>
      <w:r>
        <w:rPr>
          <w:rStyle w:val="1211"/>
        </w:rPr>
        <w:t xml:space="preserve">переход по перекрестным и другим ссылкам осуществляется левым кликом мыши с</w:t>
      </w:r>
      <w:r>
        <w:rPr>
          <w:rStyle w:val="1211"/>
          <w:lang w:val="en-US"/>
        </w:rPr>
        <w:t xml:space="preserve"> </w:t>
      </w:r>
      <w:r>
        <w:rPr>
          <w:rStyle w:val="1211"/>
        </w:rPr>
        <w:t xml:space="preserve">зажатой клавишей </w:t>
      </w:r>
      <w:r>
        <w:rPr>
          <w:rStyle w:val="1211"/>
        </w:rPr>
        <w:t xml:space="preserve">Ctrl</w:t>
      </w:r>
      <w:r>
        <w:rPr>
          <w:rStyle w:val="1211"/>
        </w:rPr>
        <w:t xml:space="preserve">, обратный возврат на место в тексте, с </w:t>
      </w:r>
      <w:r>
        <w:rPr>
          <w:rStyle w:val="1211"/>
        </w:rPr>
        <w:t xml:space="preserve">котор</w:t>
      </w:r>
      <w:r>
        <w:rPr>
          <w:rStyle w:val="1211"/>
        </w:rPr>
        <w:t xml:space="preserve">ого</w:t>
      </w:r>
      <w:r>
        <w:rPr>
          <w:rStyle w:val="1211"/>
        </w:rPr>
        <w:t xml:space="preserve"> </w:t>
      </w:r>
      <w:r>
        <w:rPr>
          <w:rStyle w:val="1211"/>
        </w:rPr>
        <w:t xml:space="preserve">был </w:t>
      </w:r>
      <w:r>
        <w:rPr>
          <w:rStyle w:val="1211"/>
        </w:rPr>
        <w:t xml:space="preserve">сделан</w:t>
      </w:r>
      <w:r>
        <w:rPr>
          <w:rStyle w:val="1211"/>
        </w:rPr>
        <w:t xml:space="preserve"> </w:t>
      </w:r>
      <w:r>
        <w:rPr>
          <w:rStyle w:val="1211"/>
        </w:rPr>
        <w:t xml:space="preserve">переход, осуществляется нажатием стрелки влево (←) с зажатой левой клавишей </w:t>
      </w:r>
      <w:r>
        <w:rPr>
          <w:rStyle w:val="1211"/>
        </w:rPr>
        <w:t xml:space="preserve">Alt</w:t>
      </w:r>
      <w:r>
        <w:rPr>
          <w:rStyle w:val="1211"/>
        </w:rPr>
        <w:t xml:space="preserve"> </w:t>
      </w:r>
      <w:r>
        <w:rPr>
          <w:rStyle w:val="1211"/>
          <w:color w:val="4472c4" w:themeColor="accent1"/>
        </w:rPr>
        <w:t xml:space="preserve">(обратный переход функционально не реализован в </w:t>
      </w:r>
      <w:r>
        <w:rPr>
          <w:rStyle w:val="1211"/>
          <w:color w:val="4472c4" w:themeColor="accent1"/>
        </w:rPr>
        <w:t xml:space="preserve">AlterOffice</w:t>
      </w:r>
      <w:r>
        <w:rPr>
          <w:rStyle w:val="1211"/>
          <w:color w:val="4472c4" w:themeColor="accent1"/>
        </w:rPr>
        <w:t xml:space="preserve"> </w:t>
      </w:r>
      <w:r>
        <w:rPr>
          <w:rStyle w:val="1211"/>
          <w:color w:val="4472c4" w:themeColor="accent1"/>
        </w:rPr>
        <w:t xml:space="preserve">AText</w:t>
      </w:r>
      <w:r>
        <w:rPr>
          <w:rStyle w:val="1211"/>
          <w:color w:val="4472c4" w:themeColor="accent1"/>
        </w:rPr>
        <w:t xml:space="preserve">, пользуйтесь функциональностью «Навигатор»)</w:t>
      </w:r>
      <w:r>
        <w:rPr>
          <w:rStyle w:val="1211"/>
        </w:rPr>
        <w:t xml:space="preserve">;</w:t>
      </w:r>
      <w:r>
        <w:rPr>
          <w:rStyle w:val="1211"/>
        </w:rPr>
      </w:r>
      <w:r>
        <w:rPr>
          <w:rStyle w:val="1211"/>
        </w:rPr>
      </w:r>
    </w:p>
    <w:p>
      <w:pPr>
        <w:pStyle w:val="1180"/>
        <w:numPr>
          <w:ilvl w:val="0"/>
          <w:numId w:val="12"/>
        </w:numPr>
        <w:ind w:left="284" w:hanging="284"/>
        <w:spacing w:before="60"/>
        <w:rPr>
          <w:rStyle w:val="1211"/>
        </w:rPr>
      </w:pPr>
      <w:r>
        <w:rPr>
          <w:rStyle w:val="1211"/>
        </w:rPr>
        <w:t xml:space="preserve">открытие внедренного в текст документа (файла) осуществляется по двойному клику левой клавиши мыши по соответствующей иконк</w:t>
      </w:r>
      <w:r>
        <w:rPr>
          <w:rStyle w:val="1211"/>
        </w:rPr>
        <w:t xml:space="preserve">е</w:t>
      </w:r>
      <w:r>
        <w:rPr>
          <w:rStyle w:val="1211"/>
        </w:rPr>
        <w:t xml:space="preserve"> документа (файла) в</w:t>
      </w:r>
      <w:r>
        <w:rPr>
          <w:rStyle w:val="1211"/>
          <w:lang w:val="en-US"/>
        </w:rPr>
        <w:t xml:space="preserve"> </w:t>
      </w:r>
      <w:r>
        <w:rPr>
          <w:rStyle w:val="1211"/>
        </w:rPr>
        <w:t xml:space="preserve">тексте</w:t>
      </w:r>
      <w:r>
        <w:rPr>
          <w:rStyle w:val="1211"/>
        </w:rPr>
        <w:t xml:space="preserve">;</w:t>
      </w:r>
      <w:r>
        <w:rPr>
          <w:rStyle w:val="1211"/>
        </w:rPr>
      </w:r>
      <w:r>
        <w:rPr>
          <w:rStyle w:val="1211"/>
        </w:rPr>
      </w:r>
    </w:p>
    <w:p>
      <w:pPr>
        <w:pStyle w:val="1180"/>
        <w:numPr>
          <w:ilvl w:val="0"/>
          <w:numId w:val="12"/>
        </w:numPr>
        <w:ind w:left="284" w:hanging="284"/>
        <w:spacing w:before="60"/>
        <w:rPr>
          <w:rStyle w:val="1211"/>
        </w:rPr>
      </w:pPr>
      <w:r>
        <w:rPr>
          <w:rStyle w:val="1211"/>
          <w:color w:val="4472c4" w:themeColor="accent1"/>
        </w:rPr>
        <w:t xml:space="preserve">отключение затенения серыми блоками по тексту объектов, в том числе некоторых неразрывных пробелов и перекрестных ссылок: </w:t>
      </w:r>
      <w:r>
        <w:rPr>
          <w:rStyle w:val="1211"/>
          <w:color w:val="4472c4" w:themeColor="accent1"/>
        </w:rPr>
        <w:t xml:space="preserve">Ctrl</w:t>
      </w:r>
      <w:r>
        <w:rPr>
          <w:rStyle w:val="1211"/>
          <w:color w:val="4472c4" w:themeColor="accent1"/>
        </w:rPr>
        <w:t xml:space="preserve"> </w:t>
      </w:r>
      <w:r>
        <w:rPr>
          <w:rStyle w:val="1211"/>
          <w:color w:val="4472c4" w:themeColor="accent1"/>
        </w:rPr>
        <w:t xml:space="preserve">+</w:t>
      </w:r>
      <w:r>
        <w:rPr>
          <w:rStyle w:val="1211"/>
          <w:color w:val="4472c4" w:themeColor="accent1"/>
        </w:rPr>
        <w:t xml:space="preserve"> </w:t>
      </w:r>
      <w:r>
        <w:rPr>
          <w:rStyle w:val="1211"/>
          <w:color w:val="4472c4" w:themeColor="accent1"/>
        </w:rPr>
        <w:t xml:space="preserve">F8 (только для </w:t>
      </w:r>
      <w:r>
        <w:rPr>
          <w:rStyle w:val="1211"/>
          <w:color w:val="4472c4" w:themeColor="accent1"/>
        </w:rPr>
        <w:t xml:space="preserve">AlterOffice</w:t>
      </w:r>
      <w:r>
        <w:rPr>
          <w:rStyle w:val="1211"/>
          <w:color w:val="4472c4" w:themeColor="accent1"/>
        </w:rPr>
        <w:t xml:space="preserve"> </w:t>
      </w:r>
      <w:r>
        <w:rPr>
          <w:rStyle w:val="1211"/>
          <w:color w:val="4472c4" w:themeColor="accent1"/>
        </w:rPr>
        <w:t xml:space="preserve">AText</w:t>
      </w:r>
      <w:r>
        <w:rPr>
          <w:rStyle w:val="1211"/>
          <w:color w:val="4472c4" w:themeColor="accent1"/>
        </w:rPr>
        <w:t xml:space="preserve">)</w:t>
      </w:r>
      <w:r>
        <w:rPr>
          <w:rStyle w:val="1211"/>
        </w:rPr>
        <w:t xml:space="preserve">.]</w:t>
      </w:r>
      <w:r>
        <w:rPr>
          <w:rStyle w:val="1211"/>
        </w:rPr>
      </w:r>
      <w:r>
        <w:rPr>
          <w:rStyle w:val="1211"/>
        </w:rPr>
      </w:r>
    </w:p>
    <w:p>
      <w:pPr>
        <w:pStyle w:val="1179"/>
        <w:outlineLvl w:val="0"/>
      </w:pPr>
      <w:r/>
      <w:bookmarkStart w:id="0" w:name="_Toc232579407"/>
      <w:r>
        <w:t xml:space="preserve">Сокращения</w:t>
      </w:r>
      <w:bookmarkEnd w:id="0"/>
      <w:r/>
      <w:r/>
    </w:p>
    <w:p>
      <w:pPr>
        <w:pStyle w:val="1180"/>
        <w:ind w:firstLine="567"/>
      </w:pPr>
      <w:r>
        <w:rPr>
          <w:b/>
          <w:bCs/>
        </w:rPr>
        <w:t xml:space="preserve">ГК РФ</w:t>
      </w:r>
      <w:r>
        <w:t xml:space="preserve"> – Гражданской кодекс Российской Федерации.</w:t>
      </w:r>
      <w:r/>
    </w:p>
    <w:p>
      <w:pPr>
        <w:pStyle w:val="1180"/>
        <w:ind w:firstLine="567"/>
      </w:pPr>
      <w:r>
        <w:rPr>
          <w:b/>
          <w:bCs/>
        </w:rPr>
        <w:t xml:space="preserve">ЕГРИП</w:t>
      </w:r>
      <w:r>
        <w:t xml:space="preserve"> – </w:t>
      </w:r>
      <w:r>
        <w:t xml:space="preserve">Е</w:t>
      </w:r>
      <w:r>
        <w:t xml:space="preserve">диный государственный реестр индивидуальных предпринимателей.</w:t>
      </w:r>
      <w:r/>
    </w:p>
    <w:p>
      <w:pPr>
        <w:pStyle w:val="1180"/>
        <w:ind w:firstLine="567"/>
      </w:pPr>
      <w:r>
        <w:rPr>
          <w:b/>
          <w:bCs/>
        </w:rPr>
        <w:t xml:space="preserve">ЕГРЮЛ</w:t>
      </w:r>
      <w:r>
        <w:t xml:space="preserve"> – </w:t>
      </w:r>
      <w:r>
        <w:t xml:space="preserve">Е</w:t>
      </w:r>
      <w:r>
        <w:t xml:space="preserve">диный государственный реестр юридических лиц.</w:t>
      </w:r>
      <w:r/>
    </w:p>
    <w:p>
      <w:pPr>
        <w:pStyle w:val="1180"/>
        <w:ind w:firstLine="567"/>
      </w:pPr>
      <w:r>
        <w:rPr>
          <w:b/>
          <w:bCs/>
        </w:rPr>
        <w:t xml:space="preserve">ЕИС</w:t>
      </w:r>
      <w:r>
        <w:t xml:space="preserve"> – </w:t>
      </w:r>
      <w:r>
        <w:t xml:space="preserve">Е</w:t>
      </w:r>
      <w:r>
        <w:t xml:space="preserve">диная информационная система в сфере закупок</w:t>
      </w:r>
      <w:r>
        <w:t xml:space="preserve">.</w:t>
      </w:r>
      <w:r/>
    </w:p>
    <w:p>
      <w:pPr>
        <w:pStyle w:val="1180"/>
        <w:ind w:firstLine="567"/>
      </w:pPr>
      <w:r>
        <w:rPr>
          <w:b/>
          <w:bCs/>
        </w:rPr>
        <w:t xml:space="preserve">Закон </w:t>
      </w:r>
      <w:r>
        <w:rPr>
          <w:b/>
          <w:bCs/>
        </w:rPr>
        <w:t xml:space="preserve">209</w:t>
      </w:r>
      <w:r>
        <w:rPr>
          <w:b/>
          <w:bCs/>
        </w:rPr>
        <w:t xml:space="preserve">-ФЗ</w:t>
      </w:r>
      <w:r>
        <w:t xml:space="preserve"> – </w:t>
      </w:r>
      <w:r>
        <w:t xml:space="preserve">Федеральны</w:t>
      </w:r>
      <w:r>
        <w:t xml:space="preserve">й</w:t>
      </w:r>
      <w:r>
        <w:t xml:space="preserve"> закон от 24.07.2007 №</w:t>
      </w:r>
      <w:r>
        <w:t xml:space="preserve"> </w:t>
      </w:r>
      <w:r>
        <w:t xml:space="preserve">209-ФЗ «О развитии малого и среднего предпринимательства в Российской Федерации»</w:t>
      </w:r>
      <w:r>
        <w:t xml:space="preserve">.</w:t>
      </w:r>
      <w:r/>
    </w:p>
    <w:p>
      <w:pPr>
        <w:pStyle w:val="1180"/>
        <w:ind w:firstLine="567"/>
      </w:pPr>
      <w:r>
        <w:rPr>
          <w:b/>
          <w:bCs/>
        </w:rPr>
        <w:t xml:space="preserve">Закон 223-ФЗ</w:t>
      </w:r>
      <w:r>
        <w:t xml:space="preserve"> – Федеральный закон от 18.07.2011 № 223-ФЗ «О</w:t>
      </w:r>
      <w:r>
        <w:t xml:space="preserve"> </w:t>
      </w:r>
      <w:r>
        <w:t xml:space="preserve">закупках товаров, работ, услуг отдельными видами юридических лиц».</w:t>
      </w:r>
      <w:r/>
    </w:p>
    <w:p>
      <w:pPr>
        <w:pStyle w:val="1180"/>
        <w:ind w:firstLine="567"/>
      </w:pPr>
      <w:r>
        <w:rPr>
          <w:b/>
          <w:bCs/>
        </w:rPr>
        <w:t xml:space="preserve">Закон </w:t>
      </w:r>
      <w:r>
        <w:rPr>
          <w:b/>
          <w:bCs/>
        </w:rPr>
        <w:t xml:space="preserve">255</w:t>
      </w:r>
      <w:r>
        <w:rPr>
          <w:b/>
          <w:bCs/>
        </w:rPr>
        <w:t xml:space="preserve">-ФЗ</w:t>
      </w:r>
      <w:r>
        <w:t xml:space="preserve"> – </w:t>
      </w:r>
      <w:r>
        <w:t xml:space="preserve">Федеральны</w:t>
      </w:r>
      <w:r>
        <w:t xml:space="preserve">й</w:t>
      </w:r>
      <w:r>
        <w:t xml:space="preserve"> закон от 14.07.2022 №</w:t>
      </w:r>
      <w:r>
        <w:t xml:space="preserve"> </w:t>
      </w:r>
      <w:r>
        <w:t xml:space="preserve">255-ФЗ «О контроле за</w:t>
      </w:r>
      <w:r>
        <w:t xml:space="preserve"> </w:t>
      </w:r>
      <w:r>
        <w:t xml:space="preserve">деятельностью лиц, находящихся под иностранным влиянием»</w:t>
      </w:r>
      <w:r>
        <w:t xml:space="preserve">.</w:t>
      </w:r>
      <w:r/>
    </w:p>
    <w:p>
      <w:pPr>
        <w:pStyle w:val="1180"/>
        <w:ind w:firstLine="567"/>
      </w:pPr>
      <w:r>
        <w:rPr>
          <w:b/>
          <w:bCs/>
        </w:rPr>
        <w:t xml:space="preserve">Закон 422-ФЗ</w:t>
      </w:r>
      <w:r>
        <w:t xml:space="preserve"> – </w:t>
      </w:r>
      <w:r>
        <w:t xml:space="preserve">Федеральны</w:t>
      </w:r>
      <w:r>
        <w:t xml:space="preserve">й</w:t>
      </w:r>
      <w:r>
        <w:t xml:space="preserve"> закон от 27.11.2018 №</w:t>
      </w:r>
      <w:r>
        <w:t xml:space="preserve"> </w:t>
      </w:r>
      <w:r>
        <w:t xml:space="preserve">422-ФЗ «О проведении эксперимента по установлению специального налогового режима «Налог на</w:t>
      </w:r>
      <w:r>
        <w:t xml:space="preserve"> </w:t>
      </w:r>
      <w:r>
        <w:t xml:space="preserve">профессиональный доход»</w:t>
      </w:r>
      <w:r>
        <w:t xml:space="preserve">.</w:t>
      </w:r>
      <w:r/>
    </w:p>
    <w:p>
      <w:pPr>
        <w:pStyle w:val="1180"/>
        <w:ind w:firstLine="567"/>
      </w:pPr>
      <w:r>
        <w:rPr>
          <w:b/>
          <w:bCs/>
        </w:rPr>
        <w:t xml:space="preserve">Законодательство</w:t>
      </w:r>
      <w:r>
        <w:t xml:space="preserve"> – </w:t>
      </w:r>
      <w:r>
        <w:t xml:space="preserve">законодательство Российской Федерации (если в тексте настояще</w:t>
      </w:r>
      <w:r>
        <w:t xml:space="preserve">й Документации о закупке </w:t>
      </w:r>
      <w:r>
        <w:t xml:space="preserve">прямо не указано иное)</w:t>
      </w:r>
      <w:r>
        <w:t xml:space="preserve">.</w:t>
      </w:r>
      <w:r/>
    </w:p>
    <w:p>
      <w:pPr>
        <w:pStyle w:val="1180"/>
        <w:ind w:firstLine="567"/>
      </w:pPr>
      <w:r>
        <w:rPr>
          <w:b/>
          <w:bCs/>
        </w:rPr>
        <w:t xml:space="preserve">Извещение</w:t>
      </w:r>
      <w:r>
        <w:t xml:space="preserve"> – </w:t>
      </w:r>
      <w:r>
        <w:t xml:space="preserve">и</w:t>
      </w:r>
      <w:r>
        <w:t xml:space="preserve">звещение о проведении настоящей закупки.</w:t>
      </w:r>
      <w:r/>
    </w:p>
    <w:p>
      <w:pPr>
        <w:pStyle w:val="1180"/>
        <w:ind w:firstLine="567"/>
      </w:pPr>
      <w:r>
        <w:rPr>
          <w:b/>
          <w:bCs/>
        </w:rPr>
        <w:t xml:space="preserve">ИНН</w:t>
      </w:r>
      <w:r>
        <w:t xml:space="preserve"> – идентификационный номер налогоплательщика.</w:t>
      </w:r>
      <w:r/>
    </w:p>
    <w:p>
      <w:pPr>
        <w:pStyle w:val="1180"/>
        <w:ind w:firstLine="567"/>
      </w:pPr>
      <w:r>
        <w:rPr>
          <w:b/>
          <w:bCs/>
        </w:rPr>
        <w:t xml:space="preserve">ИФНС</w:t>
      </w:r>
      <w:r>
        <w:t xml:space="preserve"> </w:t>
      </w:r>
      <w:r>
        <w:t xml:space="preserve">– </w:t>
      </w:r>
      <w:r>
        <w:t xml:space="preserve">инспекция Федеральной налоговой службы Российской Федерации.</w:t>
      </w:r>
      <w:r/>
    </w:p>
    <w:p>
      <w:pPr>
        <w:pStyle w:val="1180"/>
        <w:ind w:firstLine="567"/>
      </w:pPr>
      <w:r>
        <w:rPr>
          <w:b/>
          <w:bCs/>
        </w:rPr>
        <w:t xml:space="preserve">МТР</w:t>
      </w:r>
      <w:r>
        <w:t xml:space="preserve"> – материально-технические ресурсы.</w:t>
      </w:r>
      <w:r/>
    </w:p>
    <w:p>
      <w:pPr>
        <w:pStyle w:val="1180"/>
        <w:ind w:firstLine="567"/>
      </w:pPr>
      <w:r>
        <w:rPr>
          <w:b/>
          <w:bCs/>
        </w:rPr>
        <w:t xml:space="preserve">НДС</w:t>
      </w:r>
      <w:r>
        <w:t xml:space="preserve"> – налог на добавленную стоимость.</w:t>
      </w:r>
      <w:r/>
    </w:p>
    <w:p>
      <w:pPr>
        <w:pStyle w:val="1180"/>
        <w:ind w:firstLine="567"/>
      </w:pPr>
      <w:r>
        <w:rPr>
          <w:b/>
          <w:bCs/>
        </w:rPr>
        <w:t xml:space="preserve">НМЦ</w:t>
      </w:r>
      <w:r>
        <w:t xml:space="preserve"> – начальная (максимальная) цена договора.</w:t>
      </w:r>
      <w:r/>
    </w:p>
    <w:p>
      <w:pPr>
        <w:pStyle w:val="1180"/>
        <w:ind w:firstLine="567"/>
      </w:pPr>
      <w:r>
        <w:rPr>
          <w:b/>
          <w:bCs/>
        </w:rPr>
        <w:t xml:space="preserve">Оператор ЭП</w:t>
      </w:r>
      <w:r>
        <w:t xml:space="preserve"> –</w:t>
      </w:r>
      <w:r>
        <w:t xml:space="preserve"> оператор электронной площадки.</w:t>
      </w:r>
      <w:r/>
    </w:p>
    <w:p>
      <w:pPr>
        <w:pStyle w:val="1180"/>
        <w:ind w:firstLine="567"/>
      </w:pPr>
      <w:r>
        <w:rPr>
          <w:b/>
          <w:bCs/>
        </w:rPr>
        <w:t xml:space="preserve">Официальный сайт</w:t>
      </w:r>
      <w:r>
        <w:t xml:space="preserve"> – </w:t>
      </w:r>
      <w:r>
        <w:t xml:space="preserve">официальный сайт </w:t>
      </w:r>
      <w:r>
        <w:t xml:space="preserve">Е</w:t>
      </w:r>
      <w:r>
        <w:t xml:space="preserve">диной информационной системы в сфере закупок, расположенный </w:t>
      </w:r>
      <w:r>
        <w:t xml:space="preserve">в сети Интернет </w:t>
      </w:r>
      <w:r>
        <w:t xml:space="preserve">по </w:t>
      </w:r>
      <w:r>
        <w:rPr>
          <w:lang w:val="en-US"/>
        </w:rPr>
        <w:t xml:space="preserve">URL</w:t>
      </w:r>
      <w:r>
        <w:t xml:space="preserve">-</w:t>
      </w:r>
      <w:r>
        <w:t xml:space="preserve">адресу </w:t>
      </w:r>
      <w:r>
        <w:t xml:space="preserve">https://zakupki.gov.ru/</w:t>
      </w:r>
      <w:r>
        <w:t xml:space="preserve">.</w:t>
      </w:r>
      <w:r/>
    </w:p>
    <w:p>
      <w:pPr>
        <w:pStyle w:val="1180"/>
        <w:ind w:firstLine="567"/>
      </w:pPr>
      <w:r>
        <w:rPr>
          <w:b/>
          <w:bCs/>
        </w:rPr>
        <w:t xml:space="preserve">Положение о закупке</w:t>
      </w:r>
      <w:r>
        <w:t xml:space="preserve"> – Единое Положение о закупке продукции для нужд Группы </w:t>
      </w:r>
      <w:r>
        <w:t xml:space="preserve">РусГидро</w:t>
      </w:r>
      <w:r>
        <w:t xml:space="preserve">.</w:t>
      </w:r>
      <w:r/>
    </w:p>
    <w:p>
      <w:pPr>
        <w:pStyle w:val="1180"/>
        <w:ind w:firstLine="567"/>
      </w:pPr>
      <w:r>
        <w:rPr>
          <w:b/>
          <w:bCs/>
        </w:rPr>
        <w:t xml:space="preserve">Положение о</w:t>
      </w:r>
      <w:r>
        <w:rPr>
          <w:b/>
          <w:bCs/>
        </w:rPr>
        <w:t xml:space="preserve">б</w:t>
      </w:r>
      <w:r>
        <w:rPr>
          <w:b/>
          <w:bCs/>
        </w:rPr>
        <w:t xml:space="preserve"> </w:t>
      </w:r>
      <w:r>
        <w:rPr>
          <w:b/>
          <w:bCs/>
        </w:rPr>
        <w:t xml:space="preserve">аккредитации</w:t>
      </w:r>
      <w:r>
        <w:t xml:space="preserve"> – Единое Положение о</w:t>
      </w:r>
      <w:r>
        <w:t xml:space="preserve">б аккредитации поставщиков продукции в Группе </w:t>
      </w:r>
      <w:r>
        <w:t xml:space="preserve">РусГидро</w:t>
      </w:r>
      <w:r>
        <w:t xml:space="preserve">, размещенное на Официальном сайте (</w:t>
      </w:r>
      <w:r>
        <w:t xml:space="preserve">в составе</w:t>
      </w:r>
      <w:r>
        <w:t xml:space="preserve"> Положени</w:t>
      </w:r>
      <w:r>
        <w:t xml:space="preserve">я</w:t>
      </w:r>
      <w:r>
        <w:t xml:space="preserve"> о закупке)</w:t>
      </w:r>
      <w:r>
        <w:t xml:space="preserve">.</w:t>
      </w:r>
      <w:r/>
    </w:p>
    <w:p>
      <w:pPr>
        <w:pStyle w:val="1180"/>
        <w:ind w:firstLine="567"/>
      </w:pPr>
      <w:r>
        <w:rPr>
          <w:b/>
          <w:bCs/>
        </w:rPr>
        <w:t xml:space="preserve">ПП 1352</w:t>
      </w:r>
      <w:r>
        <w:t xml:space="preserve"> – постановление Правительства от 11.12.2014 № 1352 «Об</w:t>
      </w:r>
      <w:r>
        <w:t xml:space="preserve"> </w:t>
      </w:r>
      <w:r>
        <w:t xml:space="preserve">особенностях участия субъектов малого и среднего предпринимательства в закупках товаров, работ, услуг отдельными видами юридических лиц».</w:t>
      </w:r>
      <w:r/>
    </w:p>
    <w:p>
      <w:pPr>
        <w:pStyle w:val="1180"/>
        <w:ind w:firstLine="567"/>
      </w:pPr>
      <w:r>
        <w:rPr>
          <w:b/>
          <w:bCs/>
        </w:rPr>
        <w:t xml:space="preserve">ПП 1</w:t>
      </w:r>
      <w:r>
        <w:rPr>
          <w:b/>
          <w:bCs/>
        </w:rPr>
        <w:t xml:space="preserve">875</w:t>
      </w:r>
      <w:r>
        <w:t xml:space="preserve"> – </w:t>
      </w:r>
      <w:r>
        <w:t xml:space="preserve">постановление Правительства от 23.12.2024 №</w:t>
      </w:r>
      <w:r>
        <w:t xml:space="preserve"> </w:t>
      </w:r>
      <w:r>
        <w:t xml:space="preserve">1875 «О мерах по</w:t>
      </w:r>
      <w:r>
        <w:t xml:space="preserve"> </w:t>
      </w:r>
      <w:r>
        <w:t xml:space="preserve">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p>
    <w:p>
      <w:pPr>
        <w:pStyle w:val="1180"/>
        <w:ind w:firstLine="567"/>
      </w:pPr>
      <w:r>
        <w:rPr>
          <w:b/>
          <w:bCs/>
        </w:rPr>
        <w:t xml:space="preserve">Реестр МСП</w:t>
      </w:r>
      <w:r>
        <w:t xml:space="preserve"> – единый реестр субъектов малого и среднего предпринимательства, ведение которого осуществляется в соответствии с Законом 209-ФЗ.</w:t>
      </w:r>
      <w:r/>
    </w:p>
    <w:p>
      <w:pPr>
        <w:pStyle w:val="1180"/>
        <w:ind w:firstLine="567"/>
      </w:pPr>
      <w:r>
        <w:rPr>
          <w:b/>
          <w:bCs/>
        </w:rPr>
        <w:t xml:space="preserve">Система ЭДО</w:t>
      </w:r>
      <w:r>
        <w:rPr>
          <w:rStyle w:val="1188"/>
          <w:b/>
          <w:bCs/>
        </w:rPr>
        <w:footnoteReference w:id="2"/>
      </w:r>
      <w:r>
        <w:t xml:space="preserve"> – </w:t>
      </w:r>
      <w:r>
        <w:t xml:space="preserve">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t xml:space="preserve">.</w:t>
      </w:r>
      <w:r/>
    </w:p>
    <w:p>
      <w:pPr>
        <w:pStyle w:val="1180"/>
        <w:ind w:firstLine="567"/>
      </w:pPr>
      <w:r>
        <w:rPr>
          <w:b/>
          <w:bCs/>
        </w:rPr>
        <w:t xml:space="preserve">Стороны</w:t>
      </w:r>
      <w:r>
        <w:t xml:space="preserve"> – Организатор, Заказчик и Участники, являющиеся сторонами данной закупки (при совместном упоминании).</w:t>
      </w:r>
      <w:r/>
    </w:p>
    <w:p>
      <w:pPr>
        <w:pStyle w:val="1180"/>
        <w:ind w:firstLine="567"/>
      </w:pPr>
      <w:r>
        <w:rPr>
          <w:b/>
          <w:bCs/>
        </w:rPr>
        <w:t xml:space="preserve">Субъект МСП</w:t>
      </w:r>
      <w:r>
        <w:t xml:space="preserve"> – субъект малого и среднего предпринимательства.</w:t>
      </w:r>
      <w:r/>
    </w:p>
    <w:p>
      <w:pPr>
        <w:pStyle w:val="1180"/>
        <w:ind w:firstLine="567"/>
      </w:pPr>
      <w:r>
        <w:rPr>
          <w:b/>
          <w:bCs/>
        </w:rPr>
        <w:t xml:space="preserve">ЭП</w:t>
      </w:r>
      <w:r>
        <w:t xml:space="preserve"> – электронная площадка.</w:t>
      </w:r>
      <w:r/>
    </w:p>
    <w:p>
      <w:pPr>
        <w:pStyle w:val="1179"/>
        <w:outlineLvl w:val="0"/>
      </w:pPr>
      <w:r/>
      <w:bookmarkStart w:id="1" w:name="_Toc232579408"/>
      <w:r>
        <w:t xml:space="preserve">Термины и определения</w:t>
      </w:r>
      <w:bookmarkEnd w:id="1"/>
      <w:r/>
      <w:r/>
    </w:p>
    <w:p>
      <w:pPr>
        <w:pStyle w:val="1180"/>
        <w:ind w:firstLine="567"/>
      </w:pPr>
      <w:r>
        <w:rPr>
          <w:b/>
          <w:bCs/>
        </w:rPr>
        <w:t xml:space="preserve">Аккредитация</w:t>
      </w:r>
      <w:r>
        <w:t xml:space="preserve"> – процедура проверки заяви</w:t>
      </w:r>
      <w:r>
        <w:t xml:space="preserve">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w:t>
      </w:r>
      <w:r>
        <w:t xml:space="preserve">РусГидро</w:t>
      </w:r>
      <w:r>
        <w:t xml:space="preserve">. Аккредитация проводится </w:t>
      </w:r>
      <w:r>
        <w:t xml:space="preserve">с целью </w:t>
      </w:r>
      <w:r>
        <w:t xml:space="preserve">защиты интересов Заказчика от действий недобросовестных лиц и неблагонадежных поставщиков продукции при проведении закупочных процедур</w:t>
      </w:r>
      <w:r>
        <w:t xml:space="preserve"> и выборе Победителя</w:t>
      </w:r>
      <w:r>
        <w:t xml:space="preserve"> и является проявлением коммерческой осмотрительности Заказчика при заключении договора (-</w:t>
      </w:r>
      <w:r>
        <w:t xml:space="preserve">ов</w:t>
      </w:r>
      <w:r>
        <w:t xml:space="preserve">) по результатам закупки. Порядок проведения данной процедуры представлен в Положени</w:t>
      </w:r>
      <w:r>
        <w:t xml:space="preserve">и</w:t>
      </w:r>
      <w:r>
        <w:t xml:space="preserve"> об аккредитации.</w:t>
      </w:r>
      <w:r/>
    </w:p>
    <w:p>
      <w:pPr>
        <w:pStyle w:val="1180"/>
        <w:ind w:firstLine="567"/>
      </w:pPr>
      <w:r>
        <w:rPr>
          <w:b/>
          <w:bCs/>
        </w:rPr>
        <w:t xml:space="preserve">Актуализация статуса </w:t>
      </w:r>
      <w:r>
        <w:rPr>
          <w:b/>
          <w:bCs/>
        </w:rPr>
        <w:t xml:space="preserve">(</w:t>
      </w:r>
      <w:r>
        <w:rPr>
          <w:b/>
          <w:bCs/>
        </w:rPr>
        <w:t xml:space="preserve">аккредитации</w:t>
      </w:r>
      <w:r>
        <w:rPr>
          <w:b/>
          <w:bCs/>
        </w:rPr>
        <w:t xml:space="preserve">)</w:t>
      </w:r>
      <w:r>
        <w:t xml:space="preserve"> – </w:t>
      </w:r>
      <w:r>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t xml:space="preserve">а</w:t>
      </w:r>
      <w:r>
        <w:t xml:space="preserve">ккредитации (или наличия оснований, по</w:t>
      </w:r>
      <w:r>
        <w:t xml:space="preserve"> </w:t>
      </w:r>
      <w:r>
        <w:t xml:space="preserve">которым прохождение </w:t>
      </w:r>
      <w:r>
        <w:t xml:space="preserve">а</w:t>
      </w:r>
      <w:r>
        <w:t xml:space="preserve">ккредитации не требуется), с продлением срока действия его аккредитации в случае положительного результата такой проверки; при этом от</w:t>
      </w:r>
      <w:r>
        <w:t xml:space="preserve"> </w:t>
      </w:r>
      <w:r>
        <w:t xml:space="preserve">Поставщика (Участника) не требуется повторное заполнение Заявки на аккредитацию</w:t>
      </w:r>
      <w:r>
        <w:t xml:space="preserve">.</w:t>
      </w:r>
      <w:r/>
    </w:p>
    <w:p>
      <w:pPr>
        <w:pStyle w:val="1180"/>
        <w:ind w:firstLine="567"/>
      </w:pPr>
      <w:r>
        <w:rPr>
          <w:b/>
          <w:bCs/>
        </w:rPr>
        <w:t xml:space="preserve">Альтернативное предложение</w:t>
      </w:r>
      <w:r>
        <w:t xml:space="preserve"> – </w:t>
      </w:r>
      <w:r>
        <w:t xml:space="preserve">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 xml:space="preserve">.</w:t>
      </w:r>
      <w:r/>
    </w:p>
    <w:p>
      <w:pPr>
        <w:pStyle w:val="1180"/>
        <w:ind w:firstLine="567"/>
      </w:pPr>
      <w:r>
        <w:rPr>
          <w:b/>
          <w:bCs/>
        </w:rPr>
        <w:t xml:space="preserve">Генеральный подрядчик</w:t>
      </w:r>
      <w:r>
        <w:t xml:space="preserve"> – подрядчик, привлекающий к</w:t>
      </w:r>
      <w:r>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t xml:space="preserve">также </w:t>
      </w:r>
      <w:r>
        <w:t xml:space="preserve">генеральный исполнитель и соисполнители, генеральный поставщик и субпоставщики, в зависимости от предмета закупки.</w:t>
      </w:r>
      <w:r/>
    </w:p>
    <w:p>
      <w:pPr>
        <w:pStyle w:val="1180"/>
        <w:ind w:firstLine="567"/>
      </w:pPr>
      <w:r>
        <w:rPr>
          <w:b/>
          <w:bCs/>
        </w:rPr>
        <w:t xml:space="preserve">Документация о закупке</w:t>
      </w:r>
      <w:r>
        <w:t xml:space="preserve"> – </w:t>
      </w:r>
      <w:r>
        <w:t xml:space="preserve">комплект документов, содержащий всю необходимую согласно законодательству информацию о закупке и условиях ее проведения.</w:t>
      </w:r>
      <w:r/>
    </w:p>
    <w:p>
      <w:pPr>
        <w:pStyle w:val="1180"/>
        <w:ind w:firstLine="567"/>
      </w:pPr>
      <w:r>
        <w:rPr>
          <w:b/>
          <w:bCs/>
        </w:rPr>
        <w:t xml:space="preserve">Единая информационная система в сфере закупок</w:t>
      </w:r>
      <w:r>
        <w:t xml:space="preserve"> – </w:t>
      </w:r>
      <w:r>
        <w:t xml:space="preserve">совокупность информации, содержащейся в баз</w:t>
      </w:r>
      <w:r>
        <w:t xml:space="preserve">ах</w:t>
      </w:r>
      <w:r>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 xml:space="preserve">в установленном</w:t>
      </w:r>
      <w:r>
        <w:t xml:space="preserve"> законодательством</w:t>
      </w:r>
      <w:r>
        <w:t xml:space="preserve"> порядке </w:t>
      </w:r>
      <w:r>
        <w:t xml:space="preserve">с использованием сети Интернет</w:t>
      </w:r>
      <w:r>
        <w:t xml:space="preserve"> посредствам Официального сайта</w:t>
      </w:r>
      <w:r>
        <w:t xml:space="preserve"> </w:t>
      </w:r>
      <w:r>
        <w:t xml:space="preserve">Единой информационной системы в сфере закупок</w:t>
      </w:r>
      <w:r>
        <w:t xml:space="preserve">.</w:t>
      </w:r>
      <w:r/>
    </w:p>
    <w:p>
      <w:pPr>
        <w:pStyle w:val="1180"/>
        <w:ind w:firstLine="567"/>
      </w:pPr>
      <w:r>
        <w:rPr>
          <w:b/>
          <w:bCs/>
        </w:rPr>
        <w:t xml:space="preserve">Единый реестр субъектов малого и среднего предпринимательства</w:t>
      </w:r>
      <w:r>
        <w:t xml:space="preserve"> – </w:t>
      </w:r>
      <w:r>
        <w:t xml:space="preserve">реестр, являющийся официальным источником сведений о юридических лицах и об</w:t>
      </w:r>
      <w:r>
        <w:t xml:space="preserve"> </w:t>
      </w:r>
      <w:r>
        <w:t xml:space="preserve">индивидуальных предпринимателях</w:t>
      </w:r>
      <w:r>
        <w:t xml:space="preserve">,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r/>
    </w:p>
    <w:p>
      <w:pPr>
        <w:pStyle w:val="1180"/>
        <w:ind w:firstLine="567"/>
      </w:pPr>
      <w:r>
        <w:rPr>
          <w:b/>
          <w:bCs/>
        </w:rPr>
        <w:t xml:space="preserve">Заказчик</w:t>
      </w:r>
      <w:r>
        <w:t xml:space="preserve"> – юридическое лицо, в интересах и за счет средств, которого осуществляется закупка.</w:t>
      </w:r>
      <w:r/>
    </w:p>
    <w:p>
      <w:pPr>
        <w:pStyle w:val="1180"/>
        <w:ind w:firstLine="567"/>
      </w:pPr>
      <w:r>
        <w:rPr>
          <w:b/>
          <w:bCs/>
        </w:rPr>
        <w:t xml:space="preserve">Закупка</w:t>
      </w:r>
      <w:r>
        <w:t xml:space="preserve"> – последовательность действий, осуществляемая в соответствии с</w:t>
      </w:r>
      <w:r>
        <w:t xml:space="preserve"> </w:t>
      </w:r>
      <w:r>
        <w:t xml:space="preserve">требованиями законодательства, Положением о закупке, иными локальными нормативными документами (актами) Заказчика, а для конкурентной закупки (и</w:t>
      </w:r>
      <w:r>
        <w:t xml:space="preserve"> </w:t>
      </w:r>
      <w:r>
        <w:t xml:space="preserve">неконкурентной, проводимой способом состязательный отбор) дополнительно – правилами, установленными Извещением и Документацией о закупке, в результате </w:t>
      </w:r>
      <w:r>
        <w:t xml:space="preserve">которой производится выбор поставщика с целью заключения договора на приобретение продукции.</w:t>
      </w:r>
      <w:r/>
    </w:p>
    <w:p>
      <w:pPr>
        <w:pStyle w:val="1180"/>
        <w:ind w:firstLine="567"/>
      </w:pPr>
      <w:r>
        <w:rPr>
          <w:b/>
          <w:bCs/>
        </w:rPr>
        <w:t xml:space="preserve">Закупочная комиссия</w:t>
      </w:r>
      <w:r>
        <w:t xml:space="preserve"> – </w:t>
      </w:r>
      <w:r>
        <w:t xml:space="preserve">коллегиальный орган, принимающий решения о ходе проведения соответствующей закупки (в том числе по выбору ее победителя)</w:t>
      </w:r>
      <w:r>
        <w:t xml:space="preserve">.</w:t>
      </w:r>
      <w:r/>
    </w:p>
    <w:p>
      <w:pPr>
        <w:pStyle w:val="1180"/>
        <w:ind w:firstLine="567"/>
      </w:pPr>
      <w:r>
        <w:rPr>
          <w:b/>
          <w:bCs/>
        </w:rPr>
        <w:t xml:space="preserve">Заявка (заявка на участие в закупке)</w:t>
      </w:r>
      <w:r>
        <w:t xml:space="preserve"> – </w:t>
      </w:r>
      <w:r>
        <w:t xml:space="preserve">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t xml:space="preserve"> </w:t>
      </w:r>
      <w:r>
        <w:t xml:space="preserve">конкурентных закупок – в Извещении и</w:t>
      </w:r>
      <w:r>
        <w:t xml:space="preserve"> </w:t>
      </w:r>
      <w:r>
        <w:t xml:space="preserve">(или) Документацией о закупке.</w:t>
      </w:r>
      <w:r/>
    </w:p>
    <w:p>
      <w:pPr>
        <w:pStyle w:val="1180"/>
        <w:ind w:firstLine="567"/>
      </w:pPr>
      <w:r>
        <w:rPr>
          <w:b/>
          <w:bCs/>
        </w:rPr>
        <w:t xml:space="preserve">Заявка на аккредитацию</w:t>
      </w:r>
      <w:r>
        <w:t xml:space="preserve"> –</w:t>
      </w:r>
      <w:r>
        <w:t xml:space="preserve"> </w:t>
      </w:r>
      <w:r>
        <w:t xml:space="preserve">сведения, которые Заявитель предоставляет в</w:t>
      </w:r>
      <w:r>
        <w:t xml:space="preserve"> </w:t>
      </w:r>
      <w:r>
        <w:t xml:space="preserve">установленном Положением</w:t>
      </w:r>
      <w:r>
        <w:t xml:space="preserve"> об</w:t>
      </w:r>
      <w:r>
        <w:t xml:space="preserve"> </w:t>
      </w:r>
      <w:r>
        <w:t xml:space="preserve">аккредитации</w:t>
      </w:r>
      <w:r>
        <w:t xml:space="preserve"> порядке для прохождения </w:t>
      </w:r>
      <w:r>
        <w:t xml:space="preserve">а</w:t>
      </w:r>
      <w:r>
        <w:t xml:space="preserve">ккредитации.</w:t>
      </w:r>
      <w:r/>
    </w:p>
    <w:p>
      <w:pPr>
        <w:pStyle w:val="1180"/>
        <w:ind w:firstLine="567"/>
        <w:rPr>
          <w:szCs w:val="26"/>
        </w:rPr>
      </w:pPr>
      <w:r>
        <w:rPr>
          <w:b/>
          <w:bCs/>
        </w:rPr>
        <w:t xml:space="preserve">Извещение о закупке</w:t>
      </w:r>
      <w:r>
        <w:rPr>
          <w:b/>
          <w:bCs/>
        </w:rPr>
        <w:t xml:space="preserve"> (Извещение)</w:t>
      </w:r>
      <w:r>
        <w:t xml:space="preserve"> –</w:t>
      </w:r>
      <w:r>
        <w:t xml:space="preserve"> </w:t>
      </w:r>
      <w:r>
        <w:t xml:space="preserve">документ, предназначенный для</w:t>
      </w:r>
      <w:r>
        <w:t xml:space="preserve"> </w:t>
      </w:r>
      <w:r>
        <w:t xml:space="preserve">потенциальных Участников, публикация (размещение) которого означает официальное объявление о</w:t>
      </w:r>
      <w:r>
        <w:t xml:space="preserve"> </w:t>
      </w:r>
      <w:r>
        <w:t xml:space="preserve">начале закупки</w:t>
      </w:r>
      <w:r>
        <w:t xml:space="preserve"> (</w:t>
      </w:r>
      <w:r>
        <w:t xml:space="preserve">информаци</w:t>
      </w:r>
      <w:r>
        <w:t xml:space="preserve">я</w:t>
      </w:r>
      <w:r>
        <w:t xml:space="preserve"> в</w:t>
      </w:r>
      <w:r>
        <w:t xml:space="preserve"> </w:t>
      </w:r>
      <w:r>
        <w:t xml:space="preserve">объеме, определенном частью</w:t>
      </w:r>
      <w:r>
        <w:t xml:space="preserve"> </w:t>
      </w:r>
      <w:r>
        <w:t xml:space="preserve">9 статьи</w:t>
      </w:r>
      <w:r>
        <w:t xml:space="preserve"> </w:t>
      </w:r>
      <w:r>
        <w:t xml:space="preserve">4 Закона</w:t>
      </w:r>
      <w:r>
        <w:t xml:space="preserve"> </w:t>
      </w:r>
      <w:r>
        <w:t xml:space="preserve">223-ФЗ и Положением о закупке</w:t>
      </w:r>
      <w:r>
        <w:t xml:space="preserve">); под данным документом и соответственно его размещением также подразумевается заполнение и создание на</w:t>
      </w:r>
      <w:r>
        <w:t xml:space="preserve"> </w:t>
      </w:r>
      <w:r>
        <w:t xml:space="preserve">Официальном сайте (ЕИС) и</w:t>
      </w:r>
      <w:r>
        <w:t xml:space="preserve"> </w:t>
      </w:r>
      <w:r>
        <w:t xml:space="preserve">(или) ЭП соответствующей страницы на указанных ресурсах </w:t>
      </w:r>
      <w:r>
        <w:t xml:space="preserve">с</w:t>
      </w:r>
      <w:r>
        <w:t xml:space="preserve"> информацией об объявленной закупке.</w:t>
      </w:r>
      <w:r>
        <w:rPr>
          <w:szCs w:val="26"/>
        </w:rPr>
      </w:r>
      <w:r>
        <w:rPr>
          <w:szCs w:val="26"/>
        </w:rPr>
      </w:r>
    </w:p>
    <w:p>
      <w:pPr>
        <w:pStyle w:val="1180"/>
        <w:ind w:firstLine="567"/>
      </w:pPr>
      <w:r>
        <w:rPr>
          <w:b/>
          <w:bCs/>
        </w:rPr>
        <w:t xml:space="preserve">Интеллектуальные системы управления электросетевым хозяйством</w:t>
      </w:r>
      <w:r>
        <w:t xml:space="preserve"> – системы удален</w:t>
      </w:r>
      <w:r>
        <w:t xml:space="preserve">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r/>
    </w:p>
    <w:p>
      <w:pPr>
        <w:pStyle w:val="1180"/>
        <w:ind w:firstLine="567"/>
      </w:pPr>
      <w:r>
        <w:rPr>
          <w:b/>
          <w:bCs/>
        </w:rPr>
        <w:t xml:space="preserve">Коллективный участник</w:t>
      </w:r>
      <w:r>
        <w:t xml:space="preserve"> – </w:t>
      </w:r>
      <w:r>
        <w:t xml:space="preserve">объединение юридических </w:t>
      </w:r>
      <w:r>
        <w:t xml:space="preserve">и</w:t>
      </w:r>
      <w:r>
        <w:t xml:space="preserve"> (</w:t>
      </w:r>
      <w:r>
        <w:t xml:space="preserve">или</w:t>
      </w:r>
      <w:r>
        <w:t xml:space="preserve">)</w:t>
      </w:r>
      <w:r>
        <w:t xml:space="preserve"> физических лиц, в</w:t>
      </w:r>
      <w:r>
        <w:t xml:space="preserve"> </w:t>
      </w:r>
      <w:r>
        <w:t xml:space="preserve">том числе индивидуальных предпринимателей, выступающих на стороне одного </w:t>
      </w:r>
      <w:r>
        <w:t xml:space="preserve">Участника </w:t>
      </w:r>
      <w:r>
        <w:t xml:space="preserve">и несущих солидарную ответственность по обязательствам, вытекающим из</w:t>
      </w:r>
      <w:r>
        <w:t xml:space="preserve"> </w:t>
      </w:r>
      <w:r>
        <w:t xml:space="preserve">участия в</w:t>
      </w:r>
      <w:r>
        <w:t xml:space="preserve"> </w:t>
      </w:r>
      <w:r>
        <w:t xml:space="preserve">закупке и дальнейшего заключения и исполнения договора.</w:t>
      </w:r>
      <w:r/>
    </w:p>
    <w:p>
      <w:pPr>
        <w:pStyle w:val="1180"/>
        <w:ind w:firstLine="567"/>
      </w:pPr>
      <w:r>
        <w:rPr>
          <w:b/>
          <w:bCs/>
        </w:rPr>
        <w:t xml:space="preserve">Лот</w:t>
      </w:r>
      <w:r>
        <w:t xml:space="preserve"> – </w:t>
      </w:r>
      <w:r>
        <w:t xml:space="preserve">продукция, на которую в рамках закупки допускаются подача отдельного предложения и заключение отдельного договора</w:t>
      </w:r>
      <w:r>
        <w:t xml:space="preserve">.</w:t>
      </w:r>
      <w:r/>
    </w:p>
    <w:p>
      <w:pPr>
        <w:pStyle w:val="1180"/>
        <w:ind w:firstLine="567"/>
      </w:pPr>
      <w:r>
        <w:rPr>
          <w:b/>
          <w:bCs/>
        </w:rPr>
        <w:t xml:space="preserve">Мониторинг аккредитованных поставщиков</w:t>
      </w:r>
      <w:r>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 xml:space="preserve">а</w:t>
      </w:r>
      <w:r>
        <w:t xml:space="preserve">ккредитации (или наличия оснований, по которым прохождение </w:t>
      </w:r>
      <w:r>
        <w:t xml:space="preserve">а</w:t>
      </w:r>
      <w:r>
        <w:t xml:space="preserve">ккредитации не требуется), без продления срока действия его аккредитации в случае положительного результата такой проверки; при этом от</w:t>
      </w:r>
      <w:r>
        <w:t xml:space="preserve"> </w:t>
      </w:r>
      <w:r>
        <w:t xml:space="preserve">Поставщика (Участника) не требуется повторное заполнение Заявки на аккредитацию.</w:t>
      </w:r>
      <w:r/>
    </w:p>
    <w:p>
      <w:pPr>
        <w:pStyle w:val="1180"/>
        <w:ind w:firstLine="567"/>
      </w:pPr>
      <w:r>
        <w:rPr>
          <w:b/>
          <w:bCs/>
        </w:rPr>
        <w:t xml:space="preserve">Начальная (максимальная) цена договора</w:t>
      </w:r>
      <w:r>
        <w:t xml:space="preserve"> – </w:t>
      </w:r>
      <w:r>
        <w:t xml:space="preserve">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r/>
    </w:p>
    <w:p>
      <w:pPr>
        <w:pStyle w:val="1180"/>
        <w:ind w:firstLine="567"/>
      </w:pPr>
      <w:r>
        <w:rPr>
          <w:b/>
          <w:bCs/>
        </w:rPr>
        <w:t xml:space="preserve">Оператор </w:t>
      </w:r>
      <w:r>
        <w:rPr>
          <w:b/>
          <w:bCs/>
        </w:rPr>
        <w:t xml:space="preserve">электронной площадки</w:t>
      </w:r>
      <w:r>
        <w:t xml:space="preserve"> – </w:t>
      </w:r>
      <w:r>
        <w:t xml:space="preserve">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r/>
    </w:p>
    <w:p>
      <w:pPr>
        <w:pStyle w:val="1180"/>
        <w:ind w:firstLine="567"/>
      </w:pPr>
      <w:r>
        <w:rPr>
          <w:b/>
          <w:bCs/>
        </w:rPr>
        <w:t xml:space="preserve">Организатор</w:t>
      </w:r>
      <w:r>
        <w:t xml:space="preserve"> – </w:t>
      </w:r>
      <w:r>
        <w:t xml:space="preserve">Заказчик или действующее по договору с ним юридическое лицо, выступающее Сторонним организатором закупки</w:t>
      </w:r>
      <w:r>
        <w:t xml:space="preserve">.</w:t>
      </w:r>
      <w:r/>
    </w:p>
    <w:p>
      <w:pPr>
        <w:pStyle w:val="1180"/>
        <w:ind w:firstLine="567"/>
      </w:pPr>
      <w:r>
        <w:rPr>
          <w:b/>
          <w:bCs/>
        </w:rPr>
        <w:t xml:space="preserve">Официальное размещение</w:t>
      </w:r>
      <w:r>
        <w:t xml:space="preserve"> –</w:t>
      </w:r>
      <w:r>
        <w:t xml:space="preserve"> </w:t>
      </w:r>
      <w:r>
        <w:t xml:space="preserve">размещение информации о закупке в ЕИС, на</w:t>
      </w:r>
      <w:r>
        <w:rPr>
          <w:lang w:val="en-US"/>
        </w:rPr>
        <w:t xml:space="preserve"> </w:t>
      </w:r>
      <w:r>
        <w:t xml:space="preserve">Официальном сайте</w:t>
      </w:r>
      <w:r>
        <w:t xml:space="preserve"> </w:t>
      </w:r>
      <w:r>
        <w:t xml:space="preserve">(с размещением копий на ЭП)</w:t>
      </w:r>
      <w:r>
        <w:t xml:space="preserve">.</w:t>
      </w:r>
      <w:r>
        <w:t xml:space="preserve"> </w:t>
      </w:r>
      <w:r>
        <w:t xml:space="preserve">Е</w:t>
      </w:r>
      <w:r>
        <w:t xml:space="preserve">сли окончание срока размещения приходится на нерабочий день согласно законодательству, сведения размещаются в</w:t>
      </w:r>
      <w:r>
        <w:t xml:space="preserve"> </w:t>
      </w:r>
      <w:r>
        <w:t xml:space="preserve">первый рабочий день, следующий за</w:t>
      </w:r>
      <w:r>
        <w:t xml:space="preserve"> </w:t>
      </w:r>
      <w:r>
        <w:t xml:space="preserve">нерабочими днями</w:t>
      </w:r>
      <w:r>
        <w:t xml:space="preserve">.</w:t>
      </w:r>
      <w:r/>
    </w:p>
    <w:p>
      <w:pPr>
        <w:pStyle w:val="1180"/>
        <w:ind w:firstLine="567"/>
      </w:pPr>
      <w:r>
        <w:rPr>
          <w:b/>
          <w:bCs/>
        </w:rPr>
        <w:t xml:space="preserve">Переторжка</w:t>
      </w:r>
      <w:r>
        <w:t xml:space="preserve"> – </w:t>
      </w:r>
      <w:r>
        <w:t xml:space="preserve">опциональный этап </w:t>
      </w:r>
      <w:r>
        <w:t xml:space="preserve">закупки,</w:t>
      </w:r>
      <w:r>
        <w:t xml:space="preserve"> представляющий собой процедуру подачи Участниками дополнительных предложений с целью повысить их предпочтительность для Заказчика</w:t>
      </w:r>
      <w:r>
        <w:t xml:space="preserve">.</w:t>
      </w:r>
      <w:r/>
    </w:p>
    <w:p>
      <w:pPr>
        <w:pStyle w:val="1180"/>
        <w:ind w:firstLine="567"/>
        <w:rPr>
          <w:szCs w:val="26"/>
        </w:rPr>
      </w:pPr>
      <w:r>
        <w:rPr>
          <w:b/>
          <w:bCs/>
          <w:szCs w:val="26"/>
        </w:rPr>
        <w:t xml:space="preserve">Победитель</w:t>
      </w:r>
      <w:r>
        <w:rPr>
          <w:szCs w:val="26"/>
        </w:rPr>
        <w:t xml:space="preserve"> – </w:t>
      </w:r>
      <w:r>
        <w:rPr>
          <w:szCs w:val="26"/>
        </w:rPr>
        <w:t xml:space="preserve">У</w:t>
      </w:r>
      <w:r>
        <w:rPr>
          <w:szCs w:val="26"/>
        </w:rPr>
        <w:t xml:space="preserve">частник, заявка которого соответствует требованиям Документации о закупке и который предложил лучшие условия исполнения </w:t>
      </w:r>
      <w:r>
        <w:rPr>
          <w:szCs w:val="26"/>
        </w:rPr>
        <w:t xml:space="preserve">д</w:t>
      </w:r>
      <w:r>
        <w:rPr>
          <w:szCs w:val="26"/>
        </w:rPr>
        <w:t xml:space="preserve">оговора на</w:t>
      </w:r>
      <w:r>
        <w:rPr>
          <w:szCs w:val="26"/>
        </w:rPr>
        <w:t xml:space="preserve"> </w:t>
      </w:r>
      <w:r>
        <w:rPr>
          <w:szCs w:val="26"/>
        </w:rPr>
        <w:t xml:space="preserve">основании критериев оценки</w:t>
      </w:r>
      <w:r>
        <w:rPr>
          <w:szCs w:val="26"/>
        </w:rPr>
        <w:t xml:space="preserve"> </w:t>
      </w:r>
      <w:r>
        <w:rPr>
          <w:szCs w:val="26"/>
        </w:rPr>
        <w:t xml:space="preserve">в соответствии с Документацией о закупке</w:t>
      </w:r>
      <w:r>
        <w:rPr>
          <w:szCs w:val="26"/>
        </w:rPr>
        <w:t xml:space="preserve">.</w:t>
      </w:r>
      <w:r>
        <w:rPr>
          <w:szCs w:val="26"/>
        </w:rPr>
        <w:t xml:space="preserve"> </w:t>
      </w:r>
      <w:r>
        <w:rPr>
          <w:szCs w:val="26"/>
        </w:rPr>
        <w:t xml:space="preserve">В</w:t>
      </w:r>
      <w:r>
        <w:rPr>
          <w:szCs w:val="26"/>
        </w:rPr>
        <w:t xml:space="preserve"> случае признания закупки несостоявшейся </w:t>
      </w:r>
      <w:r>
        <w:rPr>
          <w:szCs w:val="26"/>
        </w:rPr>
        <w:t xml:space="preserve">Единственный </w:t>
      </w:r>
      <w:r>
        <w:rPr>
          <w:szCs w:val="26"/>
        </w:rPr>
        <w:t xml:space="preserve">участник такой закупки, с</w:t>
      </w:r>
      <w:r>
        <w:rPr>
          <w:szCs w:val="26"/>
        </w:rPr>
        <w:t xml:space="preserve"> </w:t>
      </w:r>
      <w:r>
        <w:rPr>
          <w:szCs w:val="26"/>
        </w:rPr>
        <w:t xml:space="preserve">которым Заказчик приня</w:t>
      </w:r>
      <w:r>
        <w:rPr>
          <w:szCs w:val="26"/>
        </w:rPr>
        <w:t xml:space="preserve">л</w:t>
      </w:r>
      <w:r>
        <w:rPr>
          <w:szCs w:val="26"/>
        </w:rPr>
        <w:t xml:space="preserve"> решение </w:t>
      </w:r>
      <w:r>
        <w:rPr>
          <w:szCs w:val="26"/>
        </w:rPr>
        <w:t xml:space="preserve">заключить</w:t>
      </w:r>
      <w:r>
        <w:rPr>
          <w:szCs w:val="26"/>
        </w:rPr>
        <w:t xml:space="preserve"> </w:t>
      </w:r>
      <w:r>
        <w:rPr>
          <w:szCs w:val="26"/>
        </w:rPr>
        <w:t xml:space="preserve">д</w:t>
      </w:r>
      <w:r>
        <w:rPr>
          <w:szCs w:val="26"/>
        </w:rPr>
        <w:t xml:space="preserve">оговор по результатам закупки</w:t>
      </w:r>
      <w:r>
        <w:rPr>
          <w:szCs w:val="26"/>
        </w:rPr>
        <w:t xml:space="preserve">, в</w:t>
      </w:r>
      <w:r>
        <w:rPr>
          <w:szCs w:val="26"/>
        </w:rPr>
        <w:t xml:space="preserve"> </w:t>
      </w:r>
      <w:r>
        <w:rPr>
          <w:szCs w:val="26"/>
        </w:rPr>
        <w:t xml:space="preserve">оговоренных Положением о</w:t>
      </w:r>
      <w:r>
        <w:rPr>
          <w:szCs w:val="26"/>
        </w:rPr>
        <w:t xml:space="preserve"> </w:t>
      </w:r>
      <w:r>
        <w:rPr>
          <w:szCs w:val="26"/>
        </w:rPr>
        <w:t xml:space="preserve">закупке случаях приобретает обязательства Победителя по</w:t>
      </w:r>
      <w:r>
        <w:rPr>
          <w:szCs w:val="26"/>
        </w:rPr>
        <w:t xml:space="preserve"> </w:t>
      </w:r>
      <w:r>
        <w:rPr>
          <w:szCs w:val="26"/>
        </w:rPr>
        <w:t xml:space="preserve">заключению </w:t>
      </w:r>
      <w:r>
        <w:rPr>
          <w:szCs w:val="26"/>
        </w:rPr>
        <w:t xml:space="preserve">д</w:t>
      </w:r>
      <w:r>
        <w:rPr>
          <w:szCs w:val="26"/>
        </w:rPr>
        <w:t xml:space="preserve">оговора</w:t>
      </w:r>
      <w:r>
        <w:rPr>
          <w:szCs w:val="26"/>
        </w:rPr>
        <w:t xml:space="preserve">.</w:t>
      </w:r>
      <w:r>
        <w:rPr>
          <w:szCs w:val="26"/>
        </w:rPr>
      </w:r>
      <w:r>
        <w:rPr>
          <w:szCs w:val="26"/>
        </w:rPr>
      </w:r>
    </w:p>
    <w:p>
      <w:pPr>
        <w:pStyle w:val="1180"/>
        <w:ind w:firstLine="567"/>
      </w:pPr>
      <w:r>
        <w:rPr>
          <w:b/>
          <w:bCs/>
        </w:rPr>
        <w:t xml:space="preserve">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r/>
    </w:p>
    <w:p>
      <w:pPr>
        <w:pStyle w:val="1180"/>
        <w:ind w:firstLine="567"/>
      </w:pPr>
      <w:r>
        <w:rPr>
          <w:b/>
          <w:bCs/>
        </w:rPr>
        <w:t xml:space="preserve">Пос</w:t>
      </w:r>
      <w:r>
        <w:rPr>
          <w:b/>
          <w:bCs/>
        </w:rPr>
        <w:t xml:space="preserve">тквалификация</w:t>
      </w:r>
      <w:r>
        <w:t xml:space="preserve"> – </w:t>
      </w:r>
      <w:r>
        <w:t xml:space="preserve">процедура дополнительной проверки Участника </w:t>
      </w:r>
      <w:r>
        <w:t xml:space="preserve">перед выбором его Победителем </w:t>
      </w:r>
      <w:r>
        <w:t xml:space="preserve">на</w:t>
      </w:r>
      <w:r>
        <w:t xml:space="preserve"> подтверждения его соответствия квалификационным требованиям,</w:t>
      </w:r>
      <w:r>
        <w:t xml:space="preserve"> </w:t>
      </w:r>
      <w:r>
        <w:t xml:space="preserve">установленным в Документации о закупке.</w:t>
      </w:r>
      <w:r/>
    </w:p>
    <w:p>
      <w:pPr>
        <w:pStyle w:val="1180"/>
        <w:ind w:firstLine="567"/>
      </w:pPr>
      <w:r>
        <w:rPr>
          <w:b/>
          <w:bCs/>
        </w:rPr>
        <w:t xml:space="preserve">Предмет закупки</w:t>
      </w:r>
      <w:r>
        <w:rPr>
          <w:b/>
          <w:bCs/>
        </w:rPr>
        <w:t xml:space="preserve"> /</w:t>
      </w:r>
      <w:r>
        <w:rPr>
          <w:b/>
          <w:bCs/>
        </w:rPr>
        <w:t xml:space="preserve"> предмет договора</w:t>
      </w:r>
      <w:r>
        <w:t xml:space="preserve"> – </w:t>
      </w:r>
      <w:r>
        <w:t xml:space="preserve">конкретная продукция, которую предполагается закупить в объеме и на условиях, определенных Заказчиком</w:t>
      </w:r>
      <w:r>
        <w:t xml:space="preserve">.</w:t>
      </w:r>
      <w:r/>
    </w:p>
    <w:p>
      <w:pPr>
        <w:pStyle w:val="1180"/>
        <w:ind w:firstLine="567"/>
      </w:pPr>
      <w:r>
        <w:rPr>
          <w:b/>
          <w:bCs/>
        </w:rPr>
        <w:t xml:space="preserve">Применение законодательства о национальном режиме</w:t>
      </w:r>
      <w: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w:t>
      </w:r>
      <w:r>
        <w:t xml:space="preserve"> </w:t>
      </w:r>
      <w:r>
        <w:t xml:space="preserve">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xml:space="preserve"> </w:t>
      </w:r>
      <w:r>
        <w:t xml:space="preserve">соответствии с нормами, установленными законодательством.</w:t>
      </w:r>
      <w:r/>
    </w:p>
    <w:p>
      <w:pPr>
        <w:pStyle w:val="1180"/>
        <w:ind w:firstLine="567"/>
      </w:pPr>
      <w:r>
        <w:rPr>
          <w:b/>
          <w:bCs/>
        </w:rPr>
        <w:t xml:space="preserve">Программное обеспечение</w:t>
      </w:r>
      <w:r>
        <w:t xml:space="preserve"> – программное обеспечение, включенное в единый реестр </w:t>
      </w:r>
      <w:r>
        <w:t xml:space="preserve">Минцифры</w:t>
      </w:r>
      <w:r>
        <w:t xml:space="preserve"> России</w:t>
      </w:r>
      <w:r>
        <w:t xml:space="preserve"> </w:t>
      </w:r>
      <w:r>
        <w:t xml:space="preserve">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r/>
    </w:p>
    <w:p>
      <w:pPr>
        <w:pStyle w:val="1180"/>
        <w:ind w:firstLine="567"/>
      </w:pPr>
      <w:r>
        <w:rPr>
          <w:b/>
          <w:bCs/>
        </w:rPr>
        <w:t xml:space="preserve">Продукция</w:t>
      </w:r>
      <w:r>
        <w:t xml:space="preserve"> – </w:t>
      </w:r>
      <w:r>
        <w:t xml:space="preserve">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 xml:space="preserve">.</w:t>
      </w:r>
      <w:r/>
    </w:p>
    <w:p>
      <w:pPr>
        <w:pStyle w:val="1180"/>
        <w:ind w:firstLine="567"/>
      </w:pPr>
      <w:r>
        <w:rPr>
          <w:b/>
          <w:bCs/>
        </w:rPr>
        <w:t xml:space="preserve">Реестр аккредитации</w:t>
      </w:r>
      <w:r>
        <w:t xml:space="preserve"> – перечень </w:t>
      </w:r>
      <w:r>
        <w:t xml:space="preserve">лиц – </w:t>
      </w:r>
      <w:r>
        <w:t xml:space="preserve">Заявителей, подававших Заявки на</w:t>
      </w:r>
      <w:r>
        <w:t xml:space="preserve"> </w:t>
      </w:r>
      <w:r>
        <w:t xml:space="preserve">аккредитацию с</w:t>
      </w:r>
      <w:r>
        <w:t xml:space="preserve"> </w:t>
      </w:r>
      <w:r>
        <w:t xml:space="preserve">указанием </w:t>
      </w:r>
      <w:r>
        <w:t xml:space="preserve">в отношении них </w:t>
      </w:r>
      <w:r>
        <w:t xml:space="preserve">результатов процедуры </w:t>
      </w:r>
      <w:r>
        <w:t xml:space="preserve">а</w:t>
      </w:r>
      <w:r>
        <w:t xml:space="preserve">ккредитации.</w:t>
      </w:r>
      <w:r/>
    </w:p>
    <w:p>
      <w:pPr>
        <w:pStyle w:val="1180"/>
        <w:ind w:firstLine="567"/>
      </w:pPr>
      <w:r>
        <w:rPr>
          <w:b/>
          <w:bCs/>
        </w:rPr>
        <w:t xml:space="preserve">Субъект малого и среднего предпринимательства</w:t>
      </w:r>
      <w:r>
        <w:t xml:space="preserve"> – определяется в соответствии с </w:t>
      </w:r>
      <w:r>
        <w:t xml:space="preserve">Законом</w:t>
      </w:r>
      <w:r>
        <w:t xml:space="preserve"> 209-ФЗ. Все условия и требования данной Документации о закупке, относящиеся к субъектам МСП, распространяются также на</w:t>
      </w:r>
      <w:r>
        <w:t xml:space="preserve"> </w:t>
      </w:r>
      <w:r>
        <w:t xml:space="preserve">физических лиц, не</w:t>
      </w:r>
      <w:r>
        <w:t xml:space="preserve"> </w:t>
      </w:r>
      <w:r>
        <w:t xml:space="preserve">являющихся индивидуальными предпринимателями и применяющих специальный </w:t>
      </w:r>
      <w:r>
        <w:t xml:space="preserve">налоговый режим «Налог на профессиональный доход»</w:t>
      </w:r>
      <w:r>
        <w:rPr>
          <w:rStyle w:val="1188"/>
        </w:rPr>
        <w:footnoteReference w:id="3"/>
      </w:r>
      <w:r>
        <w:t xml:space="preserve">, если иное не установлено в</w:t>
      </w:r>
      <w:r>
        <w:t xml:space="preserve"> </w:t>
      </w:r>
      <w:r>
        <w:t xml:space="preserve">Документации о закупке.</w:t>
      </w:r>
      <w:r/>
    </w:p>
    <w:p>
      <w:pPr>
        <w:pStyle w:val="1180"/>
        <w:ind w:firstLine="567"/>
      </w:pPr>
      <w:r>
        <w:rPr>
          <w:b/>
          <w:bCs/>
        </w:rPr>
        <w:t xml:space="preserve">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r/>
    </w:p>
    <w:p>
      <w:pPr>
        <w:pStyle w:val="1180"/>
        <w:ind w:firstLine="567"/>
      </w:pPr>
      <w:r>
        <w:rPr>
          <w:b/>
          <w:bCs/>
        </w:rPr>
        <w:t xml:space="preserve">Участник</w:t>
      </w:r>
      <w:r>
        <w:t xml:space="preserve"> – </w:t>
      </w:r>
      <w: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t xml:space="preserve"> (</w:t>
      </w:r>
      <w:r>
        <w:t xml:space="preserve">за исключением юридического лица, являющегося иностранным агентом в</w:t>
      </w:r>
      <w:r>
        <w:t xml:space="preserve"> </w:t>
      </w:r>
      <w:r>
        <w:t xml:space="preserve">соответствии с </w:t>
      </w:r>
      <w:r>
        <w:t xml:space="preserve">Законом</w:t>
      </w:r>
      <w:r>
        <w:t xml:space="preserve"> </w:t>
      </w:r>
      <w:r>
        <w:t xml:space="preserve">255-ФЗ</w:t>
      </w:r>
      <w:r>
        <w:t xml:space="preserve">)</w:t>
      </w:r>
      <w: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 xml:space="preserve"> (</w:t>
      </w:r>
      <w:r>
        <w:t xml:space="preserve">за исключением физического лица, являющегося иностранным агентом в</w:t>
      </w:r>
      <w:r>
        <w:t xml:space="preserve"> </w:t>
      </w:r>
      <w:r>
        <w:t xml:space="preserve">соответствии с</w:t>
      </w:r>
      <w:r>
        <w:t xml:space="preserve"> Законом</w:t>
      </w:r>
      <w:r>
        <w:t xml:space="preserve"> </w:t>
      </w:r>
      <w:r>
        <w:t xml:space="preserve">255-ФЗ</w:t>
      </w:r>
      <w:r>
        <w:t xml:space="preserve">)</w:t>
      </w:r>
      <w:r>
        <w:t xml:space="preserve">, выразившее заинтересованность в участии в закупке (посредством получения Документации о</w:t>
      </w:r>
      <w:r>
        <w:t xml:space="preserve"> </w:t>
      </w:r>
      <w:r>
        <w:t xml:space="preserve">закупке, направления запроса о разъяснении Документации о закупке, внесения обеспечения заявки или подачи заявки на участие в закупке)</w:t>
      </w:r>
      <w:r>
        <w:t xml:space="preserve">.</w:t>
      </w:r>
      <w:r/>
    </w:p>
    <w:p>
      <w:pPr>
        <w:pStyle w:val="1174"/>
      </w:pPr>
      <w:r/>
      <w:bookmarkStart w:id="2" w:name="_Ref125359988"/>
      <w:r/>
      <w:bookmarkStart w:id="3" w:name="_Toc232579409"/>
      <w:r>
        <w:t xml:space="preserve">Основные сведения о закупке</w:t>
      </w:r>
      <w:bookmarkEnd w:id="2"/>
      <w:r/>
      <w:bookmarkEnd w:id="3"/>
      <w:r/>
      <w:r/>
    </w:p>
    <w:p>
      <w:pPr>
        <w:pStyle w:val="1175"/>
      </w:pPr>
      <w:r/>
      <w:bookmarkStart w:id="4" w:name="_Toc232579410"/>
      <w:r>
        <w:t xml:space="preserve">Статус настоящего раздела</w:t>
      </w:r>
      <w:bookmarkEnd w:id="4"/>
      <w:r/>
      <w:r/>
    </w:p>
    <w:p>
      <w:pPr>
        <w:pStyle w:val="1176"/>
      </w:pPr>
      <w:r>
        <w:t xml:space="preserve">В настоящем разделе содержатся основные сведения о предмете, способе и иных ключевых условиях проводимой закупки.</w:t>
      </w:r>
      <w:r/>
    </w:p>
    <w:p>
      <w:pPr>
        <w:pStyle w:val="1176"/>
      </w:pPr>
      <w:r>
        <w:t xml:space="preserve">Здесь и далее все </w:t>
      </w:r>
      <w:r>
        <w:t xml:space="preserve">используемые </w:t>
      </w:r>
      <w:r>
        <w:t xml:space="preserve">ссылки относятся к соответствующим пунктам, разделам и подразделам Документации о закупке, если прямо не </w:t>
      </w:r>
      <w:r>
        <w:t xml:space="preserve">указано</w:t>
      </w:r>
      <w:r>
        <w:t xml:space="preserve"> иное</w:t>
      </w:r>
      <w:r>
        <w:t xml:space="preserve">; ссылки на приложения относятся к</w:t>
      </w:r>
      <w:r>
        <w:t xml:space="preserve"> </w:t>
      </w:r>
      <w:r>
        <w:t xml:space="preserve">соответствующим приложениям к</w:t>
      </w:r>
      <w:r>
        <w:t xml:space="preserve"> </w:t>
      </w:r>
      <w:r>
        <w:t xml:space="preserve">Документации о закупке, если прямо не</w:t>
      </w:r>
      <w:r>
        <w:t xml:space="preserve"> </w:t>
      </w:r>
      <w:r>
        <w:t xml:space="preserve">указано иное.</w:t>
      </w:r>
      <w:r>
        <w:t xml:space="preserve"> Ссылки на статьи, пункты и разделы, используемые в</w:t>
      </w:r>
      <w:r>
        <w:t xml:space="preserve"> </w:t>
      </w:r>
      <w:hyperlink w:tooltip="#Прил01_ТехТребования" w:anchor="Прил01_ТехТребования" w:history="1">
        <w:r>
          <w:rPr>
            <w:rStyle w:val="1204"/>
          </w:rPr>
          <w:t xml:space="preserve">Технически</w:t>
        </w:r>
        <w:r>
          <w:rPr>
            <w:rStyle w:val="1204"/>
          </w:rPr>
          <w:t xml:space="preserve">х</w:t>
        </w:r>
        <w:r>
          <w:rPr>
            <w:rStyle w:val="1204"/>
          </w:rPr>
          <w:t xml:space="preserve"> требовани</w:t>
        </w:r>
        <w:r>
          <w:rPr>
            <w:rStyle w:val="1204"/>
          </w:rPr>
          <w:t xml:space="preserve">ях (Приложение № 1)</w:t>
        </w:r>
      </w:hyperlink>
      <w:r>
        <w:rPr>
          <w:rStyle w:val="1204"/>
        </w:rPr>
        <w:t xml:space="preserve">,</w:t>
      </w:r>
      <w:r>
        <w:t xml:space="preserve"> </w:t>
      </w:r>
      <w:r>
        <w:t xml:space="preserve">в </w:t>
      </w:r>
      <w:hyperlink w:tooltip="#Прил02_ПроектДоговора" w:anchor="Прил02_ПроектДоговора" w:history="1">
        <w:r>
          <w:rPr>
            <w:rStyle w:val="1204"/>
          </w:rPr>
          <w:t xml:space="preserve">П</w:t>
        </w:r>
        <w:r>
          <w:rPr>
            <w:rStyle w:val="1204"/>
          </w:rPr>
          <w:t xml:space="preserve">роект</w:t>
        </w:r>
        <w:r>
          <w:rPr>
            <w:rStyle w:val="1204"/>
          </w:rPr>
          <w:t xml:space="preserve">е</w:t>
        </w:r>
        <w:r>
          <w:rPr>
            <w:rStyle w:val="1204"/>
          </w:rPr>
          <w:t xml:space="preserve"> </w:t>
        </w:r>
        <w:r>
          <w:rPr>
            <w:rStyle w:val="1204"/>
          </w:rPr>
          <w:t xml:space="preserve">д</w:t>
        </w:r>
        <w:r>
          <w:rPr>
            <w:rStyle w:val="1204"/>
          </w:rPr>
          <w:t xml:space="preserve">оговора</w:t>
        </w:r>
        <w:r>
          <w:rPr>
            <w:rStyle w:val="1204"/>
          </w:rPr>
          <w:t xml:space="preserve"> (Приложение № 2)</w:t>
        </w:r>
      </w:hyperlink>
      <w:r>
        <w:t xml:space="preserve"> и иных приложениях к</w:t>
      </w:r>
      <w:r>
        <w:t xml:space="preserve"> </w:t>
      </w:r>
      <w:r>
        <w:t xml:space="preserve">Документации о закупке</w:t>
      </w:r>
      <w:r>
        <w:t xml:space="preserve">,</w:t>
      </w:r>
      <w:r>
        <w:t xml:space="preserve"> относятся соответственно к статьям, пунктам и разделам </w:t>
      </w:r>
      <w:r>
        <w:t xml:space="preserve">этих </w:t>
      </w:r>
      <w:r>
        <w:t xml:space="preserve">приложений</w:t>
      </w:r>
      <w:r>
        <w:t xml:space="preserve"> к Документации о закупке</w:t>
      </w:r>
      <w:r>
        <w:t xml:space="preserve">.</w:t>
      </w:r>
      <w:r>
        <w:t xml:space="preserve"> Все приложения к</w:t>
      </w:r>
      <w:r>
        <w:t xml:space="preserve"> </w:t>
      </w:r>
      <w:r>
        <w:t xml:space="preserve">Документации о закупке являются ее неотъемлемыми частями.</w:t>
      </w:r>
      <w:r/>
    </w:p>
    <w:p>
      <w:pPr>
        <w:pStyle w:val="1176"/>
      </w:pPr>
      <w:r/>
      <w:bookmarkStart w:id="5" w:name="_Ref136768031"/>
      <w:r>
        <w:t xml:space="preserve">Информация о проводимой закупке, указанная в подразделе </w:t>
      </w:r>
      <w:r>
        <w:fldChar w:fldCharType="begin"/>
      </w:r>
      <w:r>
        <w:instrText xml:space="preserve"> REF _Ref125359973 \r \h </w:instrText>
      </w:r>
      <w:r>
        <w:fldChar w:fldCharType="separate"/>
      </w:r>
      <w:r>
        <w:t xml:space="preserve">1.2</w:t>
      </w:r>
      <w:r>
        <w:fldChar w:fldCharType="end"/>
      </w:r>
      <w:r>
        <w:t xml:space="preserve">, в объеме, определенном частью 9 статьи 4 Закона 223-ФЗ, составляет </w:t>
      </w:r>
      <w:r>
        <w:t xml:space="preserve">И</w:t>
      </w:r>
      <w:r>
        <w:t xml:space="preserve">звещение</w:t>
      </w:r>
      <w:r>
        <w:t xml:space="preserve"> о</w:t>
      </w:r>
      <w:r>
        <w:t xml:space="preserve"> </w:t>
      </w:r>
      <w:r>
        <w:t xml:space="preserve">закупке</w:t>
      </w:r>
      <w:r>
        <w:t xml:space="preserve">.</w:t>
      </w:r>
      <w:bookmarkEnd w:id="5"/>
      <w:r/>
      <w:r/>
    </w:p>
    <w:p>
      <w:pPr>
        <w:pStyle w:val="1175"/>
        <w:spacing w:after="120"/>
      </w:pPr>
      <w:r/>
      <w:bookmarkStart w:id="6" w:name="_Ref125359973"/>
      <w:r/>
      <w:bookmarkStart w:id="7" w:name="_Ref127270076"/>
      <w:r/>
      <w:bookmarkStart w:id="8" w:name="_Toc232579411"/>
      <w:r>
        <w:t xml:space="preserve">Информация о проводимой закупке</w:t>
      </w:r>
      <w:bookmarkEnd w:id="6"/>
      <w:r/>
      <w:bookmarkEnd w:id="7"/>
      <w:r/>
      <w:bookmarkEnd w:id="8"/>
      <w:r/>
      <w:r/>
    </w:p>
    <w:tbl>
      <w:tblPr>
        <w:tblStyle w:val="1201"/>
        <w:tblW w:w="0" w:type="auto"/>
        <w:tblLayout w:type="fixed"/>
        <w:tblLook w:val="04A0" w:firstRow="1" w:lastRow="0" w:firstColumn="1" w:lastColumn="0" w:noHBand="0" w:noVBand="1"/>
      </w:tblPr>
      <w:tblGrid>
        <w:gridCol w:w="846"/>
        <w:gridCol w:w="3232"/>
        <w:gridCol w:w="5676"/>
      </w:tblGrid>
      <w:tr>
        <w:tblPrEx/>
        <w:trPr/>
        <w:tc>
          <w:tcPr>
            <w:tcW w:w="846" w:type="dxa"/>
            <w:textDirection w:val="lrTb"/>
            <w:noWrap w:val="false"/>
          </w:tcPr>
          <w:p>
            <w:pPr>
              <w:pStyle w:val="1180"/>
              <w:jc w:val="center"/>
            </w:pPr>
            <w:r>
              <w:t xml:space="preserve">№</w:t>
            </w:r>
            <w:r>
              <w:br/>
              <w:t xml:space="preserve">п/п</w:t>
            </w:r>
            <w:r/>
          </w:p>
        </w:tc>
        <w:tc>
          <w:tcPr>
            <w:tcW w:w="3232" w:type="dxa"/>
            <w:textDirection w:val="lrTb"/>
            <w:noWrap w:val="false"/>
          </w:tcPr>
          <w:p>
            <w:pPr>
              <w:pStyle w:val="1180"/>
              <w:jc w:val="center"/>
            </w:pPr>
            <w:r>
              <w:t xml:space="preserve">Наименование пункта</w:t>
            </w:r>
            <w:r/>
          </w:p>
        </w:tc>
        <w:tc>
          <w:tcPr>
            <w:tcW w:w="5676" w:type="dxa"/>
            <w:textDirection w:val="lrTb"/>
            <w:noWrap w:val="false"/>
          </w:tcPr>
          <w:p>
            <w:pPr>
              <w:pStyle w:val="1180"/>
              <w:jc w:val="center"/>
            </w:pPr>
            <w:r>
              <w:t xml:space="preserve">Содержание пункта</w:t>
            </w:r>
            <w:r/>
          </w:p>
        </w:tc>
      </w:tr>
      <w:tr>
        <w:tblPrEx/>
        <w:trPr/>
        <w:tc>
          <w:tcPr>
            <w:tcW w:w="846" w:type="dxa"/>
            <w:textDirection w:val="lrTb"/>
            <w:noWrap w:val="false"/>
          </w:tcPr>
          <w:p>
            <w:pPr>
              <w:pStyle w:val="1176"/>
            </w:pPr>
            <w:r/>
            <w:bookmarkStart w:id="9" w:name="_Ref125360980"/>
            <w:r/>
            <w:bookmarkEnd w:id="9"/>
            <w:r/>
            <w:r/>
          </w:p>
        </w:tc>
        <w:tc>
          <w:tcPr>
            <w:tcW w:w="3232" w:type="dxa"/>
            <w:textDirection w:val="lrTb"/>
            <w:noWrap w:val="false"/>
          </w:tcPr>
          <w:p>
            <w:pPr>
              <w:pStyle w:val="1180"/>
              <w:jc w:val="left"/>
            </w:pPr>
            <w:r>
              <w:t xml:space="preserve">Способ закупки</w:t>
            </w:r>
            <w:r>
              <w:t xml:space="preserve">:</w:t>
            </w:r>
            <w:r/>
          </w:p>
        </w:tc>
        <w:tc>
          <w:tcPr>
            <w:tcW w:w="5676" w:type="dxa"/>
            <w:textDirection w:val="lrTb"/>
            <w:noWrap w:val="false"/>
          </w:tcPr>
          <w:p>
            <w:pPr>
              <w:pStyle w:val="1180"/>
            </w:pPr>
            <w:r>
              <w:t xml:space="preserve">Запрос предложений в электронной форме.</w:t>
            </w:r>
            <w:r/>
          </w:p>
        </w:tc>
      </w:tr>
      <w:tr>
        <w:tblPrEx/>
        <w:trPr/>
        <w:tc>
          <w:tcPr>
            <w:tcW w:w="846" w:type="dxa"/>
            <w:textDirection w:val="lrTb"/>
            <w:noWrap w:val="false"/>
          </w:tcPr>
          <w:p>
            <w:pPr>
              <w:pStyle w:val="1176"/>
            </w:pPr>
            <w:r/>
            <w:bookmarkStart w:id="10" w:name="_Ref125360996"/>
            <w:r/>
            <w:bookmarkEnd w:id="10"/>
            <w:r/>
            <w:r/>
          </w:p>
        </w:tc>
        <w:tc>
          <w:tcPr>
            <w:tcW w:w="3232" w:type="dxa"/>
            <w:textDirection w:val="lrTb"/>
            <w:noWrap w:val="false"/>
          </w:tcPr>
          <w:p>
            <w:pPr>
              <w:pStyle w:val="1180"/>
              <w:jc w:val="left"/>
            </w:pPr>
            <w:r>
              <w:t xml:space="preserve">Предмет Договора</w:t>
            </w:r>
            <w:r>
              <w:br/>
            </w:r>
            <w:r>
              <w:t xml:space="preserve">(</w:t>
            </w:r>
            <w:r>
              <w:t xml:space="preserve">в том числе </w:t>
            </w:r>
            <w:r>
              <w:t xml:space="preserve">номер лота</w:t>
            </w:r>
            <w:r>
              <w:t xml:space="preserve">)</w:t>
            </w:r>
            <w:r>
              <w:t xml:space="preserve">:</w:t>
            </w:r>
            <w:r/>
          </w:p>
        </w:tc>
        <w:tc>
          <w:tcPr>
            <w:tcW w:w="5676" w:type="dxa"/>
            <w:textDirection w:val="lrTb"/>
            <w:noWrap w:val="false"/>
          </w:tcPr>
          <w:p>
            <w:pPr>
              <w:pStyle w:val="1180"/>
              <w:rPr>
                <w:szCs w:val="26"/>
                <w:highlight w:val="white"/>
              </w:rPr>
            </w:pPr>
            <w:r>
              <w:rPr>
                <w:szCs w:val="26"/>
                <w:highlight w:val="white"/>
              </w:rPr>
              <w:t xml:space="preserve">Лот </w:t>
            </w:r>
            <w:r>
              <w:rPr>
                <w:szCs w:val="26"/>
                <w:highlight w:val="white"/>
              </w:rPr>
              <w:t xml:space="preserve">№</w:t>
            </w:r>
            <w:r>
              <w:rPr>
                <w:rFonts w:eastAsia="Times New Roman" w:cs="Times New Roman"/>
                <w:szCs w:val="26"/>
                <w:highlight w:val="white"/>
              </w:rPr>
              <w:t xml:space="preserve"> </w:t>
            </w:r>
            <w:hyperlink r:id="rId12" w:tooltip="https://nbt.rushydro.ru/Planning/Program/View/404732?returnUrl=%2FProcurement%2FPurchaseInformation%2FUpdate%2F84003%3FreturnUrl%3D%252FProcurement%252FPurchaseInformation%253Fpage%253D1%2526pageSize%253D50%2526LotIndex%253D22129006%23DocumentationLots" w:history="1">
              <w:r>
                <w:rPr>
                  <w:szCs w:val="26"/>
                  <w:highlight w:val="white"/>
                </w:rPr>
              </w:r>
              <w:r>
                <w:rPr>
                  <w:szCs w:val="26"/>
                  <w:highlight w:val="white"/>
                </w:rPr>
              </w:r>
              <w:r>
                <w:rPr>
                  <w:szCs w:val="26"/>
                  <w:highlight w:val="white"/>
                </w:rPr>
                <w:t xml:space="preserve">41020024-ЭКСП ОРГ-2026-ДГК-ХТЭЦ1</w:t>
              </w:r>
              <w:r>
                <w:rPr>
                  <w:szCs w:val="26"/>
                  <w:highlight w:val="white"/>
                </w:rPr>
              </w:r>
              <w:r>
                <w:rPr>
                  <w:szCs w:val="26"/>
                  <w:highlight w:val="white"/>
                </w:rPr>
              </w:r>
            </w:hyperlink>
            <w:r>
              <w:rPr>
                <w:szCs w:val="26"/>
                <w:highlight w:val="white"/>
              </w:rPr>
              <w:t xml:space="preserve">:</w:t>
            </w:r>
            <w:r>
              <w:rPr>
                <w:rFonts w:eastAsia="Times New Roman" w:cs="Times New Roman"/>
                <w:szCs w:val="26"/>
                <w:highlight w:val="white"/>
              </w:rPr>
              <w:t xml:space="preserve"> </w:t>
            </w:r>
            <w:r>
              <w:rPr>
                <w:szCs w:val="26"/>
                <w:highlight w:val="white"/>
              </w:rPr>
              <w:t xml:space="preserve">«</w:t>
            </w:r>
            <w:r>
              <w:rPr>
                <w:szCs w:val="26"/>
                <w:highlight w:val="white"/>
              </w:rPr>
              <w:t xml:space="preserve">ОКПД2 38.22.19.000 Оказание услуг по вывозу и утилизации опасных отходов для Хабаровской ТЭЦ-1, г. Хабаровск</w:t>
            </w:r>
            <w:r>
              <w:rPr>
                <w:rFonts w:eastAsia="Times New Roman" w:cs="Times New Roman"/>
                <w:szCs w:val="26"/>
                <w:highlight w:val="white"/>
              </w:rPr>
              <w:t xml:space="preserve">»</w:t>
            </w:r>
            <w:r>
              <w:rPr>
                <w:szCs w:val="26"/>
                <w:highlight w:val="white"/>
              </w:rPr>
            </w:r>
            <w:r>
              <w:rPr>
                <w:szCs w:val="26"/>
                <w:highlight w:val="white"/>
              </w:rPr>
            </w:r>
          </w:p>
        </w:tc>
      </w:tr>
      <w:tr>
        <w:tblPrEx/>
        <w:trPr/>
        <w:tc>
          <w:tcPr>
            <w:tcW w:w="846" w:type="dxa"/>
            <w:textDirection w:val="lrTb"/>
            <w:noWrap w:val="false"/>
          </w:tcPr>
          <w:p>
            <w:pPr>
              <w:pStyle w:val="1176"/>
            </w:pPr>
            <w:r/>
            <w:bookmarkStart w:id="11" w:name="_Ref135729276"/>
            <w:r/>
            <w:bookmarkEnd w:id="11"/>
            <w:r/>
            <w:r/>
          </w:p>
        </w:tc>
        <w:tc>
          <w:tcPr>
            <w:tcW w:w="3232" w:type="dxa"/>
            <w:textDirection w:val="lrTb"/>
            <w:noWrap w:val="false"/>
          </w:tcPr>
          <w:p>
            <w:pPr>
              <w:pStyle w:val="1180"/>
              <w:jc w:val="left"/>
            </w:pPr>
            <w:r>
              <w:t xml:space="preserve">О</w:t>
            </w:r>
            <w:r>
              <w:t xml:space="preserve">писание</w:t>
            </w:r>
            <w:r>
              <w:br/>
            </w:r>
            <w:r>
              <w:t xml:space="preserve">предмета закупки</w:t>
            </w:r>
            <w:r>
              <w:t xml:space="preserve">:</w:t>
            </w:r>
            <w:r/>
          </w:p>
        </w:tc>
        <w:tc>
          <w:tcPr>
            <w:tcW w:w="5676" w:type="dxa"/>
            <w:textDirection w:val="lrTb"/>
            <w:noWrap w:val="false"/>
          </w:tcPr>
          <w:p>
            <w:pPr>
              <w:pStyle w:val="1180"/>
            </w:pPr>
            <w:r>
              <w:t xml:space="preserve">Подробное </w:t>
            </w:r>
            <w:r>
              <w:t xml:space="preserve">описани</w:t>
            </w:r>
            <w:r>
              <w:t xml:space="preserve">е</w:t>
            </w:r>
            <w:r>
              <w:t xml:space="preserve"> предмета закупки</w:t>
            </w:r>
            <w:r>
              <w:t xml:space="preserve">, в том числе</w:t>
            </w:r>
            <w:r>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xml:space="preserve"> </w:t>
            </w:r>
            <w:r>
              <w:t xml:space="preserve">необходимости) предмета закупки</w:t>
            </w:r>
            <w:r>
              <w:t xml:space="preserve">, и</w:t>
            </w:r>
            <w:r>
              <w:t xml:space="preserve">нформация о к</w:t>
            </w:r>
            <w:r>
              <w:t xml:space="preserve">оличеств</w:t>
            </w:r>
            <w:r>
              <w:t xml:space="preserve">е</w:t>
            </w:r>
            <w:r>
              <w:t xml:space="preserve"> поставляемого товара, объема выполняем</w:t>
            </w:r>
            <w:r>
              <w:t xml:space="preserve">ых</w:t>
            </w:r>
            <w:r>
              <w:t xml:space="preserve"> работ, оказываем</w:t>
            </w:r>
            <w:r>
              <w:t xml:space="preserve">ых</w:t>
            </w:r>
            <w:r>
              <w:t xml:space="preserve"> услуг</w:t>
            </w:r>
            <w:r>
              <w:t xml:space="preserve">, а также </w:t>
            </w:r>
            <w:r>
              <w:t xml:space="preserve">место поставки товара, выполнения работы, оказания услуги</w:t>
            </w:r>
            <w:r>
              <w:t xml:space="preserve">, содержится в </w:t>
            </w:r>
            <w:hyperlink w:tooltip="#Прил01_ТехТребования" w:anchor="Прил01_ТехТребования" w:history="1">
              <w:r>
                <w:rPr>
                  <w:rStyle w:val="1204"/>
                </w:rPr>
                <w:t xml:space="preserve">Технических требованиях (Приложении № 1)</w:t>
              </w:r>
            </w:hyperlink>
            <w:r>
              <w:t xml:space="preserve">.</w:t>
            </w:r>
            <w:r/>
          </w:p>
        </w:tc>
      </w:tr>
      <w:tr>
        <w:tblPrEx/>
        <w:trPr/>
        <w:tc>
          <w:tcPr>
            <w:tcW w:w="846" w:type="dxa"/>
            <w:textDirection w:val="lrTb"/>
            <w:noWrap w:val="false"/>
          </w:tcPr>
          <w:p>
            <w:pPr>
              <w:pStyle w:val="1176"/>
            </w:pPr>
            <w:r/>
            <w:bookmarkStart w:id="12" w:name="_Ref125367124"/>
            <w:r/>
            <w:bookmarkEnd w:id="12"/>
            <w:r/>
            <w:r/>
          </w:p>
        </w:tc>
        <w:tc>
          <w:tcPr>
            <w:tcW w:w="3232" w:type="dxa"/>
            <w:textDirection w:val="lrTb"/>
            <w:noWrap w:val="false"/>
          </w:tcPr>
          <w:p>
            <w:pPr>
              <w:pStyle w:val="1180"/>
              <w:jc w:val="left"/>
            </w:pPr>
            <w:r>
              <w:t xml:space="preserve">Многолотовая</w:t>
            </w:r>
            <w:r>
              <w:t xml:space="preserve"> закупка</w:t>
            </w:r>
            <w:r>
              <w:t xml:space="preserve">:</w:t>
            </w:r>
            <w:r/>
          </w:p>
        </w:tc>
        <w:tc>
          <w:tcPr>
            <w:tcW w:w="5676" w:type="dxa"/>
            <w:textDirection w:val="lrTb"/>
            <w:noWrap w:val="false"/>
          </w:tcPr>
          <w:p>
            <w:pPr>
              <w:pStyle w:val="1180"/>
              <w:rPr>
                <w:lang w:val="en-US"/>
              </w:rPr>
            </w:pPr>
            <w:r>
              <w:t xml:space="preserve">Нет</w:t>
            </w:r>
            <w:r>
              <w:rPr>
                <w:lang w:val="en-US"/>
              </w:rPr>
              <w:t xml:space="preserve">.</w:t>
            </w:r>
            <w:r>
              <w:rPr>
                <w:lang w:val="en-US"/>
              </w:rPr>
            </w:r>
            <w:r>
              <w:rPr>
                <w:lang w:val="en-US"/>
              </w:rPr>
            </w:r>
          </w:p>
        </w:tc>
      </w:tr>
      <w:tr>
        <w:tblPrEx/>
        <w:trPr/>
        <w:tc>
          <w:tcPr>
            <w:tcW w:w="846" w:type="dxa"/>
            <w:textDirection w:val="lrTb"/>
            <w:noWrap w:val="false"/>
          </w:tcPr>
          <w:p>
            <w:pPr>
              <w:pStyle w:val="1176"/>
            </w:pPr>
            <w:r/>
            <w:bookmarkStart w:id="13" w:name="_Ref125360764"/>
            <w:r/>
            <w:bookmarkEnd w:id="13"/>
            <w:r/>
            <w:r/>
          </w:p>
        </w:tc>
        <w:tc>
          <w:tcPr>
            <w:tcW w:w="3232" w:type="dxa"/>
            <w:textDirection w:val="lrTb"/>
            <w:noWrap w:val="false"/>
          </w:tcPr>
          <w:p>
            <w:pPr>
              <w:pStyle w:val="1180"/>
              <w:jc w:val="left"/>
            </w:pPr>
            <w:r>
              <w:t xml:space="preserve">Наименование и адрес ЭП,</w:t>
            </w:r>
            <w:r>
              <w:t xml:space="preserve"> на которой проводится закупка:</w:t>
            </w:r>
            <w:r/>
          </w:p>
        </w:tc>
        <w:tc>
          <w:tcPr>
            <w:tcW w:w="5676" w:type="dxa"/>
            <w:textDirection w:val="lrTb"/>
            <w:noWrap w:val="false"/>
          </w:tcPr>
          <w:p>
            <w:pPr>
              <w:pStyle w:val="1180"/>
            </w:pPr>
            <w:r>
              <w:t xml:space="preserve">Электронная площадка:</w:t>
            </w:r>
            <w:r/>
          </w:p>
          <w:p>
            <w:pPr>
              <w:pStyle w:val="1180"/>
            </w:pPr>
            <w:r/>
            <w:hyperlink r:id="rId13" w:tooltip="https://rushydro.roseltorg.ru" w:history="1">
              <w:r>
                <w:rPr>
                  <w:rStyle w:val="1190"/>
                </w:rPr>
                <w:t xml:space="preserve">https://rushydro.roseltorg.ru</w:t>
              </w:r>
            </w:hyperlink>
            <w:r/>
            <w:r/>
          </w:p>
          <w:p>
            <w:pPr>
              <w:pStyle w:val="1180"/>
              <w:rPr>
                <w:color w:val="000000" w:themeColor="text1"/>
              </w:rPr>
            </w:pPr>
            <w:r>
              <w:rPr>
                <w:color w:val="000000" w:themeColor="text1"/>
              </w:rPr>
              <w:t xml:space="preserve">Регламент ЭП, в соответствии с которым </w:t>
            </w:r>
            <w:r>
              <w:rPr>
                <w:color w:val="000000" w:themeColor="text1"/>
              </w:rPr>
              <w:t xml:space="preserve">проводится закупка, размещен по адресу:</w:t>
            </w:r>
            <w:r>
              <w:rPr>
                <w:color w:val="000000" w:themeColor="text1"/>
              </w:rPr>
              <w:t xml:space="preserve"> </w:t>
            </w:r>
            <w:hyperlink r:id="rId14" w:tooltip="https://www.roseltorg.ru/knowledge_db/docs?55" w:history="1">
              <w:r>
                <w:rPr>
                  <w:color w:val="000000" w:themeColor="text1"/>
                  <w:lang w:val="ru-RU" w:eastAsia="en-US" w:bidi="ar-SA"/>
                </w:rPr>
                <w:t xml:space="preserve">https://www.roseltorg.ru/knowledge_db/docs?55</w:t>
              </w:r>
            </w:hyperlink>
            <w:r>
              <w:rPr>
                <w:color w:val="000000" w:themeColor="text1"/>
              </w:rPr>
              <w:t xml:space="preserve">.</w:t>
            </w:r>
            <w:r>
              <w:rPr>
                <w:color w:val="000000" w:themeColor="text1"/>
              </w:rPr>
            </w:r>
            <w:r>
              <w:rPr>
                <w:color w:val="000000" w:themeColor="text1"/>
              </w:rPr>
            </w:r>
          </w:p>
        </w:tc>
      </w:tr>
      <w:tr>
        <w:tblPrEx/>
        <w:trPr/>
        <w:tc>
          <w:tcPr>
            <w:tcW w:w="846" w:type="dxa"/>
            <w:textDirection w:val="lrTb"/>
            <w:noWrap w:val="false"/>
          </w:tcPr>
          <w:p>
            <w:pPr>
              <w:pStyle w:val="1176"/>
            </w:pPr>
            <w:r/>
            <w:bookmarkStart w:id="14" w:name="_Ref125360970"/>
            <w:r/>
            <w:bookmarkEnd w:id="14"/>
            <w:r/>
            <w:r/>
          </w:p>
        </w:tc>
        <w:tc>
          <w:tcPr>
            <w:tcW w:w="3232" w:type="dxa"/>
            <w:textDirection w:val="lrTb"/>
            <w:noWrap w:val="false"/>
          </w:tcPr>
          <w:p>
            <w:pPr>
              <w:pStyle w:val="1180"/>
              <w:jc w:val="left"/>
            </w:pPr>
            <w:r>
              <w:t xml:space="preserve">Участники</w:t>
            </w:r>
            <w:r>
              <w:t xml:space="preserve">:</w:t>
            </w:r>
            <w:r/>
          </w:p>
        </w:tc>
        <w:tc>
          <w:tcPr>
            <w:tcW w:w="5676" w:type="dxa"/>
            <w:textDirection w:val="lrTb"/>
            <w:noWrap w:val="false"/>
          </w:tcPr>
          <w:p>
            <w:pPr>
              <w:pStyle w:val="1180"/>
            </w:pPr>
            <w:r>
              <w:t xml:space="preserve">Участвовать в закупке могут л</w:t>
            </w:r>
            <w:r>
              <w:t xml:space="preserve">юбые лица, заинтересованные в предмете закупки</w:t>
            </w:r>
            <w:r>
              <w:t xml:space="preserve">.</w:t>
            </w:r>
            <w:r/>
          </w:p>
        </w:tc>
      </w:tr>
      <w:tr>
        <w:tblPrEx/>
        <w:trPr/>
        <w:tc>
          <w:tcPr>
            <w:tcW w:w="846" w:type="dxa"/>
            <w:textDirection w:val="lrTb"/>
            <w:noWrap w:val="false"/>
          </w:tcPr>
          <w:p>
            <w:pPr>
              <w:pStyle w:val="1176"/>
              <w:rPr>
                <w:highlight w:val="white"/>
              </w:rPr>
            </w:pPr>
            <w:r>
              <w:rPr>
                <w:highlight w:val="white"/>
              </w:rPr>
            </w:r>
            <w:bookmarkStart w:id="15" w:name="_Ref125360988"/>
            <w:r>
              <w:rPr>
                <w:highlight w:val="white"/>
              </w:rPr>
            </w:r>
            <w:bookmarkEnd w:id="15"/>
            <w:r>
              <w:rPr>
                <w:highlight w:val="white"/>
              </w:rPr>
            </w:r>
            <w:r>
              <w:rPr>
                <w:highlight w:val="white"/>
              </w:rPr>
            </w:r>
          </w:p>
        </w:tc>
        <w:tc>
          <w:tcPr>
            <w:tcW w:w="3232" w:type="dxa"/>
            <w:textDirection w:val="lrTb"/>
            <w:noWrap w:val="false"/>
          </w:tcPr>
          <w:p>
            <w:pPr>
              <w:pStyle w:val="1180"/>
              <w:jc w:val="left"/>
              <w:rPr>
                <w:highlight w:val="white"/>
              </w:rPr>
            </w:pPr>
            <w:r>
              <w:rPr>
                <w:highlight w:val="white"/>
              </w:rPr>
              <w:t xml:space="preserve">Заказчик</w:t>
            </w:r>
            <w:r>
              <w:rPr>
                <w:highlight w:val="white"/>
              </w:rPr>
              <w:t xml:space="preserve">:</w:t>
            </w:r>
            <w:r>
              <w:rPr>
                <w:highlight w:val="white"/>
              </w:rPr>
            </w:r>
            <w:r>
              <w:rPr>
                <w:highlight w:val="white"/>
              </w:rPr>
            </w:r>
          </w:p>
        </w:tc>
        <w:tc>
          <w:tcPr>
            <w:shd w:val="clear" w:color="auto" w:fill="auto"/>
            <w:tcBorders>
              <w:top w:val="single" w:color="auto" w:sz="4" w:space="0"/>
              <w:left w:val="single" w:color="auto" w:sz="4" w:space="0"/>
              <w:bottom w:val="single" w:color="auto" w:sz="4" w:space="0"/>
              <w:right w:val="single" w:color="auto" w:sz="4" w:space="0"/>
            </w:tcBorders>
            <w:tcW w:w="5676" w:type="dxa"/>
            <w:textDirection w:val="lrTb"/>
            <w:noWrap w:val="false"/>
          </w:tcPr>
          <w:p>
            <w:pPr>
              <w:pStyle w:val="1180"/>
              <w:contextualSpacing w:val="0"/>
              <w:jc w:val="both"/>
              <w:spacing w:before="60" w:after="60" w:line="209" w:lineRule="auto"/>
              <w:rPr>
                <w:b w:val="0"/>
                <w:sz w:val="20"/>
                <w:szCs w:val="20"/>
                <w:highlight w:val="white"/>
                <w:u w:val="none"/>
                <w14:ligatures w14:val="none"/>
              </w:rPr>
              <w:suppressLineNumbers w:val="0"/>
            </w:pPr>
            <w:r>
              <w:rPr>
                <w:highlight w:val="white"/>
              </w:rPr>
              <w:t xml:space="preserve">Наименование (полное и сокращенное): Акционерного общества «Дальневосточная генерирующая компания» (АО «ДГК»)</w:t>
            </w:r>
            <w:r>
              <w:rPr>
                <w:b w:val="0"/>
                <w:sz w:val="20"/>
                <w:szCs w:val="20"/>
                <w:highlight w:val="white"/>
                <w:u w:val="none"/>
                <w14:ligatures w14:val="none"/>
              </w:rPr>
            </w:r>
            <w:r>
              <w:rPr>
                <w:b w:val="0"/>
                <w:sz w:val="20"/>
                <w:szCs w:val="20"/>
                <w:highlight w:val="white"/>
                <w:u w:val="none"/>
                <w14:ligatures w14:val="none"/>
              </w:rPr>
            </w:r>
          </w:p>
          <w:p>
            <w:pPr>
              <w:pStyle w:val="1180"/>
              <w:contextualSpacing w:val="0"/>
              <w:jc w:val="both"/>
              <w:spacing w:before="60" w:after="60" w:line="209" w:lineRule="auto"/>
              <w:rPr>
                <w:b w:val="0"/>
                <w:bCs w:val="0"/>
                <w:i w:val="0"/>
                <w:iCs w:val="0"/>
                <w:sz w:val="20"/>
                <w:szCs w:val="20"/>
                <w:highlight w:val="white"/>
                <w:u w:val="none"/>
                <w14:ligatures w14:val="none"/>
              </w:rPr>
              <w:suppressLineNumbers w:val="0"/>
            </w:pPr>
            <w:r>
              <w:rPr>
                <w:highlight w:val="white"/>
              </w:rPr>
              <w:t xml:space="preserve">Место нахожден</w:t>
            </w:r>
            <w:r>
              <w:rPr>
                <w:highlight w:val="white"/>
              </w:rPr>
              <w:t xml:space="preserve">и</w:t>
            </w:r>
            <w:r>
              <w:rPr>
                <w:highlight w:val="white"/>
              </w:rPr>
              <w:t xml:space="preserve">я: </w:t>
            </w:r>
            <w:r>
              <w:rPr>
                <w:highlight w:val="white"/>
              </w:rPr>
              <w:t xml:space="preserve">680000, г. Хабаровск, ул. Фрунзе, д. 49</w:t>
            </w:r>
            <w:r>
              <w:rPr>
                <w:b w:val="0"/>
                <w:bCs w:val="0"/>
                <w:i w:val="0"/>
                <w:iCs w:val="0"/>
                <w:sz w:val="20"/>
                <w:szCs w:val="20"/>
                <w:highlight w:val="white"/>
                <w:u w:val="none"/>
                <w14:ligatures w14:val="none"/>
              </w:rPr>
            </w:r>
            <w:r>
              <w:rPr>
                <w:b w:val="0"/>
                <w:bCs w:val="0"/>
                <w:i w:val="0"/>
                <w:iCs w:val="0"/>
                <w:sz w:val="20"/>
                <w:szCs w:val="20"/>
                <w:highlight w:val="white"/>
                <w:u w:val="none"/>
                <w14:ligatures w14:val="none"/>
              </w:rPr>
            </w:r>
          </w:p>
          <w:p>
            <w:pPr>
              <w:pStyle w:val="1180"/>
              <w:contextualSpacing w:val="0"/>
              <w:jc w:val="both"/>
              <w:spacing w:before="60" w:after="60" w:line="209" w:lineRule="auto"/>
              <w:rPr>
                <w:b w:val="0"/>
                <w:bCs w:val="0"/>
                <w:i w:val="0"/>
                <w:iCs w:val="0"/>
                <w:sz w:val="20"/>
                <w:szCs w:val="20"/>
                <w:highlight w:val="white"/>
                <w:u w:val="none"/>
                <w14:ligatures w14:val="none"/>
              </w:rPr>
              <w:suppressLineNumbers w:val="0"/>
            </w:pPr>
            <w:r>
              <w:rPr>
                <w:highlight w:val="white"/>
              </w:rPr>
              <w:t xml:space="preserve">Почтовый адрес: </w:t>
            </w:r>
            <w:r>
              <w:rPr>
                <w:highlight w:val="white"/>
              </w:rPr>
              <w:t xml:space="preserve">680000, г. Хабаровск, ул. Фрунзе, д. 49</w:t>
            </w:r>
            <w:r>
              <w:rPr>
                <w:b w:val="0"/>
                <w:bCs w:val="0"/>
                <w:i w:val="0"/>
                <w:iCs w:val="0"/>
                <w:sz w:val="20"/>
                <w:szCs w:val="20"/>
                <w:highlight w:val="white"/>
                <w:u w:val="none"/>
                <w14:ligatures w14:val="none"/>
              </w:rPr>
            </w:r>
            <w:r>
              <w:rPr>
                <w:b w:val="0"/>
                <w:bCs w:val="0"/>
                <w:i w:val="0"/>
                <w:iCs w:val="0"/>
                <w:sz w:val="20"/>
                <w:szCs w:val="20"/>
                <w:highlight w:val="white"/>
                <w:u w:val="none"/>
                <w14:ligatures w14:val="none"/>
              </w:rPr>
            </w:r>
          </w:p>
          <w:p>
            <w:pPr>
              <w:pStyle w:val="1180"/>
              <w:contextualSpacing w:val="0"/>
              <w:jc w:val="both"/>
              <w:spacing w:before="60" w:after="60" w:line="209" w:lineRule="auto"/>
              <w:rPr>
                <w:b w:val="0"/>
                <w:bCs w:val="0"/>
                <w:i w:val="0"/>
                <w:iCs w:val="0"/>
                <w:sz w:val="20"/>
                <w:szCs w:val="20"/>
                <w:highlight w:val="white"/>
                <w:u w:val="none"/>
                <w14:ligatures w14:val="none"/>
              </w:rPr>
              <w:suppressLineNumbers w:val="0"/>
            </w:pPr>
            <w:r>
              <w:rPr>
                <w:highlight w:val="white"/>
              </w:rPr>
              <w:t xml:space="preserve">Адрес электронной почты: </w:t>
            </w:r>
            <w:r>
              <w:rPr>
                <w:highlight w:val="white"/>
                <w:lang w:eastAsia="en-US"/>
              </w:rPr>
              <w:t xml:space="preserve">dgk@dgk.ru</w:t>
            </w:r>
            <w:r>
              <w:rPr>
                <w:b w:val="0"/>
                <w:bCs w:val="0"/>
                <w:i w:val="0"/>
                <w:iCs w:val="0"/>
                <w:sz w:val="20"/>
                <w:szCs w:val="20"/>
                <w:highlight w:val="white"/>
                <w:u w:val="none"/>
                <w14:ligatures w14:val="none"/>
              </w:rPr>
            </w:r>
            <w:r>
              <w:rPr>
                <w:b w:val="0"/>
                <w:bCs w:val="0"/>
                <w:i w:val="0"/>
                <w:iCs w:val="0"/>
                <w:sz w:val="20"/>
                <w:szCs w:val="20"/>
                <w:highlight w:val="white"/>
                <w:u w:val="none"/>
                <w14:ligatures w14:val="none"/>
              </w:rPr>
            </w:r>
          </w:p>
          <w:p>
            <w:pPr>
              <w:pStyle w:val="1180"/>
              <w:contextualSpacing w:val="0"/>
              <w:jc w:val="both"/>
              <w:spacing w:before="60" w:after="60" w:line="209" w:lineRule="auto"/>
              <w:rPr>
                <w:highlight w:val="white"/>
                <w14:ligatures w14:val="none"/>
              </w:rPr>
              <w:suppressLineNumbers w:val="0"/>
            </w:pPr>
            <w:r>
              <w:rPr>
                <w:highlight w:val="white"/>
                <w:lang w:val="ru-RU" w:eastAsia="en-US" w:bidi="ar-SA"/>
              </w:rPr>
              <w:t xml:space="preserve">Контактный телефон: </w:t>
            </w:r>
            <w:r>
              <w:rPr>
                <w:highlight w:val="white"/>
                <w:lang w:val="ru-RU" w:eastAsia="en-US" w:bidi="ar-SA"/>
              </w:rPr>
              <w:t xml:space="preserve">+7 (4212) 26-41-48</w:t>
            </w:r>
            <w:r>
              <w:rPr>
                <w:highlight w:val="white"/>
                <w14:ligatures w14:val="none"/>
              </w:rPr>
            </w:r>
            <w:r>
              <w:rPr>
                <w:highlight w:val="white"/>
                <w14:ligatures w14:val="none"/>
              </w:rPr>
            </w:r>
          </w:p>
          <w:p>
            <w:pPr>
              <w:pStyle w:val="1180"/>
              <w:contextualSpacing w:val="0"/>
              <w:jc w:val="both"/>
              <w:spacing w:before="60" w:after="60" w:line="209" w:lineRule="auto"/>
              <w:rPr>
                <w:b w:val="0"/>
                <w:bCs w:val="0"/>
              </w:rPr>
              <w:suppressLineNumbers w:val="0"/>
            </w:pPr>
            <w:r>
              <w:rPr>
                <w:highlight w:val="white"/>
                <w:lang w:val="ru-RU" w:eastAsia="en-US" w:bidi="ar-SA"/>
              </w:rPr>
            </w:r>
            <w:r>
              <w:rPr>
                <w:b/>
                <w:bCs/>
                <w:sz w:val="26"/>
                <w:szCs w:val="26"/>
                <w:highlight w:val="white"/>
              </w:rPr>
              <w:t xml:space="preserve">По вопросу заключения Договора обращаться</w:t>
            </w:r>
            <w:r>
              <w:rPr>
                <w:b/>
                <w:bCs/>
                <w:sz w:val="26"/>
                <w:szCs w:val="26"/>
                <w:highlight w:val="white"/>
              </w:rPr>
              <w:t xml:space="preserve"> к </w:t>
            </w:r>
            <w:r>
              <w:rPr>
                <w:b w:val="0"/>
                <w:bCs w:val="0"/>
                <w:sz w:val="26"/>
                <w:szCs w:val="26"/>
                <w:highlight w:val="white"/>
              </w:rPr>
              <w:t xml:space="preserve">Инженер 2 категории ЦТАИ СП «Хабаровская ТЭЦ-1» – Борисова Татьяна Ильинична, </w:t>
            </w:r>
            <w:r>
              <w:rPr>
                <w:b w:val="0"/>
                <w:bCs w:val="0"/>
                <w:sz w:val="26"/>
                <w:szCs w:val="26"/>
                <w:highlight w:val="white"/>
              </w:rPr>
            </w:r>
            <w:r>
              <w:rPr>
                <w:b w:val="0"/>
                <w:bCs w:val="0"/>
              </w:rPr>
            </w:r>
          </w:p>
          <w:p>
            <w:pPr>
              <w:pStyle w:val="1180"/>
              <w:contextualSpacing w:val="0"/>
              <w:jc w:val="both"/>
              <w:spacing w:before="60" w:after="60" w:line="209" w:lineRule="auto"/>
              <w:rPr>
                <w:b w:val="0"/>
                <w:bCs w:val="0"/>
                <w:sz w:val="26"/>
                <w:szCs w:val="26"/>
                <w:highlight w:val="white"/>
              </w:rPr>
              <w:suppressLineNumbers w:val="0"/>
            </w:pPr>
            <w:r>
              <w:rPr>
                <w:b w:val="0"/>
                <w:bCs w:val="0"/>
                <w:sz w:val="26"/>
                <w:szCs w:val="26"/>
                <w:highlight w:val="white"/>
              </w:rPr>
              <w:t xml:space="preserve">тел. +7(4212) 26-51-99</w:t>
            </w:r>
            <w:r>
              <w:rPr>
                <w:b w:val="0"/>
                <w:bCs w:val="0"/>
                <w:sz w:val="26"/>
                <w:szCs w:val="26"/>
                <w:highlight w:val="white"/>
              </w:rPr>
            </w:r>
            <w:r>
              <w:rPr>
                <w:b w:val="0"/>
                <w:bCs w:val="0"/>
                <w:sz w:val="26"/>
                <w:szCs w:val="26"/>
                <w:highlight w:val="white"/>
              </w:rPr>
            </w:r>
          </w:p>
        </w:tc>
      </w:tr>
      <w:tr>
        <w:tblPrEx/>
        <w:trPr/>
        <w:tc>
          <w:tcPr>
            <w:tcW w:w="846" w:type="dxa"/>
            <w:textDirection w:val="lrTb"/>
            <w:noWrap w:val="false"/>
          </w:tcPr>
          <w:p>
            <w:pPr>
              <w:pStyle w:val="1176"/>
            </w:pPr>
            <w:r/>
            <w:bookmarkStart w:id="16" w:name="_Ref125360954"/>
            <w:r/>
            <w:bookmarkEnd w:id="16"/>
            <w:r/>
            <w:r/>
          </w:p>
        </w:tc>
        <w:tc>
          <w:tcPr>
            <w:tcW w:w="3232" w:type="dxa"/>
            <w:textDirection w:val="lrTb"/>
            <w:noWrap w:val="false"/>
          </w:tcPr>
          <w:p>
            <w:pPr>
              <w:pStyle w:val="1180"/>
              <w:jc w:val="left"/>
            </w:pPr>
            <w:r>
              <w:t xml:space="preserve">Организатор</w:t>
            </w:r>
            <w:r>
              <w:t xml:space="preserve">:</w:t>
            </w:r>
            <w:r/>
          </w:p>
        </w:tc>
        <w:tc>
          <w:tcPr>
            <w:shd w:val="clear" w:color="auto" w:fill="auto"/>
            <w:tcBorders>
              <w:top w:val="single" w:color="auto" w:sz="4" w:space="0"/>
              <w:left w:val="single" w:color="auto" w:sz="4" w:space="0"/>
              <w:bottom w:val="single" w:color="auto" w:sz="4" w:space="0"/>
              <w:right w:val="single" w:color="auto" w:sz="4" w:space="0"/>
            </w:tcBorders>
            <w:tcW w:w="5676" w:type="dxa"/>
            <w:textDirection w:val="lrTb"/>
            <w:noWrap w:val="false"/>
          </w:tcPr>
          <w:p>
            <w:pPr>
              <w:pStyle w:val="1180"/>
              <w:ind w:left="0" w:right="34" w:firstLine="0"/>
              <w:rPr>
                <w:sz w:val="20"/>
                <w:szCs w:val="20"/>
                <w14:ligatures w14:val="none"/>
              </w:rPr>
            </w:pPr>
            <w:r>
              <w:t xml:space="preserve">Акционерное общество «Дальневосточная генерирующая компания» (далее - АО «ДГК»)</w:t>
            </w:r>
            <w:r>
              <w:rPr>
                <w:sz w:val="20"/>
                <w:szCs w:val="20"/>
                <w14:ligatures w14:val="none"/>
              </w:rPr>
            </w:r>
            <w:r>
              <w:rPr>
                <w:sz w:val="20"/>
                <w:szCs w:val="20"/>
                <w14:ligatures w14:val="none"/>
              </w:rPr>
            </w:r>
          </w:p>
          <w:p>
            <w:pPr>
              <w:pStyle w:val="1180"/>
              <w:ind w:left="0" w:right="34" w:firstLine="0"/>
              <w:rPr>
                <w:sz w:val="20"/>
                <w:szCs w:val="20"/>
                <w14:ligatures w14:val="none"/>
              </w:rPr>
            </w:pPr>
            <w:r>
              <w:t xml:space="preserve">Место нахождения: </w:t>
            </w:r>
            <w:r>
              <w:rPr>
                <w:lang w:eastAsia="en-US"/>
              </w:rPr>
              <w:t xml:space="preserve">680000, г. Хабаровск, ул. Фрунзе, д. 49</w:t>
            </w:r>
            <w:r>
              <w:rPr>
                <w:sz w:val="20"/>
                <w:szCs w:val="20"/>
                <w14:ligatures w14:val="none"/>
              </w:rPr>
            </w:r>
            <w:r>
              <w:rPr>
                <w:sz w:val="20"/>
                <w:szCs w:val="20"/>
                <w14:ligatures w14:val="none"/>
              </w:rPr>
            </w:r>
          </w:p>
          <w:p>
            <w:pPr>
              <w:pStyle w:val="1180"/>
              <w:ind w:left="0" w:right="34" w:firstLine="0"/>
              <w:rPr>
                <w:sz w:val="20"/>
                <w:szCs w:val="20"/>
                <w14:ligatures w14:val="none"/>
              </w:rPr>
            </w:pPr>
            <w:r>
              <w:t xml:space="preserve">Почтовый адрес: </w:t>
            </w:r>
            <w:r>
              <w:rPr>
                <w:lang w:eastAsia="en-US"/>
              </w:rPr>
              <w:t xml:space="preserve">680000, г. Хабаровск, ул. Фрунзе, д. 49</w:t>
            </w:r>
            <w:r>
              <w:rPr>
                <w:sz w:val="20"/>
                <w:szCs w:val="20"/>
                <w14:ligatures w14:val="none"/>
              </w:rPr>
            </w:r>
            <w:r>
              <w:rPr>
                <w:sz w:val="20"/>
                <w:szCs w:val="20"/>
                <w14:ligatures w14:val="none"/>
              </w:rPr>
            </w:r>
          </w:p>
          <w:p>
            <w:pPr>
              <w:pStyle w:val="1180"/>
              <w:ind w:left="0" w:right="34" w:firstLine="0"/>
              <w:rPr>
                <w:b w:val="0"/>
                <w:bCs w:val="0"/>
                <w:i w:val="0"/>
                <w:iCs w:val="0"/>
                <w:sz w:val="20"/>
                <w:szCs w:val="20"/>
                <w:u w:val="none"/>
                <w14:ligatures w14:val="none"/>
              </w:rPr>
            </w:pPr>
            <w:r>
              <w:t xml:space="preserve">Адрес электронной почты: </w:t>
            </w:r>
            <w:r>
              <w:rPr>
                <w:lang w:eastAsia="en-US"/>
              </w:rPr>
              <w:t xml:space="preserve">dgk@dgk.ru</w:t>
            </w:r>
            <w:r>
              <w:rPr>
                <w:b w:val="0"/>
                <w:bCs w:val="0"/>
                <w:i w:val="0"/>
                <w:iCs w:val="0"/>
                <w:sz w:val="20"/>
                <w:szCs w:val="20"/>
                <w:u w:val="none"/>
                <w14:ligatures w14:val="none"/>
              </w:rPr>
            </w:r>
            <w:r>
              <w:rPr>
                <w:b w:val="0"/>
                <w:bCs w:val="0"/>
                <w:i w:val="0"/>
                <w:iCs w:val="0"/>
                <w:sz w:val="20"/>
                <w:szCs w:val="20"/>
                <w:u w:val="none"/>
                <w14:ligatures w14:val="none"/>
              </w:rPr>
            </w:r>
          </w:p>
          <w:p>
            <w:pPr>
              <w:pStyle w:val="1180"/>
              <w:ind w:left="0" w:right="34" w:firstLine="0"/>
              <w:rPr>
                <w:b/>
                <w:szCs w:val="20"/>
                <w14:ligatures w14:val="none"/>
              </w:rPr>
            </w:pPr>
            <w:r>
              <w:t xml:space="preserve">Контактный телефон: +7(4212) 26-41-48</w:t>
            </w:r>
            <w:r>
              <w:rPr>
                <w:b/>
                <w:szCs w:val="20"/>
                <w14:ligatures w14:val="none"/>
              </w:rPr>
            </w:r>
            <w:r>
              <w:rPr>
                <w:b/>
                <w:szCs w:val="20"/>
                <w14:ligatures w14:val="none"/>
              </w:rPr>
            </w:r>
          </w:p>
        </w:tc>
      </w:tr>
      <w:tr>
        <w:tblPrEx/>
        <w:trPr/>
        <w:tc>
          <w:tcPr>
            <w:tcW w:w="846" w:type="dxa"/>
            <w:textDirection w:val="lrTb"/>
            <w:noWrap w:val="false"/>
          </w:tcPr>
          <w:p>
            <w:pPr>
              <w:pStyle w:val="1176"/>
            </w:pPr>
            <w:r/>
            <w:bookmarkStart w:id="17" w:name="_Ref125361238"/>
            <w:r/>
            <w:bookmarkEnd w:id="17"/>
            <w:r/>
            <w:r/>
          </w:p>
        </w:tc>
        <w:tc>
          <w:tcPr>
            <w:tcW w:w="3232" w:type="dxa"/>
            <w:textDirection w:val="lrTb"/>
            <w:noWrap w:val="false"/>
          </w:tcPr>
          <w:p>
            <w:pPr>
              <w:pStyle w:val="1180"/>
              <w:jc w:val="left"/>
            </w:pPr>
            <w:r>
              <w:t xml:space="preserve">Представитель Организатора</w:t>
            </w:r>
            <w:r>
              <w:t xml:space="preserve">:</w:t>
            </w:r>
            <w:r/>
          </w:p>
        </w:tc>
        <w:tc>
          <w:tcPr>
            <w:tcW w:w="5676" w:type="dxa"/>
            <w:textDirection w:val="lrTb"/>
            <w:noWrap w:val="false"/>
          </w:tcPr>
          <w:p>
            <w:pPr>
              <w:pStyle w:val="1180"/>
              <w:ind w:left="0" w:right="34" w:firstLine="0"/>
            </w:pPr>
            <w:r>
              <w:t xml:space="preserve">По вопросам организации и проведения закупочной процедуры: </w:t>
            </w:r>
            <w:r>
              <w:t xml:space="preserve">ведущий </w:t>
            </w:r>
            <w:r>
              <w:t xml:space="preserve">специалист</w:t>
            </w:r>
            <w:r>
              <w:t xml:space="preserve"> отдела проведения закупок работ и услуг </w:t>
            </w:r>
            <w:r>
              <w:t xml:space="preserve">АО «ДГК» Никитина Надежда Викторовна, контактный телефон (4212) 26-41-48, адрес электронной почты: </w:t>
            </w:r>
            <w:r>
              <w:t xml:space="preserve">nikitina-nv</w:t>
            </w:r>
            <w:r>
              <w:t xml:space="preserve">@dgk.ru</w:t>
            </w:r>
            <w:r>
              <w:rPr>
                <w:b w:val="0"/>
                <w:sz w:val="26"/>
                <w:szCs w:val="26"/>
              </w:rPr>
            </w:r>
            <w:r/>
          </w:p>
        </w:tc>
      </w:tr>
      <w:tr>
        <w:tblPrEx/>
        <w:trPr/>
        <w:tc>
          <w:tcPr>
            <w:tcW w:w="846" w:type="dxa"/>
            <w:textDirection w:val="lrTb"/>
            <w:noWrap w:val="false"/>
          </w:tcPr>
          <w:p>
            <w:pPr>
              <w:pStyle w:val="1176"/>
            </w:pPr>
            <w:r/>
            <w:bookmarkStart w:id="18" w:name="_Ref125362694"/>
            <w:r/>
            <w:bookmarkEnd w:id="18"/>
            <w:r/>
            <w:r/>
          </w:p>
        </w:tc>
        <w:tc>
          <w:tcPr>
            <w:tcW w:w="3232" w:type="dxa"/>
            <w:textDirection w:val="lrTb"/>
            <w:noWrap w:val="false"/>
          </w:tcPr>
          <w:p>
            <w:pPr>
              <w:pStyle w:val="1180"/>
              <w:jc w:val="left"/>
            </w:pPr>
            <w:r>
              <w:t xml:space="preserve">Официальный источник размещения информации о</w:t>
            </w:r>
            <w:r>
              <w:t xml:space="preserve"> </w:t>
            </w:r>
            <w:r>
              <w:t xml:space="preserve">проведении закупки</w:t>
            </w:r>
            <w:r>
              <w:t xml:space="preserve"> / с</w:t>
            </w:r>
            <w:r>
              <w:t xml:space="preserve">рок, место и порядок предоставления Документации о закупке</w:t>
            </w:r>
            <w:r>
              <w:t xml:space="preserve">:</w:t>
            </w:r>
            <w:r/>
          </w:p>
        </w:tc>
        <w:tc>
          <w:tcPr>
            <w:tcW w:w="5676" w:type="dxa"/>
            <w:textDirection w:val="lrTb"/>
            <w:noWrap w:val="false"/>
          </w:tcPr>
          <w:p>
            <w:pPr>
              <w:pStyle w:val="1180"/>
            </w:pPr>
            <w:r>
              <w:t xml:space="preserve">Документация о закупке официально размещена </w:t>
            </w:r>
            <w:r>
              <w:t xml:space="preserve">в </w:t>
            </w:r>
            <w:r>
              <w:t xml:space="preserve">ЕИС</w:t>
            </w:r>
            <w:r>
              <w:t xml:space="preserve"> </w:t>
            </w:r>
            <w:r>
              <w:t xml:space="preserve">и доступна</w:t>
            </w:r>
            <w:r>
              <w:t xml:space="preserve"> на Официальном сайте </w:t>
            </w:r>
            <w:r>
              <w:t xml:space="preserve">для</w:t>
            </w:r>
            <w:r>
              <w:t xml:space="preserve"> </w:t>
            </w:r>
            <w:r>
              <w:t xml:space="preserve">ознакомления любым заинтересованным лицам.</w:t>
            </w:r>
            <w:r>
              <w:t xml:space="preserve"> </w:t>
            </w:r>
            <w:r>
              <w:t xml:space="preserve">Официальным источником информации о</w:t>
            </w:r>
            <w:r>
              <w:t xml:space="preserve"> </w:t>
            </w:r>
            <w:r>
              <w:t xml:space="preserve">ходе проведения закупки является</w:t>
            </w:r>
            <w:r>
              <w:t xml:space="preserve"> Официальный сайт </w:t>
            </w:r>
            <w:r>
              <w:t xml:space="preserve">(</w:t>
            </w:r>
            <w:r>
              <w:t xml:space="preserve">zakupki.gov.ru</w:t>
            </w:r>
            <w:r>
              <w:t xml:space="preserve">)</w:t>
            </w:r>
            <w:r>
              <w:t xml:space="preserve">.</w:t>
            </w:r>
            <w:r/>
          </w:p>
          <w:p>
            <w:pPr>
              <w:pStyle w:val="1180"/>
            </w:pPr>
            <w:r>
              <w:t xml:space="preserve">Документация о закупке доступна</w:t>
            </w:r>
            <w:r>
              <w:t xml:space="preserve"> </w:t>
            </w:r>
            <w:r>
              <w:t xml:space="preserve">(</w:t>
            </w:r>
            <w:r>
              <w:t xml:space="preserve">без</w:t>
            </w:r>
            <w:r>
              <w:t xml:space="preserve"> </w:t>
            </w:r>
            <w:r>
              <w:t xml:space="preserve">взимания платы</w:t>
            </w:r>
            <w:r>
              <w:t xml:space="preserve">)</w:t>
            </w:r>
            <w:r>
              <w:t xml:space="preserve"> в форме электронного документа в</w:t>
            </w:r>
            <w:r>
              <w:t xml:space="preserve"> </w:t>
            </w:r>
            <w:r>
              <w:t xml:space="preserve">любое время с момента официального размещения Извещения.</w:t>
            </w:r>
            <w:r>
              <w:t xml:space="preserve"> </w:t>
            </w:r>
            <w:r>
              <w:t xml:space="preserve">Предоставление Документации о</w:t>
            </w:r>
            <w:r>
              <w:t xml:space="preserve"> </w:t>
            </w:r>
            <w:r>
              <w:t xml:space="preserve">закупке на</w:t>
            </w:r>
            <w:r>
              <w:t xml:space="preserve"> </w:t>
            </w:r>
            <w:r>
              <w:t xml:space="preserve">бумажном носителе не</w:t>
            </w:r>
            <w:r>
              <w:t xml:space="preserve"> </w:t>
            </w:r>
            <w:r>
              <w:t xml:space="preserve">предусмотрено.</w:t>
            </w:r>
            <w:r/>
          </w:p>
        </w:tc>
      </w:tr>
      <w:tr>
        <w:tblPrEx/>
        <w:trPr/>
        <w:tc>
          <w:tcPr>
            <w:tcW w:w="846" w:type="dxa"/>
            <w:textDirection w:val="lrTb"/>
            <w:noWrap w:val="false"/>
          </w:tcPr>
          <w:p>
            <w:pPr>
              <w:pStyle w:val="1176"/>
            </w:pPr>
            <w:r/>
            <w:bookmarkStart w:id="19" w:name="_Ref125360963"/>
            <w:r/>
            <w:bookmarkEnd w:id="19"/>
            <w:r/>
            <w:r/>
          </w:p>
        </w:tc>
        <w:tc>
          <w:tcPr>
            <w:tcW w:w="3232" w:type="dxa"/>
            <w:textDirection w:val="lrTb"/>
            <w:noWrap w:val="false"/>
          </w:tcPr>
          <w:p>
            <w:pPr>
              <w:pStyle w:val="1180"/>
              <w:jc w:val="left"/>
            </w:pPr>
            <w:r>
              <w:t xml:space="preserve">Дата размещения Извещения о проведении закупки</w:t>
            </w:r>
            <w:r>
              <w:t xml:space="preserve">:</w:t>
            </w:r>
            <w:r/>
          </w:p>
        </w:tc>
        <w:tc>
          <w:tcPr>
            <w:tcW w:w="5676" w:type="dxa"/>
            <w:textDirection w:val="lrTb"/>
            <w:noWrap w:val="false"/>
          </w:tcPr>
          <w:p>
            <w:pPr>
              <w:pStyle w:val="1180"/>
              <w:rPr>
                <w:rStyle w:val="1185"/>
                <w:i w:val="0"/>
                <w:iCs w:val="0"/>
                <w:shd w:val="clear" w:color="auto" w:fill="auto"/>
              </w:rPr>
            </w:pPr>
            <w:r>
              <w:rPr>
                <w:highlight w:val="white"/>
              </w:rPr>
              <w:t xml:space="preserve">«</w:t>
            </w:r>
            <w:r>
              <w:rPr>
                <w:highlight w:val="white"/>
              </w:rPr>
              <w:t xml:space="preserve">16</w:t>
            </w:r>
            <w:r>
              <w:rPr>
                <w:highlight w:val="white"/>
              </w:rPr>
              <w:t xml:space="preserve">» </w:t>
            </w:r>
            <w:r>
              <w:rPr>
                <w:highlight w:val="white"/>
              </w:rPr>
              <w:t xml:space="preserve">ию</w:t>
            </w:r>
            <w:r>
              <w:rPr>
                <w:highlight w:val="white"/>
              </w:rPr>
              <w:t xml:space="preserve">л</w:t>
            </w:r>
            <w:r>
              <w:rPr>
                <w:highlight w:val="white"/>
              </w:rPr>
              <w:t xml:space="preserve">я</w:t>
            </w:r>
            <w:r>
              <w:rPr>
                <w:highlight w:val="white"/>
              </w:rPr>
              <w:t xml:space="preserve"> 20</w:t>
            </w:r>
            <w:r>
              <w:rPr>
                <w:highlight w:val="white"/>
              </w:rPr>
              <w:t xml:space="preserve">26</w:t>
            </w:r>
            <w:r>
              <w:rPr>
                <w:highlight w:val="white"/>
              </w:rPr>
              <w:t xml:space="preserve"> г</w:t>
            </w:r>
            <w:r>
              <w:t xml:space="preserve">.</w:t>
            </w:r>
            <w:r>
              <w:rPr>
                <w:rStyle w:val="1185"/>
                <w:i w:val="0"/>
                <w:iCs w:val="0"/>
                <w:shd w:val="clear" w:color="auto" w:fill="auto"/>
              </w:rPr>
            </w:r>
            <w:r>
              <w:rPr>
                <w:rStyle w:val="1185"/>
                <w:i w:val="0"/>
                <w:iCs w:val="0"/>
                <w:shd w:val="clear" w:color="auto" w:fill="auto"/>
              </w:rPr>
            </w:r>
          </w:p>
        </w:tc>
      </w:tr>
      <w:tr>
        <w:tblPrEx/>
        <w:trPr/>
        <w:tc>
          <w:tcPr>
            <w:tcW w:w="846" w:type="dxa"/>
            <w:textDirection w:val="lrTb"/>
            <w:noWrap w:val="false"/>
          </w:tcPr>
          <w:p>
            <w:pPr>
              <w:pStyle w:val="1176"/>
            </w:pPr>
            <w:r/>
            <w:bookmarkStart w:id="20" w:name="_Ref125362837"/>
            <w:r/>
            <w:bookmarkEnd w:id="20"/>
            <w:r/>
            <w:r/>
          </w:p>
        </w:tc>
        <w:tc>
          <w:tcPr>
            <w:tcW w:w="3232" w:type="dxa"/>
            <w:textDirection w:val="lrTb"/>
            <w:noWrap w:val="false"/>
          </w:tcPr>
          <w:p>
            <w:pPr>
              <w:pStyle w:val="1180"/>
              <w:jc w:val="left"/>
            </w:pPr>
            <w:r>
              <w:t xml:space="preserve">Начальная (максимальная) цена договора (цена лота)</w:t>
            </w:r>
            <w:r>
              <w:t xml:space="preserve">:</w:t>
            </w:r>
            <w:r/>
          </w:p>
        </w:tc>
        <w:tc>
          <w:tcPr>
            <w:tcW w:w="5676" w:type="dxa"/>
            <w:textDirection w:val="lrTb"/>
            <w:noWrap w:val="false"/>
          </w:tcPr>
          <w:p>
            <w:pPr>
              <w:jc w:val="both"/>
            </w:pPr>
            <w:r>
              <w:t xml:space="preserve">НМЦ составляет: 2 972 943,12 </w:t>
            </w:r>
            <w:r>
              <w:rPr>
                <w:szCs w:val="26"/>
                <w:highlight w:val="white"/>
              </w:rPr>
              <w:t xml:space="preserve">р</w:t>
            </w:r>
            <w:r>
              <w:rPr>
                <w:szCs w:val="26"/>
                <w:highlight w:val="white"/>
              </w:rPr>
              <w:t xml:space="preserve">уб</w:t>
            </w:r>
            <w:r>
              <w:rPr>
                <w:szCs w:val="26"/>
              </w:rPr>
              <w:t xml:space="preserve">., без учета НДС.</w:t>
            </w:r>
            <w:r/>
          </w:p>
          <w:p>
            <w:pPr>
              <w:jc w:val="both"/>
              <w:rPr>
                <w:szCs w:val="26"/>
              </w:rPr>
            </w:pPr>
            <w:r>
              <w:rPr>
                <w:rFonts w:eastAsia="Calibri"/>
                <w:szCs w:val="26"/>
              </w:rPr>
              <w:t xml:space="preserve">Сведения о начальной (максимальной) цене единицы продукции, необходимые для применения законодательства о национальном режиме (представлены в форме Коммерческого предложения (форма 3) (</w:t>
            </w:r>
            <w:hyperlink w:tooltip="#Прил04_ФормыЗаявки" w:anchor="Прил04_ФормыЗаявки" w:history="1">
              <w:r>
                <w:rPr>
                  <w:rFonts w:eastAsia="Calibri"/>
                  <w:color w:val="000000"/>
                  <w:szCs w:val="26"/>
                  <w:u w:val="single"/>
                </w:rPr>
                <w:t xml:space="preserve">Приложение № 4</w:t>
              </w:r>
            </w:hyperlink>
            <w:r>
              <w:rPr>
                <w:rFonts w:eastAsia="Calibri"/>
                <w:szCs w:val="26"/>
              </w:rPr>
              <w:t xml:space="preserve">)).</w:t>
            </w:r>
            <w:r>
              <w:rPr>
                <w:szCs w:val="26"/>
              </w:rPr>
            </w:r>
            <w:r>
              <w:rPr>
                <w:szCs w:val="26"/>
              </w:rPr>
            </w:r>
          </w:p>
          <w:p>
            <w:pPr>
              <w:pStyle w:val="1180"/>
              <w:rPr>
                <w:rStyle w:val="1185"/>
                <w:i w:val="0"/>
                <w:iCs w:val="0"/>
                <w:shd w:val="clear" w:color="auto" w:fill="auto"/>
              </w:rPr>
            </w:pPr>
            <w:r>
              <w:rPr>
                <w:rFonts w:eastAsia="Calibri"/>
                <w:szCs w:val="26"/>
              </w:rPr>
              <w:t xml:space="preserve">Обоснование НМЦ представлено в </w:t>
            </w:r>
            <w:hyperlink w:tooltip="#Прил09_ОбоснованиеНМЦ" w:anchor="Прил09_ОбоснованиеНМЦ" w:history="1">
              <w:r>
                <w:rPr>
                  <w:rFonts w:eastAsia="Calibri"/>
                  <w:color w:val="000000"/>
                  <w:szCs w:val="26"/>
                  <w:u w:val="single"/>
                </w:rPr>
                <w:t xml:space="preserve">Приложении № 9</w:t>
              </w:r>
            </w:hyperlink>
            <w:r>
              <w:rPr>
                <w:rFonts w:eastAsia="Calibri"/>
                <w:szCs w:val="26"/>
              </w:rPr>
              <w:t xml:space="preserve">.</w:t>
            </w:r>
            <w:r>
              <w:rPr>
                <w:rStyle w:val="1185"/>
                <w:i w:val="0"/>
                <w:iCs w:val="0"/>
                <w:shd w:val="clear" w:color="auto" w:fill="auto"/>
              </w:rPr>
            </w:r>
            <w:r>
              <w:rPr>
                <w:rStyle w:val="1185"/>
                <w:i w:val="0"/>
                <w:iCs w:val="0"/>
                <w:shd w:val="clear" w:color="auto" w:fill="auto"/>
              </w:rPr>
            </w:r>
          </w:p>
        </w:tc>
      </w:tr>
      <w:tr>
        <w:tblPrEx/>
        <w:trPr/>
        <w:tc>
          <w:tcPr>
            <w:tcW w:w="846" w:type="dxa"/>
            <w:textDirection w:val="lrTb"/>
            <w:noWrap w:val="false"/>
          </w:tcPr>
          <w:p>
            <w:pPr>
              <w:pStyle w:val="1176"/>
            </w:pPr>
            <w:r/>
            <w:bookmarkStart w:id="21" w:name="_Ref125363076"/>
            <w:r/>
            <w:bookmarkEnd w:id="21"/>
            <w:r/>
            <w:r/>
          </w:p>
        </w:tc>
        <w:tc>
          <w:tcPr>
            <w:tcW w:w="3232" w:type="dxa"/>
            <w:textDirection w:val="lrTb"/>
            <w:noWrap w:val="false"/>
          </w:tcPr>
          <w:p>
            <w:pPr>
              <w:pStyle w:val="1180"/>
              <w:jc w:val="left"/>
            </w:pPr>
            <w:r>
              <w:t xml:space="preserve">Обеспечение заявки на участие в закупке:</w:t>
            </w:r>
            <w:r/>
          </w:p>
        </w:tc>
        <w:tc>
          <w:tcPr>
            <w:tcW w:w="5676" w:type="dxa"/>
            <w:textDirection w:val="lrTb"/>
            <w:noWrap w:val="false"/>
          </w:tcPr>
          <w:p>
            <w:pPr>
              <w:pStyle w:val="1180"/>
            </w:pPr>
            <w:r>
              <w:t xml:space="preserve">Не требуется.</w:t>
            </w:r>
            <w:r/>
          </w:p>
          <w:p>
            <w:pPr>
              <w:pStyle w:val="1180"/>
            </w:pPr>
            <w:r>
              <w:rPr>
                <w:b/>
              </w:rPr>
              <w:t xml:space="preserve">Внимание!</w:t>
            </w:r>
            <w:r>
              <w:t xml:space="preserve"> Для того, чтобы иметь возможность подать заявку на участие в закупке, в соответствии с Регламентом ЭП на </w:t>
            </w:r>
            <w:r>
              <w:t xml:space="preserve">индивидуальный </w:t>
            </w:r>
            <w:r>
              <w:t xml:space="preserve">счет Участника, открытом ему </w:t>
            </w:r>
            <w:r>
              <w:t xml:space="preserve">О</w:t>
            </w:r>
            <w:r>
              <w:t xml:space="preserve">ператором ЭП, должна быть внесена сумма в</w:t>
            </w:r>
            <w:r>
              <w:t xml:space="preserve"> </w:t>
            </w:r>
            <w:r>
              <w:t xml:space="preserve">размере не менее установленной платы, в</w:t>
            </w:r>
            <w:r>
              <w:t xml:space="preserve"> </w:t>
            </w:r>
            <w:r>
              <w:t xml:space="preserve">соответствии с</w:t>
            </w:r>
            <w:r>
              <w:t xml:space="preserve"> </w:t>
            </w:r>
            <w:r>
              <w:t xml:space="preserve">тарифами </w:t>
            </w:r>
            <w:r>
              <w:t xml:space="preserve">О</w:t>
            </w:r>
            <w:r>
              <w:t xml:space="preserve">ператора ЭП.</w:t>
            </w:r>
            <w:r/>
          </w:p>
        </w:tc>
      </w:tr>
      <w:tr>
        <w:tblPrEx/>
        <w:trPr/>
        <w:tc>
          <w:tcPr>
            <w:tcW w:w="846" w:type="dxa"/>
            <w:textDirection w:val="lrTb"/>
            <w:noWrap w:val="false"/>
          </w:tcPr>
          <w:p>
            <w:pPr>
              <w:pStyle w:val="1176"/>
            </w:pPr>
            <w:r/>
            <w:bookmarkStart w:id="22" w:name="_Ref125362995"/>
            <w:r/>
            <w:bookmarkEnd w:id="22"/>
            <w:r/>
            <w:r/>
          </w:p>
        </w:tc>
        <w:tc>
          <w:tcPr>
            <w:tcW w:w="3232" w:type="dxa"/>
            <w:textDirection w:val="lrTb"/>
            <w:noWrap w:val="false"/>
          </w:tcPr>
          <w:p>
            <w:pPr>
              <w:pStyle w:val="1180"/>
              <w:jc w:val="left"/>
            </w:pPr>
            <w:r>
              <w:t xml:space="preserve">Требования</w:t>
            </w:r>
            <w:r>
              <w:br/>
            </w:r>
            <w:r>
              <w:t xml:space="preserve">к</w:t>
            </w:r>
            <w:r>
              <w:t xml:space="preserve"> </w:t>
            </w:r>
            <w:r>
              <w:t xml:space="preserve">описанию</w:t>
            </w:r>
            <w:r>
              <w:t xml:space="preserve"> </w:t>
            </w:r>
            <w:r>
              <w:t xml:space="preserve">продукции</w:t>
            </w:r>
            <w:r>
              <w:t xml:space="preserve">:</w:t>
            </w:r>
            <w:r/>
          </w:p>
        </w:tc>
        <w:tc>
          <w:tcPr>
            <w:tcW w:w="5676" w:type="dxa"/>
            <w:textDirection w:val="lrTb"/>
            <w:noWrap w:val="false"/>
          </w:tcPr>
          <w:p>
            <w:pPr>
              <w:pStyle w:val="1180"/>
            </w:pPr>
            <w:r>
              <w:t xml:space="preserve">Согласие (декларация) Участника на поставку продукции по установленной форме Технического предложения (форма 4) (</w:t>
            </w:r>
            <w:hyperlink w:tooltip="#Прил04_ФормыЗаявки" w:anchor="Прил04_ФормыЗаявки" w:history="1">
              <w:r>
                <w:rPr>
                  <w:rStyle w:val="1190"/>
                  <w:color w:val="auto"/>
                  <w:u w:val="none"/>
                </w:rPr>
                <w:t xml:space="preserve">Приложение № 4</w:t>
              </w:r>
            </w:hyperlink>
            <w:r>
              <w:t xml:space="preserve">)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r/>
          </w:p>
        </w:tc>
      </w:tr>
      <w:tr>
        <w:tblPrEx/>
        <w:trPr/>
        <w:tc>
          <w:tcPr>
            <w:tcW w:w="846" w:type="dxa"/>
            <w:textDirection w:val="lrTb"/>
            <w:noWrap w:val="false"/>
          </w:tcPr>
          <w:p>
            <w:pPr>
              <w:pStyle w:val="1176"/>
            </w:pPr>
            <w:r/>
            <w:r/>
          </w:p>
        </w:tc>
        <w:tc>
          <w:tcPr>
            <w:tcW w:w="3232" w:type="dxa"/>
            <w:textDirection w:val="lrTb"/>
            <w:noWrap w:val="false"/>
          </w:tcPr>
          <w:p>
            <w:pPr>
              <w:pStyle w:val="1180"/>
              <w:jc w:val="left"/>
            </w:pPr>
            <w:r>
              <w:t xml:space="preserve">Применение законодательства о</w:t>
            </w:r>
            <w:r>
              <w:t xml:space="preserve"> </w:t>
            </w:r>
            <w:r>
              <w:t xml:space="preserve">национальном режиме:</w:t>
            </w:r>
            <w:r/>
          </w:p>
        </w:tc>
        <w:tc>
          <w:tcPr>
            <w:tcW w:w="5676" w:type="dxa"/>
            <w:textDirection w:val="lrTb"/>
            <w:noWrap w:val="false"/>
          </w:tcPr>
          <w:p>
            <w:pPr>
              <w:pStyle w:val="1180"/>
            </w:pPr>
            <w:r>
              <w:rPr>
                <w:iCs/>
              </w:rPr>
              <w:t xml:space="preserve">Национальный режим предоставляется.</w:t>
            </w:r>
            <w:r/>
          </w:p>
        </w:tc>
      </w:tr>
      <w:tr>
        <w:tblPrEx/>
        <w:trPr/>
        <w:tc>
          <w:tcPr>
            <w:tcW w:w="846" w:type="dxa"/>
            <w:textDirection w:val="lrTb"/>
            <w:noWrap w:val="false"/>
          </w:tcPr>
          <w:p>
            <w:pPr>
              <w:pStyle w:val="1176"/>
            </w:pPr>
            <w:r/>
            <w:bookmarkStart w:id="23" w:name="_Ref125533737"/>
            <w:r/>
            <w:bookmarkEnd w:id="23"/>
            <w:r/>
            <w:r/>
          </w:p>
        </w:tc>
        <w:tc>
          <w:tcPr>
            <w:tcW w:w="3232" w:type="dxa"/>
            <w:textDirection w:val="lrTb"/>
            <w:noWrap w:val="false"/>
          </w:tcPr>
          <w:p>
            <w:r>
              <w:t xml:space="preserve">Возможность подачи альтернативных предложений:</w:t>
            </w:r>
            <w:r/>
          </w:p>
        </w:tc>
        <w:tc>
          <w:tcPr>
            <w:tcW w:w="5676" w:type="dxa"/>
            <w:textDirection w:val="lrTb"/>
            <w:noWrap w:val="false"/>
          </w:tcPr>
          <w:p>
            <w:pPr>
              <w:pStyle w:val="1180"/>
            </w:pPr>
            <w:r>
              <w:t xml:space="preserve">Не предусмотрена.</w:t>
            </w:r>
            <w:r/>
          </w:p>
          <w:p>
            <w:pPr>
              <w:pStyle w:val="1210"/>
            </w:pPr>
            <w:r/>
            <w:r/>
          </w:p>
        </w:tc>
      </w:tr>
      <w:tr>
        <w:tblPrEx/>
        <w:trPr/>
        <w:tc>
          <w:tcPr>
            <w:tcW w:w="846" w:type="dxa"/>
            <w:textDirection w:val="lrTb"/>
            <w:noWrap w:val="false"/>
          </w:tcPr>
          <w:p>
            <w:pPr>
              <w:pStyle w:val="1176"/>
            </w:pPr>
            <w:r/>
            <w:bookmarkStart w:id="24" w:name="_Ref125475086"/>
            <w:r/>
            <w:bookmarkEnd w:id="24"/>
            <w:r/>
            <w:r/>
          </w:p>
        </w:tc>
        <w:tc>
          <w:tcPr>
            <w:tcW w:w="3232" w:type="dxa"/>
            <w:textDirection w:val="lrTb"/>
            <w:noWrap w:val="false"/>
          </w:tcPr>
          <w:p>
            <w:pPr>
              <w:pStyle w:val="1180"/>
              <w:jc w:val="left"/>
            </w:pPr>
            <w:r>
              <w:t xml:space="preserve">Место</w:t>
            </w:r>
            <w:r>
              <w:t xml:space="preserve"> и порядок </w:t>
            </w:r>
            <w:r>
              <w:t xml:space="preserve">подачи</w:t>
            </w:r>
            <w:r>
              <w:t xml:space="preserve"> </w:t>
            </w:r>
            <w:r>
              <w:t xml:space="preserve">заявок</w:t>
            </w:r>
            <w:r>
              <w:t xml:space="preserve">:</w:t>
            </w:r>
            <w:r/>
          </w:p>
        </w:tc>
        <w:tc>
          <w:tcPr>
            <w:tcW w:w="5676" w:type="dxa"/>
            <w:textDirection w:val="lrTb"/>
            <w:noWrap w:val="false"/>
          </w:tcPr>
          <w:p>
            <w:pPr>
              <w:pStyle w:val="1180"/>
            </w:pPr>
            <w:r>
              <w:t xml:space="preserve">Заявки подаются</w:t>
            </w:r>
            <w:r>
              <w:t xml:space="preserve"> посредством функционала ЭП,</w:t>
            </w:r>
            <w:r>
              <w:t xml:space="preserve"> по адресу ЭП, указанному в</w:t>
            </w:r>
            <w:r>
              <w:t xml:space="preserve"> </w:t>
            </w:r>
            <w:r>
              <w:t xml:space="preserve">пункте</w:t>
            </w:r>
            <w:r>
              <w:t xml:space="preserve"> </w:t>
            </w:r>
            <w:r>
              <w:fldChar w:fldCharType="begin"/>
            </w:r>
            <w:r>
              <w:instrText xml:space="preserve"> REF _Ref125360764 \r \h  \* MERGEFORMAT </w:instrText>
            </w:r>
            <w:r>
              <w:fldChar w:fldCharType="separate"/>
            </w:r>
            <w:r>
              <w:t xml:space="preserve">1.2.5</w:t>
            </w:r>
            <w:r>
              <w:fldChar w:fldCharType="end"/>
            </w:r>
            <w:r>
              <w:t xml:space="preserve">.</w:t>
            </w:r>
            <w:r/>
          </w:p>
        </w:tc>
      </w:tr>
      <w:tr>
        <w:tblPrEx/>
        <w:trPr/>
        <w:tc>
          <w:tcPr>
            <w:tcW w:w="846" w:type="dxa"/>
            <w:textDirection w:val="lrTb"/>
            <w:noWrap w:val="false"/>
          </w:tcPr>
          <w:p>
            <w:pPr>
              <w:pStyle w:val="1176"/>
              <w:rPr>
                <w:highlight w:val="white"/>
              </w:rPr>
            </w:pPr>
            <w:r>
              <w:rPr>
                <w:highlight w:val="white"/>
              </w:rPr>
            </w:r>
            <w:bookmarkStart w:id="25" w:name="_Ref125360779"/>
            <w:r>
              <w:rPr>
                <w:highlight w:val="white"/>
              </w:rPr>
            </w:r>
            <w:bookmarkEnd w:id="25"/>
            <w:r>
              <w:rPr>
                <w:highlight w:val="white"/>
              </w:rPr>
            </w:r>
            <w:r>
              <w:rPr>
                <w:highlight w:val="white"/>
              </w:rPr>
            </w:r>
          </w:p>
        </w:tc>
        <w:tc>
          <w:tcPr>
            <w:tcW w:w="3232" w:type="dxa"/>
            <w:textDirection w:val="lrTb"/>
            <w:noWrap w:val="false"/>
          </w:tcPr>
          <w:p>
            <w:pPr>
              <w:pStyle w:val="1180"/>
              <w:jc w:val="left"/>
              <w:rPr>
                <w:highlight w:val="white"/>
              </w:rPr>
            </w:pPr>
            <w:r>
              <w:rPr>
                <w:highlight w:val="white"/>
              </w:rPr>
              <w:t xml:space="preserve">Дата начала</w:t>
            </w:r>
            <w:r>
              <w:rPr>
                <w:highlight w:val="white"/>
              </w:rPr>
              <w:t xml:space="preserve">;</w:t>
            </w:r>
            <w:r>
              <w:rPr>
                <w:highlight w:val="white"/>
              </w:rPr>
              <w:t xml:space="preserve"> дата и время окончания срока подачи заявок</w:t>
            </w:r>
            <w:r>
              <w:rPr>
                <w:highlight w:val="white"/>
              </w:rPr>
              <w:t xml:space="preserve">:</w:t>
            </w:r>
            <w:r>
              <w:rPr>
                <w:highlight w:val="white"/>
              </w:rPr>
            </w:r>
            <w:r>
              <w:rPr>
                <w:highlight w:val="white"/>
              </w:rPr>
            </w:r>
          </w:p>
        </w:tc>
        <w:tc>
          <w:tcPr>
            <w:tcW w:w="5676" w:type="dxa"/>
            <w:textDirection w:val="lrTb"/>
            <w:noWrap w:val="false"/>
          </w:tcPr>
          <w:p>
            <w:pPr>
              <w:pStyle w:val="1180"/>
              <w:rPr>
                <w:highlight w:val="white"/>
              </w:rPr>
            </w:pPr>
            <w:r>
              <w:rPr>
                <w:highlight w:val="white"/>
              </w:rPr>
              <w:t xml:space="preserve">Дата начала подачи заявок:</w:t>
            </w:r>
            <w:r>
              <w:rPr>
                <w:highlight w:val="white"/>
              </w:rPr>
            </w:r>
            <w:r>
              <w:rPr>
                <w:highlight w:val="white"/>
              </w:rPr>
            </w:r>
          </w:p>
          <w:p>
            <w:pPr>
              <w:pStyle w:val="1180"/>
              <w:rPr>
                <w:highlight w:val="white"/>
              </w:rPr>
            </w:pPr>
            <w:r>
              <w:rPr>
                <w:highlight w:val="white"/>
              </w:rPr>
              <w:t xml:space="preserve">«16</w:t>
            </w:r>
            <w:r>
              <w:rPr>
                <w:highlight w:val="white"/>
              </w:rPr>
              <w:t xml:space="preserve">»</w:t>
            </w:r>
            <w:r>
              <w:rPr>
                <w:highlight w:val="white"/>
              </w:rPr>
              <w:t xml:space="preserve"> </w:t>
            </w:r>
            <w:r>
              <w:rPr>
                <w:highlight w:val="white"/>
              </w:rPr>
              <w:t xml:space="preserve">ию</w:t>
            </w:r>
            <w:r>
              <w:rPr>
                <w:highlight w:val="white"/>
              </w:rPr>
              <w:t xml:space="preserve">л</w:t>
            </w:r>
            <w:r>
              <w:rPr>
                <w:highlight w:val="white"/>
              </w:rPr>
              <w:t xml:space="preserve">я</w:t>
            </w:r>
            <w:r>
              <w:rPr>
                <w:highlight w:val="white"/>
              </w:rPr>
              <w:t xml:space="preserve"> </w:t>
            </w:r>
            <w:r>
              <w:rPr>
                <w:highlight w:val="white"/>
              </w:rPr>
              <w:t xml:space="preserve">202</w:t>
            </w:r>
            <w:r>
              <w:rPr>
                <w:highlight w:val="white"/>
              </w:rPr>
              <w:t xml:space="preserve">6</w:t>
            </w:r>
            <w:r>
              <w:rPr>
                <w:highlight w:val="white"/>
              </w:rPr>
              <w:t xml:space="preserve"> г.</w:t>
            </w:r>
            <w:r>
              <w:rPr>
                <w:highlight w:val="white"/>
              </w:rPr>
            </w:r>
            <w:r>
              <w:rPr>
                <w:highlight w:val="white"/>
              </w:rPr>
            </w:r>
          </w:p>
          <w:p>
            <w:pPr>
              <w:pStyle w:val="1180"/>
              <w:rPr>
                <w:highlight w:val="white"/>
              </w:rPr>
            </w:pPr>
            <w:r>
              <w:rPr>
                <w:highlight w:val="white"/>
              </w:rPr>
              <w:t xml:space="preserve">Дата и время окончания срока подачи заявок:</w:t>
            </w:r>
            <w:r>
              <w:rPr>
                <w:highlight w:val="white"/>
              </w:rPr>
            </w:r>
            <w:r>
              <w:rPr>
                <w:highlight w:val="white"/>
              </w:rPr>
            </w:r>
          </w:p>
          <w:p>
            <w:pPr>
              <w:pStyle w:val="1180"/>
              <w:rPr>
                <w:highlight w:val="white"/>
              </w:rPr>
            </w:pPr>
            <w:r>
              <w:rPr>
                <w:highlight w:val="white"/>
              </w:rPr>
              <w:t xml:space="preserve">«30</w:t>
            </w:r>
            <w:r>
              <w:rPr>
                <w:highlight w:val="white"/>
              </w:rPr>
              <w:t xml:space="preserve">»</w:t>
            </w:r>
            <w:r>
              <w:rPr>
                <w:highlight w:val="white"/>
              </w:rPr>
              <w:t xml:space="preserve"> </w:t>
            </w:r>
            <w:r>
              <w:rPr>
                <w:highlight w:val="white"/>
              </w:rPr>
              <w:t xml:space="preserve">ию</w:t>
            </w:r>
            <w:r>
              <w:rPr>
                <w:highlight w:val="white"/>
              </w:rPr>
              <w:t xml:space="preserve">л</w:t>
            </w:r>
            <w:r>
              <w:rPr>
                <w:highlight w:val="white"/>
              </w:rPr>
              <w:t xml:space="preserve">я</w:t>
            </w:r>
            <w:r>
              <w:rPr>
                <w:highlight w:val="white"/>
              </w:rPr>
              <w:t xml:space="preserve"> </w:t>
            </w:r>
            <w:r>
              <w:rPr>
                <w:highlight w:val="white"/>
              </w:rPr>
              <w:t xml:space="preserve">202</w:t>
            </w:r>
            <w:r>
              <w:rPr>
                <w:highlight w:val="white"/>
              </w:rPr>
              <w:t xml:space="preserve">6</w:t>
            </w:r>
            <w:r>
              <w:rPr>
                <w:highlight w:val="white"/>
              </w:rPr>
              <w:t xml:space="preserve"> г. в 15</w:t>
            </w:r>
            <w:r>
              <w:rPr>
                <w:highlight w:val="white"/>
              </w:rPr>
              <w:t xml:space="preserve"> ч. </w:t>
            </w:r>
            <w:r>
              <w:rPr>
                <w:highlight w:val="white"/>
              </w:rPr>
              <w:t xml:space="preserve">00 мин. (по хабаровскому времени).</w:t>
            </w:r>
            <w:r>
              <w:rPr>
                <w:highlight w:val="white"/>
              </w:rPr>
            </w:r>
            <w:r>
              <w:rPr>
                <w:highlight w:val="white"/>
              </w:rPr>
            </w:r>
          </w:p>
        </w:tc>
      </w:tr>
      <w:tr>
        <w:tblPrEx/>
        <w:trPr/>
        <w:tc>
          <w:tcPr>
            <w:tcW w:w="846" w:type="dxa"/>
            <w:textDirection w:val="lrTb"/>
            <w:noWrap w:val="false"/>
          </w:tcPr>
          <w:p>
            <w:pPr>
              <w:pStyle w:val="1176"/>
              <w:rPr>
                <w:highlight w:val="white"/>
              </w:rPr>
            </w:pPr>
            <w:r>
              <w:rPr>
                <w:highlight w:val="white"/>
              </w:rPr>
            </w:r>
            <w:r>
              <w:rPr>
                <w:highlight w:val="white"/>
              </w:rPr>
            </w:r>
          </w:p>
        </w:tc>
        <w:tc>
          <w:tcPr>
            <w:tcW w:w="3232" w:type="dxa"/>
            <w:textDirection w:val="lrTb"/>
            <w:noWrap w:val="false"/>
          </w:tcPr>
          <w:p>
            <w:pPr>
              <w:pStyle w:val="1180"/>
              <w:jc w:val="left"/>
              <w:rPr>
                <w:highlight w:val="white"/>
              </w:rPr>
            </w:pPr>
            <w:r>
              <w:rPr>
                <w:highlight w:val="white"/>
              </w:rPr>
              <w:t xml:space="preserve">Срок предоставления Участникам разъяснений Документации о</w:t>
            </w:r>
            <w:r>
              <w:rPr>
                <w:highlight w:val="white"/>
              </w:rPr>
              <w:t xml:space="preserve"> </w:t>
            </w:r>
            <w:r>
              <w:rPr>
                <w:highlight w:val="white"/>
              </w:rPr>
              <w:t xml:space="preserve">закупке</w:t>
            </w:r>
            <w:r>
              <w:rPr>
                <w:highlight w:val="white"/>
              </w:rPr>
              <w:t xml:space="preserve">:</w:t>
            </w:r>
            <w:r>
              <w:rPr>
                <w:highlight w:val="white"/>
              </w:rPr>
            </w:r>
          </w:p>
        </w:tc>
        <w:tc>
          <w:tcPr>
            <w:tcW w:w="5676" w:type="dxa"/>
            <w:textDirection w:val="lrTb"/>
            <w:noWrap w:val="false"/>
          </w:tcPr>
          <w:p>
            <w:pPr>
              <w:pStyle w:val="1180"/>
              <w:rPr>
                <w:highlight w:val="white"/>
              </w:rPr>
            </w:pPr>
            <w:r>
              <w:rPr>
                <w:highlight w:val="white"/>
              </w:rPr>
              <w:t xml:space="preserve">Дата и время окончания срока предоставления разъяснений:</w:t>
            </w:r>
            <w:r>
              <w:rPr>
                <w:highlight w:val="white"/>
              </w:rPr>
            </w:r>
          </w:p>
          <w:p>
            <w:pPr>
              <w:pStyle w:val="1180"/>
              <w:rPr>
                <w:highlight w:val="white"/>
              </w:rPr>
            </w:pPr>
            <w:r>
              <w:rPr>
                <w:highlight w:val="white"/>
              </w:rPr>
              <w:t xml:space="preserve">«30</w:t>
            </w:r>
            <w:r>
              <w:rPr>
                <w:highlight w:val="white"/>
              </w:rPr>
              <w:t xml:space="preserve">»</w:t>
            </w:r>
            <w:r>
              <w:rPr>
                <w:highlight w:val="white"/>
              </w:rPr>
              <w:t xml:space="preserve"> </w:t>
            </w:r>
            <w:r>
              <w:rPr>
                <w:highlight w:val="white"/>
              </w:rPr>
              <w:t xml:space="preserve">ию</w:t>
            </w:r>
            <w:r>
              <w:rPr>
                <w:highlight w:val="white"/>
              </w:rPr>
              <w:t xml:space="preserve">л</w:t>
            </w:r>
            <w:r>
              <w:rPr>
                <w:highlight w:val="white"/>
              </w:rPr>
              <w:t xml:space="preserve">я</w:t>
            </w:r>
            <w:r>
              <w:rPr>
                <w:highlight w:val="white"/>
              </w:rPr>
              <w:t xml:space="preserve"> 2026</w:t>
            </w:r>
            <w:r>
              <w:rPr>
                <w:highlight w:val="white"/>
              </w:rPr>
              <w:t xml:space="preserve"> г. в 15 ч. 00 мин. (по хабаровскому времени).</w:t>
            </w:r>
            <w:r>
              <w:rPr>
                <w:highlight w:val="white"/>
              </w:rPr>
            </w:r>
          </w:p>
          <w:p>
            <w:pPr>
              <w:pStyle w:val="1180"/>
              <w:rPr>
                <w:highlight w:val="white"/>
              </w:rPr>
            </w:pPr>
            <w:r>
              <w:rPr>
                <w:highlight w:val="white"/>
              </w:rPr>
              <w:t xml:space="preserve">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highlight w:val="white"/>
              </w:rPr>
              <w:fldChar w:fldCharType="begin"/>
            </w:r>
            <w:r>
              <w:rPr>
                <w:highlight w:val="white"/>
              </w:rPr>
              <w:instrText xml:space="preserve"> REF _Ref125360779 \r \h  \* MERGEFORMAT </w:instrText>
            </w:r>
            <w:r>
              <w:rPr>
                <w:highlight w:val="white"/>
              </w:rPr>
              <w:fldChar w:fldCharType="separate"/>
            </w:r>
            <w:r>
              <w:rPr>
                <w:highlight w:val="white"/>
              </w:rPr>
              <w:t xml:space="preserve">1.2.18</w:t>
            </w:r>
            <w:r>
              <w:rPr>
                <w:highlight w:val="white"/>
              </w:rPr>
              <w:fldChar w:fldCharType="end"/>
            </w:r>
            <w:r>
              <w:rPr>
                <w:highlight w:val="white"/>
              </w:rPr>
              <w:t xml:space="preserve">.</w:t>
            </w:r>
            <w:r>
              <w:rPr>
                <w:highlight w:val="white"/>
              </w:rPr>
            </w:r>
          </w:p>
        </w:tc>
      </w:tr>
      <w:tr>
        <w:tblPrEx/>
        <w:trPr/>
        <w:tc>
          <w:tcPr>
            <w:tcW w:w="846" w:type="dxa"/>
            <w:textDirection w:val="lrTb"/>
            <w:noWrap w:val="false"/>
          </w:tcPr>
          <w:p>
            <w:pPr>
              <w:pStyle w:val="1176"/>
            </w:pPr>
            <w:r/>
            <w:bookmarkStart w:id="26" w:name="_Ref125476197"/>
            <w:r/>
            <w:bookmarkEnd w:id="26"/>
            <w:r/>
            <w:r/>
          </w:p>
        </w:tc>
        <w:tc>
          <w:tcPr>
            <w:tcW w:w="3232" w:type="dxa"/>
            <w:textDirection w:val="lrTb"/>
            <w:noWrap w:val="false"/>
          </w:tcPr>
          <w:p>
            <w:pPr>
              <w:pStyle w:val="1180"/>
              <w:jc w:val="left"/>
            </w:pPr>
            <w:r>
              <w:t xml:space="preserve">Место </w:t>
            </w:r>
            <w:r>
              <w:t xml:space="preserve">открытия</w:t>
            </w:r>
            <w:r>
              <w:br/>
              <w:t xml:space="preserve">доступа к заявкам:</w:t>
            </w:r>
            <w:r/>
          </w:p>
        </w:tc>
        <w:tc>
          <w:tcPr>
            <w:tcW w:w="5676" w:type="dxa"/>
            <w:textDirection w:val="lrTb"/>
            <w:noWrap w:val="false"/>
          </w:tcPr>
          <w:p>
            <w:pPr>
              <w:pStyle w:val="1180"/>
            </w:pPr>
            <w:r>
              <w:t xml:space="preserve">Открытие доступа к заявкам осуществляется автоматически на ЭП, расположенной по адресу согласно пункту </w:t>
            </w:r>
            <w:r>
              <w:fldChar w:fldCharType="begin"/>
            </w:r>
            <w:r>
              <w:instrText xml:space="preserve"> REF _Ref125360764 \r \h  \* MERGEFORMAT </w:instrText>
            </w:r>
            <w:r>
              <w:fldChar w:fldCharType="separate"/>
            </w:r>
            <w:r>
              <w:t xml:space="preserve">1.2.5</w:t>
            </w:r>
            <w:r>
              <w:fldChar w:fldCharType="end"/>
            </w:r>
            <w:r>
              <w:t xml:space="preserve">.</w:t>
            </w:r>
            <w:r/>
          </w:p>
        </w:tc>
      </w:tr>
      <w:tr>
        <w:tblPrEx/>
        <w:trPr>
          <w:trHeight w:val="397"/>
        </w:trPr>
        <w:tc>
          <w:tcPr>
            <w:tcW w:w="846" w:type="dxa"/>
            <w:textDirection w:val="lrTb"/>
            <w:noWrap w:val="false"/>
          </w:tcPr>
          <w:p>
            <w:pPr>
              <w:pStyle w:val="1176"/>
              <w:rPr>
                <w:highlight w:val="white"/>
              </w:rPr>
            </w:pPr>
            <w:r>
              <w:rPr>
                <w:highlight w:val="white"/>
              </w:rPr>
            </w:r>
            <w:bookmarkStart w:id="27" w:name="_Ref125362733"/>
            <w:r>
              <w:rPr>
                <w:highlight w:val="white"/>
              </w:rPr>
            </w:r>
            <w:bookmarkEnd w:id="27"/>
            <w:r>
              <w:rPr>
                <w:highlight w:val="white"/>
              </w:rPr>
            </w:r>
            <w:r>
              <w:rPr>
                <w:highlight w:val="white"/>
              </w:rPr>
            </w:r>
          </w:p>
        </w:tc>
        <w:tc>
          <w:tcPr>
            <w:tcW w:w="3232" w:type="dxa"/>
            <w:textDirection w:val="lrTb"/>
            <w:noWrap w:val="false"/>
          </w:tcPr>
          <w:p>
            <w:pPr>
              <w:pStyle w:val="1180"/>
              <w:jc w:val="left"/>
              <w:rPr>
                <w:highlight w:val="white"/>
              </w:rPr>
            </w:pPr>
            <w:r>
              <w:rPr>
                <w:highlight w:val="white"/>
              </w:rPr>
              <w:t xml:space="preserve">Дата </w:t>
            </w:r>
            <w:r>
              <w:rPr>
                <w:highlight w:val="white"/>
              </w:rPr>
              <w:t xml:space="preserve">окончания </w:t>
            </w:r>
            <w:r>
              <w:rPr>
                <w:highlight w:val="white"/>
              </w:rPr>
              <w:t xml:space="preserve">рассмотрения заявок</w:t>
            </w:r>
            <w:r>
              <w:rPr>
                <w:highlight w:val="white"/>
              </w:rPr>
              <w:t xml:space="preserve">:</w:t>
            </w:r>
            <w:r>
              <w:rPr>
                <w:highlight w:val="white"/>
              </w:rPr>
            </w:r>
            <w:r>
              <w:rPr>
                <w:highlight w:val="white"/>
              </w:rPr>
            </w:r>
          </w:p>
        </w:tc>
        <w:tc>
          <w:tcPr>
            <w:tcW w:w="5676" w:type="dxa"/>
            <w:textDirection w:val="lrTb"/>
            <w:noWrap w:val="false"/>
          </w:tcPr>
          <w:p>
            <w:pPr>
              <w:pStyle w:val="1180"/>
              <w:rPr>
                <w:highlight w:val="white"/>
              </w:rPr>
            </w:pPr>
            <w:r>
              <w:rPr>
                <w:highlight w:val="white"/>
              </w:rPr>
              <w:t xml:space="preserve">«14</w:t>
            </w:r>
            <w:r>
              <w:rPr>
                <w:highlight w:val="white"/>
              </w:rPr>
              <w:t xml:space="preserve">»</w:t>
            </w:r>
            <w:r>
              <w:rPr>
                <w:highlight w:val="white"/>
              </w:rPr>
              <w:t xml:space="preserve"> </w:t>
            </w:r>
            <w:r>
              <w:rPr>
                <w:highlight w:val="white"/>
              </w:rPr>
              <w:t xml:space="preserve">а</w:t>
            </w:r>
            <w:r>
              <w:rPr>
                <w:highlight w:val="white"/>
              </w:rPr>
              <w:t xml:space="preserve">в</w:t>
            </w:r>
            <w:r>
              <w:rPr>
                <w:highlight w:val="white"/>
              </w:rPr>
              <w:t xml:space="preserve">г</w:t>
            </w:r>
            <w:r>
              <w:rPr>
                <w:highlight w:val="white"/>
              </w:rPr>
              <w:t xml:space="preserve">у</w:t>
            </w:r>
            <w:r>
              <w:rPr>
                <w:highlight w:val="white"/>
              </w:rPr>
              <w:t xml:space="preserve">с</w:t>
            </w:r>
            <w:r>
              <w:rPr>
                <w:highlight w:val="white"/>
              </w:rPr>
              <w:t xml:space="preserve">т</w:t>
            </w:r>
            <w:r>
              <w:rPr>
                <w:highlight w:val="white"/>
              </w:rPr>
              <w:t xml:space="preserve">а</w:t>
            </w:r>
            <w:r>
              <w:rPr>
                <w:highlight w:val="white"/>
              </w:rPr>
              <w:t xml:space="preserve"> 202</w:t>
            </w:r>
            <w:r>
              <w:rPr>
                <w:highlight w:val="white"/>
              </w:rPr>
              <w:t xml:space="preserve">6</w:t>
            </w:r>
            <w:r>
              <w:rPr>
                <w:highlight w:val="white"/>
              </w:rPr>
              <w:t xml:space="preserve"> г.</w:t>
            </w:r>
            <w:r>
              <w:rPr>
                <w:highlight w:val="white"/>
              </w:rPr>
            </w:r>
            <w:r>
              <w:rPr>
                <w:highlight w:val="white"/>
              </w:rPr>
            </w:r>
          </w:p>
          <w:p>
            <w:pPr>
              <w:pStyle w:val="1180"/>
              <w:rPr>
                <w:rStyle w:val="1185"/>
                <w:highlight w:val="white"/>
              </w:rPr>
            </w:pPr>
            <w:r>
              <w:rPr>
                <w:rStyle w:val="1185"/>
                <w:highlight w:val="white"/>
              </w:rPr>
            </w:r>
            <w:r>
              <w:rPr>
                <w:rStyle w:val="1185"/>
                <w:highlight w:val="white"/>
              </w:rPr>
            </w:r>
            <w:r>
              <w:rPr>
                <w:rStyle w:val="1185"/>
                <w:highlight w:val="white"/>
              </w:rPr>
            </w:r>
          </w:p>
        </w:tc>
      </w:tr>
      <w:tr>
        <w:tblPrEx/>
        <w:trPr/>
        <w:tc>
          <w:tcPr>
            <w:tcW w:w="846" w:type="dxa"/>
            <w:textDirection w:val="lrTb"/>
            <w:noWrap w:val="false"/>
          </w:tcPr>
          <w:p>
            <w:pPr>
              <w:pStyle w:val="1176"/>
            </w:pPr>
            <w:r/>
            <w:r/>
          </w:p>
        </w:tc>
        <w:tc>
          <w:tcPr>
            <w:tcW w:w="3232" w:type="dxa"/>
            <w:textDirection w:val="lrTb"/>
            <w:noWrap w:val="false"/>
          </w:tcPr>
          <w:p>
            <w:pPr>
              <w:pStyle w:val="1180"/>
              <w:jc w:val="left"/>
            </w:pPr>
            <w:r>
              <w:t xml:space="preserve">Возможность проведения процедуры переторжки:</w:t>
            </w:r>
            <w:r/>
          </w:p>
        </w:tc>
        <w:tc>
          <w:tcPr>
            <w:tcW w:w="5676" w:type="dxa"/>
            <w:textDirection w:val="lrTb"/>
            <w:noWrap w:val="false"/>
          </w:tcPr>
          <w:p>
            <w:pPr>
              <w:pStyle w:val="1180"/>
            </w:pPr>
            <w:r>
              <w:t xml:space="preserve">Не предусмотрено.</w:t>
            </w:r>
            <w:r/>
          </w:p>
        </w:tc>
      </w:tr>
      <w:tr>
        <w:tblPrEx/>
        <w:trPr/>
        <w:tc>
          <w:tcPr>
            <w:tcW w:w="846" w:type="dxa"/>
            <w:textDirection w:val="lrTb"/>
            <w:noWrap w:val="false"/>
          </w:tcPr>
          <w:p>
            <w:pPr>
              <w:pStyle w:val="1176"/>
              <w:rPr>
                <w:highlight w:val="white"/>
              </w:rPr>
            </w:pPr>
            <w:r>
              <w:rPr>
                <w:highlight w:val="white"/>
              </w:rPr>
            </w:r>
            <w:bookmarkStart w:id="28" w:name="_Ref125362757"/>
            <w:r>
              <w:rPr>
                <w:highlight w:val="white"/>
              </w:rPr>
            </w:r>
            <w:bookmarkEnd w:id="28"/>
            <w:r>
              <w:rPr>
                <w:highlight w:val="white"/>
              </w:rPr>
            </w:r>
            <w:r>
              <w:rPr>
                <w:highlight w:val="white"/>
              </w:rPr>
            </w:r>
          </w:p>
        </w:tc>
        <w:tc>
          <w:tcPr>
            <w:tcW w:w="3232" w:type="dxa"/>
            <w:textDirection w:val="lrTb"/>
            <w:noWrap w:val="false"/>
          </w:tcPr>
          <w:p>
            <w:pPr>
              <w:pStyle w:val="1180"/>
              <w:jc w:val="left"/>
              <w:rPr>
                <w:highlight w:val="white"/>
              </w:rPr>
            </w:pPr>
            <w:r>
              <w:rPr>
                <w:highlight w:val="white"/>
              </w:rPr>
              <w:t xml:space="preserve">Дата подведения</w:t>
            </w:r>
            <w:r>
              <w:rPr>
                <w:highlight w:val="white"/>
              </w:rPr>
              <w:br/>
            </w:r>
            <w:r>
              <w:rPr>
                <w:highlight w:val="white"/>
              </w:rPr>
              <w:t xml:space="preserve">итогов</w:t>
            </w:r>
            <w:r>
              <w:rPr>
                <w:highlight w:val="white"/>
              </w:rPr>
              <w:t xml:space="preserve"> </w:t>
            </w:r>
            <w:r>
              <w:rPr>
                <w:highlight w:val="white"/>
              </w:rPr>
              <w:t xml:space="preserve">закупки</w:t>
            </w:r>
            <w:r>
              <w:rPr>
                <w:highlight w:val="white"/>
              </w:rPr>
              <w:t xml:space="preserve">:</w:t>
            </w:r>
            <w:r>
              <w:rPr>
                <w:highlight w:val="white"/>
              </w:rPr>
            </w:r>
            <w:r>
              <w:rPr>
                <w:highlight w:val="white"/>
              </w:rPr>
            </w:r>
          </w:p>
        </w:tc>
        <w:tc>
          <w:tcPr>
            <w:tcW w:w="5676" w:type="dxa"/>
            <w:textDirection w:val="lrTb"/>
            <w:noWrap w:val="false"/>
          </w:tcPr>
          <w:p>
            <w:pPr>
              <w:pStyle w:val="1180"/>
              <w:rPr>
                <w:rStyle w:val="1185"/>
                <w:highlight w:val="white"/>
              </w:rPr>
            </w:pPr>
            <w:r>
              <w:rPr>
                <w:highlight w:val="white"/>
              </w:rPr>
              <w:t xml:space="preserve">«14</w:t>
            </w:r>
            <w:r>
              <w:rPr>
                <w:highlight w:val="white"/>
              </w:rPr>
              <w:t xml:space="preserve">» </w:t>
            </w:r>
            <w:r>
              <w:rPr>
                <w:highlight w:val="white"/>
              </w:rPr>
              <w:t xml:space="preserve">а</w:t>
            </w:r>
            <w:r>
              <w:rPr>
                <w:highlight w:val="white"/>
              </w:rPr>
              <w:t xml:space="preserve">в</w:t>
            </w:r>
            <w:r>
              <w:rPr>
                <w:highlight w:val="white"/>
              </w:rPr>
              <w:t xml:space="preserve">г</w:t>
            </w:r>
            <w:r>
              <w:rPr>
                <w:highlight w:val="white"/>
              </w:rPr>
              <w:t xml:space="preserve">у</w:t>
            </w:r>
            <w:r>
              <w:rPr>
                <w:highlight w:val="white"/>
              </w:rPr>
              <w:t xml:space="preserve">с</w:t>
            </w:r>
            <w:r>
              <w:rPr>
                <w:highlight w:val="white"/>
              </w:rPr>
              <w:t xml:space="preserve">т</w:t>
            </w:r>
            <w:r>
              <w:rPr>
                <w:highlight w:val="white"/>
              </w:rPr>
              <w:t xml:space="preserve">а</w:t>
            </w:r>
            <w:r>
              <w:rPr>
                <w:highlight w:val="white"/>
              </w:rPr>
              <w:t xml:space="preserve"> 2026</w:t>
            </w:r>
            <w:r>
              <w:rPr>
                <w:highlight w:val="white"/>
              </w:rPr>
              <w:t xml:space="preserve"> г.</w:t>
            </w:r>
            <w:r>
              <w:rPr>
                <w:rStyle w:val="1185"/>
                <w:i w:val="0"/>
                <w:iCs w:val="0"/>
                <w:highlight w:val="white"/>
                <w:shd w:val="clear" w:color="auto" w:fill="auto"/>
              </w:rPr>
              <w:t xml:space="preserve"> </w:t>
            </w:r>
            <w:r>
              <w:rPr>
                <w:rStyle w:val="1185"/>
                <w:highlight w:val="white"/>
              </w:rPr>
            </w:r>
            <w:r>
              <w:rPr>
                <w:rStyle w:val="1185"/>
                <w:highlight w:val="white"/>
              </w:rPr>
            </w:r>
          </w:p>
        </w:tc>
      </w:tr>
      <w:tr>
        <w:tblPrEx/>
        <w:trPr/>
        <w:tc>
          <w:tcPr>
            <w:tcW w:w="846" w:type="dxa"/>
            <w:textDirection w:val="lrTb"/>
            <w:noWrap w:val="false"/>
          </w:tcPr>
          <w:p>
            <w:pPr>
              <w:pStyle w:val="1176"/>
            </w:pPr>
            <w:r/>
            <w:bookmarkStart w:id="29" w:name="_Ref125361769"/>
            <w:r/>
            <w:bookmarkEnd w:id="29"/>
            <w:r/>
            <w:r/>
          </w:p>
        </w:tc>
        <w:tc>
          <w:tcPr>
            <w:tcW w:w="3232" w:type="dxa"/>
            <w:textDirection w:val="lrTb"/>
            <w:noWrap w:val="false"/>
          </w:tcPr>
          <w:p>
            <w:pPr>
              <w:pStyle w:val="1180"/>
              <w:jc w:val="left"/>
            </w:pPr>
            <w:r>
              <w:t xml:space="preserve">Рассмотрение</w:t>
            </w:r>
            <w:r>
              <w:t xml:space="preserve">,</w:t>
            </w:r>
            <w:r>
              <w:t xml:space="preserve"> оценка</w:t>
            </w:r>
            <w:r>
              <w:t xml:space="preserve"> и сопоставление</w:t>
            </w:r>
            <w:r>
              <w:t xml:space="preserve"> заявок Участников с</w:t>
            </w:r>
            <w:r>
              <w:t xml:space="preserve"> </w:t>
            </w:r>
            <w:r>
              <w:t xml:space="preserve">учетом привлекаемых субподрядчиков</w:t>
            </w:r>
            <w:r>
              <w:t xml:space="preserve">:</w:t>
            </w:r>
            <w:r/>
          </w:p>
        </w:tc>
        <w:tc>
          <w:tcPr>
            <w:tcW w:w="5676" w:type="dxa"/>
            <w:textDirection w:val="lrTb"/>
            <w:noWrap w:val="false"/>
          </w:tcPr>
          <w:p>
            <w:pPr>
              <w:pStyle w:val="1180"/>
            </w:pPr>
            <w:r>
              <w:t xml:space="preserve">Не предусмотрено.</w:t>
            </w:r>
            <w:r/>
          </w:p>
        </w:tc>
      </w:tr>
      <w:tr>
        <w:tblPrEx/>
        <w:trPr/>
        <w:tc>
          <w:tcPr>
            <w:tcW w:w="846" w:type="dxa"/>
            <w:textDirection w:val="lrTb"/>
            <w:noWrap w:val="false"/>
          </w:tcPr>
          <w:p>
            <w:pPr>
              <w:pStyle w:val="1176"/>
            </w:pPr>
            <w:r/>
            <w:r/>
          </w:p>
        </w:tc>
        <w:tc>
          <w:tcPr>
            <w:tcW w:w="3232" w:type="dxa"/>
            <w:textDirection w:val="lrTb"/>
            <w:noWrap w:val="false"/>
          </w:tcPr>
          <w:p>
            <w:pPr>
              <w:pStyle w:val="1180"/>
              <w:jc w:val="left"/>
            </w:pPr>
            <w:r>
              <w:t xml:space="preserve">Порядок подведения</w:t>
            </w:r>
            <w:r>
              <w:br/>
              <w:t xml:space="preserve">итогов закупки:</w:t>
            </w:r>
            <w:r/>
          </w:p>
        </w:tc>
        <w:tc>
          <w:tcPr>
            <w:tcW w:w="5676" w:type="dxa"/>
            <w:textDirection w:val="lrTb"/>
            <w:noWrap w:val="false"/>
          </w:tcPr>
          <w:p>
            <w:pPr>
              <w:pStyle w:val="1180"/>
            </w:pPr>
            <w:r>
              <w:t xml:space="preserve">Победителем закупки признается Участник, заявка которого соответствует требованиям Документации о</w:t>
            </w:r>
            <w:r>
              <w:t xml:space="preserve"> </w:t>
            </w:r>
            <w:r>
              <w:t xml:space="preserve">закупке и содержит лучшие условия исполнения Договора на основании установленных критериев оценки согласно Документации о закупке.</w:t>
            </w:r>
            <w:r/>
          </w:p>
        </w:tc>
      </w:tr>
      <w:tr>
        <w:tblPrEx/>
        <w:trPr>
          <w:trHeight w:val="840"/>
        </w:trPr>
        <w:tc>
          <w:tcPr>
            <w:tcW w:w="846" w:type="dxa"/>
            <w:textDirection w:val="lrTb"/>
            <w:noWrap w:val="false"/>
          </w:tcPr>
          <w:p>
            <w:pPr>
              <w:pStyle w:val="1176"/>
            </w:pPr>
            <w:r/>
            <w:bookmarkStart w:id="30" w:name="_Ref125366606"/>
            <w:r/>
            <w:bookmarkEnd w:id="30"/>
            <w:r/>
            <w:r/>
          </w:p>
        </w:tc>
        <w:tc>
          <w:tcPr>
            <w:tcW w:w="3232" w:type="dxa"/>
            <w:textDirection w:val="lrTb"/>
            <w:noWrap w:val="false"/>
          </w:tcPr>
          <w:p>
            <w:pPr>
              <w:pStyle w:val="1180"/>
              <w:jc w:val="left"/>
            </w:pPr>
            <w:r>
              <w:t xml:space="preserve">Количество победителей закупки (в рамках одного лота)</w:t>
            </w:r>
            <w:r>
              <w:t xml:space="preserve">:</w:t>
            </w:r>
            <w:r/>
          </w:p>
        </w:tc>
        <w:tc>
          <w:tcPr>
            <w:tcW w:w="5676" w:type="dxa"/>
            <w:textDirection w:val="lrTb"/>
            <w:noWrap w:val="false"/>
          </w:tcPr>
          <w:p>
            <w:pPr>
              <w:pStyle w:val="1180"/>
            </w:pPr>
            <w:r>
              <w:t xml:space="preserve">Один победитель.</w:t>
            </w:r>
            <w:r/>
          </w:p>
        </w:tc>
      </w:tr>
      <w:tr>
        <w:tblPrEx/>
        <w:trPr/>
        <w:tc>
          <w:tcPr>
            <w:tcW w:w="846" w:type="dxa"/>
            <w:textDirection w:val="lrTb"/>
            <w:noWrap w:val="false"/>
          </w:tcPr>
          <w:p>
            <w:pPr>
              <w:pStyle w:val="1176"/>
            </w:pPr>
            <w:r/>
            <w:bookmarkStart w:id="31" w:name="_Ref125533374"/>
            <w:r/>
            <w:bookmarkEnd w:id="31"/>
            <w:r/>
            <w:r/>
          </w:p>
        </w:tc>
        <w:tc>
          <w:tcPr>
            <w:tcW w:w="3232" w:type="dxa"/>
            <w:textDirection w:val="lrTb"/>
            <w:noWrap w:val="false"/>
          </w:tcPr>
          <w:p>
            <w:pPr>
              <w:pStyle w:val="1180"/>
              <w:jc w:val="left"/>
            </w:pPr>
            <w:r>
              <w:t xml:space="preserve">Форма заключения Договора</w:t>
            </w:r>
            <w:r>
              <w:t xml:space="preserve">:</w:t>
            </w:r>
            <w:r/>
          </w:p>
        </w:tc>
        <w:tc>
          <w:tcPr>
            <w:tcW w:w="5676" w:type="dxa"/>
            <w:textDirection w:val="lrTb"/>
            <w:noWrap w:val="false"/>
          </w:tcPr>
          <w:p>
            <w:pPr>
              <w:pStyle w:val="1180"/>
            </w:pPr>
            <w:r>
              <w:t xml:space="preserve">В бумажной или</w:t>
            </w:r>
            <w:r>
              <w:t xml:space="preserve"> 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t xml:space="preserve">5</w:t>
            </w:r>
            <w:r>
              <w:fldChar w:fldCharType="end"/>
            </w:r>
            <w:r>
              <w:t xml:space="preserve">).</w:t>
            </w:r>
            <w:r/>
          </w:p>
          <w:p>
            <w:pPr>
              <w:pStyle w:val="1180"/>
            </w:pPr>
            <w:r>
              <w:t xml:space="preserve">Если договор будет заключаться в электронной форме посредством информационной системы электронного документооборота </w:t>
            </w:r>
            <w:hyperlink r:id="rId15" w:tooltip="https://diadoc.kontur.ru" w:history="1">
              <w:r>
                <w:rPr>
                  <w:rStyle w:val="1190"/>
                </w:rPr>
                <w:t xml:space="preserve">https://diadoc.kontur.ru</w:t>
              </w:r>
            </w:hyperlink>
            <w:r>
              <w:t xml:space="preserve">, то Победителю будет необходимо заключить соглашение с оператором инфо</w:t>
            </w:r>
            <w:r>
              <w:t xml:space="preserve">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w:t>
            </w:r>
            <w:r>
              <w:t xml:space="preserve">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w:t>
            </w:r>
            <w:r>
              <w:t xml:space="preserve">соответствующего соглашения, направленного Заказчиком.</w:t>
            </w:r>
            <w:r/>
          </w:p>
        </w:tc>
      </w:tr>
      <w:tr>
        <w:tblPrEx/>
        <w:trPr/>
        <w:tc>
          <w:tcPr>
            <w:tcW w:w="846" w:type="dxa"/>
            <w:textDirection w:val="lrTb"/>
            <w:noWrap w:val="false"/>
          </w:tcPr>
          <w:p>
            <w:pPr>
              <w:pStyle w:val="1176"/>
              <w:rPr>
                <w:highlight w:val="white"/>
              </w:rPr>
            </w:pPr>
            <w:r>
              <w:rPr>
                <w:highlight w:val="white"/>
              </w:rPr>
            </w:r>
            <w:bookmarkStart w:id="32" w:name="_Ref125366813"/>
            <w:r>
              <w:rPr>
                <w:highlight w:val="white"/>
              </w:rPr>
            </w:r>
            <w:bookmarkEnd w:id="32"/>
            <w:r>
              <w:rPr>
                <w:highlight w:val="white"/>
              </w:rPr>
            </w:r>
            <w:r>
              <w:rPr>
                <w:highlight w:val="white"/>
              </w:rPr>
            </w:r>
          </w:p>
        </w:tc>
        <w:tc>
          <w:tcPr>
            <w:tcW w:w="3232" w:type="dxa"/>
            <w:textDirection w:val="lrTb"/>
            <w:noWrap w:val="false"/>
          </w:tcPr>
          <w:p>
            <w:pPr>
              <w:pStyle w:val="1180"/>
              <w:jc w:val="left"/>
              <w:rPr>
                <w:highlight w:val="white"/>
              </w:rPr>
            </w:pPr>
            <w:r>
              <w:rPr>
                <w:highlight w:val="white"/>
              </w:rPr>
              <w:t xml:space="preserve">Место подачи документов в</w:t>
            </w:r>
            <w:r>
              <w:rPr>
                <w:highlight w:val="white"/>
              </w:rPr>
              <w:t xml:space="preserve"> </w:t>
            </w:r>
            <w:r>
              <w:rPr>
                <w:highlight w:val="white"/>
              </w:rPr>
              <w:t xml:space="preserve">отношении цепочки собственников, включая конечных бенефициаров</w:t>
            </w:r>
            <w:r>
              <w:rPr>
                <w:highlight w:val="white"/>
              </w:rPr>
              <w:t xml:space="preserve">:</w:t>
            </w:r>
            <w:r>
              <w:rPr>
                <w:highlight w:val="white"/>
              </w:rPr>
            </w:r>
            <w:r>
              <w:rPr>
                <w:highlight w:val="white"/>
              </w:rPr>
            </w:r>
          </w:p>
        </w:tc>
        <w:tc>
          <w:tcPr>
            <w:tcW w:w="5676" w:type="dxa"/>
            <w:textDirection w:val="lrTb"/>
            <w:noWrap w:val="false"/>
          </w:tcPr>
          <w:p>
            <w:pPr>
              <w:pStyle w:val="1180"/>
              <w:keepNext/>
              <w:spacing w:before="0" w:after="0"/>
              <w:rPr>
                <w:highlight w:val="white"/>
              </w:rPr>
            </w:pPr>
            <w:r>
              <w:rPr>
                <w:highlight w:val="white"/>
              </w:rPr>
              <w:t xml:space="preserve">Контактное лицо (Ф.И.О.):</w:t>
            </w:r>
            <w:r>
              <w:rPr>
                <w:highlight w:val="white"/>
              </w:rPr>
              <w:t xml:space="preserve"> </w:t>
            </w:r>
            <w:r>
              <w:rPr>
                <w:highlight w:val="white"/>
              </w:rPr>
            </w:r>
            <w:r>
              <w:rPr>
                <w:highlight w:val="white"/>
              </w:rPr>
            </w:r>
          </w:p>
          <w:p>
            <w:pPr>
              <w:pStyle w:val="1180"/>
              <w:contextualSpacing w:val="0"/>
              <w:jc w:val="both"/>
              <w:spacing w:before="60" w:after="60" w:line="209" w:lineRule="auto"/>
              <w:rPr>
                <w:b w:val="0"/>
                <w:bCs w:val="0"/>
              </w:rPr>
              <w:suppressLineNumbers w:val="0"/>
            </w:pPr>
            <w:r>
              <w:rPr>
                <w:b w:val="0"/>
                <w:bCs w:val="0"/>
                <w:sz w:val="26"/>
                <w:szCs w:val="26"/>
                <w:highlight w:val="white"/>
              </w:rPr>
              <w:t xml:space="preserve">Борисова Татьяна Ильинична, </w:t>
            </w:r>
            <w:r/>
            <w:r>
              <w:rPr>
                <w:b w:val="0"/>
                <w:bCs w:val="0"/>
              </w:rPr>
            </w:r>
          </w:p>
          <w:p>
            <w:pPr>
              <w:pStyle w:val="1180"/>
              <w:contextualSpacing w:val="0"/>
              <w:jc w:val="both"/>
              <w:spacing w:before="60" w:after="60" w:line="209" w:lineRule="auto"/>
              <w:rPr>
                <w:b w:val="0"/>
                <w:bCs w:val="0"/>
                <w:sz w:val="26"/>
                <w:szCs w:val="26"/>
                <w:highlight w:val="white"/>
              </w:rPr>
              <w:suppressLineNumbers w:val="0"/>
            </w:pPr>
            <w:r>
              <w:rPr>
                <w:b w:val="0"/>
                <w:bCs w:val="0"/>
                <w:sz w:val="26"/>
                <w:szCs w:val="26"/>
                <w:highlight w:val="white"/>
              </w:rPr>
              <w:t xml:space="preserve">тел. +7(4212) 26-51-99</w:t>
            </w:r>
            <w:r>
              <w:rPr>
                <w:b w:val="0"/>
                <w:bCs w:val="0"/>
                <w:sz w:val="26"/>
                <w:szCs w:val="26"/>
                <w:highlight w:val="white"/>
              </w:rPr>
            </w:r>
            <w:r>
              <w:rPr>
                <w:b w:val="0"/>
                <w:bCs w:val="0"/>
                <w:sz w:val="26"/>
                <w:szCs w:val="26"/>
                <w:highlight w:val="white"/>
              </w:rPr>
            </w:r>
          </w:p>
          <w:p>
            <w:pPr>
              <w:spacing w:before="0" w:after="0"/>
              <w:shd w:val="clear" w:color="ffffff" w:themeColor="background1" w:fill="ffffff" w:themeFill="background1"/>
              <w:widowControl w:val="off"/>
              <w:tabs>
                <w:tab w:val="left" w:pos="295" w:leader="none"/>
              </w:tabs>
            </w:pPr>
            <w:r>
              <w:rPr>
                <w:szCs w:val="26"/>
                <w:highlight w:val="white"/>
              </w:rPr>
              <w:t xml:space="preserve">П</w:t>
            </w:r>
            <w:r>
              <w:rPr>
                <w:szCs w:val="26"/>
                <w:highlight w:val="white"/>
              </w:rPr>
              <w:t xml:space="preserve">очтовый адрес: </w:t>
            </w:r>
            <w:r>
              <w:rPr>
                <w:i/>
                <w:sz w:val="22"/>
                <w:highlight w:val="white"/>
              </w:rPr>
            </w:r>
            <w:r>
              <w:rPr>
                <w:szCs w:val="26"/>
                <w:highlight w:val="white"/>
              </w:rPr>
              <w:t xml:space="preserve">680015, </w:t>
            </w:r>
            <w:r>
              <w:rPr>
                <w:szCs w:val="26"/>
                <w:highlight w:val="white"/>
              </w:rPr>
              <w:t xml:space="preserve">Хабаровский край, г. Хабаровск, ул. Узловая, 15а </w:t>
            </w:r>
            <w:r>
              <w:rPr>
                <w:szCs w:val="26"/>
                <w:highlight w:val="white"/>
              </w:rPr>
            </w:r>
            <w:r>
              <w:rPr>
                <w:szCs w:val="26"/>
                <w:highlight w:val="white"/>
              </w:rPr>
            </w:r>
            <w:r>
              <w:rPr>
                <w:i/>
                <w:sz w:val="22"/>
                <w:highlight w:val="white"/>
              </w:rPr>
            </w:r>
            <w:r/>
            <w:r>
              <w:rPr>
                <w:szCs w:val="26"/>
                <w:highlight w:val="white"/>
              </w:rPr>
            </w:r>
          </w:p>
        </w:tc>
      </w:tr>
      <w:tr>
        <w:tblPrEx/>
        <w:trPr/>
        <w:tc>
          <w:tcPr>
            <w:tcW w:w="846" w:type="dxa"/>
            <w:textDirection w:val="lrTb"/>
            <w:noWrap w:val="false"/>
          </w:tcPr>
          <w:p>
            <w:pPr>
              <w:pStyle w:val="1176"/>
            </w:pPr>
            <w:r/>
            <w:bookmarkStart w:id="33" w:name="_Ref125368490"/>
            <w:r/>
            <w:bookmarkEnd w:id="33"/>
            <w:r/>
            <w:r/>
          </w:p>
        </w:tc>
        <w:tc>
          <w:tcPr>
            <w:tcW w:w="3232" w:type="dxa"/>
            <w:textDirection w:val="lrTb"/>
            <w:noWrap w:val="false"/>
          </w:tcPr>
          <w:p>
            <w:pPr>
              <w:pStyle w:val="1180"/>
              <w:jc w:val="left"/>
            </w:pPr>
            <w:r>
              <w:t xml:space="preserve">Некритичные </w:t>
            </w:r>
            <w:r>
              <w:t xml:space="preserve">пункты</w:t>
            </w:r>
            <w:r>
              <w:t xml:space="preserve"> </w:t>
            </w:r>
            <w:r>
              <w:t xml:space="preserve">П</w:t>
            </w:r>
            <w:r>
              <w:t xml:space="preserve">роекта </w:t>
            </w:r>
            <w:r>
              <w:t xml:space="preserve">д</w:t>
            </w:r>
            <w:r>
              <w:t xml:space="preserve">оговора</w:t>
            </w:r>
            <w:r>
              <w:t xml:space="preserve">:</w:t>
            </w:r>
            <w:r/>
          </w:p>
        </w:tc>
        <w:tc>
          <w:tcPr>
            <w:tcW w:w="5676" w:type="dxa"/>
            <w:textDirection w:val="lrTb"/>
            <w:noWrap w:val="false"/>
          </w:tcPr>
          <w:p>
            <w:pPr>
              <w:pStyle w:val="1180"/>
            </w:pPr>
            <w:r>
              <w:t xml:space="preserve">Отсутствуют.</w:t>
            </w:r>
            <w:r/>
          </w:p>
        </w:tc>
      </w:tr>
      <w:tr>
        <w:tblPrEx/>
        <w:trPr/>
        <w:tc>
          <w:tcPr>
            <w:tcW w:w="846" w:type="dxa"/>
            <w:textDirection w:val="lrTb"/>
            <w:noWrap w:val="false"/>
          </w:tcPr>
          <w:p>
            <w:pPr>
              <w:pStyle w:val="1176"/>
              <w:rPr>
                <w:highlight w:val="white"/>
              </w:rPr>
            </w:pPr>
            <w:r>
              <w:rPr>
                <w:highlight w:val="white"/>
              </w:rPr>
            </w:r>
            <w:r>
              <w:rPr>
                <w:highlight w:val="white"/>
              </w:rPr>
            </w:r>
            <w:r>
              <w:rPr>
                <w:highlight w:val="white"/>
              </w:rPr>
            </w:r>
          </w:p>
        </w:tc>
        <w:tc>
          <w:tcPr>
            <w:tcW w:w="3232" w:type="dxa"/>
            <w:textDirection w:val="lrTb"/>
            <w:noWrap w:val="false"/>
          </w:tcPr>
          <w:p>
            <w:pPr>
              <w:pStyle w:val="1180"/>
              <w:jc w:val="left"/>
              <w:rPr>
                <w:highlight w:val="white"/>
              </w:rPr>
            </w:pPr>
            <w:r>
              <w:rPr>
                <w:highlight w:val="white"/>
              </w:rPr>
              <w:t xml:space="preserve">Обеспечение</w:t>
            </w:r>
            <w:r>
              <w:rPr>
                <w:highlight w:val="white"/>
              </w:rPr>
              <w:br/>
            </w:r>
            <w:r>
              <w:rPr>
                <w:highlight w:val="white"/>
              </w:rPr>
              <w:t xml:space="preserve">исполнения</w:t>
            </w:r>
            <w:r>
              <w:rPr>
                <w:highlight w:val="white"/>
              </w:rPr>
              <w:t xml:space="preserve"> </w:t>
            </w:r>
            <w:r>
              <w:rPr>
                <w:highlight w:val="white"/>
              </w:rPr>
              <w:t xml:space="preserve">Договора</w:t>
            </w:r>
            <w:r>
              <w:rPr>
                <w:highlight w:val="white"/>
              </w:rPr>
              <w:t xml:space="preserve">:</w:t>
            </w:r>
            <w:r>
              <w:rPr>
                <w:highlight w:val="white"/>
              </w:rPr>
            </w:r>
            <w:r>
              <w:rPr>
                <w:highlight w:val="white"/>
              </w:rPr>
            </w:r>
          </w:p>
        </w:tc>
        <w:tc>
          <w:tcPr>
            <w:tcW w:w="5676" w:type="dxa"/>
            <w:textDirection w:val="lrTb"/>
            <w:noWrap w:val="false"/>
          </w:tcPr>
          <w:p>
            <w:pPr>
              <w:ind w:left="11"/>
              <w:jc w:val="both"/>
              <w:widowControl w:val="off"/>
              <w:rPr>
                <w:color w:val="000000" w:themeColor="text1"/>
                <w:highlight w:val="white"/>
              </w:rPr>
            </w:pPr>
            <w:r>
              <w:rPr>
                <w:color w:val="000000" w:themeColor="text1"/>
                <w:highlight w:val="white"/>
              </w:rPr>
            </w:r>
            <w:r>
              <w:rPr>
                <w:highlight w:val="white"/>
              </w:rPr>
              <w:t xml:space="preserve">Не требуется</w:t>
            </w:r>
            <w:r>
              <w:rPr>
                <w:highlight w:val="white"/>
              </w:rPr>
              <w:t xml:space="preserve">.</w:t>
            </w:r>
            <w:r>
              <w:rPr>
                <w:color w:val="000000" w:themeColor="text1"/>
                <w:highlight w:val="white"/>
              </w:rPr>
            </w:r>
            <w:r>
              <w:rPr>
                <w:color w:val="000000" w:themeColor="text1"/>
                <w:highlight w:val="white"/>
              </w:rPr>
            </w:r>
          </w:p>
          <w:p>
            <w:pPr>
              <w:ind w:left="0"/>
              <w:jc w:val="both"/>
              <w:widowControl w:val="off"/>
              <w:rPr>
                <w:color w:val="000000" w:themeColor="text1"/>
                <w:highlight w:val="white"/>
              </w:rPr>
            </w:pPr>
            <w:r>
              <w:rPr>
                <w:color w:val="000000" w:themeColor="text1"/>
                <w:szCs w:val="26"/>
                <w:highlight w:val="white"/>
              </w:rPr>
            </w:r>
            <w:r>
              <w:rPr>
                <w:color w:val="000000" w:themeColor="text1"/>
                <w:highlight w:val="white"/>
              </w:rPr>
            </w:r>
            <w:r>
              <w:rPr>
                <w:color w:val="000000" w:themeColor="text1"/>
                <w:highlight w:val="white"/>
              </w:rPr>
            </w:r>
          </w:p>
        </w:tc>
      </w:tr>
    </w:tbl>
    <w:p>
      <w:pPr>
        <w:pStyle w:val="1174"/>
      </w:pPr>
      <w:r/>
      <w:bookmarkStart w:id="34" w:name="_Ref125360073"/>
      <w:r/>
      <w:bookmarkStart w:id="35" w:name="_Ref125360337"/>
      <w:r/>
      <w:bookmarkStart w:id="36" w:name="_Toc232579412"/>
      <w:r>
        <w:t xml:space="preserve">Общие положения</w:t>
      </w:r>
      <w:bookmarkEnd w:id="34"/>
      <w:r/>
      <w:bookmarkEnd w:id="35"/>
      <w:r/>
      <w:bookmarkEnd w:id="36"/>
      <w:r/>
      <w:r/>
    </w:p>
    <w:p>
      <w:pPr>
        <w:pStyle w:val="1175"/>
      </w:pPr>
      <w:r/>
      <w:bookmarkStart w:id="37" w:name="_Toc232579413"/>
      <w:r>
        <w:t xml:space="preserve">Общие сведения о закупке</w:t>
      </w:r>
      <w:bookmarkEnd w:id="37"/>
      <w:r/>
      <w:r/>
    </w:p>
    <w:p>
      <w:pPr>
        <w:pStyle w:val="1176"/>
      </w:pPr>
      <w:r>
        <w:t xml:space="preserve">Организатор официально размещенным Извещением приглашает лиц, указанных в подразделе</w:t>
      </w:r>
      <w:r>
        <w:t xml:space="preserve"> </w:t>
      </w:r>
      <w:r>
        <w:fldChar w:fldCharType="begin"/>
      </w:r>
      <w:r>
        <w:instrText xml:space="preserve"> REF _Ref125359973 \r \h </w:instrText>
      </w:r>
      <w:r>
        <w:fldChar w:fldCharType="separate"/>
      </w:r>
      <w:r>
        <w:t xml:space="preserve">1.2</w:t>
      </w:r>
      <w:r>
        <w:fldChar w:fldCharType="end"/>
      </w:r>
      <w:r>
        <w:t xml:space="preserve">, к участию в закупке на право заключения договора, предмет которого указан в том же подразделе</w:t>
      </w:r>
      <w:r>
        <w:t xml:space="preserve">.</w:t>
      </w:r>
      <w:r/>
    </w:p>
    <w:p>
      <w:pPr>
        <w:pStyle w:val="1176"/>
      </w:pPr>
      <w:r>
        <w:t xml:space="preserve">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t xml:space="preserve">3</w:t>
      </w:r>
      <w:r>
        <w:fldChar w:fldCharType="end"/>
      </w:r>
      <w:r>
        <w:t xml:space="preserve"> Документации о закупке.</w:t>
      </w:r>
      <w:r/>
    </w:p>
    <w:p>
      <w:pPr>
        <w:pStyle w:val="1176"/>
      </w:pPr>
      <w:r>
        <w:t xml:space="preserve">Требования к поставляемой продукции, включая срок, объем и место поставки продукции, изложены в </w:t>
      </w:r>
      <w:hyperlink w:tooltip="#Прил01_ТехТребования" w:anchor="Прил01_ТехТребования" w:history="1">
        <w:r>
          <w:rPr>
            <w:rStyle w:val="1204"/>
          </w:rPr>
          <w:t xml:space="preserve">Технических требованиях (Приложение № 1)</w:t>
        </w:r>
      </w:hyperlink>
      <w:r>
        <w:t xml:space="preserve">.</w:t>
      </w:r>
      <w:r>
        <w:t xml:space="preserve"> </w:t>
      </w:r>
      <w:hyperlink w:tooltip="#Прил02_ПроектДоговора" w:anchor="Прил02_ПроектДоговора" w:history="1">
        <w:r>
          <w:rPr>
            <w:rStyle w:val="1204"/>
          </w:rPr>
          <w:t xml:space="preserve">Проект договора</w:t>
        </w:r>
      </w:hyperlink>
      <w:r>
        <w:t xml:space="preserve">, который планируется заключить по результатам закупки, в том числе содержащий условия по форме, срокам и порядку оплаты, приведен в</w:t>
      </w:r>
      <w:r>
        <w:t xml:space="preserve"> </w:t>
      </w:r>
      <w:hyperlink w:tooltip="#Прил02_ПроектДоговора" w:anchor="Прил02_ПроектДоговора" w:history="1">
        <w:r>
          <w:rPr>
            <w:rStyle w:val="1204"/>
          </w:rPr>
          <w:t xml:space="preserve">Приложении № 2</w:t>
        </w:r>
      </w:hyperlink>
      <w:r>
        <w:t xml:space="preserve">.</w:t>
      </w:r>
      <w:r/>
    </w:p>
    <w:p>
      <w:pPr>
        <w:pStyle w:val="1176"/>
      </w:pPr>
      <w:r>
        <w:t xml:space="preserve">Подробная информация о</w:t>
      </w:r>
      <w:r>
        <w:t xml:space="preserve"> </w:t>
      </w:r>
      <w:r>
        <w:t xml:space="preserve">порядке проведения закупки и участия в ней, а также о порядке заключения Договора</w:t>
      </w:r>
      <w:r>
        <w:t xml:space="preserve">,</w:t>
      </w:r>
      <w:r>
        <w:t xml:space="preserve"> приведены в разделах </w:t>
      </w:r>
      <w:r>
        <w:fldChar w:fldCharType="begin"/>
      </w:r>
      <w:r>
        <w:instrText xml:space="preserve"> REF _Ref125361211 \r \h </w:instrText>
      </w:r>
      <w:r>
        <w:fldChar w:fldCharType="separate"/>
      </w:r>
      <w:r>
        <w:t xml:space="preserve">4</w:t>
      </w:r>
      <w:r>
        <w:fldChar w:fldCharType="end"/>
      </w:r>
      <w:r>
        <w:t xml:space="preserve">, </w:t>
      </w:r>
      <w:r>
        <w:fldChar w:fldCharType="begin"/>
      </w:r>
      <w:r>
        <w:instrText xml:space="preserve"> REF _Ref126142429 \r \h </w:instrText>
      </w:r>
      <w:r>
        <w:fldChar w:fldCharType="separate"/>
      </w:r>
      <w:r>
        <w:t xml:space="preserve">5</w:t>
      </w:r>
      <w:r>
        <w:fldChar w:fldCharType="end"/>
      </w:r>
      <w:r>
        <w:t xml:space="preserve">, образцы основных форм документов, включаемых в заявку или предоставляемых Победителем, приведены </w:t>
      </w:r>
      <w:r>
        <w:t xml:space="preserve">в Приложениях </w:t>
      </w:r>
      <w:hyperlink w:tooltip="#Прил04_ФормыЗаявки" w:anchor="Прил04_ФормыЗаявки" w:history="1">
        <w:r>
          <w:rPr>
            <w:rStyle w:val="1204"/>
          </w:rPr>
          <w:t xml:space="preserve">№ 4</w:t>
        </w:r>
      </w:hyperlink>
      <w:r>
        <w:t xml:space="preserve">, </w:t>
      </w:r>
      <w:hyperlink w:tooltip="#Прил05_ФормыПобедителя" w:anchor="Прил05_ФормыПобедителя" w:history="1">
        <w:r>
          <w:rPr>
            <w:rStyle w:val="1204"/>
          </w:rPr>
          <w:t xml:space="preserve">№</w:t>
        </w:r>
        <w:r>
          <w:rPr>
            <w:rStyle w:val="1204"/>
          </w:rPr>
          <w:t xml:space="preserve"> </w:t>
        </w:r>
        <w:r>
          <w:rPr>
            <w:rStyle w:val="1204"/>
          </w:rPr>
          <w:t xml:space="preserve">5</w:t>
        </w:r>
      </w:hyperlink>
      <w:r>
        <w:t xml:space="preserve">.</w:t>
      </w:r>
      <w:r/>
    </w:p>
    <w:p>
      <w:pPr>
        <w:pStyle w:val="1175"/>
      </w:pPr>
      <w:r/>
      <w:bookmarkStart w:id="38" w:name="_Toc232579414"/>
      <w:r>
        <w:t xml:space="preserve">Правовой статус документов</w:t>
      </w:r>
      <w:bookmarkEnd w:id="38"/>
      <w:r/>
      <w:r/>
    </w:p>
    <w:p>
      <w:pPr>
        <w:pStyle w:val="1176"/>
      </w:pPr>
      <w:r>
        <w:t xml:space="preserve">Документация о закупке вместе с Извещением, являющимся ее неотъемлемой частью, являются публичной офертой Организатора в соответствии со</w:t>
      </w:r>
      <w:r>
        <w:t xml:space="preserve"> </w:t>
      </w:r>
      <w:r>
        <w:t xml:space="preserve">статьей</w:t>
      </w:r>
      <w:r>
        <w:t xml:space="preserve"> </w:t>
      </w:r>
      <w:r>
        <w:t xml:space="preserve">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r/>
    </w:p>
    <w:p>
      <w:pPr>
        <w:pStyle w:val="1176"/>
      </w:pPr>
      <w:r>
        <w:t xml:space="preserve">Заявка Участника имеет правовой статус оферты и будет рассматриваться Организатором в течение указанного в ней срока ее действия.</w:t>
      </w:r>
      <w:r/>
    </w:p>
    <w:p>
      <w:pPr>
        <w:pStyle w:val="1176"/>
        <w:keepNext/>
      </w:pPr>
      <w:r/>
      <w:bookmarkStart w:id="39" w:name="_Ref125366985"/>
      <w:r>
        <w:t xml:space="preserve">При определении условий Договора по результатам закупки использу</w:t>
      </w:r>
      <w:r>
        <w:t xml:space="preserve">е</w:t>
      </w:r>
      <w:r>
        <w:t xml:space="preserve">тся </w:t>
      </w:r>
      <w:r>
        <w:t xml:space="preserve">иерархия документов, установленная в пункте </w:t>
      </w:r>
      <w:r>
        <w:fldChar w:fldCharType="begin"/>
      </w:r>
      <w:r>
        <w:instrText xml:space="preserve"> REF _Ref132288402 \r \h </w:instrText>
      </w:r>
      <w:r>
        <w:fldChar w:fldCharType="separate"/>
      </w:r>
      <w:r>
        <w:t xml:space="preserve">5.2.8</w:t>
      </w:r>
      <w:r>
        <w:fldChar w:fldCharType="end"/>
      </w:r>
      <w:bookmarkEnd w:id="39"/>
      <w:r>
        <w:t xml:space="preserve">.</w:t>
      </w:r>
      <w:r/>
    </w:p>
    <w:p>
      <w:pPr>
        <w:pStyle w:val="1176"/>
      </w:pPr>
      <w:r>
        <w:t xml:space="preserve">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t xml:space="preserve">.</w:t>
      </w:r>
      <w:r/>
    </w:p>
    <w:p>
      <w:pPr>
        <w:pStyle w:val="1176"/>
      </w:pPr>
      <w:r>
        <w:t xml:space="preserve">Во всем, что не урегулировано Извещением и Документацией о закупке, стороны руководствуются Законом 223-ФЗ и Положением о закупке (в</w:t>
      </w:r>
      <w:r>
        <w:t xml:space="preserve"> </w:t>
      </w:r>
      <w:r>
        <w:t xml:space="preserve">редакции, действующей на дату официального размещения Извещения).</w:t>
      </w:r>
      <w:r/>
    </w:p>
    <w:p>
      <w:pPr>
        <w:pStyle w:val="1176"/>
      </w:pPr>
      <w:r>
        <w:t xml:space="preserve">Е</w:t>
      </w:r>
      <w:r>
        <w:t xml:space="preserve">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w:t>
      </w:r>
      <w:r>
        <w:t xml:space="preserve"> </w:t>
      </w:r>
      <w:r>
        <w:t xml:space="preserve">диспозитивным нормам указанных документов.</w:t>
      </w:r>
      <w:r/>
    </w:p>
    <w:p>
      <w:pPr>
        <w:pStyle w:val="1176"/>
      </w:pPr>
      <w:r>
        <w:t xml:space="preserve">Иные документы Организатора и Участников не определяют права и обязанности сторон в связи с данной закупкой.</w:t>
      </w:r>
      <w:r/>
    </w:p>
    <w:p>
      <w:pPr>
        <w:pStyle w:val="1176"/>
      </w:pPr>
      <w:r>
        <w:t xml:space="preserve">Любые уведомления, письма, предложения, иная переписка и действия председателя, за</w:t>
      </w:r>
      <w:r>
        <w:t xml:space="preserve">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t xml:space="preserve"> </w:t>
      </w:r>
      <w:r>
        <w:t xml:space="preserve">закупке)</w:t>
      </w:r>
      <w:r>
        <w:t xml:space="preserve">,</w:t>
      </w:r>
      <w:r>
        <w:t xml:space="preserve"> носят исключительно информационный характер и не являются офертой либо акцептом Организатора или Заказчика.</w:t>
      </w:r>
      <w:r/>
    </w:p>
    <w:p>
      <w:pPr>
        <w:pStyle w:val="1175"/>
      </w:pPr>
      <w:r/>
      <w:bookmarkStart w:id="40" w:name="_Ref125363536"/>
      <w:r/>
      <w:bookmarkStart w:id="41" w:name="_Toc232579415"/>
      <w:r>
        <w:t xml:space="preserve">Обжалование</w:t>
      </w:r>
      <w:bookmarkEnd w:id="40"/>
      <w:r/>
      <w:bookmarkEnd w:id="41"/>
      <w:r/>
      <w:r/>
    </w:p>
    <w:p>
      <w:pPr>
        <w:pStyle w:val="1176"/>
      </w:pPr>
      <w:r>
        <w:t xml:space="preserve">Любой Участник, который заявляет, что понес или может понести убытки в</w:t>
      </w:r>
      <w:r>
        <w:t xml:space="preserve"> </w:t>
      </w:r>
      <w:r>
        <w:t xml:space="preserve">результате нарушения его прав Заказчиком </w:t>
      </w:r>
      <w:r>
        <w:t xml:space="preserve">и</w:t>
      </w:r>
      <w:r>
        <w:t xml:space="preserve"> (</w:t>
      </w:r>
      <w:r>
        <w:t xml:space="preserve">или</w:t>
      </w:r>
      <w:r>
        <w:t xml:space="preserve">)</w:t>
      </w:r>
      <w:r>
        <w:t xml:space="preserve"> </w:t>
      </w:r>
      <w:r>
        <w:t xml:space="preserve">Организатором, отдельными членами Закупочной комиссии или </w:t>
      </w:r>
      <w:r>
        <w:t xml:space="preserve">О</w:t>
      </w:r>
      <w:r>
        <w:t xml:space="preserve">ператором ЭП, имеет право подать заявление о рассмотрении разногласий, связанных с проведением закуп</w:t>
      </w:r>
      <w:r>
        <w:t xml:space="preserve">ки</w:t>
      </w:r>
      <w:r>
        <w:t xml:space="preserve">.</w:t>
      </w:r>
      <w:r/>
    </w:p>
    <w:p>
      <w:pPr>
        <w:pStyle w:val="1176"/>
      </w:pPr>
      <w:r>
        <w:t xml:space="preserve">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xml:space="preserve"> </w:t>
      </w:r>
      <w:r>
        <w:t xml:space="preserve">«</w:t>
      </w:r>
      <w:r>
        <w:t xml:space="preserve">РусГидро</w:t>
      </w:r>
      <w:r>
        <w:t xml:space="preserve">» (вкладка «Линия доверия»), или сообщения информации по</w:t>
      </w:r>
      <w:r>
        <w:t xml:space="preserve"> </w:t>
      </w:r>
      <w:r>
        <w:t xml:space="preserve">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p>
    <w:p>
      <w:pPr>
        <w:pStyle w:val="1176"/>
        <w:keepNext/>
      </w:pPr>
      <w:r>
        <w:t xml:space="preserve">Если разногласия не разрешены по взаимному согласию представившего их Участника и Заказчика, </w:t>
      </w:r>
      <w:r>
        <w:t xml:space="preserve">может быть</w:t>
      </w:r>
      <w:r>
        <w:t xml:space="preserve"> принят</w:t>
      </w:r>
      <w:r>
        <w:t xml:space="preserve">о</w:t>
      </w:r>
      <w:r>
        <w:t xml:space="preserve"> одно из следующих решений:</w:t>
      </w:r>
      <w:r/>
    </w:p>
    <w:p>
      <w:pPr>
        <w:pStyle w:val="1177"/>
      </w:pPr>
      <w:r>
        <w:t xml:space="preserve">обязать </w:t>
      </w:r>
      <w:r>
        <w:t xml:space="preserve">Заказчика, Организатора, </w:t>
      </w:r>
      <w:r>
        <w:t xml:space="preserve">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t xml:space="preserve"> </w:t>
      </w:r>
      <w:r>
        <w:t xml:space="preserve">(в том числе, но</w:t>
      </w:r>
      <w:r>
        <w:t xml:space="preserve"> </w:t>
      </w:r>
      <w:r>
        <w:t xml:space="preserve">не</w:t>
      </w:r>
      <w:r>
        <w:t xml:space="preserve"> </w:t>
      </w:r>
      <w:r>
        <w:t xml:space="preserve">ограничиваясь, отменить составленные в ходе закупки протоколы, повторно рассмотреть заявки Участников)</w:t>
      </w:r>
      <w:r>
        <w:t xml:space="preserve">;</w:t>
      </w:r>
      <w:r/>
    </w:p>
    <w:p>
      <w:pPr>
        <w:pStyle w:val="1177"/>
      </w:pPr>
      <w:r>
        <w:t xml:space="preserve">признать заявление Участника необоснованным.</w:t>
      </w:r>
      <w:r/>
    </w:p>
    <w:p>
      <w:pPr>
        <w:pStyle w:val="1176"/>
      </w:pPr>
      <w:r>
        <w:t xml:space="preserve">Участник вправе обжаловать действия (бездействие) Заказчика </w:t>
      </w:r>
      <w:r>
        <w:t xml:space="preserve">и</w:t>
      </w:r>
      <w:r>
        <w:t xml:space="preserve"> (</w:t>
      </w:r>
      <w:r>
        <w:t xml:space="preserve">или</w:t>
      </w:r>
      <w:r>
        <w:t xml:space="preserve">)</w:t>
      </w:r>
      <w:r>
        <w:t xml:space="preserve"> </w:t>
      </w:r>
      <w:r>
        <w:t xml:space="preserve">Организатора, Закупочной комиссии, </w:t>
      </w:r>
      <w:r>
        <w:t xml:space="preserve">О</w:t>
      </w:r>
      <w:r>
        <w:t xml:space="preserve">ператора ЭП при проведении настоящей закупки в</w:t>
      </w:r>
      <w:r>
        <w:t xml:space="preserve"> </w:t>
      </w:r>
      <w:r>
        <w:t xml:space="preserve">антимонопольном органе в порядке, установленном законодательством. </w:t>
      </w:r>
      <w:r>
        <w:t xml:space="preserve">Е</w:t>
      </w:r>
      <w:r>
        <w:t xml:space="preserve">сли обжалуемые действия (бездействие) совершены после окончания установленного срока подачи заявок (</w:t>
      </w:r>
      <w:r>
        <w:t xml:space="preserve">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обжалование таких действий (бездействия) может осуществляться только Участником, подавшим заявку на участие в</w:t>
      </w:r>
      <w:r>
        <w:t xml:space="preserve"> </w:t>
      </w:r>
      <w:r>
        <w:t xml:space="preserve">такой закупке.</w:t>
      </w:r>
      <w:r/>
    </w:p>
    <w:p>
      <w:pPr>
        <w:pStyle w:val="1176"/>
      </w:pPr>
      <w:r>
        <w:t xml:space="preserve">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w:t>
      </w:r>
      <w:r>
        <w:t xml:space="preserve">на «Линию доверия»</w:t>
      </w:r>
      <w:r>
        <w:t xml:space="preserve"> </w:t>
      </w:r>
      <w:r>
        <w:t xml:space="preserve">и</w:t>
      </w:r>
      <w:r>
        <w:t xml:space="preserve"> (</w:t>
      </w:r>
      <w:r>
        <w:t xml:space="preserve">или</w:t>
      </w:r>
      <w:r>
        <w:t xml:space="preserve">)</w:t>
      </w:r>
      <w:r>
        <w:t xml:space="preserve"> антимонопольные органы, подлежат разрешению следующим образом:</w:t>
      </w:r>
      <w:r/>
    </w:p>
    <w:p>
      <w:pPr>
        <w:pStyle w:val="1177"/>
      </w:pPr>
      <w:r>
        <w:t xml:space="preserve">по закупкам, проводимым закупочными комиссиями 1-го уровня – в</w:t>
      </w:r>
      <w:r>
        <w:t xml:space="preserve"> </w:t>
      </w:r>
      <w:r>
        <w:t xml:space="preserve">Арбитражном суде по месту нахождения Заказчика (либо </w:t>
      </w:r>
      <w:r>
        <w:t xml:space="preserve">соответствующего филиала Заказчика, для нужд которого проводится настоящая закупка);</w:t>
      </w:r>
      <w:r/>
    </w:p>
    <w:p>
      <w:pPr>
        <w:pStyle w:val="1177"/>
      </w:pPr>
      <w: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t xml:space="preserve"> </w:t>
      </w:r>
      <w:r>
        <w:t xml:space="preserve">«</w:t>
      </w:r>
      <w:r>
        <w:t xml:space="preserve">РусГидро</w:t>
      </w:r>
      <w:r>
        <w:t xml:space="preserve">» – в Арбитражном суде г.</w:t>
      </w:r>
      <w:r>
        <w:t xml:space="preserve"> </w:t>
      </w:r>
      <w:r>
        <w:t xml:space="preserve">Москвы.</w:t>
      </w:r>
      <w:r/>
    </w:p>
    <w:p>
      <w:pPr>
        <w:pStyle w:val="1180"/>
        <w:ind w:left="1134"/>
      </w:pPr>
      <w:r>
        <w:t xml:space="preserve">З</w:t>
      </w:r>
      <w:r>
        <w:t xml:space="preserve">акупочн</w:t>
      </w:r>
      <w:r>
        <w:t xml:space="preserve">ая</w:t>
      </w:r>
      <w:r>
        <w:t xml:space="preserve"> комисси</w:t>
      </w:r>
      <w:r>
        <w:t xml:space="preserve">я определяется в соответствии с Положением о закупке.</w:t>
      </w:r>
      <w:r/>
    </w:p>
    <w:p>
      <w:pPr>
        <w:pStyle w:val="1175"/>
      </w:pPr>
      <w:r/>
      <w:bookmarkStart w:id="42" w:name="_Ref125472658"/>
      <w:r/>
      <w:bookmarkStart w:id="43" w:name="_Toc232579416"/>
      <w:r>
        <w:t xml:space="preserve">Особ</w:t>
      </w:r>
      <w:r>
        <w:t xml:space="preserve">ые положения при</w:t>
      </w:r>
      <w:r>
        <w:t xml:space="preserve"> проведени</w:t>
      </w:r>
      <w:r>
        <w:t xml:space="preserve">и</w:t>
      </w:r>
      <w:r>
        <w:t xml:space="preserve"> закупки с использованием </w:t>
      </w:r>
      <w:r>
        <w:t xml:space="preserve">ЭП</w:t>
      </w:r>
      <w:bookmarkEnd w:id="42"/>
      <w:r/>
      <w:bookmarkEnd w:id="43"/>
      <w:r/>
      <w:r/>
    </w:p>
    <w:p>
      <w:pPr>
        <w:pStyle w:val="1176"/>
      </w:pPr>
      <w:r>
        <w:t xml:space="preserve">Наименование ЭП, посредством которой проводится закупка, указано в</w:t>
      </w:r>
      <w:r>
        <w:t xml:space="preserve"> </w:t>
      </w:r>
      <w:r>
        <w:t xml:space="preserve">подразделе</w:t>
      </w:r>
      <w:r>
        <w:t xml:space="preserve"> </w:t>
      </w:r>
      <w:r>
        <w:fldChar w:fldCharType="begin"/>
      </w:r>
      <w:r>
        <w:instrText xml:space="preserve"> REF _Ref125359973 \r \h </w:instrText>
      </w:r>
      <w:r>
        <w:fldChar w:fldCharType="separate"/>
      </w:r>
      <w:r>
        <w:t xml:space="preserve">1.2</w:t>
      </w:r>
      <w:r>
        <w:fldChar w:fldCharType="end"/>
      </w:r>
      <w:r>
        <w:t xml:space="preserve">. До подачи заявки Участник обязан ознакомиться с</w:t>
      </w:r>
      <w:r>
        <w:t xml:space="preserve"> </w:t>
      </w:r>
      <w:r>
        <w:t xml:space="preserve">Регламентом</w:t>
      </w:r>
      <w:r>
        <w:t xml:space="preserve"> ЭП</w:t>
      </w:r>
      <w:r>
        <w:t xml:space="preserve">, опубликованными на сайте соответствующей ЭП.</w:t>
      </w:r>
      <w:r/>
    </w:p>
    <w:p>
      <w:pPr>
        <w:pStyle w:val="1176"/>
      </w:pPr>
      <w:r>
        <w:t xml:space="preserve">Для участия в закупке</w:t>
      </w:r>
      <w:r>
        <w:t xml:space="preserve"> </w:t>
      </w:r>
      <w:r>
        <w:t xml:space="preserve">Участник должен пройти процедуру регистрации</w:t>
      </w:r>
      <w:r>
        <w:t xml:space="preserve"> на ЭП</w:t>
      </w:r>
      <w:r>
        <w:t xml:space="preserve">. Регистрация</w:t>
      </w:r>
      <w:r>
        <w:t xml:space="preserve"> </w:t>
      </w:r>
      <w:r>
        <w:t xml:space="preserve">осуществляется </w:t>
      </w:r>
      <w:r>
        <w:t xml:space="preserve">О</w:t>
      </w:r>
      <w:r>
        <w:t xml:space="preserve">ператором ЭП</w:t>
      </w:r>
      <w:r>
        <w:t xml:space="preserve">, и Организатор</w:t>
      </w:r>
      <w:r>
        <w:t xml:space="preserve"> (Заказчик)</w:t>
      </w:r>
      <w:r>
        <w:t xml:space="preserve"> не</w:t>
      </w:r>
      <w:r>
        <w:t xml:space="preserve"> </w:t>
      </w:r>
      <w:r>
        <w:t xml:space="preserve">несет ответственности за</w:t>
      </w:r>
      <w:r>
        <w:t xml:space="preserve"> </w:t>
      </w:r>
      <w:r>
        <w:t xml:space="preserve">результат ее прохождения Участником, в том числе понесенные им затраты.</w:t>
      </w:r>
      <w:r/>
    </w:p>
    <w:p>
      <w:pPr>
        <w:pStyle w:val="1176"/>
      </w:pPr>
      <w:r/>
      <w:bookmarkStart w:id="44" w:name="_Ref135748672"/>
      <w:r>
        <w:t xml:space="preserve">Обмен </w:t>
      </w:r>
      <w:r>
        <w:t xml:space="preserve">всей информацией, связанной с проведением закупки (</w:t>
      </w:r>
      <w:r>
        <w:t xml:space="preserve">между Участником, Организатором</w:t>
      </w:r>
      <w:r>
        <w:t xml:space="preserve"> (Заказчиком</w:t>
      </w:r>
      <w:r>
        <w:t xml:space="preserve">) и </w:t>
      </w:r>
      <w:r>
        <w:t xml:space="preserve">О</w:t>
      </w:r>
      <w:r>
        <w:t xml:space="preserve">ператором ЭП</w:t>
      </w:r>
      <w:r>
        <w:t xml:space="preserve">)</w:t>
      </w:r>
      <w:r>
        <w:t xml:space="preserve"> осуществляется на ЭП в</w:t>
      </w:r>
      <w:r>
        <w:t xml:space="preserve"> </w:t>
      </w:r>
      <w:r>
        <w:t xml:space="preserve">форме электронных документов, подписанных усиленной квалифицированной электронной подписью уполномоченного лица.</w:t>
      </w:r>
      <w:bookmarkEnd w:id="44"/>
      <w:r/>
      <w:r/>
    </w:p>
    <w:p>
      <w:pPr>
        <w:pStyle w:val="1176"/>
      </w:pPr>
      <w:r/>
      <w:bookmarkStart w:id="45" w:name="_Ref135748741"/>
      <w:r>
        <w:t xml:space="preserve">Стоимость</w:t>
      </w:r>
      <w:r>
        <w:t xml:space="preserve"> заявки</w:t>
      </w:r>
      <w:r>
        <w:t xml:space="preserve"> (цена Договора)</w:t>
      </w:r>
      <w:r>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5"/>
      <w:r/>
      <w:r/>
    </w:p>
    <w:p>
      <w:pPr>
        <w:pStyle w:val="1175"/>
      </w:pPr>
      <w:r/>
      <w:bookmarkStart w:id="46" w:name="_Toc232579417"/>
      <w:r>
        <w:t xml:space="preserve">Прочие положения</w:t>
      </w:r>
      <w:bookmarkEnd w:id="46"/>
      <w:r/>
      <w:r/>
    </w:p>
    <w:p>
      <w:pPr>
        <w:pStyle w:val="1176"/>
      </w:pPr>
      <w:r>
        <w:t xml:space="preserve">Заказчик, Организатор и </w:t>
      </w:r>
      <w:r>
        <w:t xml:space="preserve">О</w:t>
      </w:r>
      <w:r>
        <w:t xml:space="preserve">ператор ЭП обеспечивают конфиденциальн</w:t>
      </w:r>
      <w:r>
        <w:t xml:space="preserve">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r/>
    </w:p>
    <w:p>
      <w:pPr>
        <w:pStyle w:val="1176"/>
      </w:pPr>
      <w:r/>
      <w:bookmarkStart w:id="47" w:name="_Ref136257236"/>
      <w:r>
        <w:t xml:space="preserve">Организатор </w:t>
      </w:r>
      <w:r>
        <w:t xml:space="preserve">(</w:t>
      </w:r>
      <w:r>
        <w:t xml:space="preserve">по</w:t>
      </w:r>
      <w:r>
        <w:t xml:space="preserve"> решени</w:t>
      </w:r>
      <w:r>
        <w:t xml:space="preserve">ю</w:t>
      </w:r>
      <w:r>
        <w:t xml:space="preserve"> Закупочной комиссии</w:t>
      </w:r>
      <w:r>
        <w:t xml:space="preserve">)</w:t>
      </w:r>
      <w:r>
        <w:t xml:space="preserve">, вправе отклонить заявку, если будет установлено, что Участник</w:t>
      </w:r>
      <w:r>
        <w:t xml:space="preserve"> каким-либо способом повлиял на рассмотрение заявок,</w:t>
      </w:r>
      <w:r>
        <w:t xml:space="preserve"> их</w:t>
      </w:r>
      <w:r>
        <w:t xml:space="preserve"> оценку и сопоставление, подведение итогов закупки (определение Победителя), в том числе </w:t>
      </w:r>
      <w:r>
        <w:t xml:space="preserve">прямо или косвенно дал, согласился дать или предложил работнику Организатора, Заказчика, члену Закупочной комиссии</w:t>
      </w:r>
      <w:r>
        <w:t xml:space="preserve"> или эксперту, осуществляв</w:t>
      </w:r>
      <w:r>
        <w:t xml:space="preserve">шему</w:t>
      </w:r>
      <w:r>
        <w:t xml:space="preserve"> экспертизу заявок,</w:t>
      </w:r>
      <w:r>
        <w:t xml:space="preserve"> вознаграждение в</w:t>
      </w:r>
      <w:r>
        <w:t xml:space="preserve"> </w:t>
      </w:r>
      <w:r>
        <w:t xml:space="preserve">любой форме: работу, услугу, какую-либо ценность в</w:t>
      </w:r>
      <w:r>
        <w:t xml:space="preserve"> </w:t>
      </w:r>
      <w:r>
        <w:t xml:space="preserve">качестве стимула,</w:t>
      </w:r>
      <w:r>
        <w:t xml:space="preserve"> и (или) оказал каким-либо иным образом давление на</w:t>
      </w:r>
      <w:r>
        <w:t xml:space="preserve"> </w:t>
      </w:r>
      <w:r>
        <w:t xml:space="preserve">указанны</w:t>
      </w:r>
      <w:r>
        <w:t xml:space="preserve">х</w:t>
      </w:r>
      <w:r>
        <w:t xml:space="preserve"> лиц</w:t>
      </w:r>
      <w:r>
        <w:t xml:space="preserve">.</w:t>
      </w:r>
      <w:bookmarkEnd w:id="47"/>
      <w:r/>
      <w:r/>
    </w:p>
    <w:p>
      <w:pPr>
        <w:pStyle w:val="1176"/>
      </w:pPr>
      <w:r>
        <w:t xml:space="preserve">С целью предупреждения и противодействия противоправным действиям в</w:t>
      </w:r>
      <w:r>
        <w:t xml:space="preserve"> </w:t>
      </w:r>
      <w:r>
        <w:t xml:space="preserve">Группе </w:t>
      </w:r>
      <w:r>
        <w:t xml:space="preserve">РусГидро</w:t>
      </w:r>
      <w:r>
        <w:t xml:space="preserve"> организована круглосуточная «Линия доверия», обратиться на которую можно по телефону +7</w:t>
      </w:r>
      <w:r>
        <w:t xml:space="preserve"> </w:t>
      </w:r>
      <w:r>
        <w:t xml:space="preserve">(495)</w:t>
      </w:r>
      <w:r>
        <w:t xml:space="preserve"> </w:t>
      </w:r>
      <w:r>
        <w:t xml:space="preserve">785</w:t>
      </w:r>
      <w:r>
        <w:t xml:space="preserve"> </w:t>
      </w:r>
      <w:r>
        <w:t xml:space="preserve">09</w:t>
      </w:r>
      <w:r>
        <w:t xml:space="preserve"> </w:t>
      </w:r>
      <w:r>
        <w:t xml:space="preserve">37 (круглосуточно), или заполнив соответствующую форму на корпоративном сайте ПАО</w:t>
      </w:r>
      <w:r>
        <w:t xml:space="preserve"> </w:t>
      </w:r>
      <w:r>
        <w:t xml:space="preserve">«</w:t>
      </w:r>
      <w:r>
        <w:t xml:space="preserve">РусГидро</w:t>
      </w:r>
      <w:r>
        <w:t xml:space="preserve">», вкладка «Линия доверия».</w:t>
      </w:r>
      <w:r/>
    </w:p>
    <w:p>
      <w:pPr>
        <w:pStyle w:val="1174"/>
      </w:pPr>
      <w:r/>
      <w:bookmarkStart w:id="48" w:name="_Ref125361210"/>
      <w:r/>
      <w:bookmarkStart w:id="49" w:name="_Toc232579418"/>
      <w:r>
        <w:t xml:space="preserve">Требования к </w:t>
      </w:r>
      <w:r>
        <w:t xml:space="preserve">У</w:t>
      </w:r>
      <w:r>
        <w:t xml:space="preserve">частникам</w:t>
      </w:r>
      <w:bookmarkEnd w:id="48"/>
      <w:r/>
      <w:bookmarkEnd w:id="49"/>
      <w:r/>
      <w:r/>
    </w:p>
    <w:p>
      <w:pPr>
        <w:pStyle w:val="1175"/>
      </w:pPr>
      <w:r/>
      <w:bookmarkStart w:id="50" w:name="_Ref127524530"/>
      <w:r/>
      <w:bookmarkStart w:id="51" w:name="_Toc232579419"/>
      <w:r>
        <w:t xml:space="preserve">Общие требования к Участникам</w:t>
      </w:r>
      <w:bookmarkEnd w:id="50"/>
      <w:r/>
      <w:bookmarkEnd w:id="51"/>
      <w:r/>
      <w:r/>
    </w:p>
    <w:p>
      <w:pPr>
        <w:pStyle w:val="1176"/>
      </w:pPr>
      <w:r/>
      <w:bookmarkStart w:id="52" w:name="_Ref125361514"/>
      <w:r>
        <w:t xml:space="preserve">Из лиц, указанных в</w:t>
      </w:r>
      <w:r>
        <w:t xml:space="preserve"> подразделе </w:t>
      </w:r>
      <w:r>
        <w:fldChar w:fldCharType="begin"/>
      </w:r>
      <w:r>
        <w:instrText xml:space="preserve"> REF _Ref125359973 \r \h </w:instrText>
      </w:r>
      <w:r>
        <w:fldChar w:fldCharType="separate"/>
      </w:r>
      <w:r>
        <w:t xml:space="preserve">1.2</w:t>
      </w:r>
      <w:r>
        <w:fldChar w:fldCharType="end"/>
      </w:r>
      <w:r>
        <w:t xml:space="preserve">, у</w:t>
      </w:r>
      <w:r>
        <w:t xml:space="preserve">частвовать в закупке может </w:t>
      </w:r>
      <w:r>
        <w:t xml:space="preserve">любое </w:t>
      </w:r>
      <w:r>
        <w:t xml:space="preserve">юридическое / физическое лицо</w:t>
      </w:r>
      <w:r>
        <w:t xml:space="preserve"> (</w:t>
      </w:r>
      <w:r>
        <w:t xml:space="preserve">в том числе индивидуальный предприниматель</w:t>
      </w:r>
      <w:r>
        <w:t xml:space="preserve">)</w:t>
      </w:r>
      <w:r>
        <w:t xml:space="preserve">, или несколько юридических / физических лиц</w:t>
      </w:r>
      <w:r>
        <w:t xml:space="preserve">,</w:t>
      </w:r>
      <w:r>
        <w:t xml:space="preserve"> </w:t>
      </w:r>
      <w:r>
        <w:t xml:space="preserve">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xml:space="preserve">. Исключение составляют</w:t>
      </w:r>
      <w:r>
        <w:t xml:space="preserve"> </w:t>
      </w:r>
      <w:r>
        <w:t xml:space="preserve">юридическ</w:t>
      </w:r>
      <w:r>
        <w:t xml:space="preserve">ие</w:t>
      </w:r>
      <w:r>
        <w:t xml:space="preserve"> </w:t>
      </w:r>
      <w:r>
        <w:t xml:space="preserve">/ физическ</w:t>
      </w:r>
      <w:r>
        <w:t xml:space="preserve">ие</w:t>
      </w:r>
      <w:r>
        <w:t xml:space="preserve"> лица, являющ</w:t>
      </w:r>
      <w:r>
        <w:t xml:space="preserve">ие</w:t>
      </w:r>
      <w:r>
        <w:t xml:space="preserve">ся иностранным агентом в соответствии с </w:t>
      </w:r>
      <w:r>
        <w:t xml:space="preserve">Законом</w:t>
      </w:r>
      <w:r>
        <w:t xml:space="preserve"> </w:t>
      </w:r>
      <w:r>
        <w:t xml:space="preserve">255-ФЗ</w:t>
      </w:r>
      <w:r>
        <w:t xml:space="preserve"> </w:t>
      </w:r>
      <w:r>
        <w:t xml:space="preserve">–</w:t>
      </w:r>
      <w:r>
        <w:t xml:space="preserve"> они не могут быть Участником, в том числе в</w:t>
      </w:r>
      <w:r>
        <w:t xml:space="preserve"> </w:t>
      </w:r>
      <w:r>
        <w:t xml:space="preserve">составе группы лиц</w:t>
      </w:r>
      <w:r>
        <w:t xml:space="preserve">.</w:t>
      </w:r>
      <w:bookmarkEnd w:id="52"/>
      <w:r/>
      <w:r/>
    </w:p>
    <w:p>
      <w:pPr>
        <w:pStyle w:val="1176"/>
      </w:pPr>
      <w:r>
        <w:t xml:space="preserve">Однако, чтобы претендовать на победу в закупке Участник самостоятельно или Коллективный участник</w:t>
      </w:r>
      <w:r>
        <w:t xml:space="preserve"> (подраздел </w:t>
      </w:r>
      <w:r>
        <w:fldChar w:fldCharType="begin"/>
      </w:r>
      <w:r>
        <w:instrText xml:space="preserve"> REF _Ref130308062 \r \h </w:instrText>
      </w:r>
      <w:r>
        <w:fldChar w:fldCharType="separate"/>
      </w:r>
      <w:r>
        <w:t xml:space="preserve">3.2</w:t>
      </w:r>
      <w:r>
        <w:fldChar w:fldCharType="end"/>
      </w:r>
      <w:r>
        <w:t xml:space="preserve">)</w:t>
      </w:r>
      <w:r>
        <w:t xml:space="preserve"> в целом должен отвечать требованиям, установленным в</w:t>
      </w:r>
      <w:r>
        <w:t xml:space="preserve"> </w:t>
      </w:r>
      <w:r>
        <w:t xml:space="preserve">Документации о</w:t>
      </w:r>
      <w:r>
        <w:t xml:space="preserve"> </w:t>
      </w:r>
      <w:r>
        <w:t xml:space="preserve">закупке.</w:t>
      </w:r>
      <w:r/>
    </w:p>
    <w:p>
      <w:pPr>
        <w:pStyle w:val="1176"/>
      </w:pPr>
      <w:r>
        <w:t xml:space="preserve">Требования к Участникам установлены с учетом</w:t>
      </w:r>
      <w:r>
        <w:t xml:space="preserve"> предмета договора,</w:t>
      </w:r>
      <w:r>
        <w:t xml:space="preserve"> </w:t>
      </w:r>
      <w:hyperlink w:tooltip="#Прил01_ТехТребования" w:anchor="Прил01_ТехТребования" w:history="1">
        <w:r>
          <w:rPr>
            <w:rStyle w:val="1204"/>
          </w:rPr>
          <w:t xml:space="preserve">Технических требований (Приложение № 1)</w:t>
        </w:r>
      </w:hyperlink>
      <w:r>
        <w:t xml:space="preserve"> и </w:t>
      </w:r>
      <w:hyperlink w:tooltip="#Прил02_ПроектДоговора" w:anchor="Прил02_ПроектДоговора" w:history="1">
        <w:r>
          <w:rPr>
            <w:rStyle w:val="1204"/>
          </w:rPr>
          <w:t xml:space="preserve">Проекта договора (Приложение № 2)</w:t>
        </w:r>
      </w:hyperlink>
      <w:r>
        <w:t xml:space="preserve">.</w:t>
      </w:r>
      <w:r/>
    </w:p>
    <w:p>
      <w:pPr>
        <w:pStyle w:val="1176"/>
        <w:keepNext/>
      </w:pPr>
      <w:r>
        <w:t xml:space="preserve">Установлены следующие т</w:t>
      </w:r>
      <w:r>
        <w:t xml:space="preserve">ребования к</w:t>
      </w:r>
      <w:r>
        <w:t xml:space="preserve"> </w:t>
      </w:r>
      <w:r>
        <w:t xml:space="preserve">Участникам</w:t>
      </w:r>
      <w:r>
        <w:t xml:space="preserve">, которые</w:t>
      </w:r>
      <w:r>
        <w:t xml:space="preserve"> </w:t>
      </w:r>
      <w:r>
        <w:t xml:space="preserve">приведены в</w:t>
      </w:r>
      <w:r>
        <w:t xml:space="preserve"> </w:t>
      </w:r>
      <w:hyperlink w:tooltip="#Прил03_ТребованияУчастникам" w:anchor="Прил03_ТребованияУчастникам" w:history="1">
        <w:r>
          <w:rPr>
            <w:rStyle w:val="1204"/>
          </w:rPr>
          <w:t xml:space="preserve">Приложении № 3</w:t>
        </w:r>
      </w:hyperlink>
      <w:r>
        <w:t xml:space="preserve">:</w:t>
      </w:r>
      <w:r/>
    </w:p>
    <w:p>
      <w:pPr>
        <w:pStyle w:val="1177"/>
      </w:pPr>
      <w:r>
        <w:t xml:space="preserve">обязательные требования (</w:t>
      </w:r>
      <w:r>
        <w:t xml:space="preserve">подраздел</w:t>
      </w:r>
      <w:r>
        <w:t xml:space="preserve"> </w:t>
      </w:r>
      <w:r>
        <w:fldChar w:fldCharType="begin"/>
      </w:r>
      <w:r>
        <w:instrText xml:space="preserve"> REF _Ref125361435 \r \h </w:instrText>
      </w:r>
      <w:r>
        <w:fldChar w:fldCharType="separate"/>
      </w:r>
      <w:r>
        <w:t xml:space="preserve">8.2</w:t>
      </w:r>
      <w:r>
        <w:fldChar w:fldCharType="end"/>
      </w:r>
      <w:r>
        <w:t xml:space="preserve">)</w:t>
      </w:r>
      <w:r>
        <w:t xml:space="preserve"> – Участник</w:t>
      </w:r>
      <w:r>
        <w:t xml:space="preserve">и</w:t>
      </w:r>
      <w:r>
        <w:t xml:space="preserve"> должны им соответствовать</w:t>
      </w:r>
      <w:r>
        <w:t xml:space="preserve">;</w:t>
      </w:r>
      <w:r/>
    </w:p>
    <w:p>
      <w:pPr>
        <w:pStyle w:val="1177"/>
      </w:pPr>
      <w:r>
        <w:t xml:space="preserve">специальные требования – </w:t>
      </w:r>
      <w:r>
        <w:t xml:space="preserve">Участники должны им соответствовать, если они </w:t>
      </w:r>
      <w:r>
        <w:t xml:space="preserve">установлены</w:t>
      </w:r>
      <w:r>
        <w:t xml:space="preserve"> (подраздел </w:t>
      </w:r>
      <w:r>
        <w:fldChar w:fldCharType="begin"/>
      </w:r>
      <w:r>
        <w:instrText xml:space="preserve"> REF _Ref125709153 \r \h </w:instrText>
      </w:r>
      <w:r>
        <w:fldChar w:fldCharType="separate"/>
      </w:r>
      <w:r>
        <w:t xml:space="preserve">8.3</w:t>
      </w:r>
      <w:r>
        <w:fldChar w:fldCharType="end"/>
      </w:r>
      <w:r>
        <w:t xml:space="preserve">);</w:t>
      </w:r>
      <w:r/>
    </w:p>
    <w:p>
      <w:pPr>
        <w:pStyle w:val="1177"/>
      </w:pPr>
      <w:r>
        <w:t xml:space="preserve">квалификационные требования – </w:t>
      </w:r>
      <w:r>
        <w:t xml:space="preserve">Участники должны им соответствовать, если они установлены</w:t>
      </w:r>
      <w:r>
        <w:t xml:space="preserve"> </w:t>
      </w:r>
      <w:r>
        <w:t xml:space="preserve">(подраздел </w:t>
      </w:r>
      <w:r>
        <w:fldChar w:fldCharType="begin"/>
      </w:r>
      <w:r>
        <w:instrText xml:space="preserve"> REF _Ref125709154 \r \h </w:instrText>
      </w:r>
      <w:r>
        <w:fldChar w:fldCharType="separate"/>
      </w:r>
      <w:r>
        <w:t xml:space="preserve">8.4</w:t>
      </w:r>
      <w:r>
        <w:fldChar w:fldCharType="end"/>
      </w:r>
      <w:r>
        <w:t xml:space="preserve">)</w:t>
      </w:r>
      <w:r>
        <w:t xml:space="preserve">.</w:t>
      </w:r>
      <w:r/>
    </w:p>
    <w:p>
      <w:pPr>
        <w:pStyle w:val="1176"/>
        <w:keepNext/>
      </w:pPr>
      <w:r>
        <w:t xml:space="preserve">В</w:t>
      </w:r>
      <w:r>
        <w:t xml:space="preserve"> рамках требований к Участникам могут быть установлены</w:t>
      </w:r>
      <w:r>
        <w:t xml:space="preserve"> дополнительные требования</w:t>
      </w:r>
      <w:r>
        <w:t xml:space="preserve">:</w:t>
      </w:r>
      <w:r/>
    </w:p>
    <w:p>
      <w:pPr>
        <w:pStyle w:val="1177"/>
      </w:pPr>
      <w:r>
        <w:t xml:space="preserve">к Коллективны</w:t>
      </w:r>
      <w:r>
        <w:t xml:space="preserve">м</w:t>
      </w:r>
      <w:r>
        <w:t xml:space="preserve"> участникам</w:t>
      </w:r>
      <w:r>
        <w:t xml:space="preserve"> (подраздел </w:t>
      </w:r>
      <w:r>
        <w:fldChar w:fldCharType="begin"/>
      </w:r>
      <w:r>
        <w:instrText xml:space="preserve"> REF _Ref130308111 \r \h </w:instrText>
      </w:r>
      <w:r>
        <w:fldChar w:fldCharType="separate"/>
      </w:r>
      <w:r>
        <w:t xml:space="preserve">3.2</w:t>
      </w:r>
      <w:r>
        <w:fldChar w:fldCharType="end"/>
      </w:r>
      <w:r>
        <w:t xml:space="preserve">)</w:t>
      </w:r>
      <w:r>
        <w:t xml:space="preserve">;</w:t>
      </w:r>
      <w:r/>
    </w:p>
    <w:p>
      <w:pPr>
        <w:pStyle w:val="1177"/>
      </w:pPr>
      <w:r>
        <w:t xml:space="preserve">к Генеральным подрядчикам</w:t>
      </w:r>
      <w:r>
        <w:t xml:space="preserve"> (подраздел </w:t>
      </w:r>
      <w:r>
        <w:fldChar w:fldCharType="begin"/>
      </w:r>
      <w:r>
        <w:instrText xml:space="preserve"> REF _Ref125361702 \r \h </w:instrText>
      </w:r>
      <w:r>
        <w:fldChar w:fldCharType="separate"/>
      </w:r>
      <w:r>
        <w:t xml:space="preserve">3.3</w:t>
      </w:r>
      <w:r>
        <w:fldChar w:fldCharType="end"/>
      </w:r>
      <w:r>
        <w:t xml:space="preserve">)</w:t>
      </w:r>
      <w:r>
        <w:t xml:space="preserve">;</w:t>
      </w:r>
      <w:r/>
    </w:p>
    <w:p>
      <w:pPr>
        <w:pStyle w:val="1177"/>
      </w:pPr>
      <w:r>
        <w:t xml:space="preserve">к</w:t>
      </w:r>
      <w:r>
        <w:t xml:space="preserve"> привлечени</w:t>
      </w:r>
      <w:r>
        <w:t xml:space="preserve">ю</w:t>
      </w:r>
      <w:r>
        <w:t xml:space="preserve"> субподрядчиков (соисполнителей) из числа субъектов МСП</w:t>
      </w:r>
      <w:r>
        <w:t xml:space="preserve"> (подраздел </w:t>
      </w:r>
      <w:r>
        <w:fldChar w:fldCharType="begin"/>
      </w:r>
      <w:r>
        <w:instrText xml:space="preserve"> REF _Ref127524203 \r \h </w:instrText>
      </w:r>
      <w:r>
        <w:fldChar w:fldCharType="separate"/>
      </w:r>
      <w:r>
        <w:t xml:space="preserve">3.4</w:t>
      </w:r>
      <w:r>
        <w:fldChar w:fldCharType="end"/>
      </w:r>
      <w:r>
        <w:t xml:space="preserve">)</w:t>
      </w:r>
      <w:r>
        <w:t xml:space="preserve">.</w:t>
      </w:r>
      <w:r/>
    </w:p>
    <w:p>
      <w:pPr>
        <w:pStyle w:val="1176"/>
      </w:pPr>
      <w:r/>
      <w:bookmarkStart w:id="53" w:name="_Ref125361969"/>
      <w:r/>
      <w:bookmarkStart w:id="54"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tooltip="#Прил03_ТребованияУчастникам" w:anchor="Прил03_ТребованияУчастникам" w:history="1">
        <w:r>
          <w:rPr>
            <w:rStyle w:val="1204"/>
          </w:rPr>
          <w:t xml:space="preserve">Требованиях к Участникам (Приложение № 3)</w:t>
        </w:r>
      </w:hyperlink>
      <w:r>
        <w:t xml:space="preserve">,</w:t>
      </w:r>
      <w:r>
        <w:t xml:space="preserve"> если иное не установлено в Документации о</w:t>
      </w:r>
      <w:r>
        <w:t xml:space="preserve"> </w:t>
      </w:r>
      <w:r>
        <w:t xml:space="preserve">закупке</w:t>
      </w:r>
      <w:r>
        <w:t xml:space="preserve">.</w:t>
      </w:r>
      <w:r/>
    </w:p>
    <w:p>
      <w:pPr>
        <w:pStyle w:val="1175"/>
      </w:pPr>
      <w:r/>
      <w:bookmarkStart w:id="55" w:name="_Ref130305355"/>
      <w:r/>
      <w:bookmarkStart w:id="56" w:name="_Ref130308062"/>
      <w:r/>
      <w:bookmarkStart w:id="57" w:name="_Ref130308111"/>
      <w:r/>
      <w:bookmarkStart w:id="58" w:name="_Ref130308203"/>
      <w:r/>
      <w:bookmarkStart w:id="59" w:name="_Ref130308255"/>
      <w:r/>
      <w:bookmarkStart w:id="60" w:name="_Toc232579420"/>
      <w:r>
        <w:t xml:space="preserve">Коллективные участники</w:t>
      </w:r>
      <w:bookmarkEnd w:id="53"/>
      <w:r/>
      <w:bookmarkEnd w:id="54"/>
      <w:r/>
      <w:bookmarkEnd w:id="55"/>
      <w:r/>
      <w:bookmarkEnd w:id="56"/>
      <w:r/>
      <w:bookmarkEnd w:id="57"/>
      <w:r/>
      <w:bookmarkEnd w:id="58"/>
      <w:r/>
      <w:bookmarkEnd w:id="59"/>
      <w:r/>
      <w:bookmarkEnd w:id="60"/>
      <w:r/>
      <w:r/>
    </w:p>
    <w:p>
      <w:pPr>
        <w:pStyle w:val="1176"/>
      </w:pPr>
      <w:r>
        <w:t xml:space="preserve">В закупке могут участвовать </w:t>
      </w:r>
      <w:r>
        <w:t xml:space="preserve">объединения юридических </w:t>
      </w:r>
      <w:r>
        <w:t xml:space="preserve">и</w:t>
      </w:r>
      <w:r>
        <w:t xml:space="preserve"> (или)</w:t>
      </w:r>
      <w:r>
        <w:t xml:space="preserve"> физически</w:t>
      </w:r>
      <w:r>
        <w:t xml:space="preserve">х</w:t>
      </w:r>
      <w:r>
        <w:t xml:space="preserve"> лиц</w:t>
      </w:r>
      <w:r>
        <w:t xml:space="preserve"> (</w:t>
      </w:r>
      <w:r>
        <w:t xml:space="preserve">в</w:t>
      </w:r>
      <w:r>
        <w:t xml:space="preserve"> </w:t>
      </w:r>
      <w:r>
        <w:t xml:space="preserve">том числе индивидуальные предприниматели</w:t>
      </w:r>
      <w:r>
        <w:t xml:space="preserve">)</w:t>
      </w:r>
      <w:r>
        <w:t xml:space="preserve">, способные на законных основаниях выполнить требуемую поставку продукции</w:t>
      </w:r>
      <w:r>
        <w:t xml:space="preserve"> </w:t>
      </w:r>
      <w:r>
        <w:t xml:space="preserve">– Коллективный участник.</w:t>
      </w:r>
      <w:r/>
    </w:p>
    <w:p>
      <w:pPr>
        <w:pStyle w:val="1176"/>
      </w:pPr>
      <w:r>
        <w:t xml:space="preserve">Если заявка подается Коллективным участником, дополнительно должны быть выполнены требования настоящего подраздела, а также требования к</w:t>
      </w:r>
      <w:r>
        <w:t xml:space="preserve"> </w:t>
      </w:r>
      <w:r>
        <w:t xml:space="preserve">дополнительным документам, предоставляемым Коллективными участниками в составе заявки, установленные </w:t>
      </w:r>
      <w:r>
        <w:t xml:space="preserve">в</w:t>
      </w:r>
      <w:r>
        <w:t xml:space="preserve"> подразделе </w:t>
      </w:r>
      <w:r>
        <w:fldChar w:fldCharType="begin"/>
      </w:r>
      <w:r>
        <w:instrText xml:space="preserve"> REF _Ref125552455 \r \h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rStyle w:val="1204"/>
          </w:rPr>
          <w:t xml:space="preserve">Требований к Участникам (Приложение № 3)</w:t>
        </w:r>
      </w:hyperlink>
      <w:r>
        <w:t xml:space="preserve">.</w:t>
      </w:r>
      <w:r/>
    </w:p>
    <w:p>
      <w:pPr>
        <w:pStyle w:val="1176"/>
        <w:keepNext/>
      </w:pPr>
      <w:r/>
      <w:bookmarkStart w:id="61" w:name="_Ref125366972"/>
      <w:r>
        <w:t xml:space="preserve">Члены Коллективного участника заключают между собой соглашение, соответствующее нормам ГК</w:t>
      </w:r>
      <w:r>
        <w:t xml:space="preserve"> </w:t>
      </w:r>
      <w:r>
        <w:t xml:space="preserve">РФ, и отвечающее следующим требованиям:</w:t>
      </w:r>
      <w:bookmarkEnd w:id="61"/>
      <w:r/>
      <w:r/>
    </w:p>
    <w:p>
      <w:pPr>
        <w:pStyle w:val="1177"/>
      </w:pPr>
      <w:r>
        <w:t xml:space="preserve">в соглашении должны быть определены права и обязанности сторон как в</w:t>
      </w:r>
      <w:r>
        <w:t xml:space="preserve"> </w:t>
      </w:r>
      <w:r>
        <w:t xml:space="preserve">рамках участия в закупке, так и в рамках исполнения Договора;</w:t>
      </w:r>
      <w:r/>
    </w:p>
    <w:p>
      <w:pPr>
        <w:pStyle w:val="1177"/>
      </w:pPr>
      <w:r>
        <w:t xml:space="preserve">в соглашении должно быть приведено распределение номенклатуры, объемов</w:t>
      </w:r>
      <w:r>
        <w:t xml:space="preserve"> и стоимости</w:t>
      </w:r>
      <w:r>
        <w:t xml:space="preserve">, а также сроков поставки продукции между членами Коллективного участника;</w:t>
      </w:r>
      <w:r/>
    </w:p>
    <w:p>
      <w:pPr>
        <w:pStyle w:val="1177"/>
      </w:pPr>
      <w:r>
        <w:t xml:space="preserve">в соглашении должен быть определен лидер, который в дальнейшем представляет интересы каждого члена Коллективного участника во</w:t>
      </w:r>
      <w:r>
        <w:t xml:space="preserve"> </w:t>
      </w:r>
      <w:r>
        <w:t xml:space="preserve">взаимоотношениях с Организатором и Заказчиком;</w:t>
      </w:r>
      <w:r/>
    </w:p>
    <w:p>
      <w:pPr>
        <w:pStyle w:val="1177"/>
      </w:pPr>
      <w:r>
        <w:t xml:space="preserve">в соглашении должна быть установлена солидарная ответственность каждого члена Коллективного участника по обязательствам, связанным с</w:t>
      </w:r>
      <w:r>
        <w:t xml:space="preserve"> </w:t>
      </w:r>
      <w:r>
        <w:t xml:space="preserve">участием в закупке, заключением и последующим исполнением Договора;</w:t>
      </w:r>
      <w:r/>
    </w:p>
    <w:p>
      <w:pPr>
        <w:pStyle w:val="1177"/>
      </w:pPr>
      <w:r>
        <w:t xml:space="preserve">срок действия соглашения должен быть не менее срока исполнения обязательств Участника по Договору, предлагаемого в составе заявки;</w:t>
      </w:r>
      <w:r/>
    </w:p>
    <w:p>
      <w:pPr>
        <w:pStyle w:val="1177"/>
      </w:pPr>
      <w:r>
        <w:t xml:space="preserve">соглашением должно быть предусмотрено, что все операции по</w:t>
      </w:r>
      <w:r>
        <w:t xml:space="preserve"> </w:t>
      </w:r>
      <w:r>
        <w:t xml:space="preserve">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r/>
    </w:p>
    <w:p>
      <w:pPr>
        <w:pStyle w:val="1176"/>
      </w:pPr>
      <w:r>
        <w:t xml:space="preserve">Заявка </w:t>
      </w:r>
      <w:r>
        <w:t xml:space="preserve">подготавливается и подается лидером от своего имени со ссылкой в</w:t>
      </w:r>
      <w:r>
        <w:t xml:space="preserve"> </w:t>
      </w:r>
      <w:r>
        <w:t xml:space="preserve">Письме о подаче оферты</w:t>
      </w:r>
      <w:r>
        <w:t xml:space="preserve"> (форма </w:t>
      </w:r>
      <w:r>
        <w:t xml:space="preserve">2</w:t>
      </w:r>
      <w:r>
        <w:t xml:space="preserve">) (</w:t>
      </w:r>
      <w:hyperlink w:tooltip="#Прил04_ФормыЗаявки" w:anchor="Прил04_ФормыЗаявки" w:history="1">
        <w:r>
          <w:rPr>
            <w:rStyle w:val="1204"/>
          </w:rPr>
          <w:t xml:space="preserve">Приложение № </w:t>
        </w:r>
        <w:r>
          <w:rPr>
            <w:rStyle w:val="1204"/>
          </w:rPr>
          <w:t xml:space="preserve">4</w:t>
        </w:r>
      </w:hyperlink>
      <w:r>
        <w:t xml:space="preserve">)</w:t>
      </w:r>
      <w:r>
        <w:t xml:space="preserve"> на то, что он представляет интересы Коллективного</w:t>
      </w:r>
      <w:r>
        <w:t xml:space="preserve"> участника.</w:t>
      </w:r>
      <w:r/>
    </w:p>
    <w:p>
      <w:pPr>
        <w:pStyle w:val="1176"/>
      </w:pPr>
      <w:r/>
      <w:bookmarkStart w:id="62" w:name="_Ref125368791"/>
      <w:r>
        <w:t xml:space="preserve">Каждый член Коллективного участника (включая лидера Коллективного участника) должен отвечать всем обязательным требованиям </w:t>
      </w:r>
      <w:r>
        <w:t xml:space="preserve">к Участникам </w:t>
      </w:r>
      <w:r>
        <w:t xml:space="preserve">(подраздел </w:t>
      </w:r>
      <w:r>
        <w:fldChar w:fldCharType="begin"/>
      </w:r>
      <w:r>
        <w:instrText xml:space="preserve"> REF _Ref125361435 \r \h </w:instrText>
      </w:r>
      <w:r>
        <w:fldChar w:fldCharType="separate"/>
      </w:r>
      <w:r>
        <w:t xml:space="preserve">8.2</w:t>
      </w:r>
      <w:r>
        <w:fldChar w:fldCharType="end"/>
      </w:r>
      <w:r>
        <w:t xml:space="preserve">)</w:t>
      </w:r>
      <w:r>
        <w:t xml:space="preserve">.</w:t>
      </w:r>
      <w:bookmarkEnd w:id="62"/>
      <w:r/>
      <w:r/>
    </w:p>
    <w:p>
      <w:pPr>
        <w:pStyle w:val="1176"/>
      </w:pPr>
      <w:r>
        <w:t xml:space="preserve">При рассмотрении </w:t>
      </w:r>
      <w:r>
        <w:t xml:space="preserve">и оценке </w:t>
      </w:r>
      <w:r>
        <w:t xml:space="preserve">Коллективного участника на соответствие специальным требованиям</w:t>
      </w:r>
      <w:r>
        <w:t xml:space="preserve"> к Участникам </w:t>
      </w:r>
      <w:r>
        <w:t xml:space="preserve">(подраздел </w:t>
      </w:r>
      <w:r>
        <w:fldChar w:fldCharType="begin"/>
      </w:r>
      <w:r>
        <w:instrText xml:space="preserve"> REF _Ref125709153 \r \h </w:instrText>
      </w:r>
      <w:r>
        <w:instrText xml:space="preserve"> \* MERGEFORMAT </w:instrText>
      </w:r>
      <w:r>
        <w:fldChar w:fldCharType="separate"/>
      </w:r>
      <w:r>
        <w:t xml:space="preserve">8.3</w:t>
      </w:r>
      <w:r>
        <w:fldChar w:fldCharType="end"/>
      </w:r>
      <w:r>
        <w:t xml:space="preserve">)</w:t>
      </w:r>
      <w:r>
        <w:t xml:space="preserve"> </w:t>
      </w:r>
      <w:r>
        <w:t xml:space="preserve">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членов Коллективного участника, которым в</w:t>
      </w:r>
      <w:r>
        <w:t xml:space="preserve"> </w:t>
      </w:r>
      <w:r>
        <w:t xml:space="preserve">соответствии с</w:t>
      </w:r>
      <w:r>
        <w:t xml:space="preserve"> </w:t>
      </w:r>
      <w:r>
        <w:t xml:space="preserve">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4"/>
          </w:rPr>
          <w:t xml:space="preserve">Приложение № </w:t>
        </w:r>
        <w:r>
          <w:rPr>
            <w:rStyle w:val="1204"/>
          </w:rPr>
          <w:t xml:space="preserve">4</w:t>
        </w:r>
      </w:hyperlink>
      <w:r>
        <w:t xml:space="preserve">)</w:t>
      </w:r>
      <w:r>
        <w:t xml:space="preserve"> будет поручена непосредственная поставка продукции, требующая наличия указанных специальных</w:t>
      </w:r>
      <w:r>
        <w:t xml:space="preserve"> допусков, лицензий, разрешительных документов, членства в</w:t>
      </w:r>
      <w:r>
        <w:t xml:space="preserve"> </w:t>
      </w:r>
      <w:r>
        <w:t xml:space="preserve">саморегулируемых организациях в</w:t>
      </w:r>
      <w:r>
        <w:t xml:space="preserve"> </w:t>
      </w:r>
      <w:r>
        <w:t xml:space="preserve">соответствии с</w:t>
      </w:r>
      <w:r>
        <w:t xml:space="preserve"> </w:t>
      </w:r>
      <w:r>
        <w:t xml:space="preserve">законодательством (с уровнем ответственности пропорционально порученному объему поставки продукции).</w:t>
      </w:r>
      <w:r/>
    </w:p>
    <w:p>
      <w:pPr>
        <w:pStyle w:val="1176"/>
      </w:pPr>
      <w:r/>
      <w:bookmarkStart w:id="63" w:name="_Ref134705077"/>
      <w:r>
        <w:t xml:space="preserve">При рассмотрении и оценке Коллективного участника на соответствие квалификационным требованиям</w:t>
      </w:r>
      <w:r>
        <w:t xml:space="preserve"> </w:t>
      </w:r>
      <w:r>
        <w:t xml:space="preserve">к Участникам </w:t>
      </w:r>
      <w:r>
        <w:t xml:space="preserve">(подраздел </w:t>
      </w:r>
      <w:r>
        <w:fldChar w:fldCharType="begin"/>
      </w:r>
      <w:r>
        <w:instrText xml:space="preserve"> REF _Ref125709154 \r \h </w:instrText>
      </w:r>
      <w:r>
        <w:fldChar w:fldCharType="separate"/>
      </w:r>
      <w:r>
        <w:t xml:space="preserve">8.4</w:t>
      </w:r>
      <w:r>
        <w:fldChar w:fldCharType="end"/>
      </w:r>
      <w:r>
        <w:t xml:space="preserve">)</w:t>
      </w:r>
      <w:r>
        <w:t xml:space="preserve">,</w:t>
      </w:r>
      <w:r>
        <w:t xml:space="preserve"> количественные параметры деятельности членов Коллективного участника</w:t>
      </w:r>
      <w:r>
        <w:t xml:space="preserve"> </w:t>
      </w:r>
      <w:r>
        <w:t xml:space="preserve">(</w:t>
      </w:r>
      <w:bookmarkStart w:id="64" w:name="_Hlk132708323"/>
      <w:r>
        <w:t xml:space="preserve">наличие требуемого </w:t>
      </w:r>
      <w:r>
        <w:t xml:space="preserve">оп</w:t>
      </w:r>
      <w:r>
        <w:t xml:space="preserve">ы</w:t>
      </w:r>
      <w:r>
        <w:t xml:space="preserve">т</w:t>
      </w:r>
      <w:r>
        <w:t xml:space="preserve">а</w:t>
      </w:r>
      <w:r>
        <w:t xml:space="preserve">, обеспеченность материально-техническими ресурсами</w:t>
      </w:r>
      <w:r>
        <w:t xml:space="preserve"> и</w:t>
      </w:r>
      <w:r>
        <w:t xml:space="preserve"> кадровыми ресурсами</w:t>
      </w:r>
      <w:bookmarkEnd w:id="64"/>
      <w:r>
        <w:t xml:space="preserve">) суммируются.</w:t>
      </w:r>
      <w:r>
        <w:t xml:space="preserve"> </w:t>
      </w:r>
      <w:r>
        <w:t xml:space="preserve">Не подлежащие суммированию показатели, </w:t>
      </w:r>
      <w:r>
        <w:t xml:space="preserve">относящиеся к качественным характеристикам требуемого опыта</w:t>
      </w:r>
      <w:r>
        <w:t xml:space="preserve">, должны быть в наличии у членов Коллективного участника, которым в</w:t>
      </w:r>
      <w:r>
        <w:t xml:space="preserve"> </w:t>
      </w:r>
      <w:r>
        <w:t xml:space="preserve">соответствии с</w:t>
      </w:r>
      <w:r>
        <w:t xml:space="preserve"> </w:t>
      </w:r>
      <w:r>
        <w:t xml:space="preserve">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4"/>
          </w:rPr>
          <w:t xml:space="preserve">Приложение № </w:t>
        </w:r>
        <w:r>
          <w:rPr>
            <w:rStyle w:val="1204"/>
          </w:rPr>
          <w:t xml:space="preserve">4</w:t>
        </w:r>
      </w:hyperlink>
      <w:r>
        <w:t xml:space="preserve">)</w:t>
      </w:r>
      <w:r>
        <w:t xml:space="preserve"> будет поручена непосредственная поставка продукции, требующая наличия указанного</w:t>
      </w:r>
      <w:r>
        <w:t xml:space="preserve"> опыта и других показателей, не</w:t>
      </w:r>
      <w:r>
        <w:t xml:space="preserve"> </w:t>
      </w:r>
      <w:r>
        <w:t xml:space="preserve">подлежащих суммированию.</w:t>
      </w:r>
      <w:bookmarkEnd w:id="63"/>
      <w:r/>
      <w:r/>
    </w:p>
    <w:p>
      <w:pPr>
        <w:pStyle w:val="1176"/>
        <w:keepNext/>
      </w:pPr>
      <w:r/>
      <w:bookmarkStart w:id="65" w:name="_Ref125361726"/>
      <w:r>
        <w:t xml:space="preserve">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65"/>
      <w:r/>
      <w:r/>
    </w:p>
    <w:p>
      <w:pPr>
        <w:pStyle w:val="1177"/>
      </w:pPr>
      <w:r>
        <w:t xml:space="preserve">принимать участие в этой же закупке самостоятельно;</w:t>
      </w:r>
      <w:r/>
    </w:p>
    <w:p>
      <w:pPr>
        <w:pStyle w:val="1177"/>
      </w:pPr>
      <w:r>
        <w:t xml:space="preserve">принимать участие в этой же закупке в качестве Генерального подрядчика или субподрядчика (подраздел</w:t>
      </w:r>
      <w:r>
        <w:t xml:space="preserve"> </w:t>
      </w:r>
      <w:r>
        <w:fldChar w:fldCharType="begin"/>
      </w:r>
      <w:r>
        <w:instrText xml:space="preserve"> REF _Ref125361702 \r \h </w:instrText>
      </w:r>
      <w:r>
        <w:fldChar w:fldCharType="separate"/>
      </w:r>
      <w:r>
        <w:t xml:space="preserve">3.3</w:t>
      </w:r>
      <w:r>
        <w:fldChar w:fldCharType="end"/>
      </w:r>
      <w:r>
        <w:t xml:space="preserve">).</w:t>
      </w:r>
      <w:r/>
    </w:p>
    <w:p>
      <w:pPr>
        <w:pStyle w:val="1180"/>
        <w:ind w:left="1134"/>
      </w:pPr>
      <w:r>
        <w:t xml:space="preserve">В случае </w:t>
      </w:r>
      <w:r>
        <w:t xml:space="preserve">невыполнения данного</w:t>
      </w:r>
      <w:r>
        <w:t xml:space="preserve"> требовани</w:t>
      </w:r>
      <w:r>
        <w:t xml:space="preserve">я</w:t>
      </w:r>
      <w:r>
        <w:t xml:space="preserve"> все заявки с</w:t>
      </w:r>
      <w:r>
        <w:t xml:space="preserve"> </w:t>
      </w:r>
      <w:r>
        <w:t xml:space="preserve">участием таких лиц будут отклонены без рассмотрения по существу.</w:t>
      </w:r>
      <w:r/>
    </w:p>
    <w:p>
      <w:pPr>
        <w:pStyle w:val="1176"/>
      </w:pPr>
      <w:r>
        <w:t xml:space="preserve">В случае несоответствия какого-либо из заявленных членов Коллективного участника установленным требованиям (</w:t>
      </w:r>
      <w:hyperlink w:tooltip="#Прил03_ТребованияУчастникам" w:anchor="Прил03_ТребованияУчастникам" w:history="1">
        <w:r>
          <w:rPr>
            <w:rStyle w:val="1204"/>
          </w:rPr>
          <w:t xml:space="preserve">Приложени</w:t>
        </w:r>
        <w:r>
          <w:rPr>
            <w:rStyle w:val="1204"/>
          </w:rPr>
          <w:t xml:space="preserve">е</w:t>
        </w:r>
        <w:r>
          <w:rPr>
            <w:rStyle w:val="1204"/>
          </w:rPr>
          <w:t xml:space="preserve"> № 3</w:t>
        </w:r>
      </w:hyperlink>
      <w:r>
        <w:rPr>
          <w:rStyle w:val="1204"/>
        </w:rPr>
        <w:t xml:space="preserve">)</w:t>
      </w:r>
      <w:r>
        <w:t xml:space="preserve">, а также при</w:t>
      </w:r>
      <w:r>
        <w:t xml:space="preserve"> </w:t>
      </w:r>
      <w:r>
        <w:t xml:space="preserve">несоблюдении вышеуказанных норм настоящего подраздела</w:t>
      </w:r>
      <w:r>
        <w:t xml:space="preserve">,</w:t>
      </w:r>
      <w:r>
        <w:t xml:space="preserve"> заявка такого Коллективного участника отклоняется.</w:t>
      </w:r>
      <w:r/>
    </w:p>
    <w:p>
      <w:pPr>
        <w:pStyle w:val="1176"/>
      </w:pPr>
      <w:r>
        <w:t xml:space="preserve">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r/>
    </w:p>
    <w:p>
      <w:pPr>
        <w:pStyle w:val="1176"/>
      </w:pPr>
      <w:r>
        <w:t xml:space="preserve">Заказчик имеет право на одностороннее расторжение / </w:t>
      </w:r>
      <w:r>
        <w:t xml:space="preserve">незаключение</w:t>
      </w:r>
      <w:r>
        <w:t xml:space="preserve"> Договора, если из состава Коллективного участника вышел один или несколько его членов.</w:t>
      </w:r>
      <w:r/>
    </w:p>
    <w:p>
      <w:pPr>
        <w:pStyle w:val="1175"/>
      </w:pPr>
      <w:r/>
      <w:bookmarkStart w:id="66" w:name="_Ref125361702"/>
      <w:r/>
      <w:bookmarkStart w:id="67" w:name="_Toc232579421"/>
      <w:r>
        <w:t xml:space="preserve">Генеральные подрядчики</w:t>
      </w:r>
      <w:bookmarkEnd w:id="66"/>
      <w:r/>
      <w:bookmarkEnd w:id="67"/>
      <w:r/>
      <w:r/>
    </w:p>
    <w:p>
      <w:pPr>
        <w:pStyle w:val="1176"/>
      </w:pPr>
      <w:r>
        <w:t xml:space="preserve">Нормы настоящего подраздела применяются только, если </w:t>
      </w:r>
      <w:r>
        <w:t xml:space="preserve">подразделом </w:t>
      </w:r>
      <w:r>
        <w:fldChar w:fldCharType="begin"/>
      </w:r>
      <w:r>
        <w:instrText xml:space="preserve"> REF _Ref125359973 \r \h </w:instrText>
      </w:r>
      <w:r>
        <w:fldChar w:fldCharType="separate"/>
      </w:r>
      <w:r>
        <w:t xml:space="preserve">1.2</w:t>
      </w:r>
      <w:r>
        <w:fldChar w:fldCharType="end"/>
      </w:r>
      <w:r>
        <w:t xml:space="preserve"> предусмотрено рассмотрение и оценка </w:t>
      </w:r>
      <w:r>
        <w:t xml:space="preserve">заявок Участников с</w:t>
      </w:r>
      <w:r>
        <w:t xml:space="preserve"> </w:t>
      </w:r>
      <w:r>
        <w:t xml:space="preserve">учетом привлекаемых субподрядчиков</w:t>
      </w:r>
      <w:r>
        <w:t xml:space="preserve">.</w:t>
      </w:r>
      <w:r/>
    </w:p>
    <w:p>
      <w:pPr>
        <w:pStyle w:val="1176"/>
      </w:pPr>
      <w:r>
        <w:t xml:space="preserve">Если заявка подается Участником от лица Генерального подрядчика</w:t>
      </w:r>
      <w:r>
        <w:t xml:space="preserve">, дополнительно должны быть выполнены требования настоящего подраздела, а</w:t>
      </w:r>
      <w:r>
        <w:t xml:space="preserve"> </w:t>
      </w:r>
      <w:r>
        <w:t xml:space="preserve">также требования к</w:t>
      </w:r>
      <w:r>
        <w:t xml:space="preserve"> </w:t>
      </w:r>
      <w:r>
        <w:t xml:space="preserve">дополнительным документам, предоставляемым таким Участником в составе заявки, установленные в </w:t>
      </w:r>
      <w:r>
        <w:t xml:space="preserve">подразделе </w:t>
      </w:r>
      <w:r>
        <w:fldChar w:fldCharType="begin"/>
      </w:r>
      <w:r>
        <w:instrText xml:space="preserve"> REF _Ref125709777 \r \h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04"/>
          </w:rPr>
          <w:t xml:space="preserve">Требований к Участникам (Приложение № 3)</w:t>
        </w:r>
      </w:hyperlink>
      <w:r>
        <w:t xml:space="preserve">.</w:t>
      </w:r>
      <w:r/>
    </w:p>
    <w:p>
      <w:pPr>
        <w:pStyle w:val="1176"/>
        <w:keepNext/>
      </w:pPr>
      <w:r>
        <w:t xml:space="preserve">Генеральный подрядчик</w:t>
      </w:r>
      <w:r>
        <w:t xml:space="preserve">:</w:t>
      </w:r>
      <w:r/>
    </w:p>
    <w:p>
      <w:pPr>
        <w:pStyle w:val="1177"/>
      </w:pPr>
      <w:r>
        <w:t xml:space="preserve">должен самостоятельно </w:t>
      </w:r>
      <w:r>
        <w:t xml:space="preserve">отвечать всем обязательным требованиям к</w:t>
      </w:r>
      <w:r>
        <w:t xml:space="preserve"> </w:t>
      </w:r>
      <w:r>
        <w:t xml:space="preserve">Участникам </w:t>
      </w:r>
      <w:r>
        <w:t xml:space="preserve">(подраздел </w:t>
      </w:r>
      <w:r>
        <w:fldChar w:fldCharType="begin"/>
      </w:r>
      <w:r>
        <w:instrText xml:space="preserve"> REF _Ref125361435 \r \h </w:instrText>
      </w:r>
      <w:r>
        <w:fldChar w:fldCharType="separate"/>
      </w:r>
      <w:r>
        <w:t xml:space="preserve">8.2</w:t>
      </w:r>
      <w:r>
        <w:fldChar w:fldCharType="end"/>
      </w:r>
      <w:r>
        <w:t xml:space="preserve">)</w:t>
      </w:r>
      <w:r>
        <w:t xml:space="preserve">;</w:t>
      </w:r>
      <w:r/>
    </w:p>
    <w:p>
      <w:pPr>
        <w:pStyle w:val="1177"/>
      </w:pPr>
      <w:r>
        <w:t xml:space="preserve">в рамках специальных требований</w:t>
      </w:r>
      <w:r>
        <w:t xml:space="preserve"> (подраздел </w:t>
      </w:r>
      <w:r>
        <w:fldChar w:fldCharType="begin"/>
      </w:r>
      <w:r>
        <w:instrText xml:space="preserve"> REF _Ref125709153 \r \h </w:instrText>
      </w:r>
      <w:r>
        <w:fldChar w:fldCharType="separate"/>
      </w:r>
      <w:r>
        <w:t xml:space="preserve">8.3</w:t>
      </w:r>
      <w:r>
        <w:fldChar w:fldCharType="end"/>
      </w:r>
      <w:r>
        <w:t xml:space="preserve">)</w:t>
      </w:r>
      <w:r>
        <w:t xml:space="preserve">, касающихся членства в саморегулируемых </w:t>
      </w:r>
      <w:r>
        <w:t xml:space="preserve">организациях</w:t>
      </w:r>
      <w:r>
        <w:t xml:space="preserve"> </w:t>
      </w:r>
      <w:r>
        <w:t xml:space="preserve">(</w:t>
      </w:r>
      <w:r>
        <w:t xml:space="preserve">в </w:t>
      </w:r>
      <w:r>
        <w:t xml:space="preserve">случае их установления</w:t>
      </w:r>
      <w:r>
        <w:t xml:space="preserve">)</w:t>
      </w:r>
      <w:r>
        <w:t xml:space="preserve">, </w:t>
      </w:r>
      <w:r>
        <w:t xml:space="preserve">должен </w:t>
      </w:r>
      <w:r>
        <w:t xml:space="preserve">иметь </w:t>
      </w:r>
      <w:r>
        <w:t xml:space="preserve">соответствующ</w:t>
      </w:r>
      <w:r>
        <w:t xml:space="preserve">е</w:t>
      </w:r>
      <w:r>
        <w:t xml:space="preserve">е </w:t>
      </w:r>
      <w:r>
        <w:t xml:space="preserve">членство </w:t>
      </w:r>
      <w:r>
        <w:t xml:space="preserve">с учетом требований</w:t>
      </w:r>
      <w:r>
        <w:t xml:space="preserve"> </w:t>
      </w:r>
      <w:r>
        <w:t xml:space="preserve">законодательств</w:t>
      </w:r>
      <w:r>
        <w:t xml:space="preserve">а</w:t>
      </w:r>
      <w:r>
        <w:t xml:space="preserve"> </w:t>
      </w:r>
      <w:r>
        <w:t xml:space="preserve">к</w:t>
      </w:r>
      <w:r>
        <w:t xml:space="preserve"> </w:t>
      </w:r>
      <w:r>
        <w:t xml:space="preserve">такому членству</w:t>
      </w:r>
      <w:r>
        <w:t xml:space="preserve">;</w:t>
      </w:r>
      <w:r/>
    </w:p>
    <w:p>
      <w:pPr>
        <w:pStyle w:val="1177"/>
      </w:pPr>
      <w:r>
        <w:t xml:space="preserve">в рамках </w:t>
      </w:r>
      <w:r>
        <w:t xml:space="preserve">остальны</w:t>
      </w:r>
      <w:r>
        <w:t xml:space="preserve">х</w:t>
      </w:r>
      <w:r>
        <w:t xml:space="preserve"> специальны</w:t>
      </w:r>
      <w:r>
        <w:t xml:space="preserve">х</w:t>
      </w:r>
      <w:r>
        <w:t xml:space="preserve"> требовани</w:t>
      </w:r>
      <w:r>
        <w:t xml:space="preserve">й</w:t>
      </w:r>
      <w:r>
        <w:t xml:space="preserve"> и квалификационны</w:t>
      </w:r>
      <w:r>
        <w:t xml:space="preserve">х</w:t>
      </w:r>
      <w:r>
        <w:t xml:space="preserve"> требовани</w:t>
      </w:r>
      <w:r>
        <w:t xml:space="preserve">й</w:t>
      </w:r>
      <w:r>
        <w:t xml:space="preserve"> </w:t>
      </w:r>
      <w:r>
        <w:t xml:space="preserve">(подраздел </w:t>
      </w:r>
      <w:r>
        <w:fldChar w:fldCharType="begin"/>
      </w:r>
      <w:r>
        <w:instrText xml:space="preserve"> REF _Ref125709154 \r \h </w:instrText>
      </w:r>
      <w:r>
        <w:fldChar w:fldCharType="separate"/>
      </w:r>
      <w:r>
        <w:t xml:space="preserve">8.4</w:t>
      </w:r>
      <w:r>
        <w:fldChar w:fldCharType="end"/>
      </w:r>
      <w:r>
        <w:t xml:space="preserve">)</w:t>
      </w:r>
      <w:r>
        <w:t xml:space="preserve"> </w:t>
      </w:r>
      <w:r>
        <w:t xml:space="preserve">(</w:t>
      </w:r>
      <w:r>
        <w:t xml:space="preserve">в </w:t>
      </w:r>
      <w:r>
        <w:t xml:space="preserve">случае их установления</w:t>
      </w:r>
      <w:r>
        <w:t xml:space="preserve">)</w:t>
      </w:r>
      <w:r>
        <w:t xml:space="preserve"> </w:t>
      </w:r>
      <w:r>
        <w:t xml:space="preserve">должен отвечать</w:t>
      </w:r>
      <w:r>
        <w:t xml:space="preserve"> </w:t>
      </w:r>
      <w:r>
        <w:t xml:space="preserve">им </w:t>
      </w:r>
      <w:r>
        <w:t xml:space="preserve">только в</w:t>
      </w:r>
      <w:r>
        <w:t xml:space="preserve"> </w:t>
      </w:r>
      <w:r>
        <w:t xml:space="preserve">части объема поставки продукции, который ему </w:t>
      </w:r>
      <w:r>
        <w:t xml:space="preserve">предполагается поручить в</w:t>
      </w:r>
      <w:r>
        <w:t xml:space="preserve"> </w:t>
      </w:r>
      <w:r>
        <w:t xml:space="preserve">соответствии с</w:t>
      </w:r>
      <w:r>
        <w:t xml:space="preserve"> </w:t>
      </w:r>
      <w:r>
        <w:t xml:space="preserve">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4"/>
          </w:rPr>
          <w:t xml:space="preserve">Приложение № </w:t>
        </w:r>
        <w:r>
          <w:rPr>
            <w:rStyle w:val="1204"/>
          </w:rPr>
          <w:t xml:space="preserve">4</w:t>
        </w:r>
      </w:hyperlink>
      <w:r>
        <w:t xml:space="preserve">).</w:t>
      </w:r>
      <w:r/>
    </w:p>
    <w:p>
      <w:pPr>
        <w:pStyle w:val="1176"/>
        <w:keepNext/>
      </w:pPr>
      <w:r/>
      <w:bookmarkStart w:id="68" w:name="_Ref125368863"/>
      <w:r>
        <w:t xml:space="preserve">Каждый </w:t>
      </w:r>
      <w:r>
        <w:t xml:space="preserve">субподрядчик </w:t>
      </w:r>
      <w:r>
        <w:t xml:space="preserve">из </w:t>
      </w:r>
      <w:r>
        <w:t xml:space="preserve">привлекаемы</w:t>
      </w:r>
      <w:r>
        <w:t xml:space="preserve">х</w:t>
      </w:r>
      <w:r>
        <w:t xml:space="preserve"> </w:t>
      </w:r>
      <w:r>
        <w:t xml:space="preserve">Генеральным подрядчиком </w:t>
      </w:r>
      <w:r>
        <w:t xml:space="preserve">должен</w:t>
      </w:r>
      <w:r>
        <w:t xml:space="preserve"> отвечать:</w:t>
      </w:r>
      <w:r/>
    </w:p>
    <w:p>
      <w:pPr>
        <w:pStyle w:val="1177"/>
      </w:pPr>
      <w:r>
        <w:t xml:space="preserve">обязательным </w:t>
      </w:r>
      <w:r>
        <w:t xml:space="preserve">требованиям</w:t>
      </w:r>
      <w:r>
        <w:t xml:space="preserve"> (подраздел </w:t>
      </w:r>
      <w:r>
        <w:fldChar w:fldCharType="begin"/>
      </w:r>
      <w:r>
        <w:instrText xml:space="preserve"> REF _Ref125361435 \r \h </w:instrText>
      </w:r>
      <w:r>
        <w:instrText xml:space="preserve"> \* MERGEFORMAT </w:instrText>
      </w:r>
      <w:r>
        <w:fldChar w:fldCharType="separate"/>
      </w:r>
      <w:r>
        <w:t xml:space="preserve">8.2</w:t>
      </w:r>
      <w:r>
        <w:fldChar w:fldCharType="end"/>
      </w:r>
      <w:r>
        <w:t xml:space="preserve">)</w:t>
      </w:r>
      <w:r>
        <w:t xml:space="preserve">;</w:t>
      </w:r>
      <w:r/>
    </w:p>
    <w:p>
      <w:pPr>
        <w:pStyle w:val="1177"/>
      </w:pPr>
      <w:r>
        <w:t xml:space="preserve">специальным требованиям (подраздел </w:t>
      </w:r>
      <w:r>
        <w:fldChar w:fldCharType="begin"/>
      </w:r>
      <w:r>
        <w:instrText xml:space="preserve"> REF _Ref125709153 \r \h </w:instrText>
      </w:r>
      <w:r>
        <w:instrText xml:space="preserve"> \* MERGEFORMAT </w:instrText>
      </w:r>
      <w:r>
        <w:fldChar w:fldCharType="separate"/>
      </w:r>
      <w:r>
        <w:t xml:space="preserve">8.3</w:t>
      </w:r>
      <w:r>
        <w:fldChar w:fldCharType="end"/>
      </w:r>
      <w:r>
        <w:t xml:space="preserve">)</w:t>
      </w:r>
      <w:r>
        <w:t xml:space="preserve"> </w:t>
      </w:r>
      <w:r>
        <w:t xml:space="preserve">(</w:t>
      </w:r>
      <w:r>
        <w:t xml:space="preserve">в </w:t>
      </w:r>
      <w:r>
        <w:t xml:space="preserve">случае их установления</w:t>
      </w:r>
      <w:r>
        <w:t xml:space="preserve">),</w:t>
      </w:r>
      <w:r>
        <w:t xml:space="preserve"> </w:t>
      </w:r>
      <w:r>
        <w:t xml:space="preserve">за</w:t>
      </w:r>
      <w:r>
        <w:t xml:space="preserve"> </w:t>
      </w:r>
      <w:r>
        <w:t xml:space="preserve">исключением требования о наличии членства в саморегулируемых организациях</w:t>
      </w:r>
      <w:r>
        <w:t xml:space="preserve">;</w:t>
      </w:r>
      <w:r/>
    </w:p>
    <w:p>
      <w:pPr>
        <w:pStyle w:val="1177"/>
      </w:pPr>
      <w:r>
        <w:t xml:space="preserve">квалификационным требованиям (подраздел </w:t>
      </w:r>
      <w:r>
        <w:fldChar w:fldCharType="begin"/>
      </w:r>
      <w:r>
        <w:instrText xml:space="preserve"> REF _Ref125709154 \r \h </w:instrText>
      </w:r>
      <w:r>
        <w:instrText xml:space="preserve"> \* MERGEFORMAT </w:instrText>
      </w:r>
      <w:r>
        <w:fldChar w:fldCharType="separate"/>
      </w:r>
      <w:r>
        <w:t xml:space="preserve">8.4</w:t>
      </w:r>
      <w:r>
        <w:fldChar w:fldCharType="end"/>
      </w:r>
      <w:r>
        <w:t xml:space="preserve">)</w:t>
      </w:r>
      <w:r>
        <w:t xml:space="preserve"> </w:t>
      </w:r>
      <w:r>
        <w:t xml:space="preserve">(</w:t>
      </w:r>
      <w:r>
        <w:t xml:space="preserve">в </w:t>
      </w:r>
      <w:r>
        <w:t xml:space="preserve">случае их установления</w:t>
      </w:r>
      <w:r>
        <w:t xml:space="preserve">)</w:t>
      </w:r>
      <w:r>
        <w:t xml:space="preserve">.</w:t>
      </w:r>
      <w:r/>
    </w:p>
    <w:p>
      <w:pPr>
        <w:pStyle w:val="1180"/>
        <w:ind w:left="1134"/>
      </w:pPr>
      <w:r>
        <w:t xml:space="preserve">При этом </w:t>
      </w:r>
      <w:r>
        <w:t xml:space="preserve">соответствовать</w:t>
      </w:r>
      <w:r>
        <w:t xml:space="preserve"> </w:t>
      </w:r>
      <w:r>
        <w:t xml:space="preserve">специальным</w:t>
      </w:r>
      <w:r>
        <w:t xml:space="preserve"> и квалификационным</w:t>
      </w:r>
      <w:r>
        <w:t xml:space="preserve"> требованиям субподрядчик</w:t>
      </w:r>
      <w:r>
        <w:t xml:space="preserve"> </w:t>
      </w:r>
      <w:r>
        <w:t xml:space="preserve">должен</w:t>
      </w:r>
      <w:r>
        <w:t xml:space="preserve"> только в</w:t>
      </w:r>
      <w:r>
        <w:t xml:space="preserve"> </w:t>
      </w:r>
      <w:r>
        <w:t xml:space="preserve">части объема поставки продукции, который ему </w:t>
      </w:r>
      <w:r>
        <w:t xml:space="preserve">поручен</w:t>
      </w:r>
      <w:r>
        <w:t xml:space="preserve"> </w:t>
      </w:r>
      <w:bookmarkEnd w:id="68"/>
      <w:r>
        <w:t xml:space="preserve">в соответствии с Планом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4"/>
          </w:rPr>
          <w:t xml:space="preserve">Приложение № </w:t>
        </w:r>
        <w:r>
          <w:rPr>
            <w:rStyle w:val="1204"/>
          </w:rPr>
          <w:t xml:space="preserve">4</w:t>
        </w:r>
      </w:hyperlink>
      <w:r>
        <w:t xml:space="preserve">).</w:t>
      </w:r>
      <w:r/>
    </w:p>
    <w:p>
      <w:pPr>
        <w:pStyle w:val="1176"/>
      </w:pPr>
      <w:r>
        <w:t xml:space="preserve">При оценке и сопоставлении заявки Генерального подрядчика по</w:t>
      </w:r>
      <w:r>
        <w:t xml:space="preserve"> </w:t>
      </w:r>
      <w:r>
        <w:t xml:space="preserve">квалификационным критериям (</w:t>
      </w:r>
      <w:r>
        <w:t xml:space="preserve">если они</w:t>
      </w:r>
      <w:r>
        <w:t xml:space="preserve"> </w:t>
      </w:r>
      <w:r>
        <w:t xml:space="preserve">установле</w:t>
      </w:r>
      <w:r>
        <w:t xml:space="preserve">ны</w:t>
      </w:r>
      <w:r>
        <w:t xml:space="preserve"> </w:t>
      </w:r>
      <w:r>
        <w:t xml:space="preserve">в </w:t>
      </w:r>
      <w:hyperlink w:tooltip="#Прил08_ПорядокОценки" w:anchor="Прил08_ПорядокОценки" w:history="1">
        <w:r>
          <w:rPr>
            <w:rStyle w:val="1204"/>
          </w:rPr>
          <w:t xml:space="preserve">Порядке и критериях оценки и сопоставления заявок (Приложение № </w:t>
        </w:r>
        <w:r>
          <w:rPr>
            <w:rStyle w:val="1204"/>
          </w:rPr>
          <w:t xml:space="preserve">8</w:t>
        </w:r>
        <w:r>
          <w:rPr>
            <w:rStyle w:val="1204"/>
          </w:rPr>
          <w:t xml:space="preserve">)</w:t>
        </w:r>
      </w:hyperlink>
      <w:r>
        <w:t xml:space="preserve">)</w:t>
      </w:r>
      <w:r>
        <w:t xml:space="preserve"> количественные параметры деятельности Генерального подрядчика и субподрядчиков суммируются (</w:t>
      </w:r>
      <w:r>
        <w:t xml:space="preserve">наличие требуемого опыта, обеспеченность материально-техническими ресурсами и кадровыми ресурсами</w:t>
      </w:r>
      <w:r>
        <w:t xml:space="preserve">).</w:t>
      </w:r>
      <w:r/>
    </w:p>
    <w:p>
      <w:pPr>
        <w:pStyle w:val="1176"/>
      </w:pPr>
      <w:r/>
      <w:bookmarkStart w:id="69" w:name="_Ref125361799"/>
      <w:r>
        <w:t xml:space="preserve">Любое юридическое или физическое лицо (в том числе </w:t>
      </w:r>
      <w:r>
        <w:t xml:space="preserve">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w:t>
      </w:r>
      <w:r>
        <w:t xml:space="preserve"> </w:t>
      </w:r>
      <w:r>
        <w:fldChar w:fldCharType="begin"/>
      </w:r>
      <w:r>
        <w:instrText xml:space="preserve"> REF _Ref130308203 \r \h </w:instrText>
      </w:r>
      <w:r>
        <w:fldChar w:fldCharType="separate"/>
      </w:r>
      <w:r>
        <w:t xml:space="preserve">3.2</w:t>
      </w:r>
      <w:r>
        <w:fldChar w:fldCharType="end"/>
      </w:r>
      <w:r>
        <w:t xml:space="preserve">).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w:t>
      </w:r>
      <w:r>
        <w:t xml:space="preserve"> </w:t>
      </w:r>
      <w:r>
        <w:t xml:space="preserve">участием таких </w:t>
      </w:r>
      <w:r>
        <w:t xml:space="preserve">лиц</w:t>
      </w:r>
      <w:r>
        <w:t xml:space="preserve"> будут отклонены без рассмотрения по существу.</w:t>
      </w:r>
      <w:bookmarkEnd w:id="69"/>
      <w:r/>
      <w:r/>
    </w:p>
    <w:p>
      <w:pPr>
        <w:pStyle w:val="1176"/>
      </w:pPr>
      <w:r>
        <w:t xml:space="preserve">Если подразделом </w:t>
      </w:r>
      <w:r>
        <w:fldChar w:fldCharType="begin"/>
      </w:r>
      <w:r>
        <w:instrText xml:space="preserve"> REF _Ref125359973 \r \h </w:instrText>
      </w:r>
      <w:r>
        <w:fldChar w:fldCharType="separate"/>
      </w:r>
      <w:r>
        <w:t xml:space="preserve">1.2</w:t>
      </w:r>
      <w:r>
        <w:fldChar w:fldCharType="end"/>
      </w:r>
      <w:r>
        <w:t xml:space="preserve"> не предусмотрен</w:t>
      </w:r>
      <w:r>
        <w:t xml:space="preserve">ы</w:t>
      </w:r>
      <w:r>
        <w:t xml:space="preserve"> рассмотрение и оценка </w:t>
      </w:r>
      <w:r>
        <w:t xml:space="preserve">заявок Участников с</w:t>
      </w:r>
      <w:r>
        <w:t xml:space="preserve"> </w:t>
      </w:r>
      <w:r>
        <w:t xml:space="preserve">учетом привлекаемых субподрядчиков</w:t>
      </w:r>
      <w:r>
        <w:t xml:space="preserve">, то при рассмотрении и оценке заявок к учету принимаются исключительно сведения о самом Участник</w:t>
      </w:r>
      <w:r>
        <w:t xml:space="preserve">е</w:t>
      </w:r>
      <w:r>
        <w:t xml:space="preserve">, в</w:t>
      </w:r>
      <w:r>
        <w:t xml:space="preserve"> </w:t>
      </w:r>
      <w:r>
        <w:t xml:space="preserve">связи с</w:t>
      </w:r>
      <w:r>
        <w:t xml:space="preserve"> </w:t>
      </w:r>
      <w:r>
        <w:t xml:space="preserve">чем Участник не обязан предоставлять документы на</w:t>
      </w:r>
      <w:r>
        <w:t xml:space="preserve"> </w:t>
      </w:r>
      <w:r>
        <w:t xml:space="preserve">привлекаемых им</w:t>
      </w:r>
      <w:r>
        <w:t xml:space="preserve"> </w:t>
      </w:r>
      <w:r>
        <w:t xml:space="preserve">субподрядчиков, указанные в подразделе</w:t>
      </w:r>
      <w:r>
        <w:t xml:space="preserve"> </w:t>
      </w:r>
      <w:r>
        <w:fldChar w:fldCharType="begin"/>
      </w:r>
      <w:r>
        <w:instrText xml:space="preserve"> REF _Ref125709973 \r \h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04"/>
          </w:rPr>
          <w:t xml:space="preserve">Требований к Участникам (Приложение № 3)</w:t>
        </w:r>
      </w:hyperlink>
      <w:r>
        <w:t xml:space="preserve">.Ответственность за</w:t>
      </w:r>
      <w:r>
        <w:t xml:space="preserve"> </w:t>
      </w:r>
      <w:r>
        <w:t xml:space="preserve">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r/>
    </w:p>
    <w:p>
      <w:pPr>
        <w:pStyle w:val="1175"/>
      </w:pPr>
      <w:r/>
      <w:bookmarkStart w:id="70" w:name="_Ref127524203"/>
      <w:r/>
      <w:bookmarkStart w:id="71" w:name="_Toc232579422"/>
      <w:r>
        <w:t xml:space="preserve">Привлечение субподрядчиков (соисполнителей) из числа субъектов МСП</w:t>
      </w:r>
      <w:bookmarkEnd w:id="70"/>
      <w:r/>
      <w:bookmarkEnd w:id="71"/>
      <w:r/>
      <w:r/>
    </w:p>
    <w:p>
      <w:pPr>
        <w:pStyle w:val="1176"/>
      </w:pPr>
      <w:r>
        <w:t xml:space="preserve">Нормы настоящего подраздела применяются, если подразделом </w:t>
      </w:r>
      <w:r>
        <w:fldChar w:fldCharType="begin"/>
      </w:r>
      <w:r>
        <w:instrText xml:space="preserve"> REF _Ref125359973 \r \h </w:instrText>
      </w:r>
      <w:r>
        <w:fldChar w:fldCharType="separate"/>
      </w:r>
      <w:r>
        <w:t xml:space="preserve">1.2</w:t>
      </w:r>
      <w:r>
        <w:fldChar w:fldCharType="end"/>
      </w:r>
      <w:r>
        <w:t xml:space="preserve"> предусмотрен</w:t>
      </w:r>
      <w:r>
        <w:t xml:space="preserve">а обязанность </w:t>
      </w:r>
      <w:r>
        <w:t xml:space="preserve">Участников</w:t>
      </w:r>
      <w:r>
        <w:t xml:space="preserve"> по привлечению</w:t>
      </w:r>
      <w:r>
        <w:t xml:space="preserve"> к исполнению Договора субподрядчиков (соисполнителей) из числа субъектов МСП.</w:t>
      </w:r>
      <w:r/>
    </w:p>
    <w:p>
      <w:pPr>
        <w:pStyle w:val="1176"/>
      </w:pPr>
      <w:r>
        <w:t xml:space="preserve">Помимо </w:t>
      </w:r>
      <w:r>
        <w:t xml:space="preserve">требовани</w:t>
      </w:r>
      <w:r>
        <w:t xml:space="preserve">й</w:t>
      </w:r>
      <w:r>
        <w:t xml:space="preserve"> настоящего подраздела, </w:t>
      </w:r>
      <w:r>
        <w:t xml:space="preserve">Участник </w:t>
      </w:r>
      <w:r>
        <w:t xml:space="preserve">также</w:t>
      </w:r>
      <w:r>
        <w:t xml:space="preserve"> должен выполнить</w:t>
      </w:r>
      <w:r>
        <w:t xml:space="preserve"> требования к дополнительным документам, предоставляемым </w:t>
      </w:r>
      <w:r>
        <w:t xml:space="preserve">им </w:t>
      </w:r>
      <w:r>
        <w:t xml:space="preserve">в</w:t>
      </w:r>
      <w:r>
        <w:t xml:space="preserve"> </w:t>
      </w:r>
      <w:r>
        <w:t xml:space="preserve">составе заявки, установленные в подразделе </w:t>
      </w:r>
      <w:r>
        <w:fldChar w:fldCharType="begin"/>
      </w:r>
      <w:r>
        <w:instrText xml:space="preserve"> REF _Ref125550523 \r \h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rStyle w:val="1204"/>
          </w:rPr>
          <w:t xml:space="preserve">Требований к</w:t>
        </w:r>
        <w:r>
          <w:rPr>
            <w:rStyle w:val="1204"/>
          </w:rPr>
          <w:t xml:space="preserve"> </w:t>
        </w:r>
        <w:r>
          <w:rPr>
            <w:rStyle w:val="1204"/>
          </w:rPr>
          <w:t xml:space="preserve">Участникам (Приложение № 3)</w:t>
        </w:r>
      </w:hyperlink>
      <w:r>
        <w:t xml:space="preserve">. П</w:t>
      </w:r>
      <w:r>
        <w:t xml:space="preserve">ри </w:t>
      </w:r>
      <w:r>
        <w:t xml:space="preserve">этом в Плане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4"/>
          </w:rPr>
          <w:t xml:space="preserve">Приложение № </w:t>
        </w:r>
        <w:r>
          <w:rPr>
            <w:rStyle w:val="1204"/>
          </w:rPr>
          <w:t xml:space="preserve">4</w:t>
        </w:r>
      </w:hyperlink>
      <w:r>
        <w:t xml:space="preserve">) </w:t>
      </w:r>
      <w:r>
        <w:t xml:space="preserve">Участник должен указать</w:t>
      </w:r>
      <w:r>
        <w:t xml:space="preserve"> привлекаемых</w:t>
      </w:r>
      <w:r>
        <w:t xml:space="preserve"> им</w:t>
      </w:r>
      <w:r>
        <w:t xml:space="preserve"> субподрядчиков (соисполнителей) </w:t>
      </w:r>
      <w:r>
        <w:t xml:space="preserve">из числа</w:t>
      </w:r>
      <w:r>
        <w:t xml:space="preserve"> субъект</w:t>
      </w:r>
      <w:r>
        <w:t xml:space="preserve">ов</w:t>
      </w:r>
      <w:r>
        <w:t xml:space="preserve"> </w:t>
      </w:r>
      <w:r>
        <w:t xml:space="preserve">МСП</w:t>
      </w:r>
      <w:r>
        <w:t xml:space="preserve">, а</w:t>
      </w:r>
      <w:r>
        <w:t xml:space="preserve"> </w:t>
      </w:r>
      <w:r>
        <w:t xml:space="preserve">также является ли </w:t>
      </w:r>
      <w:r>
        <w:t xml:space="preserve">самостоятельно Участник субъектом МСП.</w:t>
      </w:r>
      <w:r/>
    </w:p>
    <w:p>
      <w:pPr>
        <w:pStyle w:val="1176"/>
      </w:pPr>
      <w:r>
        <w:t xml:space="preserve">При этом требования </w:t>
      </w:r>
      <w:r>
        <w:t xml:space="preserve">подраздела </w:t>
      </w:r>
      <w:r>
        <w:fldChar w:fldCharType="begin"/>
      </w:r>
      <w:r>
        <w:instrText xml:space="preserve"> REF _Ref125550523 \r \h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rStyle w:val="1204"/>
          </w:rPr>
          <w:t xml:space="preserve">Требований к</w:t>
        </w:r>
        <w:r>
          <w:rPr>
            <w:rStyle w:val="1204"/>
          </w:rPr>
          <w:t xml:space="preserve"> </w:t>
        </w:r>
        <w:r>
          <w:rPr>
            <w:rStyle w:val="1204"/>
          </w:rPr>
          <w:t xml:space="preserve">Участникам (Приложение № 3)</w:t>
        </w:r>
      </w:hyperlink>
      <w:r>
        <w:t xml:space="preserve"> применяются вне</w:t>
      </w:r>
      <w:r>
        <w:t xml:space="preserve"> </w:t>
      </w:r>
      <w:r>
        <w:t xml:space="preserve">зависимости от порядка рассмотрения и оценки заявок участников, являющихся </w:t>
      </w:r>
      <w:r>
        <w:t xml:space="preserve">Г</w:t>
      </w:r>
      <w:r>
        <w:t xml:space="preserve">енеральными подрядчиками</w:t>
      </w:r>
      <w:r>
        <w:t xml:space="preserve"> (</w:t>
      </w:r>
      <w:r>
        <w:t xml:space="preserve">с</w:t>
      </w:r>
      <w:r>
        <w:t xml:space="preserve"> </w:t>
      </w:r>
      <w:r>
        <w:t xml:space="preserve">учетом субподрядчиков, или без учета субподрядчиков</w:t>
      </w:r>
      <w:r>
        <w:t xml:space="preserve">)</w:t>
      </w:r>
      <w:r>
        <w:t xml:space="preserve"> (подраздел </w:t>
      </w:r>
      <w:r>
        <w:fldChar w:fldCharType="begin"/>
      </w:r>
      <w:r>
        <w:instrText xml:space="preserve"> REF _Ref125361702 \r \h </w:instrText>
      </w:r>
      <w:r>
        <w:fldChar w:fldCharType="separate"/>
      </w:r>
      <w:r>
        <w:t xml:space="preserve">3.3</w:t>
      </w:r>
      <w:r>
        <w:fldChar w:fldCharType="end"/>
      </w:r>
      <w:r>
        <w:t xml:space="preserve">).</w:t>
      </w:r>
      <w:r/>
    </w:p>
    <w:p>
      <w:pPr>
        <w:pStyle w:val="1176"/>
      </w:pPr>
      <w:r/>
      <w:bookmarkStart w:id="72" w:name="_Ref125473377"/>
      <w:r>
        <w:t xml:space="preserve">Участник считается выполнившим требование по привлечению к исполнению Договора субподрядчиков (соисполнителей) из числа субъектов МСП, при условии </w:t>
      </w:r>
      <w:r>
        <w:t xml:space="preserve">предоставления информации, указанной в</w:t>
      </w:r>
      <w:r>
        <w:t xml:space="preserve"> Плане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4"/>
          </w:rPr>
          <w:t xml:space="preserve">Приложение № 4</w:t>
        </w:r>
      </w:hyperlink>
      <w:r>
        <w:t xml:space="preserve">)</w:t>
      </w:r>
      <w:r>
        <w:t xml:space="preserve">.</w:t>
      </w:r>
      <w:bookmarkEnd w:id="72"/>
      <w:r>
        <w:t xml:space="preserve"> </w:t>
      </w:r>
      <w:r>
        <w:t xml:space="preserve">В случае </w:t>
      </w:r>
      <w:r>
        <w:t xml:space="preserve">непредоставления</w:t>
      </w:r>
      <w:r>
        <w:t xml:space="preserve"> </w:t>
      </w:r>
      <w:r>
        <w:t xml:space="preserve">этой </w:t>
      </w:r>
      <w:r>
        <w:t xml:space="preserve">информации или несоответствия привлекаемых субподрядчиков (соисполнителей) установленным требованиям, заявка такого Участника будет отклонена от участия в закупке.</w:t>
      </w:r>
      <w:r/>
    </w:p>
    <w:p>
      <w:pPr>
        <w:pStyle w:val="1176"/>
      </w:pPr>
      <w:r>
        <w:t xml:space="preserve">Если привлекаемые субъекты МСП входят в состав Коллективного участника</w:t>
      </w:r>
      <w:r>
        <w:t xml:space="preserve"> (подраздел </w:t>
      </w:r>
      <w:r>
        <w:fldChar w:fldCharType="begin"/>
      </w:r>
      <w:r>
        <w:instrText xml:space="preserve"> REF _Ref130308255 \r \h </w:instrText>
      </w:r>
      <w:r>
        <w:fldChar w:fldCharType="separate"/>
      </w:r>
      <w:r>
        <w:t xml:space="preserve">3.2</w:t>
      </w:r>
      <w:r>
        <w:fldChar w:fldCharType="end"/>
      </w:r>
      <w:r>
        <w:t xml:space="preserve">)</w:t>
      </w:r>
      <w:r>
        <w:t xml:space="preserve">, то объем исполнения Договора таким Коллективным участником засчитывается в исполнение требования по привлечению субъектов МСП в</w:t>
      </w:r>
      <w:r>
        <w:t xml:space="preserve"> </w:t>
      </w:r>
      <w:r>
        <w:t xml:space="preserve">качестве субподрядчиков (соисполнителей), при условии выполнения </w:t>
      </w:r>
      <w:r>
        <w:t xml:space="preserve">остальных </w:t>
      </w:r>
      <w:r>
        <w:t xml:space="preserve">требований </w:t>
      </w:r>
      <w:r>
        <w:t xml:space="preserve">настоящего подраздела</w:t>
      </w:r>
      <w:r>
        <w:t xml:space="preserve">.</w:t>
      </w:r>
      <w:r/>
    </w:p>
    <w:p>
      <w:pPr>
        <w:pStyle w:val="1176"/>
        <w:sectPr>
          <w:headerReference w:type="default" r:id="rId9"/>
          <w:footerReference w:type="default" r:id="rId10"/>
          <w:footnotePr/>
          <w:endnotePr/>
          <w:type w:val="nextPage"/>
          <w:pgSz w:w="11906" w:h="16838" w:orient="portrait"/>
          <w:pgMar w:top="851" w:right="850" w:bottom="851" w:left="1134" w:header="567" w:footer="567" w:gutter="0"/>
          <w:cols w:num="1" w:sep="0" w:space="708" w:equalWidth="1"/>
          <w:docGrid w:linePitch="360"/>
        </w:sectPr>
      </w:pPr>
      <w:r/>
      <w:r/>
    </w:p>
    <w:p>
      <w:pPr>
        <w:pStyle w:val="1174"/>
      </w:pPr>
      <w:r/>
      <w:bookmarkStart w:id="73" w:name="_Ref125361211"/>
      <w:r/>
      <w:bookmarkStart w:id="74" w:name="_Ref125367098"/>
      <w:r/>
      <w:bookmarkStart w:id="75" w:name="_Ref125367107"/>
      <w:r/>
      <w:bookmarkStart w:id="76" w:name="_Ref125367974"/>
      <w:r/>
      <w:bookmarkStart w:id="77" w:name="_Toc232579423"/>
      <w:r>
        <w:t xml:space="preserve">Порядок проведения закупки</w:t>
      </w:r>
      <w:bookmarkEnd w:id="73"/>
      <w:r/>
      <w:bookmarkEnd w:id="74"/>
      <w:r/>
      <w:bookmarkEnd w:id="75"/>
      <w:r/>
      <w:bookmarkEnd w:id="76"/>
      <w:r/>
      <w:bookmarkEnd w:id="77"/>
      <w:r/>
      <w:r/>
    </w:p>
    <w:p>
      <w:pPr>
        <w:pStyle w:val="1175"/>
      </w:pPr>
      <w:r/>
      <w:bookmarkStart w:id="78" w:name="_Ref126141932"/>
      <w:r/>
      <w:bookmarkStart w:id="79" w:name="_Toc232579424"/>
      <w:r>
        <w:t xml:space="preserve">Общий порядок проведения закупки</w:t>
      </w:r>
      <w:bookmarkEnd w:id="78"/>
      <w:r/>
      <w:bookmarkEnd w:id="79"/>
      <w:r/>
      <w:r/>
    </w:p>
    <w:p>
      <w:pPr>
        <w:pStyle w:val="1176"/>
        <w:keepNext/>
        <w:spacing w:after="120"/>
      </w:pPr>
      <w:r>
        <w:t xml:space="preserve">Закупка проводится в следующем порядке:</w:t>
      </w:r>
      <w:r/>
    </w:p>
    <w:tbl>
      <w:tblPr>
        <w:tblStyle w:val="1201"/>
        <w:tblW w:w="14003" w:type="dxa"/>
        <w:tblInd w:w="1129" w:type="dxa"/>
        <w:tblLayout w:type="fixed"/>
        <w:tblCellMar>
          <w:left w:w="0" w:type="dxa"/>
          <w:right w:w="0" w:type="dxa"/>
        </w:tblCellMar>
        <w:tblLook w:val="04A0" w:firstRow="1" w:lastRow="0" w:firstColumn="1" w:lastColumn="0" w:noHBand="0" w:noVBand="1"/>
      </w:tblPr>
      <w:tblGrid>
        <w:gridCol w:w="430"/>
        <w:gridCol w:w="2221"/>
        <w:gridCol w:w="1111"/>
        <w:gridCol w:w="2196"/>
        <w:gridCol w:w="1141"/>
        <w:gridCol w:w="2407"/>
        <w:gridCol w:w="2267"/>
        <w:gridCol w:w="2231"/>
      </w:tblGrid>
      <w:tr>
        <w:tblPrEx/>
        <w:trPr/>
        <w:tc>
          <w:tcPr>
            <w:tcBorders>
              <w:left w:val="none" w:color="000000" w:sz="4" w:space="0"/>
            </w:tcBorders>
            <w:tcW w:w="430" w:type="dxa"/>
            <w:vAlign w:val="bottom"/>
            <w:textDirection w:val="lrTb"/>
            <w:noWrap w:val="false"/>
          </w:tcPr>
          <w:p>
            <w:pPr>
              <w:pStyle w:val="1180"/>
              <w:contextualSpacing w:val="0"/>
              <w:jc w:val="center"/>
              <w:spacing w:before="0" w:after="0" w:line="240" w:lineRule="auto"/>
              <w:rPr>
                <w:b w:val="0"/>
                <w:bCs/>
                <w:sz w:val="24"/>
                <w:szCs w:val="24"/>
              </w:rPr>
              <w:suppressLineNumbers w:val="0"/>
            </w:pPr>
            <w:r>
              <w:rPr>
                <w:rFonts w:ascii="Wingdings 3" w:hAnsi="Wingdings 3" w:eastAsia="Wingdings 3" w:cs="Wingdings 3"/>
                <w:b w:val="0"/>
                <w:bCs/>
                <w:sz w:val="24"/>
                <w:szCs w:val="24"/>
              </w:rPr>
              <w:t xml:space="preserve">Ô</w:t>
            </w:r>
            <w:r>
              <w:rPr>
                <w:b w:val="0"/>
                <w:bCs/>
                <w:sz w:val="24"/>
                <w:szCs w:val="24"/>
              </w:rPr>
            </w:r>
            <w:r>
              <w:rPr>
                <w:b w:val="0"/>
                <w:bCs/>
                <w:sz w:val="24"/>
                <w:szCs w:val="24"/>
              </w:rPr>
            </w:r>
          </w:p>
        </w:tc>
        <w:tc>
          <w:tcPr>
            <w:gridSpan w:val="7"/>
            <w:tcBorders>
              <w:right w:val="none" w:color="000000" w:sz="4" w:space="0"/>
            </w:tcBorders>
            <w:tcW w:w="13573" w:type="dxa"/>
            <w:textDirection w:val="lrTb"/>
            <w:noWrap w:val="false"/>
          </w:tcPr>
          <w:p>
            <w:pPr>
              <w:pStyle w:val="1180"/>
              <w:contextualSpacing w:val="0"/>
              <w:jc w:val="center"/>
              <w:spacing w:before="0" w:after="0" w:line="240" w:lineRule="auto"/>
              <w:rPr>
                <w:b w:val="0"/>
                <w:bCs/>
                <w:sz w:val="24"/>
                <w:szCs w:val="24"/>
              </w:rPr>
              <w:suppressLineNumbers w:val="0"/>
            </w:pPr>
            <w:r>
              <w:rPr>
                <w:b w:val="0"/>
                <w:bCs/>
                <w:sz w:val="24"/>
                <w:szCs w:val="24"/>
              </w:rPr>
              <w:t xml:space="preserve">Официальное размещение Извещения и Документации о закупке</w:t>
            </w:r>
            <w:r>
              <w:rPr>
                <w:b w:val="0"/>
                <w:bCs/>
                <w:sz w:val="24"/>
                <w:szCs w:val="24"/>
              </w:rPr>
              <w:t xml:space="preserve"> </w:t>
            </w:r>
            <w:r>
              <w:rPr>
                <w:b w:val="0"/>
                <w:bCs/>
                <w:sz w:val="24"/>
                <w:szCs w:val="24"/>
              </w:rPr>
              <w:t xml:space="preserve">(подраздел </w:t>
            </w:r>
            <w:r>
              <w:rPr>
                <w:bCs/>
                <w:sz w:val="24"/>
                <w:szCs w:val="24"/>
              </w:rPr>
              <w:fldChar w:fldCharType="begin"/>
            </w:r>
            <w:r>
              <w:rPr>
                <w:b w:val="0"/>
                <w:bCs/>
                <w:sz w:val="24"/>
                <w:szCs w:val="24"/>
              </w:rPr>
              <w:instrText xml:space="preserve"> REF _Ref130286532 \r \h </w:instrText>
            </w:r>
            <w:r>
              <w:rPr>
                <w:bCs/>
                <w:sz w:val="24"/>
                <w:szCs w:val="24"/>
              </w:rPr>
              <w:instrText xml:space="preserve"> \* MERGEFORMAT </w:instrText>
            </w:r>
            <w:r>
              <w:rPr>
                <w:bCs/>
                <w:sz w:val="24"/>
                <w:szCs w:val="24"/>
              </w:rPr>
              <w:fldChar w:fldCharType="separate"/>
            </w:r>
            <w:r>
              <w:rPr>
                <w:b w:val="0"/>
                <w:bCs/>
                <w:sz w:val="24"/>
                <w:szCs w:val="24"/>
              </w:rPr>
              <w:t xml:space="preserve">4.2</w:t>
            </w:r>
            <w:r>
              <w:rPr>
                <w:bCs/>
                <w:sz w:val="24"/>
                <w:szCs w:val="24"/>
              </w:rPr>
              <w:fldChar w:fldCharType="end"/>
            </w:r>
            <w:r>
              <w:rPr>
                <w:b w:val="0"/>
                <w:bCs/>
                <w:sz w:val="24"/>
                <w:szCs w:val="24"/>
              </w:rPr>
              <w:t xml:space="preserve">)</w:t>
            </w:r>
            <w:r>
              <w:rPr>
                <w:b w:val="0"/>
                <w:bCs/>
                <w:sz w:val="24"/>
                <w:szCs w:val="24"/>
              </w:rPr>
            </w:r>
            <w:r>
              <w:rPr>
                <w:b w:val="0"/>
                <w:bCs/>
                <w:sz w:val="24"/>
                <w:szCs w:val="24"/>
              </w:rPr>
            </w:r>
          </w:p>
        </w:tc>
      </w:tr>
      <w:tr>
        <w:tblPrEx/>
        <w:trPr/>
        <w:tc>
          <w:tcPr>
            <w:tcBorders>
              <w:left w:val="none" w:color="000000" w:sz="4" w:space="0"/>
            </w:tcBorders>
            <w:tcW w:w="430" w:type="dxa"/>
            <w:vAlign w:val="bottom"/>
            <w:textDirection w:val="lrTb"/>
            <w:noWrap w:val="false"/>
          </w:tcPr>
          <w:p>
            <w:pPr>
              <w:pStyle w:val="1180"/>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4"/>
            <w:tcW w:w="6669" w:type="dxa"/>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Подготовка заявки</w:t>
            </w:r>
            <w:r>
              <w:rPr>
                <w:bCs/>
                <w:sz w:val="24"/>
                <w:szCs w:val="24"/>
              </w:rPr>
              <w:t xml:space="preserve"> </w:t>
            </w:r>
            <w:r>
              <w:rPr>
                <w:bCs/>
                <w:sz w:val="24"/>
                <w:szCs w:val="24"/>
              </w:rPr>
              <w:t xml:space="preserve">(раздел </w:t>
            </w:r>
            <w:r>
              <w:rPr>
                <w:bCs/>
                <w:sz w:val="24"/>
                <w:szCs w:val="24"/>
              </w:rPr>
              <w:fldChar w:fldCharType="begin"/>
            </w:r>
            <w:r>
              <w:rPr>
                <w:bCs/>
                <w:sz w:val="24"/>
                <w:szCs w:val="24"/>
              </w:rPr>
              <w:instrText xml:space="preserve"> REF _Ref130281199 \r \h </w:instrText>
            </w:r>
            <w:r>
              <w:rPr>
                <w:bCs/>
                <w:sz w:val="24"/>
                <w:szCs w:val="24"/>
              </w:rPr>
              <w:instrText xml:space="preserve"> \* MERGEFORMAT </w:instrText>
            </w:r>
            <w:r>
              <w:rPr>
                <w:bCs/>
                <w:sz w:val="24"/>
                <w:szCs w:val="24"/>
              </w:rPr>
              <w:fldChar w:fldCharType="separate"/>
            </w:r>
            <w:r>
              <w:rPr>
                <w:bCs/>
                <w:sz w:val="24"/>
                <w:szCs w:val="24"/>
              </w:rPr>
              <w:t xml:space="preserve">4.3</w:t>
            </w:r>
            <w:r>
              <w:rPr>
                <w:bCs/>
                <w:sz w:val="24"/>
                <w:szCs w:val="24"/>
              </w:rPr>
              <w:fldChar w:fldCharType="end"/>
            </w:r>
            <w:r>
              <w:rPr>
                <w:bCs/>
                <w:sz w:val="24"/>
                <w:szCs w:val="24"/>
              </w:rPr>
              <w:t xml:space="preserve">)</w:t>
            </w:r>
            <w:r>
              <w:rPr>
                <w:bCs/>
                <w:sz w:val="24"/>
                <w:szCs w:val="24"/>
              </w:rPr>
            </w:r>
            <w:r>
              <w:rPr>
                <w:bCs/>
                <w:sz w:val="24"/>
                <w:szCs w:val="24"/>
              </w:rPr>
            </w:r>
          </w:p>
        </w:tc>
        <w:tc>
          <w:tcPr>
            <w:tcW w:w="2407" w:type="dxa"/>
            <w:vMerge w:val="restart"/>
            <w:textDirection w:val="lrTb"/>
            <w:noWrap w:val="false"/>
          </w:tcPr>
          <w:p>
            <w:pPr>
              <w:pStyle w:val="1180"/>
              <w:contextualSpacing w:val="0"/>
              <w:ind w:left="0" w:right="-37" w:firstLine="0"/>
              <w:jc w:val="center"/>
              <w:spacing w:before="0" w:after="0" w:line="240" w:lineRule="auto"/>
              <w:rPr>
                <w:bCs/>
                <w:sz w:val="24"/>
                <w:szCs w:val="24"/>
              </w:rPr>
              <w:suppressLineNumbers w:val="0"/>
            </w:pPr>
            <w:r>
              <w:rPr>
                <w:bCs/>
                <w:sz w:val="24"/>
                <w:szCs w:val="24"/>
              </w:rPr>
              <w:t xml:space="preserve">Предоставление разъяснений положений Документации о закупке</w:t>
            </w:r>
            <w:r>
              <w:rPr>
                <w:bCs/>
                <w:sz w:val="24"/>
                <w:szCs w:val="24"/>
              </w:rPr>
              <w:t xml:space="preserve">(подраздел </w:t>
            </w:r>
            <w:r>
              <w:rPr>
                <w:bCs/>
                <w:sz w:val="24"/>
                <w:szCs w:val="24"/>
              </w:rPr>
              <w:fldChar w:fldCharType="begin"/>
            </w:r>
            <w:r>
              <w:rPr>
                <w:bCs/>
                <w:sz w:val="24"/>
                <w:szCs w:val="24"/>
              </w:rPr>
              <w:instrText xml:space="preserve"> REF _Ref130394802 \r \h </w:instrText>
            </w:r>
            <w:r>
              <w:rPr>
                <w:bCs/>
                <w:sz w:val="24"/>
                <w:szCs w:val="24"/>
              </w:rPr>
              <w:instrText xml:space="preserve"> \* MERGEFORMAT </w:instrText>
            </w:r>
            <w:r>
              <w:rPr>
                <w:bCs/>
                <w:sz w:val="24"/>
                <w:szCs w:val="24"/>
              </w:rPr>
              <w:fldChar w:fldCharType="separate"/>
            </w:r>
            <w:r>
              <w:rPr>
                <w:bCs/>
                <w:sz w:val="24"/>
                <w:szCs w:val="24"/>
              </w:rPr>
              <w:t xml:space="preserve">4.4</w:t>
            </w:r>
            <w:r>
              <w:rPr>
                <w:bCs/>
                <w:sz w:val="24"/>
                <w:szCs w:val="24"/>
              </w:rPr>
              <w:fldChar w:fldCharType="end"/>
            </w:r>
            <w:r>
              <w:rPr>
                <w:bCs/>
                <w:sz w:val="24"/>
                <w:szCs w:val="24"/>
              </w:rPr>
              <w:t xml:space="preserve">)</w:t>
            </w:r>
            <w:r>
              <w:rPr>
                <w:bCs/>
                <w:i/>
                <w:iCs/>
                <w:sz w:val="24"/>
                <w:szCs w:val="24"/>
              </w:rPr>
              <w:t xml:space="preserve">(опциональная процедура закупки)</w:t>
            </w:r>
            <w:r>
              <w:rPr>
                <w:bCs/>
                <w:sz w:val="24"/>
                <w:szCs w:val="24"/>
              </w:rPr>
            </w:r>
            <w:r>
              <w:rPr>
                <w:bCs/>
                <w:sz w:val="24"/>
                <w:szCs w:val="24"/>
              </w:rPr>
            </w:r>
          </w:p>
        </w:tc>
        <w:tc>
          <w:tcPr>
            <w:tcW w:w="2267" w:type="dxa"/>
            <w:vMerge w:val="restart"/>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Внесение изменений в Извещение </w:t>
            </w:r>
            <w:r>
              <w:rPr>
                <w:bCs/>
                <w:sz w:val="24"/>
                <w:szCs w:val="24"/>
              </w:rPr>
              <w:t xml:space="preserve">и</w:t>
            </w:r>
            <w:r>
              <w:rPr>
                <w:bCs/>
                <w:sz w:val="24"/>
                <w:szCs w:val="24"/>
              </w:rPr>
              <w:t xml:space="preserve"> </w:t>
            </w:r>
            <w:r>
              <w:rPr>
                <w:bCs/>
                <w:sz w:val="24"/>
                <w:szCs w:val="24"/>
              </w:rPr>
              <w:t xml:space="preserve">(или)</w:t>
            </w:r>
            <w:r>
              <w:rPr>
                <w:bCs/>
                <w:sz w:val="24"/>
                <w:szCs w:val="24"/>
              </w:rPr>
              <w:t xml:space="preserve"> Документацию о закупке</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_Ref125362076 \r \h  \* MERGEFORMAT </w:instrText>
            </w:r>
            <w:r>
              <w:rPr>
                <w:bCs/>
                <w:sz w:val="24"/>
                <w:szCs w:val="24"/>
              </w:rPr>
              <w:fldChar w:fldCharType="separate"/>
            </w:r>
            <w:r>
              <w:rPr>
                <w:bCs/>
                <w:sz w:val="24"/>
                <w:szCs w:val="24"/>
              </w:rPr>
              <w:t xml:space="preserve">4.5</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Borders>
              <w:right w:val="none" w:color="000000" w:sz="4" w:space="0"/>
            </w:tcBorders>
            <w:tcW w:w="2231" w:type="dxa"/>
            <w:vMerge w:val="restart"/>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Отказ от</w:t>
            </w:r>
            <w:r>
              <w:rPr>
                <w:bCs/>
                <w:sz w:val="24"/>
                <w:szCs w:val="24"/>
              </w:rPr>
              <w:t xml:space="preserve"> </w:t>
            </w:r>
            <w:r>
              <w:rPr>
                <w:bCs/>
                <w:sz w:val="24"/>
                <w:szCs w:val="24"/>
              </w:rPr>
              <w:t xml:space="preserve">проведения закупки</w:t>
            </w:r>
            <w:r>
              <w:rPr>
                <w:bCs/>
                <w:sz w:val="24"/>
                <w:szCs w:val="24"/>
              </w:rPr>
              <w:t xml:space="preserve"> (отмена закупки)</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_Ref126141962 \r \h  \* MERGEFORMAT </w:instrText>
            </w:r>
            <w:r>
              <w:rPr>
                <w:bCs/>
                <w:sz w:val="24"/>
                <w:szCs w:val="24"/>
              </w:rPr>
              <w:fldChar w:fldCharType="separate"/>
            </w:r>
            <w:r>
              <w:rPr>
                <w:bCs/>
                <w:sz w:val="24"/>
                <w:szCs w:val="24"/>
              </w:rPr>
              <w:t xml:space="preserve">4.16</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80"/>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2"/>
            <w:tcW w:w="3331" w:type="dxa"/>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Подача заявок и</w:t>
            </w:r>
            <w:r>
              <w:rPr>
                <w:bCs/>
                <w:sz w:val="24"/>
                <w:szCs w:val="24"/>
              </w:rPr>
              <w:t xml:space="preserve"> </w:t>
            </w:r>
            <w:r>
              <w:rPr>
                <w:bCs/>
                <w:sz w:val="24"/>
                <w:szCs w:val="24"/>
              </w:rPr>
              <w:t xml:space="preserve">их</w:t>
            </w:r>
            <w:r>
              <w:rPr>
                <w:bCs/>
                <w:sz w:val="24"/>
                <w:szCs w:val="24"/>
              </w:rPr>
              <w:t xml:space="preserve"> </w:t>
            </w:r>
            <w:r>
              <w:rPr>
                <w:bCs/>
                <w:sz w:val="24"/>
                <w:szCs w:val="24"/>
              </w:rPr>
              <w:t xml:space="preserve">прием</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_Ref125362119 \r \h  \* MERGEFORMAT </w:instrText>
            </w:r>
            <w:r>
              <w:rPr>
                <w:bCs/>
                <w:sz w:val="24"/>
                <w:szCs w:val="24"/>
              </w:rPr>
              <w:fldChar w:fldCharType="separate"/>
            </w:r>
            <w:r>
              <w:rPr>
                <w:bCs/>
                <w:sz w:val="24"/>
                <w:szCs w:val="24"/>
              </w:rPr>
              <w:t xml:space="preserve">4.6</w:t>
            </w:r>
            <w:r>
              <w:rPr>
                <w:bCs/>
                <w:sz w:val="24"/>
                <w:szCs w:val="24"/>
              </w:rPr>
              <w:fldChar w:fldCharType="end"/>
            </w:r>
            <w:r>
              <w:rPr>
                <w:bCs/>
                <w:sz w:val="24"/>
                <w:szCs w:val="24"/>
              </w:rPr>
              <w:t xml:space="preserve">)</w:t>
            </w:r>
            <w:r>
              <w:rPr>
                <w:bCs/>
                <w:sz w:val="24"/>
                <w:szCs w:val="24"/>
              </w:rPr>
            </w:r>
            <w:r>
              <w:rPr>
                <w:bCs/>
                <w:sz w:val="24"/>
                <w:szCs w:val="24"/>
              </w:rPr>
            </w:r>
          </w:p>
        </w:tc>
        <w:tc>
          <w:tcPr>
            <w:gridSpan w:val="2"/>
            <w:tcW w:w="3337" w:type="dxa"/>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Изменение и отзыв</w:t>
            </w:r>
            <w:r>
              <w:rPr>
                <w:bCs/>
                <w:sz w:val="24"/>
                <w:szCs w:val="24"/>
              </w:rPr>
              <w:t xml:space="preserve"> </w:t>
            </w:r>
            <w:r>
              <w:rPr>
                <w:bCs/>
                <w:sz w:val="24"/>
                <w:szCs w:val="24"/>
              </w:rPr>
              <w:t xml:space="preserve">заявок</w:t>
            </w:r>
            <w:r>
              <w:rPr>
                <w:bCs/>
                <w:sz w:val="24"/>
                <w:szCs w:val="24"/>
              </w:rPr>
              <w:br/>
            </w:r>
            <w:r>
              <w:rPr>
                <w:bCs/>
                <w:sz w:val="24"/>
                <w:szCs w:val="24"/>
              </w:rPr>
              <w:t xml:space="preserve">(подраздел </w:t>
            </w:r>
            <w:r>
              <w:rPr>
                <w:bCs/>
                <w:sz w:val="24"/>
                <w:szCs w:val="24"/>
              </w:rPr>
              <w:fldChar w:fldCharType="begin"/>
            </w:r>
            <w:r>
              <w:rPr>
                <w:bCs/>
                <w:sz w:val="24"/>
                <w:szCs w:val="24"/>
              </w:rPr>
              <w:instrText xml:space="preserve"> REF _Ref125362130 \r \h  \* MERGEFORMAT </w:instrText>
            </w:r>
            <w:r>
              <w:rPr>
                <w:bCs/>
                <w:sz w:val="24"/>
                <w:szCs w:val="24"/>
              </w:rPr>
              <w:fldChar w:fldCharType="separate"/>
            </w:r>
            <w:r>
              <w:rPr>
                <w:bCs/>
                <w:sz w:val="24"/>
                <w:szCs w:val="24"/>
              </w:rPr>
              <w:t xml:space="preserve">4.7</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W w:w="2407" w:type="dxa"/>
            <w:vMerge w:val="continue"/>
            <w:textDirection w:val="lrTb"/>
            <w:noWrap w:val="false"/>
          </w:tcPr>
          <w:p>
            <w:pPr>
              <w:pStyle w:val="1180"/>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80"/>
              <w:jc w:val="center"/>
              <w:spacing w:before="40" w:after="40"/>
              <w:rPr>
                <w:bCs/>
                <w:sz w:val="24"/>
                <w:szCs w:val="24"/>
              </w:rPr>
            </w:pPr>
            <w:r>
              <w:rPr>
                <w:bCs/>
                <w:sz w:val="24"/>
                <w:szCs w:val="24"/>
              </w:rPr>
            </w:r>
            <w:r>
              <w:rPr>
                <w:bCs/>
                <w:sz w:val="24"/>
                <w:szCs w:val="24"/>
              </w:rPr>
            </w:r>
            <w:r>
              <w:rPr>
                <w:bCs/>
                <w:sz w:val="24"/>
                <w:szCs w:val="24"/>
              </w:rPr>
            </w:r>
          </w:p>
        </w:tc>
        <w:tc>
          <w:tcPr>
            <w:tcBorders>
              <w:bottom w:val="single" w:color="7F7F7F" w:themeColor="text1" w:themeTint="80" w:sz="4" w:space="0"/>
              <w:right w:val="none" w:color="000000" w:sz="4" w:space="0"/>
            </w:tcBorders>
            <w:tcW w:w="2231" w:type="dxa"/>
            <w:vAlign w:val="bottom"/>
            <w:vMerge w:val="continue"/>
            <w:textDirection w:val="lrTb"/>
            <w:noWrap w:val="false"/>
          </w:tcPr>
          <w:p>
            <w:pPr>
              <w:pStyle w:val="1180"/>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80"/>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6"/>
            <w:tcW w:w="11343" w:type="dxa"/>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Открытие доступа к заявкам (подраздел </w:t>
            </w:r>
            <w:r>
              <w:rPr>
                <w:bCs/>
                <w:sz w:val="24"/>
                <w:szCs w:val="24"/>
              </w:rPr>
              <w:fldChar w:fldCharType="begin"/>
            </w:r>
            <w:r>
              <w:rPr>
                <w:bCs/>
                <w:sz w:val="24"/>
                <w:szCs w:val="24"/>
              </w:rPr>
              <w:instrText xml:space="preserve"> REF _Ref130221619 \r \h  \* MERGEFORMAT </w:instrText>
            </w:r>
            <w:r>
              <w:rPr>
                <w:bCs/>
                <w:sz w:val="24"/>
                <w:szCs w:val="24"/>
              </w:rPr>
              <w:fldChar w:fldCharType="separate"/>
            </w:r>
            <w:r>
              <w:rPr>
                <w:bCs/>
                <w:sz w:val="24"/>
                <w:szCs w:val="24"/>
              </w:rPr>
              <w:t xml:space="preserve">4.8</w:t>
            </w:r>
            <w:r>
              <w:rPr>
                <w:bCs/>
                <w:sz w:val="24"/>
                <w:szCs w:val="24"/>
              </w:rPr>
              <w:fldChar w:fldCharType="end"/>
            </w:r>
            <w:r>
              <w:rPr>
                <w:bCs/>
                <w:sz w:val="24"/>
                <w:szCs w:val="24"/>
              </w:rPr>
              <w:t xml:space="preserve">)</w:t>
            </w:r>
            <w:r>
              <w:rPr>
                <w:bCs/>
                <w:sz w:val="24"/>
                <w:szCs w:val="24"/>
              </w:rPr>
            </w:r>
            <w:r>
              <w:rPr>
                <w:bCs/>
                <w:sz w:val="24"/>
                <w:szCs w:val="24"/>
              </w:rPr>
            </w:r>
          </w:p>
        </w:tc>
        <w:tc>
          <w:tcPr>
            <w:tcBorders>
              <w:right w:val="none" w:color="000000" w:sz="4" w:space="0"/>
            </w:tcBorders>
            <w:tcW w:w="2231" w:type="dxa"/>
            <w:vAlign w:val="center"/>
            <w:vMerge w:val="restart"/>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Отказ от проведения закупки (отмена закупки) по обстоятельствам непреодолимой силы в соответствии с гражданским законодательством</w:t>
            </w:r>
            <w:r>
              <w:rPr>
                <w:bCs/>
                <w:sz w:val="24"/>
                <w:szCs w:val="24"/>
              </w:rPr>
              <w:br/>
              <w:t xml:space="preserve">(подраздел </w:t>
            </w:r>
            <w:r>
              <w:rPr>
                <w:bCs/>
                <w:sz w:val="24"/>
                <w:szCs w:val="24"/>
              </w:rPr>
              <w:fldChar w:fldCharType="begin"/>
            </w:r>
            <w:r>
              <w:rPr>
                <w:bCs/>
                <w:sz w:val="24"/>
                <w:szCs w:val="24"/>
              </w:rPr>
              <w:instrText xml:space="preserve"> REF _Ref126141962 \r \h  \* MERGEFORMAT </w:instrText>
            </w:r>
            <w:r>
              <w:rPr>
                <w:bCs/>
                <w:sz w:val="24"/>
                <w:szCs w:val="24"/>
              </w:rPr>
              <w:fldChar w:fldCharType="separate"/>
            </w:r>
            <w:r>
              <w:rPr>
                <w:bCs/>
                <w:sz w:val="24"/>
                <w:szCs w:val="24"/>
              </w:rPr>
              <w:t xml:space="preserve">4.16</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r>
      <w:tr>
        <w:tblPrEx/>
        <w:trPr>
          <w:trHeight w:val="276"/>
        </w:trPr>
        <w:tc>
          <w:tcPr>
            <w:tcBorders>
              <w:left w:val="none" w:color="000000" w:sz="4" w:space="0"/>
            </w:tcBorders>
            <w:tcW w:w="430" w:type="dxa"/>
            <w:vAlign w:val="bottom"/>
            <w:textDirection w:val="lrTb"/>
            <w:noWrap w:val="false"/>
          </w:tcPr>
          <w:p>
            <w:pPr>
              <w:pStyle w:val="1180"/>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2"/>
            <w:tcW w:w="3331" w:type="dxa"/>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Рассмотрение заявок (отборочная стадия)</w:t>
            </w:r>
            <w:r>
              <w:rPr>
                <w:bCs/>
                <w:sz w:val="24"/>
                <w:szCs w:val="24"/>
              </w:rPr>
              <w:t xml:space="preserve">, в том числе (при необходимости) проведение аккредитации</w:t>
            </w:r>
            <w:r>
              <w:rPr>
                <w:bCs/>
                <w:sz w:val="24"/>
                <w:szCs w:val="24"/>
              </w:rPr>
              <w:t xml:space="preserve"> (подраздел </w:t>
            </w:r>
            <w:r>
              <w:rPr>
                <w:bCs/>
                <w:sz w:val="24"/>
                <w:szCs w:val="24"/>
              </w:rPr>
              <w:fldChar w:fldCharType="begin"/>
            </w:r>
            <w:r>
              <w:rPr>
                <w:bCs/>
                <w:sz w:val="24"/>
                <w:szCs w:val="24"/>
              </w:rPr>
              <w:instrText xml:space="preserve"> REF _Ref125362364 \r \h  \* MERGEFORMAT </w:instrText>
            </w:r>
            <w:r>
              <w:rPr>
                <w:bCs/>
                <w:sz w:val="24"/>
                <w:szCs w:val="24"/>
              </w:rPr>
              <w:fldChar w:fldCharType="separate"/>
            </w:r>
            <w:r>
              <w:rPr>
                <w:bCs/>
                <w:sz w:val="24"/>
                <w:szCs w:val="24"/>
              </w:rPr>
              <w:t xml:space="preserve">4.9</w:t>
            </w:r>
            <w:r>
              <w:rPr>
                <w:bCs/>
                <w:sz w:val="24"/>
                <w:szCs w:val="24"/>
              </w:rPr>
              <w:fldChar w:fldCharType="end"/>
            </w:r>
            <w:r>
              <w:rPr>
                <w:bCs/>
                <w:sz w:val="24"/>
                <w:szCs w:val="24"/>
              </w:rPr>
              <w:t xml:space="preserve">)</w:t>
            </w:r>
            <w:r>
              <w:rPr>
                <w:bCs/>
                <w:sz w:val="24"/>
                <w:szCs w:val="24"/>
              </w:rPr>
            </w:r>
            <w:r>
              <w:rPr>
                <w:bCs/>
                <w:sz w:val="24"/>
                <w:szCs w:val="24"/>
              </w:rPr>
            </w:r>
          </w:p>
        </w:tc>
        <w:tc>
          <w:tcPr>
            <w:gridSpan w:val="2"/>
            <w:tcW w:w="3337" w:type="dxa"/>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Применение законодательства о</w:t>
            </w:r>
            <w:r>
              <w:rPr>
                <w:bCs/>
                <w:sz w:val="24"/>
                <w:szCs w:val="24"/>
              </w:rPr>
              <w:t xml:space="preserve"> </w:t>
            </w:r>
            <w:r>
              <w:rPr>
                <w:bCs/>
                <w:sz w:val="24"/>
                <w:szCs w:val="24"/>
              </w:rPr>
              <w:t xml:space="preserve">национальном режиме</w:t>
            </w:r>
            <w:r>
              <w:rPr>
                <w:bCs/>
                <w:sz w:val="24"/>
                <w:szCs w:val="24"/>
              </w:rPr>
            </w:r>
            <w:r>
              <w:rPr>
                <w:bCs/>
                <w:sz w:val="24"/>
                <w:szCs w:val="24"/>
              </w:rPr>
            </w:r>
          </w:p>
          <w:p>
            <w:pPr>
              <w:pStyle w:val="1180"/>
              <w:contextualSpacing w:val="0"/>
              <w:jc w:val="center"/>
              <w:spacing w:before="0" w:after="0" w:line="240" w:lineRule="auto"/>
              <w:rPr>
                <w:bCs/>
                <w:sz w:val="24"/>
                <w:szCs w:val="24"/>
              </w:rPr>
              <w:suppressLineNumbers w:val="0"/>
            </w:pPr>
            <w:r>
              <w:rPr>
                <w:bCs/>
                <w:sz w:val="24"/>
                <w:szCs w:val="24"/>
              </w:rPr>
              <w:t xml:space="preserve">(предоставление национального режима или запрета)</w:t>
            </w:r>
            <w:r>
              <w:rPr>
                <w:bCs/>
                <w:sz w:val="24"/>
                <w:szCs w:val="24"/>
              </w:rPr>
            </w:r>
            <w:r>
              <w:rPr>
                <w:bCs/>
                <w:sz w:val="24"/>
                <w:szCs w:val="24"/>
              </w:rPr>
            </w:r>
          </w:p>
          <w:p>
            <w:pPr>
              <w:pStyle w:val="1180"/>
              <w:contextualSpacing w:val="0"/>
              <w:jc w:val="center"/>
              <w:spacing w:before="0" w:after="0" w:line="240" w:lineRule="auto"/>
              <w:rPr>
                <w:bCs/>
                <w:sz w:val="24"/>
                <w:szCs w:val="24"/>
              </w:rPr>
              <w:suppressLineNumbers w:val="0"/>
            </w:pPr>
            <w:r>
              <w:rPr>
                <w:bCs/>
                <w:sz w:val="24"/>
                <w:szCs w:val="24"/>
              </w:rPr>
              <w:t xml:space="preserve">(подраздел</w:t>
            </w:r>
            <w:r>
              <w:rPr>
                <w:bCs/>
                <w:sz w:val="24"/>
                <w:szCs w:val="24"/>
              </w:rPr>
              <w:t xml:space="preserve"> </w:t>
            </w:r>
            <w:r>
              <w:rPr>
                <w:bCs/>
                <w:sz w:val="24"/>
                <w:szCs w:val="24"/>
              </w:rPr>
              <w:fldChar w:fldCharType="begin"/>
            </w:r>
            <w:r>
              <w:rPr>
                <w:bCs/>
                <w:sz w:val="24"/>
                <w:szCs w:val="24"/>
              </w:rPr>
              <w:instrText xml:space="preserve"> REF _Ref130985951 \r \h </w:instrText>
            </w:r>
            <w:r>
              <w:rPr>
                <w:bCs/>
                <w:sz w:val="24"/>
                <w:szCs w:val="24"/>
              </w:rPr>
              <w:fldChar w:fldCharType="separate"/>
            </w:r>
            <w:r>
              <w:rPr>
                <w:bCs/>
                <w:sz w:val="24"/>
                <w:szCs w:val="24"/>
              </w:rPr>
              <w:t xml:space="preserve">4.13</w:t>
            </w:r>
            <w:r>
              <w:rPr>
                <w:bCs/>
                <w:sz w:val="24"/>
                <w:szCs w:val="24"/>
              </w:rPr>
              <w:fldChar w:fldCharType="end"/>
            </w:r>
            <w:r>
              <w:rPr>
                <w:bCs/>
                <w:sz w:val="24"/>
                <w:szCs w:val="24"/>
              </w:rPr>
              <w:t xml:space="preserve">)</w:t>
            </w:r>
            <w:r>
              <w:rPr>
                <w:bCs/>
                <w:sz w:val="24"/>
                <w:szCs w:val="24"/>
              </w:rPr>
            </w:r>
            <w:r>
              <w:rPr>
                <w:bCs/>
                <w:sz w:val="24"/>
                <w:szCs w:val="24"/>
              </w:rPr>
            </w:r>
          </w:p>
        </w:tc>
        <w:tc>
          <w:tcPr>
            <w:tcW w:w="2407" w:type="dxa"/>
            <w:vAlign w:val="center"/>
            <w:vMerge w:val="restart"/>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Направление дополнительных запросов разъяснений заявок</w:t>
            </w:r>
            <w:r>
              <w:rPr>
                <w:bCs/>
                <w:sz w:val="24"/>
                <w:szCs w:val="24"/>
              </w:rPr>
              <w:br/>
              <w:t xml:space="preserve">(подраздел </w:t>
            </w:r>
            <w:r>
              <w:rPr>
                <w:bCs/>
                <w:sz w:val="24"/>
                <w:szCs w:val="24"/>
              </w:rPr>
              <w:fldChar w:fldCharType="begin"/>
            </w:r>
            <w:r>
              <w:rPr>
                <w:bCs/>
                <w:sz w:val="24"/>
                <w:szCs w:val="24"/>
              </w:rPr>
              <w:instrText xml:space="preserve"> REF _Ref125362381 \r \h  \* MERGEFORMAT </w:instrText>
            </w:r>
            <w:r>
              <w:rPr>
                <w:bCs/>
                <w:sz w:val="24"/>
                <w:szCs w:val="24"/>
              </w:rPr>
              <w:fldChar w:fldCharType="separate"/>
            </w:r>
            <w:r>
              <w:rPr>
                <w:bCs/>
                <w:sz w:val="24"/>
                <w:szCs w:val="24"/>
              </w:rPr>
              <w:t xml:space="preserve">4.10</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W w:w="2267" w:type="dxa"/>
            <w:vAlign w:val="center"/>
            <w:vMerge w:val="restart"/>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Признание закупки</w:t>
            </w:r>
            <w:r>
              <w:rPr>
                <w:bCs/>
                <w:sz w:val="24"/>
                <w:szCs w:val="24"/>
              </w:rPr>
              <w:br/>
              <w:t xml:space="preserve">несостоявшейся</w:t>
            </w:r>
            <w:r>
              <w:rPr>
                <w:bCs/>
                <w:sz w:val="24"/>
                <w:szCs w:val="24"/>
              </w:rPr>
              <w:br/>
              <w:t xml:space="preserve">(подраздел </w:t>
            </w:r>
            <w:r>
              <w:rPr>
                <w:bCs/>
                <w:sz w:val="24"/>
                <w:szCs w:val="24"/>
              </w:rPr>
              <w:fldChar w:fldCharType="begin"/>
            </w:r>
            <w:r>
              <w:rPr>
                <w:bCs/>
                <w:sz w:val="24"/>
                <w:szCs w:val="24"/>
              </w:rPr>
              <w:instrText xml:space="preserve"> REF _Ref125364149 \r \h  \* MERGEFORMAT </w:instrText>
            </w:r>
            <w:r>
              <w:rPr>
                <w:bCs/>
                <w:sz w:val="24"/>
                <w:szCs w:val="24"/>
              </w:rPr>
              <w:fldChar w:fldCharType="separate"/>
            </w:r>
            <w:r>
              <w:rPr>
                <w:bCs/>
                <w:sz w:val="24"/>
                <w:szCs w:val="24"/>
              </w:rPr>
              <w:t xml:space="preserve">4.15</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80"/>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80"/>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4"/>
            <w:tcW w:w="6669" w:type="dxa"/>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Переторжка (подраздел </w:t>
            </w:r>
            <w:r>
              <w:rPr>
                <w:bCs/>
                <w:sz w:val="24"/>
                <w:szCs w:val="24"/>
              </w:rPr>
              <w:fldChar w:fldCharType="begin"/>
            </w:r>
            <w:r>
              <w:rPr>
                <w:bCs/>
                <w:sz w:val="24"/>
                <w:szCs w:val="24"/>
              </w:rPr>
              <w:instrText xml:space="preserve"> REF _Ref127536359 \r \h  \* MERGEFORMAT </w:instrText>
            </w:r>
            <w:r>
              <w:rPr>
                <w:bCs/>
                <w:sz w:val="24"/>
                <w:szCs w:val="24"/>
              </w:rPr>
              <w:fldChar w:fldCharType="separate"/>
            </w:r>
            <w:r>
              <w:rPr>
                <w:bCs/>
                <w:sz w:val="24"/>
                <w:szCs w:val="24"/>
              </w:rPr>
              <w:t xml:space="preserve">4.11</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w:t>
            </w:r>
            <w:r>
              <w:rPr>
                <w:bCs/>
                <w:i/>
                <w:iCs/>
                <w:sz w:val="24"/>
                <w:szCs w:val="24"/>
              </w:rPr>
              <w:t xml:space="preserve"> </w:t>
            </w:r>
            <w:r>
              <w:rPr>
                <w:bCs/>
                <w:i/>
                <w:iCs/>
                <w:sz w:val="24"/>
                <w:szCs w:val="24"/>
              </w:rPr>
              <w:t xml:space="preserve">закупки)</w:t>
            </w:r>
            <w:r>
              <w:rPr>
                <w:bCs/>
                <w:sz w:val="24"/>
                <w:szCs w:val="24"/>
              </w:rPr>
            </w:r>
            <w:r>
              <w:rPr>
                <w:bCs/>
                <w:sz w:val="24"/>
                <w:szCs w:val="24"/>
              </w:rPr>
            </w:r>
          </w:p>
        </w:tc>
        <w:tc>
          <w:tcPr>
            <w:tcW w:w="2407" w:type="dxa"/>
            <w:vMerge w:val="continue"/>
            <w:textDirection w:val="lrTb"/>
            <w:noWrap w:val="false"/>
          </w:tcPr>
          <w:p>
            <w:pPr>
              <w:pStyle w:val="1180"/>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80"/>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80"/>
              <w:jc w:val="center"/>
              <w:spacing w:before="40" w:after="40"/>
              <w:rPr>
                <w:bCs/>
                <w:sz w:val="24"/>
                <w:szCs w:val="24"/>
              </w:rPr>
            </w:pPr>
            <w:r>
              <w:rPr>
                <w:bCs/>
                <w:sz w:val="24"/>
                <w:szCs w:val="24"/>
              </w:rPr>
            </w:r>
            <w:r>
              <w:rPr>
                <w:bCs/>
                <w:sz w:val="24"/>
                <w:szCs w:val="24"/>
              </w:rPr>
            </w:r>
            <w:r>
              <w:rPr>
                <w:bCs/>
                <w:sz w:val="24"/>
                <w:szCs w:val="24"/>
              </w:rPr>
            </w:r>
          </w:p>
        </w:tc>
      </w:tr>
      <w:tr>
        <w:tblPrEx/>
        <w:trPr>
          <w:trHeight w:val="881"/>
        </w:trPr>
        <w:tc>
          <w:tcPr>
            <w:tcBorders>
              <w:left w:val="none" w:color="000000" w:sz="4" w:space="0"/>
            </w:tcBorders>
            <w:tcW w:w="430" w:type="dxa"/>
            <w:vAlign w:val="bottom"/>
            <w:textDirection w:val="lrTb"/>
            <w:noWrap w:val="false"/>
          </w:tcPr>
          <w:p>
            <w:pPr>
              <w:pStyle w:val="1180"/>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tcW w:w="2221" w:type="dxa"/>
            <w:vAlign w:val="center"/>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Оценка и сопоставлени</w:t>
            </w:r>
            <w:r>
              <w:rPr>
                <w:bCs/>
                <w:sz w:val="24"/>
                <w:szCs w:val="24"/>
              </w:rPr>
              <w:t xml:space="preserve">е</w:t>
            </w:r>
            <w:r>
              <w:rPr>
                <w:bCs/>
                <w:sz w:val="24"/>
                <w:szCs w:val="24"/>
              </w:rPr>
              <w:t xml:space="preserve"> заявок</w:t>
            </w:r>
            <w:r>
              <w:rPr>
                <w:bCs/>
                <w:sz w:val="24"/>
                <w:szCs w:val="24"/>
              </w:rPr>
              <w:br/>
              <w:t xml:space="preserve">(подраздел </w:t>
            </w:r>
            <w:r>
              <w:rPr>
                <w:bCs/>
                <w:sz w:val="24"/>
                <w:szCs w:val="24"/>
              </w:rPr>
              <w:fldChar w:fldCharType="begin"/>
            </w:r>
            <w:r>
              <w:rPr>
                <w:bCs/>
                <w:sz w:val="24"/>
                <w:szCs w:val="24"/>
              </w:rPr>
              <w:instrText xml:space="preserve"> REF _Ref125362626 \r \h  \* MERGEFORMAT </w:instrText>
            </w:r>
            <w:r>
              <w:rPr>
                <w:bCs/>
                <w:sz w:val="24"/>
                <w:szCs w:val="24"/>
              </w:rPr>
              <w:fldChar w:fldCharType="separate"/>
            </w:r>
            <w:r>
              <w:rPr>
                <w:bCs/>
                <w:sz w:val="24"/>
                <w:szCs w:val="24"/>
              </w:rPr>
              <w:t xml:space="preserve">4.12</w:t>
            </w:r>
            <w:r>
              <w:rPr>
                <w:bCs/>
                <w:sz w:val="24"/>
                <w:szCs w:val="24"/>
              </w:rPr>
              <w:fldChar w:fldCharType="end"/>
            </w:r>
            <w:r>
              <w:rPr>
                <w:bCs/>
                <w:sz w:val="24"/>
                <w:szCs w:val="24"/>
              </w:rPr>
              <w:t xml:space="preserve">)</w:t>
            </w:r>
            <w:r>
              <w:rPr>
                <w:bCs/>
                <w:sz w:val="24"/>
                <w:szCs w:val="24"/>
              </w:rPr>
            </w:r>
            <w:r>
              <w:rPr>
                <w:bCs/>
                <w:sz w:val="24"/>
                <w:szCs w:val="24"/>
              </w:rPr>
            </w:r>
          </w:p>
        </w:tc>
        <w:tc>
          <w:tcPr>
            <w:gridSpan w:val="3"/>
            <w:tcW w:w="4448" w:type="dxa"/>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Применение законодательства о</w:t>
            </w:r>
            <w:r>
              <w:rPr>
                <w:bCs/>
                <w:sz w:val="24"/>
                <w:szCs w:val="24"/>
              </w:rPr>
              <w:t xml:space="preserve"> </w:t>
            </w:r>
            <w:r>
              <w:rPr>
                <w:bCs/>
                <w:sz w:val="24"/>
                <w:szCs w:val="24"/>
              </w:rPr>
              <w:t xml:space="preserve">национальном режиме</w:t>
            </w:r>
            <w:r>
              <w:rPr>
                <w:bCs/>
                <w:sz w:val="24"/>
                <w:szCs w:val="24"/>
              </w:rPr>
            </w:r>
            <w:r>
              <w:rPr>
                <w:bCs/>
                <w:sz w:val="24"/>
                <w:szCs w:val="24"/>
              </w:rPr>
            </w:r>
          </w:p>
          <w:p>
            <w:pPr>
              <w:pStyle w:val="1180"/>
              <w:contextualSpacing w:val="0"/>
              <w:jc w:val="center"/>
              <w:spacing w:before="0" w:after="0" w:line="240" w:lineRule="auto"/>
              <w:rPr>
                <w:bCs/>
                <w:sz w:val="24"/>
                <w:szCs w:val="24"/>
              </w:rPr>
              <w:suppressLineNumbers w:val="0"/>
            </w:pPr>
            <w:r>
              <w:rPr>
                <w:bCs/>
                <w:sz w:val="24"/>
                <w:szCs w:val="24"/>
              </w:rPr>
              <w:t xml:space="preserve">(в</w:t>
            </w:r>
            <w:r>
              <w:rPr>
                <w:bCs/>
                <w:sz w:val="24"/>
                <w:szCs w:val="24"/>
              </w:rPr>
              <w:t xml:space="preserve"> </w:t>
            </w:r>
            <w:r>
              <w:rPr>
                <w:bCs/>
                <w:sz w:val="24"/>
                <w:szCs w:val="24"/>
              </w:rPr>
              <w:t xml:space="preserve">части учета установленного преимущества в цене предложения, если</w:t>
            </w:r>
            <w:r>
              <w:rPr>
                <w:bCs/>
                <w:sz w:val="24"/>
                <w:szCs w:val="24"/>
              </w:rPr>
              <w:t xml:space="preserve"> </w:t>
            </w:r>
            <w:r>
              <w:rPr>
                <w:bCs/>
                <w:sz w:val="24"/>
                <w:szCs w:val="24"/>
              </w:rPr>
              <w:t xml:space="preserve">применимо)</w:t>
            </w:r>
            <w:r>
              <w:rPr>
                <w:bCs/>
                <w:sz w:val="24"/>
                <w:szCs w:val="24"/>
              </w:rPr>
            </w:r>
            <w:r>
              <w:rPr>
                <w:bCs/>
                <w:sz w:val="24"/>
                <w:szCs w:val="24"/>
              </w:rPr>
            </w:r>
          </w:p>
          <w:p>
            <w:pPr>
              <w:pStyle w:val="1180"/>
              <w:contextualSpacing w:val="0"/>
              <w:jc w:val="center"/>
              <w:spacing w:before="0" w:after="0" w:line="240" w:lineRule="auto"/>
              <w:rPr>
                <w:bCs/>
                <w:sz w:val="24"/>
                <w:szCs w:val="24"/>
              </w:rPr>
              <w:suppressLineNumbers w:val="0"/>
            </w:pPr>
            <w:r>
              <w:rPr>
                <w:bCs/>
                <w:sz w:val="24"/>
                <w:szCs w:val="24"/>
              </w:rPr>
              <w:t xml:space="preserve">(подраздел</w:t>
            </w:r>
            <w:r>
              <w:rPr>
                <w:bCs/>
                <w:sz w:val="24"/>
                <w:szCs w:val="24"/>
              </w:rPr>
              <w:t xml:space="preserve"> </w:t>
            </w:r>
            <w:r>
              <w:rPr>
                <w:bCs/>
                <w:sz w:val="24"/>
                <w:szCs w:val="24"/>
              </w:rPr>
              <w:fldChar w:fldCharType="begin"/>
            </w:r>
            <w:r>
              <w:rPr>
                <w:bCs/>
                <w:sz w:val="24"/>
                <w:szCs w:val="24"/>
              </w:rPr>
              <w:instrText xml:space="preserve"> REF _Ref130985951 \r \h </w:instrText>
            </w:r>
            <w:r>
              <w:rPr>
                <w:bCs/>
                <w:sz w:val="24"/>
                <w:szCs w:val="24"/>
              </w:rPr>
              <w:fldChar w:fldCharType="separate"/>
            </w:r>
            <w:r>
              <w:rPr>
                <w:bCs/>
                <w:sz w:val="24"/>
                <w:szCs w:val="24"/>
              </w:rPr>
              <w:t xml:space="preserve">4.13</w:t>
            </w:r>
            <w:r>
              <w:rPr>
                <w:bCs/>
                <w:sz w:val="24"/>
                <w:szCs w:val="24"/>
              </w:rPr>
              <w:fldChar w:fldCharType="end"/>
            </w:r>
            <w:r>
              <w:rPr>
                <w:bCs/>
                <w:sz w:val="24"/>
                <w:szCs w:val="24"/>
              </w:rPr>
              <w:t xml:space="preserve">)</w:t>
            </w:r>
            <w:r>
              <w:rPr>
                <w:bCs/>
                <w:sz w:val="24"/>
                <w:szCs w:val="24"/>
              </w:rPr>
            </w:r>
            <w:r>
              <w:rPr>
                <w:bCs/>
                <w:sz w:val="24"/>
                <w:szCs w:val="24"/>
              </w:rPr>
            </w:r>
          </w:p>
        </w:tc>
        <w:tc>
          <w:tcPr>
            <w:tcW w:w="2407" w:type="dxa"/>
            <w:vMerge w:val="continue"/>
            <w:textDirection w:val="lrTb"/>
            <w:noWrap w:val="false"/>
          </w:tcPr>
          <w:p>
            <w:pPr>
              <w:pStyle w:val="1180"/>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80"/>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80"/>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80"/>
              <w:contextualSpacing w:val="0"/>
              <w:jc w:val="center"/>
              <w:spacing w:before="0" w:after="0" w:line="240" w:lineRule="auto"/>
              <w:rPr>
                <w:bCs/>
                <w:sz w:val="24"/>
                <w:szCs w:val="24"/>
              </w:rPr>
              <w:suppressLineNumbers w:val="0"/>
            </w:pPr>
            <w:r>
              <w:rPr>
                <w:rFonts w:ascii="Wingdings 3" w:hAnsi="Wingdings 3" w:eastAsia="Wingdings 3" w:cs="Wingdings 3"/>
                <w:bCs/>
                <w:sz w:val="24"/>
                <w:szCs w:val="24"/>
              </w:rPr>
              <w:t xml:space="preserve">Ô</w:t>
            </w:r>
            <w:r>
              <w:rPr>
                <w:bCs/>
                <w:sz w:val="24"/>
                <w:szCs w:val="24"/>
              </w:rPr>
            </w:r>
            <w:r>
              <w:rPr>
                <w:bCs/>
                <w:sz w:val="24"/>
                <w:szCs w:val="24"/>
              </w:rPr>
            </w:r>
          </w:p>
        </w:tc>
        <w:tc>
          <w:tcPr>
            <w:gridSpan w:val="5"/>
            <w:tcW w:w="9076" w:type="dxa"/>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Подведение итогов закупки (определение Победителя) (подраздел </w:t>
            </w:r>
            <w:r>
              <w:rPr>
                <w:bCs/>
                <w:sz w:val="24"/>
                <w:szCs w:val="24"/>
              </w:rPr>
              <w:fldChar w:fldCharType="begin"/>
            </w:r>
            <w:r>
              <w:rPr>
                <w:bCs/>
                <w:sz w:val="24"/>
                <w:szCs w:val="24"/>
              </w:rPr>
              <w:instrText xml:space="preserve"> REF _Ref125362658 \r \h  \* MERGEFORMAT </w:instrText>
            </w:r>
            <w:r>
              <w:rPr>
                <w:bCs/>
                <w:sz w:val="24"/>
                <w:szCs w:val="24"/>
              </w:rPr>
              <w:fldChar w:fldCharType="separate"/>
            </w:r>
            <w:r>
              <w:rPr>
                <w:bCs/>
                <w:sz w:val="24"/>
                <w:szCs w:val="24"/>
              </w:rPr>
              <w:t xml:space="preserve">4.14</w:t>
            </w:r>
            <w:r>
              <w:rPr>
                <w:bCs/>
                <w:sz w:val="24"/>
                <w:szCs w:val="24"/>
              </w:rPr>
              <w:fldChar w:fldCharType="end"/>
            </w:r>
            <w:r>
              <w:rPr>
                <w:bCs/>
                <w:sz w:val="24"/>
                <w:szCs w:val="24"/>
              </w:rPr>
              <w:t xml:space="preserve">)</w:t>
            </w:r>
            <w:r>
              <w:rPr>
                <w:bCs/>
                <w:sz w:val="24"/>
                <w:szCs w:val="24"/>
              </w:rPr>
            </w:r>
            <w:r>
              <w:rPr>
                <w:bCs/>
                <w:sz w:val="24"/>
                <w:szCs w:val="24"/>
              </w:rPr>
            </w:r>
          </w:p>
        </w:tc>
        <w:tc>
          <w:tcPr>
            <w:tcW w:w="2267" w:type="dxa"/>
            <w:vMerge w:val="continue"/>
            <w:textDirection w:val="lrTb"/>
            <w:noWrap w:val="false"/>
          </w:tcPr>
          <w:p>
            <w:pPr>
              <w:pStyle w:val="1180"/>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80"/>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430" w:type="dxa"/>
            <w:vAlign w:val="bottom"/>
            <w:textDirection w:val="lrTb"/>
            <w:noWrap w:val="false"/>
          </w:tcPr>
          <w:p>
            <w:pPr>
              <w:pStyle w:val="1180"/>
              <w:contextualSpacing w:val="0"/>
              <w:jc w:val="center"/>
              <w:spacing w:before="0" w:after="0" w:line="240" w:lineRule="auto"/>
              <w:rPr>
                <w:bCs/>
                <w:sz w:val="24"/>
                <w:szCs w:val="24"/>
                <w:u w:val="single"/>
              </w:rPr>
              <w:suppressLineNumbers w:val="0"/>
            </w:pPr>
            <w:r>
              <w:rPr>
                <w:bCs/>
                <w:sz w:val="24"/>
                <w:szCs w:val="24"/>
                <w:u w:val="single"/>
              </w:rPr>
            </w:r>
            <w:r>
              <w:rPr>
                <w:rFonts w:ascii="Wingdings 3" w:hAnsi="Wingdings 3" w:eastAsia="Wingdings 3" w:cs="Wingdings 3"/>
                <w:bCs/>
                <w:sz w:val="24"/>
                <w:szCs w:val="24"/>
                <w:u w:val="single"/>
              </w:rPr>
              <w:t xml:space="preserve">Ô</w:t>
            </w:r>
            <w:r>
              <w:rPr>
                <w:bCs/>
                <w:sz w:val="24"/>
                <w:szCs w:val="24"/>
                <w:u w:val="single"/>
              </w:rPr>
            </w:r>
            <w:r>
              <w:rPr>
                <w:bCs/>
                <w:sz w:val="24"/>
                <w:szCs w:val="24"/>
                <w:u w:val="single"/>
              </w:rPr>
            </w:r>
          </w:p>
        </w:tc>
        <w:tc>
          <w:tcPr>
            <w:tcW w:w="2221" w:type="dxa"/>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Заключение Договора</w:t>
            </w:r>
            <w:r>
              <w:rPr>
                <w:bCs/>
                <w:sz w:val="24"/>
                <w:szCs w:val="24"/>
              </w:rPr>
              <w:br/>
              <w:t xml:space="preserve">(подраздел </w:t>
            </w:r>
            <w:r>
              <w:rPr>
                <w:bCs/>
                <w:sz w:val="24"/>
                <w:szCs w:val="24"/>
              </w:rPr>
              <w:fldChar w:fldCharType="begin"/>
            </w:r>
            <w:r>
              <w:rPr>
                <w:bCs/>
                <w:sz w:val="24"/>
                <w:szCs w:val="24"/>
              </w:rPr>
              <w:instrText xml:space="preserve"> REF _Ref138232981 \r \h </w:instrText>
            </w:r>
            <w:r>
              <w:rPr>
                <w:bCs/>
                <w:sz w:val="24"/>
                <w:szCs w:val="24"/>
              </w:rPr>
              <w:fldChar w:fldCharType="separate"/>
            </w:r>
            <w:r>
              <w:rPr>
                <w:bCs/>
                <w:sz w:val="24"/>
                <w:szCs w:val="24"/>
              </w:rPr>
              <w:t xml:space="preserve">5.2</w:t>
            </w:r>
            <w:r>
              <w:rPr>
                <w:bCs/>
                <w:sz w:val="24"/>
                <w:szCs w:val="24"/>
              </w:rPr>
              <w:fldChar w:fldCharType="end"/>
            </w:r>
            <w:r>
              <w:rPr>
                <w:bCs/>
                <w:sz w:val="24"/>
                <w:szCs w:val="24"/>
              </w:rPr>
              <w:t xml:space="preserve">)</w:t>
            </w:r>
            <w:r>
              <w:rPr>
                <w:bCs/>
                <w:sz w:val="24"/>
                <w:szCs w:val="24"/>
              </w:rPr>
            </w:r>
            <w:r>
              <w:rPr>
                <w:bCs/>
                <w:sz w:val="24"/>
                <w:szCs w:val="24"/>
              </w:rPr>
            </w:r>
          </w:p>
        </w:tc>
        <w:tc>
          <w:tcPr>
            <w:gridSpan w:val="2"/>
            <w:tcW w:w="3307" w:type="dxa"/>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Применение законодательства о</w:t>
            </w:r>
            <w:r>
              <w:rPr>
                <w:bCs/>
                <w:sz w:val="24"/>
                <w:szCs w:val="24"/>
              </w:rPr>
              <w:t xml:space="preserve"> </w:t>
            </w:r>
            <w:r>
              <w:rPr>
                <w:bCs/>
                <w:sz w:val="24"/>
                <w:szCs w:val="24"/>
              </w:rPr>
              <w:t xml:space="preserve">национальном режиме</w:t>
            </w:r>
            <w:r>
              <w:rPr>
                <w:bCs/>
                <w:sz w:val="24"/>
                <w:szCs w:val="24"/>
              </w:rPr>
            </w:r>
            <w:r>
              <w:rPr>
                <w:bCs/>
                <w:sz w:val="24"/>
                <w:szCs w:val="24"/>
              </w:rPr>
            </w:r>
          </w:p>
          <w:p>
            <w:pPr>
              <w:pStyle w:val="1180"/>
              <w:contextualSpacing w:val="0"/>
              <w:jc w:val="center"/>
              <w:spacing w:before="0" w:after="0" w:line="240" w:lineRule="auto"/>
              <w:rPr>
                <w:bCs/>
                <w:sz w:val="24"/>
                <w:szCs w:val="24"/>
              </w:rPr>
              <w:suppressLineNumbers w:val="0"/>
            </w:pPr>
            <w:r>
              <w:rPr>
                <w:bCs/>
                <w:sz w:val="24"/>
                <w:szCs w:val="24"/>
              </w:rPr>
              <w:t xml:space="preserve">(в</w:t>
            </w:r>
            <w:r>
              <w:rPr>
                <w:bCs/>
                <w:sz w:val="24"/>
                <w:szCs w:val="24"/>
              </w:rPr>
              <w:t xml:space="preserve"> </w:t>
            </w:r>
            <w:r>
              <w:rPr>
                <w:bCs/>
                <w:sz w:val="24"/>
                <w:szCs w:val="24"/>
              </w:rPr>
              <w:t xml:space="preserve">части ограничения на</w:t>
            </w:r>
            <w:r>
              <w:rPr>
                <w:bCs/>
                <w:sz w:val="24"/>
                <w:szCs w:val="24"/>
              </w:rPr>
              <w:t xml:space="preserve"> </w:t>
            </w:r>
            <w:r>
              <w:rPr>
                <w:bCs/>
                <w:sz w:val="24"/>
                <w:szCs w:val="24"/>
              </w:rPr>
              <w:t xml:space="preserve">стадии заключения договора)</w:t>
            </w:r>
            <w:r>
              <w:rPr>
                <w:bCs/>
                <w:sz w:val="24"/>
                <w:szCs w:val="24"/>
              </w:rPr>
            </w:r>
            <w:r>
              <w:rPr>
                <w:bCs/>
                <w:sz w:val="24"/>
                <w:szCs w:val="24"/>
              </w:rPr>
            </w:r>
          </w:p>
          <w:p>
            <w:pPr>
              <w:pStyle w:val="1180"/>
              <w:contextualSpacing w:val="0"/>
              <w:jc w:val="center"/>
              <w:spacing w:before="0" w:after="0" w:line="240" w:lineRule="auto"/>
              <w:rPr>
                <w:bCs/>
                <w:sz w:val="24"/>
                <w:szCs w:val="24"/>
              </w:rPr>
              <w:suppressLineNumbers w:val="0"/>
            </w:pPr>
            <w:r>
              <w:rPr>
                <w:bCs/>
                <w:sz w:val="24"/>
                <w:szCs w:val="24"/>
              </w:rPr>
              <w:t xml:space="preserve">(подраздел</w:t>
            </w:r>
            <w:r>
              <w:rPr>
                <w:bCs/>
                <w:sz w:val="24"/>
                <w:szCs w:val="24"/>
              </w:rPr>
              <w:t xml:space="preserve"> </w:t>
            </w:r>
            <w:r>
              <w:rPr>
                <w:bCs/>
                <w:sz w:val="24"/>
                <w:szCs w:val="24"/>
              </w:rPr>
              <w:fldChar w:fldCharType="begin"/>
            </w:r>
            <w:r>
              <w:rPr>
                <w:bCs/>
                <w:sz w:val="24"/>
                <w:szCs w:val="24"/>
              </w:rPr>
              <w:instrText xml:space="preserve"> REF _Ref130985951 \r \h </w:instrText>
            </w:r>
            <w:r>
              <w:rPr>
                <w:bCs/>
                <w:sz w:val="24"/>
                <w:szCs w:val="24"/>
              </w:rPr>
              <w:fldChar w:fldCharType="separate"/>
            </w:r>
            <w:r>
              <w:rPr>
                <w:bCs/>
                <w:sz w:val="24"/>
                <w:szCs w:val="24"/>
              </w:rPr>
              <w:t xml:space="preserve">4.13</w:t>
            </w:r>
            <w:r>
              <w:rPr>
                <w:bCs/>
                <w:sz w:val="24"/>
                <w:szCs w:val="24"/>
              </w:rPr>
              <w:fldChar w:fldCharType="end"/>
            </w:r>
            <w:r>
              <w:rPr>
                <w:bCs/>
                <w:sz w:val="24"/>
                <w:szCs w:val="24"/>
              </w:rPr>
              <w:t xml:space="preserve">)</w:t>
            </w:r>
            <w:r>
              <w:rPr>
                <w:bCs/>
                <w:sz w:val="24"/>
                <w:szCs w:val="24"/>
              </w:rPr>
            </w:r>
            <w:r>
              <w:rPr>
                <w:bCs/>
                <w:sz w:val="24"/>
                <w:szCs w:val="24"/>
              </w:rPr>
            </w:r>
          </w:p>
        </w:tc>
        <w:tc>
          <w:tcPr>
            <w:gridSpan w:val="2"/>
            <w:tcW w:w="3549" w:type="dxa"/>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Проведение преддоговорных переговоров</w:t>
            </w:r>
            <w:r>
              <w:rPr>
                <w:bCs/>
                <w:sz w:val="24"/>
                <w:szCs w:val="24"/>
              </w:rPr>
              <w:br/>
              <w:t xml:space="preserve">(подраздел </w:t>
            </w:r>
            <w:r>
              <w:rPr>
                <w:bCs/>
                <w:sz w:val="24"/>
                <w:szCs w:val="24"/>
              </w:rPr>
              <w:fldChar w:fldCharType="begin"/>
            </w:r>
            <w:r>
              <w:rPr>
                <w:bCs/>
                <w:sz w:val="24"/>
                <w:szCs w:val="24"/>
              </w:rPr>
              <w:instrText xml:space="preserve"> REF _Ref125552570 \r \h  \* MERGEFORMAT </w:instrText>
            </w:r>
            <w:r>
              <w:rPr>
                <w:bCs/>
                <w:sz w:val="24"/>
                <w:szCs w:val="24"/>
              </w:rPr>
              <w:fldChar w:fldCharType="separate"/>
            </w:r>
            <w:r>
              <w:rPr>
                <w:bCs/>
                <w:sz w:val="24"/>
                <w:szCs w:val="24"/>
              </w:rPr>
              <w:t xml:space="preserve">5.3</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 закупки)</w:t>
            </w:r>
            <w:r>
              <w:rPr>
                <w:bCs/>
                <w:sz w:val="24"/>
                <w:szCs w:val="24"/>
              </w:rPr>
            </w:r>
            <w:r>
              <w:rPr>
                <w:bCs/>
                <w:sz w:val="24"/>
                <w:szCs w:val="24"/>
              </w:rPr>
            </w:r>
          </w:p>
        </w:tc>
        <w:tc>
          <w:tcPr>
            <w:gridSpan w:val="2"/>
            <w:tcBorders>
              <w:right w:val="none" w:color="000000" w:sz="4" w:space="0"/>
            </w:tcBorders>
            <w:tcW w:w="4497" w:type="dxa"/>
            <w:textDirection w:val="lrTb"/>
            <w:noWrap w:val="false"/>
          </w:tcPr>
          <w:p>
            <w:pPr>
              <w:pStyle w:val="1180"/>
              <w:contextualSpacing w:val="0"/>
              <w:jc w:val="center"/>
              <w:spacing w:before="0" w:after="0" w:line="240" w:lineRule="auto"/>
              <w:rPr>
                <w:bCs/>
                <w:sz w:val="24"/>
                <w:szCs w:val="24"/>
              </w:rPr>
              <w:suppressLineNumbers w:val="0"/>
            </w:pPr>
            <w:r>
              <w:rPr>
                <w:bCs/>
                <w:sz w:val="24"/>
                <w:szCs w:val="24"/>
              </w:rPr>
              <w:t xml:space="preserve">Уклонение Победителя</w:t>
            </w:r>
            <w:r>
              <w:rPr>
                <w:bCs/>
                <w:sz w:val="24"/>
                <w:szCs w:val="24"/>
              </w:rPr>
              <w:br/>
              <w:t xml:space="preserve">от заключения Договора (подраздел </w:t>
            </w:r>
            <w:r>
              <w:rPr>
                <w:bCs/>
                <w:sz w:val="24"/>
                <w:szCs w:val="24"/>
              </w:rPr>
              <w:fldChar w:fldCharType="begin"/>
            </w:r>
            <w:r>
              <w:rPr>
                <w:bCs/>
                <w:sz w:val="24"/>
                <w:szCs w:val="24"/>
              </w:rPr>
              <w:instrText xml:space="preserve"> REF _Ref125367068 \r \h  \* MERGEFORMAT </w:instrText>
            </w:r>
            <w:r>
              <w:rPr>
                <w:bCs/>
                <w:sz w:val="24"/>
                <w:szCs w:val="24"/>
              </w:rPr>
              <w:fldChar w:fldCharType="separate"/>
            </w:r>
            <w:r>
              <w:rPr>
                <w:bCs/>
                <w:sz w:val="24"/>
                <w:szCs w:val="24"/>
              </w:rPr>
              <w:t xml:space="preserve">5.4</w:t>
            </w:r>
            <w:r>
              <w:rPr>
                <w:bCs/>
                <w:sz w:val="24"/>
                <w:szCs w:val="24"/>
              </w:rPr>
              <w:fldChar w:fldCharType="end"/>
            </w:r>
            <w:r>
              <w:rPr>
                <w:bCs/>
                <w:sz w:val="24"/>
                <w:szCs w:val="24"/>
              </w:rPr>
              <w:t xml:space="preserve">)</w:t>
            </w:r>
            <w:r>
              <w:rPr>
                <w:bCs/>
                <w:sz w:val="24"/>
                <w:szCs w:val="24"/>
              </w:rPr>
              <w:br/>
            </w:r>
            <w:r>
              <w:rPr>
                <w:bCs/>
                <w:i/>
                <w:iCs/>
                <w:sz w:val="24"/>
                <w:szCs w:val="24"/>
              </w:rPr>
              <w:t xml:space="preserve">(опциональная процедура</w:t>
            </w:r>
            <w:r>
              <w:rPr>
                <w:bCs/>
                <w:i/>
                <w:iCs/>
                <w:sz w:val="24"/>
                <w:szCs w:val="24"/>
              </w:rPr>
              <w:t xml:space="preserve"> </w:t>
            </w:r>
            <w:r>
              <w:rPr>
                <w:bCs/>
                <w:i/>
                <w:iCs/>
                <w:sz w:val="24"/>
                <w:szCs w:val="24"/>
              </w:rPr>
              <w:t xml:space="preserve">закупки)</w:t>
            </w:r>
            <w:r>
              <w:rPr>
                <w:bCs/>
                <w:sz w:val="24"/>
                <w:szCs w:val="24"/>
              </w:rPr>
            </w:r>
            <w:r>
              <w:rPr>
                <w:bCs/>
                <w:sz w:val="24"/>
                <w:szCs w:val="24"/>
              </w:rPr>
            </w:r>
          </w:p>
        </w:tc>
      </w:tr>
    </w:tbl>
    <w:p>
      <w:pPr>
        <w:pStyle w:val="1180"/>
      </w:pPr>
      <w:r/>
      <w:bookmarkStart w:id="80" w:name="_Ref125362061"/>
      <w:r/>
      <w:r/>
    </w:p>
    <w:p>
      <w:pPr>
        <w:pStyle w:val="1180"/>
        <w:sectPr>
          <w:footnotePr/>
          <w:endnotePr/>
          <w:type w:val="nextPage"/>
          <w:pgSz w:w="16838" w:h="11906" w:orient="landscape"/>
          <w:pgMar w:top="1134" w:right="851" w:bottom="850" w:left="851" w:header="567" w:footer="567" w:gutter="0"/>
          <w:cols w:num="1" w:sep="0" w:space="708" w:equalWidth="1"/>
          <w:docGrid w:linePitch="360"/>
        </w:sectPr>
      </w:pPr>
      <w:r/>
      <w:r/>
    </w:p>
    <w:p>
      <w:pPr>
        <w:pStyle w:val="1175"/>
      </w:pPr>
      <w:r/>
      <w:bookmarkStart w:id="81" w:name="_Ref130286532"/>
      <w:r/>
      <w:bookmarkStart w:id="82" w:name="_Toc232579425"/>
      <w:r>
        <w:t xml:space="preserve">Официальное размещение Извещения и Документации о закупке</w:t>
      </w:r>
      <w:bookmarkEnd w:id="80"/>
      <w:r/>
      <w:bookmarkEnd w:id="81"/>
      <w:r/>
      <w:bookmarkEnd w:id="82"/>
      <w:r/>
      <w:r/>
    </w:p>
    <w:p>
      <w:pPr>
        <w:pStyle w:val="1176"/>
      </w:pPr>
      <w:r>
        <w:t xml:space="preserve">Извещение и Документация о закупке официально размещены </w:t>
      </w:r>
      <w:r>
        <w:t xml:space="preserve">на Официальном сайте</w:t>
      </w:r>
      <w:r>
        <w:t xml:space="preserve"> </w:t>
      </w:r>
      <w:r>
        <w:t xml:space="preserve">(</w:t>
      </w:r>
      <w:r>
        <w:t xml:space="preserve">ЕИС</w:t>
      </w:r>
      <w:r>
        <w:t xml:space="preserve">)</w:t>
      </w:r>
      <w:r>
        <w:t xml:space="preserve"> и доступны для ознакомления без взимания платы. Иные публикации не влекут для</w:t>
      </w:r>
      <w:r>
        <w:t xml:space="preserve"> </w:t>
      </w:r>
      <w:r>
        <w:t xml:space="preserve">Организатора никаких последствий.</w:t>
      </w:r>
      <w:r/>
    </w:p>
    <w:p>
      <w:pPr>
        <w:pStyle w:val="1176"/>
      </w:pPr>
      <w:r>
        <w:t xml:space="preserve">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w:t>
      </w:r>
      <w:r>
        <w:t xml:space="preserve"> </w:t>
      </w:r>
      <w:r>
        <w:t xml:space="preserve">с</w:t>
      </w:r>
      <w:r>
        <w:t xml:space="preserve"> </w:t>
      </w:r>
      <w:r>
        <w:t xml:space="preserve">последующим размещением ее </w:t>
      </w:r>
      <w:r>
        <w:t xml:space="preserve">на </w:t>
      </w:r>
      <w:r>
        <w:t xml:space="preserve">Официальном сайте (ЕИС) в течение 1 (одного) рабочего дня со дня устранения указанных неполадок.</w:t>
      </w:r>
      <w:r/>
    </w:p>
    <w:p>
      <w:pPr>
        <w:pStyle w:val="1176"/>
      </w:pPr>
      <w:r/>
      <w:bookmarkStart w:id="83" w:name="_Ref125362785"/>
      <w:r>
        <w:t xml:space="preserve">У</w:t>
      </w:r>
      <w:r>
        <w:t xml:space="preserve">частники могут получить Документацию о закупке </w:t>
      </w:r>
      <w:r>
        <w:t xml:space="preserve">также </w:t>
      </w:r>
      <w:r>
        <w:t xml:space="preserve">через ЭП. Порядок получения информации через ЭП определяется Регламентом ЭП, с</w:t>
      </w:r>
      <w:r>
        <w:t xml:space="preserve"> </w:t>
      </w:r>
      <w:r>
        <w:t xml:space="preserve">использованием которой проводится закупка.</w:t>
      </w:r>
      <w:bookmarkEnd w:id="83"/>
      <w:r/>
      <w:r/>
    </w:p>
    <w:p>
      <w:pPr>
        <w:pStyle w:val="1176"/>
      </w:pPr>
      <w:r>
        <w:t xml:space="preserve">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r/>
    </w:p>
    <w:p>
      <w:pPr>
        <w:pStyle w:val="1175"/>
      </w:pPr>
      <w:r/>
      <w:bookmarkStart w:id="84" w:name="_Ref130281199"/>
      <w:r/>
      <w:bookmarkStart w:id="85" w:name="_Ref130394681"/>
      <w:r/>
      <w:bookmarkStart w:id="86" w:name="_Toc232579426"/>
      <w:r>
        <w:t xml:space="preserve">Подготовка заявки</w:t>
      </w:r>
      <w:bookmarkEnd w:id="84"/>
      <w:r/>
      <w:bookmarkEnd w:id="85"/>
      <w:r/>
      <w:bookmarkEnd w:id="86"/>
      <w:r/>
      <w:r/>
    </w:p>
    <w:p>
      <w:pPr>
        <w:pStyle w:val="1176"/>
      </w:pPr>
      <w:r>
        <w:t xml:space="preserve">Участник должен подготовить заявку</w:t>
      </w:r>
      <w:r>
        <w:t xml:space="preserve"> с учетом требований</w:t>
      </w:r>
      <w:r>
        <w:t xml:space="preserve"> Документации о закупке</w:t>
      </w:r>
      <w:r>
        <w:t xml:space="preserve">.</w:t>
      </w:r>
      <w:r/>
    </w:p>
    <w:p>
      <w:pPr>
        <w:pStyle w:val="1176"/>
      </w:pPr>
      <w:r>
        <w:t xml:space="preserve">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t xml:space="preserve">4.6</w:t>
      </w:r>
      <w:r>
        <w:fldChar w:fldCharType="end"/>
      </w:r>
      <w:r>
        <w:t xml:space="preserve">), а Организатор (Заказчик) по этим расходам не отвеч</w:t>
      </w:r>
      <w:r>
        <w:t xml:space="preserve">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r/>
    </w:p>
    <w:p>
      <w:pPr>
        <w:pStyle w:val="1176"/>
      </w:pPr>
      <w:r/>
      <w:bookmarkStart w:id="87" w:name="_Ref125365866"/>
      <w:r>
        <w:t xml:space="preserve">Участник должен подготовить заявку, </w:t>
      </w:r>
      <w:r>
        <w:t xml:space="preserve">включающую в себя полный комплект документов согласно перечню, определенному </w:t>
      </w:r>
      <w:hyperlink w:tooltip="#Прил06_СоставЗаявки" w:anchor="Прил06_СоставЗаявки" w:history="1">
        <w:r>
          <w:rPr>
            <w:rStyle w:val="1204"/>
          </w:rPr>
          <w:t xml:space="preserve">Приложением № </w:t>
        </w:r>
        <w:r>
          <w:rPr>
            <w:rStyle w:val="1204"/>
          </w:rPr>
          <w:t xml:space="preserve">6</w:t>
        </w:r>
        <w:r>
          <w:rPr>
            <w:rStyle w:val="1204"/>
          </w:rPr>
          <w:t xml:space="preserve"> – Состав заявки</w:t>
        </w:r>
      </w:hyperlink>
      <w:r>
        <w:t xml:space="preserve">. Образцы форм документов, включаемых в состав заявки, а также инструкции по их подготовке, приведены в </w:t>
      </w:r>
      <w:hyperlink w:tooltip="#Прил04_ФормыЗаявки" w:anchor="Прил04_ФормыЗаявки" w:history="1">
        <w:r>
          <w:rPr>
            <w:rStyle w:val="1204"/>
          </w:rPr>
          <w:t xml:space="preserve">Приложение № </w:t>
        </w:r>
        <w:r>
          <w:rPr>
            <w:rStyle w:val="1204"/>
          </w:rPr>
          <w:t xml:space="preserve">4</w:t>
        </w:r>
      </w:hyperlink>
      <w:r>
        <w:t xml:space="preserve">.</w:t>
      </w:r>
      <w:r/>
    </w:p>
    <w:p>
      <w:pPr>
        <w:pStyle w:val="1176"/>
      </w:pPr>
      <w:r/>
      <w:bookmarkStart w:id="88" w:name="_Ref130394854"/>
      <w:r>
        <w:t xml:space="preserve">Участник имеет право подать только одну за</w:t>
      </w:r>
      <w:r>
        <w:t xml:space="preserve">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87"/>
      <w:r/>
      <w:bookmarkEnd w:id="88"/>
      <w:r/>
      <w:r/>
    </w:p>
    <w:p>
      <w:pPr>
        <w:pStyle w:val="1176"/>
      </w:pPr>
      <w:r/>
      <w:bookmarkStart w:id="89" w:name="_Ref125361260"/>
      <w:r/>
      <w:bookmarkStart w:id="90" w:name="_Ref125362071"/>
      <w:r/>
      <w:bookmarkStart w:id="91" w:name="_Ref125366672"/>
      <w:r>
        <w:t xml:space="preserve">Заявка </w:t>
      </w:r>
      <w:r>
        <w:t xml:space="preserve">должна </w:t>
      </w:r>
      <w:r>
        <w:t xml:space="preserve">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t xml:space="preserve">5.2.1</w:t>
      </w:r>
      <w:r>
        <w:fldChar w:fldCharType="end"/>
      </w:r>
      <w:r>
        <w:t xml:space="preserve">). В любом случае этот срок должен быть не менее чем 90 (девяносто) календарных дней с даты </w:t>
      </w:r>
      <w:r>
        <w:t xml:space="preserve">окончания срока подачи заявок (подраздел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Указание меньшего срока действия заявки в Письме о подаче оферты (форма </w:t>
      </w:r>
      <w:r>
        <w:t xml:space="preserve">2</w:t>
      </w:r>
      <w:r>
        <w:t xml:space="preserve">) (</w:t>
      </w:r>
      <w:hyperlink w:tooltip="#Прил04_ФормыЗаявки" w:anchor="Прил04_ФормыЗаявки" w:history="1">
        <w:r>
          <w:rPr>
            <w:rStyle w:val="1204"/>
          </w:rPr>
          <w:t xml:space="preserve">Приложение № </w:t>
        </w:r>
        <w:r>
          <w:rPr>
            <w:rStyle w:val="1204"/>
          </w:rPr>
          <w:t xml:space="preserve">4</w:t>
        </w:r>
      </w:hyperlink>
      <w:r>
        <w:t xml:space="preserve">) может служить основанием для</w:t>
      </w:r>
      <w:r>
        <w:t xml:space="preserve"> </w:t>
      </w:r>
      <w:r>
        <w:t xml:space="preserve">отклонения заявки.</w:t>
      </w:r>
      <w:r/>
    </w:p>
    <w:p>
      <w:pPr>
        <w:pStyle w:val="1176"/>
      </w:pPr>
      <w:r>
        <w:t xml:space="preserve">Все документы, входящие в </w:t>
      </w:r>
      <w:r>
        <w:t xml:space="preserve">состав </w:t>
      </w:r>
      <w:r>
        <w:t xml:space="preserve">заявк</w:t>
      </w:r>
      <w:r>
        <w:t xml:space="preserve">и</w:t>
      </w:r>
      <w:r>
        <w:t xml:space="preserve">, должны быть подготовлены на</w:t>
      </w:r>
      <w:r>
        <w:t xml:space="preserve"> </w:t>
      </w:r>
      <w:r>
        <w:t xml:space="preserve">русском язык</w:t>
      </w:r>
      <w:r>
        <w:t xml:space="preserve">е</w:t>
      </w:r>
      <w:r>
        <w:t xml:space="preserve">. И</w:t>
      </w:r>
      <w:r>
        <w:t xml:space="preserve">сключение</w:t>
      </w:r>
      <w:r>
        <w:t xml:space="preserve"> составляют </w:t>
      </w:r>
      <w:r>
        <w:t xml:space="preserve">документ</w:t>
      </w:r>
      <w:r>
        <w:t xml:space="preserve">ы</w:t>
      </w:r>
      <w:r>
        <w:t xml:space="preserve">, оригиналы которых выданы Участнику третьими лицами на ином языке</w:t>
      </w:r>
      <w:r>
        <w:t xml:space="preserve">: они</w:t>
      </w:r>
      <w:r>
        <w:t xml:space="preserve"> могут быть представлены на языке оригинала при условии, что к ним приложен перевод </w:t>
      </w:r>
      <w:r>
        <w:t xml:space="preserve">этих документов на</w:t>
      </w:r>
      <w:r>
        <w:t xml:space="preserve"> </w:t>
      </w:r>
      <w:r>
        <w:t xml:space="preserve">русский язык (в</w:t>
      </w:r>
      <w:r>
        <w:t xml:space="preserve"> </w:t>
      </w:r>
      <w:r>
        <w:t xml:space="preserve">специально оговоренных случаях</w:t>
      </w:r>
      <w:r>
        <w:t xml:space="preserve"> </w:t>
      </w:r>
      <w:r>
        <w:t xml:space="preserve">– с</w:t>
      </w:r>
      <w:r>
        <w:t xml:space="preserve"> </w:t>
      </w:r>
      <w:r>
        <w:t xml:space="preserve">апостилем</w:t>
      </w:r>
      <w:r>
        <w:t xml:space="preserve"> </w:t>
      </w:r>
      <w:r>
        <w:t xml:space="preserve">согласно Гаагской конвенции 1961 года</w:t>
      </w:r>
      <w:r>
        <w:t xml:space="preserve">).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t xml:space="preserve"> </w:t>
      </w:r>
      <w:r>
        <w:t xml:space="preserve">рассматривать документы, не</w:t>
      </w:r>
      <w:r>
        <w:t xml:space="preserve"> </w:t>
      </w:r>
      <w:r>
        <w:t xml:space="preserve">переведенные на русский язык.</w:t>
      </w:r>
      <w:r/>
    </w:p>
    <w:p>
      <w:pPr>
        <w:pStyle w:val="1176"/>
      </w:pPr>
      <w:r>
        <w:t xml:space="preserve">Все суммы денежных средств в документах, входящих в </w:t>
      </w:r>
      <w:r>
        <w:t xml:space="preserve">состав </w:t>
      </w:r>
      <w:r>
        <w:t xml:space="preserve">заявк</w:t>
      </w:r>
      <w:r>
        <w:t xml:space="preserve">и</w:t>
      </w:r>
      <w:r>
        <w:t xml:space="preserve">, должны быть выражены в российских рублях</w:t>
      </w:r>
      <w:r>
        <w:t xml:space="preserve">. И</w:t>
      </w:r>
      <w:r>
        <w:t xml:space="preserve">сключение</w:t>
      </w:r>
      <w:r>
        <w:t xml:space="preserve"> </w:t>
      </w:r>
      <w:r>
        <w:t xml:space="preserve">составляют</w:t>
      </w:r>
      <w:r>
        <w:t xml:space="preserve"> документы</w:t>
      </w:r>
      <w:r>
        <w:t xml:space="preserve">, оригиналы которых выданы Участнику третьими лицами с выражением сумм денежных средств в иных валютах</w:t>
      </w:r>
      <w:r>
        <w:t xml:space="preserve">: они</w:t>
      </w:r>
      <w:r>
        <w:t xml:space="preserve"> могут быть представлены в валюте оригинала при</w:t>
      </w:r>
      <w:r>
        <w:t xml:space="preserve"> </w:t>
      </w:r>
      <w:r>
        <w:t xml:space="preserve">условии, что к ним будут приложены комментарии с переводом этих сумм в российские рубли</w:t>
      </w:r>
      <w:r>
        <w:t xml:space="preserve"> (по</w:t>
      </w:r>
      <w:r>
        <w:t xml:space="preserve"> официально</w:t>
      </w:r>
      <w:r>
        <w:t xml:space="preserve">му</w:t>
      </w:r>
      <w:r>
        <w:t xml:space="preserve"> курс</w:t>
      </w:r>
      <w:r>
        <w:t xml:space="preserve">у</w:t>
      </w:r>
      <w:r>
        <w:t xml:space="preserve"> валюты, </w:t>
      </w:r>
      <w:r>
        <w:t xml:space="preserve">установленному </w:t>
      </w:r>
      <w:r>
        <w:t xml:space="preserve">Центральным банком Российской Федерации</w:t>
      </w:r>
      <w:r>
        <w:t xml:space="preserve"> на дату выдачи документа</w:t>
      </w:r>
      <w:r>
        <w:t xml:space="preserve">, с указанием такого курса</w:t>
      </w:r>
      <w:r>
        <w:t xml:space="preserve">)</w:t>
      </w:r>
      <w:r>
        <w:t xml:space="preserve">.</w:t>
      </w:r>
      <w:r/>
    </w:p>
    <w:p>
      <w:pPr>
        <w:pStyle w:val="1176"/>
      </w:pPr>
      <w:r/>
      <w:bookmarkStart w:id="92" w:name="_Ref125370700"/>
      <w:r/>
      <w:bookmarkStart w:id="93" w:name="_Ref125370708"/>
      <w:r>
        <w:t xml:space="preserve">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t xml:space="preserve">1.2</w:t>
      </w:r>
      <w:r>
        <w:fldChar w:fldCharType="end"/>
      </w:r>
      <w:r>
        <w:t xml:space="preserve">), в противном случае заявка будет отклонена.</w:t>
      </w:r>
      <w:r/>
    </w:p>
    <w:p>
      <w:pPr>
        <w:pStyle w:val="1176"/>
      </w:pPr>
      <w:r>
        <w:t xml:space="preserve">Итоговая стоимость заявки (цена Договора) должна включать в себя сумму всех расходов, предусмотренных </w:t>
      </w:r>
      <w:hyperlink w:tooltip="#Прил01_ТехТребования" w:anchor="Прил01_ТехТребования" w:history="1">
        <w:r>
          <w:rPr>
            <w:rStyle w:val="1204"/>
          </w:rPr>
          <w:t xml:space="preserve">Техническими требованиями (Приложение № 1)</w:t>
        </w:r>
      </w:hyperlink>
      <w:r>
        <w:t xml:space="preserve"> и </w:t>
      </w:r>
      <w:hyperlink w:tooltip="#Прил02_ПроектДоговора" w:anchor="Прил02_ПроектДоговора" w:history="1">
        <w:r>
          <w:rPr>
            <w:rStyle w:val="1204"/>
          </w:rPr>
          <w:t xml:space="preserve">Проектом договора (Приложение № 2)</w:t>
        </w:r>
      </w:hyperlink>
      <w:r>
        <w:t xml:space="preserve">,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w:t>
      </w:r>
      <w:r>
        <w:t xml:space="preserve"> </w:t>
      </w:r>
      <w:r>
        <w:t xml:space="preserve">этом сумма НДС (в случае его уплаты) выделяется отдельно и не входит в</w:t>
      </w:r>
      <w:r>
        <w:t xml:space="preserve"> </w:t>
      </w:r>
      <w:r>
        <w:t xml:space="preserve">итоговую стоимость заявки Участника, являющегося плательщиком НДС.</w:t>
      </w:r>
      <w:r/>
    </w:p>
    <w:p>
      <w:pPr>
        <w:pStyle w:val="1176"/>
      </w:pPr>
      <w:r/>
      <w:bookmarkStart w:id="94" w:name="_Ref164248735"/>
      <w:r/>
      <w:bookmarkEnd w:id="92"/>
      <w:r/>
      <w:bookmarkEnd w:id="93"/>
      <w:r>
        <w:t xml:space="preserve">Нормы настоящего </w:t>
      </w:r>
      <w:r>
        <w:t xml:space="preserve">пункта</w:t>
      </w:r>
      <w:r>
        <w:t xml:space="preserve"> применяются только,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w:t>
      </w:r>
      <w:r>
        <w:t xml:space="preserve">в части требований к описанию продукции </w:t>
      </w:r>
      <w:r>
        <w:t xml:space="preserve">предусмотрено</w:t>
      </w:r>
      <w:r>
        <w:t xml:space="preserve"> предоставление Участником в</w:t>
      </w:r>
      <w:r>
        <w:t xml:space="preserve"> </w:t>
      </w:r>
      <w:r>
        <w:t xml:space="preserve">составе заявки </w:t>
      </w:r>
      <w:r>
        <w:t xml:space="preserve">Технического предложения</w:t>
      </w:r>
      <w:r>
        <w:t xml:space="preserve">, подготовленного в соответствии с у</w:t>
      </w:r>
      <w:r>
        <w:t xml:space="preserve">становленной форм</w:t>
      </w:r>
      <w:r>
        <w:t xml:space="preserve">ой </w:t>
      </w:r>
      <w:r>
        <w:t xml:space="preserve">(форма </w:t>
      </w:r>
      <w:r>
        <w:t xml:space="preserve">4</w:t>
      </w:r>
      <w:r>
        <w:t xml:space="preserve">; </w:t>
      </w:r>
      <w:hyperlink w:tooltip="#Прил04_ФормыЗаявки" w:anchor="Прил04_ФормыЗаявки" w:history="1">
        <w:r>
          <w:rPr>
            <w:rStyle w:val="1204"/>
          </w:rPr>
          <w:t xml:space="preserve">Приложение № </w:t>
        </w:r>
        <w:r>
          <w:rPr>
            <w:rStyle w:val="1204"/>
          </w:rPr>
          <w:t xml:space="preserve">4</w:t>
        </w:r>
      </w:hyperlink>
      <w:r>
        <w:t xml:space="preserve">)</w:t>
      </w:r>
      <w:r>
        <w:t xml:space="preserve">, </w:t>
      </w:r>
      <w:r>
        <w:t xml:space="preserve">в </w:t>
      </w:r>
      <w:r>
        <w:t xml:space="preserve">виде</w:t>
      </w:r>
      <w:r>
        <w:t xml:space="preserve"> согласи</w:t>
      </w:r>
      <w:r>
        <w:t xml:space="preserve">я</w:t>
      </w:r>
      <w:r>
        <w:t xml:space="preserve"> (деклараци</w:t>
      </w:r>
      <w:r>
        <w:t xml:space="preserve">и</w:t>
      </w:r>
      <w:r>
        <w:t xml:space="preserve">) на поставку продукции на условиях, указанных в</w:t>
      </w:r>
      <w:r>
        <w:t xml:space="preserve"> </w:t>
      </w:r>
      <w:r>
        <w:t xml:space="preserve">Документации о закупке</w:t>
      </w:r>
      <w:r>
        <w:t xml:space="preserve">, в том числе в </w:t>
      </w:r>
      <w:hyperlink w:tooltip="#Прил01_ТехТребования" w:anchor="Прил01_ТехТребования" w:history="1">
        <w:r>
          <w:rPr>
            <w:rStyle w:val="1204"/>
          </w:rPr>
          <w:t xml:space="preserve">Технических требованиях (Приложение №</w:t>
        </w:r>
        <w:r>
          <w:rPr>
            <w:rStyle w:val="1204"/>
          </w:rPr>
          <w:t xml:space="preserve"> </w:t>
        </w:r>
        <w:r>
          <w:rPr>
            <w:rStyle w:val="1204"/>
          </w:rPr>
          <w:t xml:space="preserve">1)</w:t>
        </w:r>
      </w:hyperlink>
      <w:r>
        <w:t xml:space="preserve">,</w:t>
      </w:r>
      <w:r>
        <w:t xml:space="preserve"> и не</w:t>
      </w:r>
      <w:r>
        <w:t xml:space="preserve"> </w:t>
      </w:r>
      <w:r>
        <w:t xml:space="preserve">подлежащих изменению по результатам проведения закупки</w:t>
      </w:r>
      <w:r>
        <w:t xml:space="preserve"> (</w:t>
      </w:r>
      <w:r>
        <w:t xml:space="preserve">без подробных предложений</w:t>
      </w:r>
      <w:r>
        <w:t xml:space="preserve">)</w:t>
      </w:r>
      <w:r>
        <w:t xml:space="preserve">.</w:t>
      </w:r>
      <w:r>
        <w:t xml:space="preserve"> В случае нарушения Участником требований к описанию продукции Организатор вправе отклонить заявку такого Участника от</w:t>
      </w:r>
      <w:r>
        <w:t xml:space="preserve"> </w:t>
      </w:r>
      <w:r>
        <w:t xml:space="preserve">дальнейшего участия в закупке.</w:t>
      </w:r>
      <w:bookmarkEnd w:id="94"/>
      <w:r/>
      <w:r/>
    </w:p>
    <w:p>
      <w:pPr>
        <w:pStyle w:val="1176"/>
      </w:pPr>
      <w:r/>
      <w:bookmarkStart w:id="95" w:name="_Ref130379863"/>
      <w:r>
        <w:t xml:space="preserve">Нормы</w:t>
      </w:r>
      <w:r>
        <w:t xml:space="preserve"> настоящего пункта и</w:t>
      </w:r>
      <w:r>
        <w:t xml:space="preserve"> </w:t>
      </w:r>
      <w:r>
        <w:t xml:space="preserve">пунктов </w:t>
      </w:r>
      <w:r>
        <w:fldChar w:fldCharType="begin"/>
      </w:r>
      <w:r>
        <w:instrText xml:space="preserve"> REF _Ref164248775 \r \h </w:instrText>
      </w:r>
      <w:r>
        <w:fldChar w:fldCharType="separate"/>
      </w:r>
      <w:r>
        <w:t xml:space="preserve">4.3.12</w:t>
      </w:r>
      <w:r>
        <w:fldChar w:fldCharType="end"/>
      </w:r>
      <w:r>
        <w:t xml:space="preserve"> –</w:t>
      </w:r>
      <w:r>
        <w:t xml:space="preserve"> </w:t>
      </w:r>
      <w:r>
        <w:fldChar w:fldCharType="begin"/>
      </w:r>
      <w:r>
        <w:instrText xml:space="preserve"> REF _Ref130455500 \r \h </w:instrText>
      </w:r>
      <w:r>
        <w:fldChar w:fldCharType="separate"/>
      </w:r>
      <w:r>
        <w:t xml:space="preserve">4.3.15</w:t>
      </w:r>
      <w:r>
        <w:fldChar w:fldCharType="end"/>
      </w:r>
      <w:r>
        <w:t xml:space="preserve"> </w:t>
      </w:r>
      <w:r>
        <w:t xml:space="preserve">применяются только,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w:t>
      </w:r>
      <w:r>
        <w:t xml:space="preserve">в</w:t>
      </w:r>
      <w:r>
        <w:t xml:space="preserve"> </w:t>
      </w:r>
      <w:r>
        <w:t xml:space="preserve">части требований к описанию продукции </w:t>
      </w:r>
      <w:r>
        <w:t xml:space="preserve">предусмотрено</w:t>
      </w:r>
      <w:r>
        <w:t xml:space="preserve"> предоставление Участником в составе заявки Технического предложения, подготовленного в</w:t>
      </w:r>
      <w:r>
        <w:t xml:space="preserve"> </w:t>
      </w:r>
      <w:r>
        <w:t xml:space="preserve">соответствии с у</w:t>
      </w:r>
      <w:r>
        <w:t xml:space="preserve">становленной форм</w:t>
      </w:r>
      <w:r>
        <w:t xml:space="preserve">ой </w:t>
      </w:r>
      <w:r>
        <w:t xml:space="preserve">(форма </w:t>
      </w:r>
      <w:r>
        <w:t xml:space="preserve">4; </w:t>
      </w:r>
      <w:hyperlink w:tooltip="#Прил04_ФормыЗаявки" w:anchor="Прил04_ФормыЗаявки" w:history="1">
        <w:r>
          <w:rPr>
            <w:rStyle w:val="1204"/>
          </w:rPr>
          <w:t xml:space="preserve">Приложение № 4</w:t>
        </w:r>
      </w:hyperlink>
      <w:r>
        <w:t xml:space="preserve">)</w:t>
      </w:r>
      <w:r>
        <w:t xml:space="preserve">, </w:t>
      </w:r>
      <w:r>
        <w:t xml:space="preserve">в </w:t>
      </w:r>
      <w:r>
        <w:t xml:space="preserve">виде</w:t>
      </w:r>
      <w:r>
        <w:t xml:space="preserve"> </w:t>
      </w:r>
      <w:r>
        <w:t xml:space="preserve">подробно</w:t>
      </w:r>
      <w:r>
        <w:t xml:space="preserve">го</w:t>
      </w:r>
      <w:r>
        <w:t xml:space="preserve"> предложени</w:t>
      </w:r>
      <w:r>
        <w:t xml:space="preserve">я</w:t>
      </w:r>
      <w:r>
        <w:t xml:space="preserve"> в отношении поставляемой</w:t>
      </w:r>
      <w:r>
        <w:t xml:space="preserve"> продукции</w:t>
      </w:r>
      <w:r>
        <w:t xml:space="preserve"> </w:t>
      </w:r>
      <w:r>
        <w:t xml:space="preserve">на условиях, указанных в</w:t>
      </w:r>
      <w:r>
        <w:t xml:space="preserve"> </w:t>
      </w:r>
      <w:r>
        <w:t xml:space="preserve">Документации о закупке</w:t>
      </w:r>
      <w:r>
        <w:t xml:space="preserve">, в том числе в</w:t>
      </w:r>
      <w:r>
        <w:t xml:space="preserve"> </w:t>
      </w:r>
      <w:hyperlink w:tooltip="#Прил01_ТехТребования" w:anchor="Прил01_ТехТребования" w:history="1">
        <w:r>
          <w:rPr>
            <w:rStyle w:val="1204"/>
          </w:rPr>
          <w:t xml:space="preserve">Технических требованиях (Приложение №</w:t>
        </w:r>
        <w:r>
          <w:rPr>
            <w:rStyle w:val="1204"/>
          </w:rPr>
          <w:t xml:space="preserve"> </w:t>
        </w:r>
        <w:r>
          <w:rPr>
            <w:rStyle w:val="1204"/>
          </w:rPr>
          <w:t xml:space="preserve">1)</w:t>
        </w:r>
      </w:hyperlink>
      <w:r>
        <w:t xml:space="preserve">.</w:t>
      </w:r>
      <w:bookmarkEnd w:id="95"/>
      <w:r/>
      <w:r/>
    </w:p>
    <w:p>
      <w:pPr>
        <w:pStyle w:val="1176"/>
      </w:pPr>
      <w:r/>
      <w:bookmarkStart w:id="96" w:name="_Ref164248775"/>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tooltip="#Прил01_ТехТребования" w:anchor="Прил01_ТехТребования" w:history="1">
        <w:r>
          <w:rPr>
            <w:rStyle w:val="1204"/>
          </w:rPr>
          <w:t xml:space="preserve">Технических требованиях (Приложение №</w:t>
        </w:r>
        <w:r>
          <w:rPr>
            <w:rStyle w:val="1204"/>
          </w:rPr>
          <w:t xml:space="preserve"> </w:t>
        </w:r>
        <w:r>
          <w:rPr>
            <w:rStyle w:val="1204"/>
          </w:rPr>
          <w:t xml:space="preserve">1)</w:t>
        </w:r>
      </w:hyperlink>
      <w:r>
        <w:t xml:space="preserve">, в отношении всех показателей, которые в ней установлены. При этом должны указываться точные и не допускающие двусмысленного толкования показатели.</w:t>
      </w:r>
      <w:bookmarkEnd w:id="96"/>
      <w:r/>
      <w:r/>
    </w:p>
    <w:p>
      <w:pPr>
        <w:pStyle w:val="1176"/>
      </w:pPr>
      <w:r>
        <w:t xml:space="preserve">Е</w:t>
      </w:r>
      <w:r>
        <w:t xml:space="preserve">сли </w:t>
      </w:r>
      <w:r>
        <w:t xml:space="preserve">в </w:t>
      </w:r>
      <w:hyperlink w:tooltip="#Прил01_ТехТребования" w:anchor="Прил01_ТехТребования" w:history="1">
        <w:r>
          <w:rPr>
            <w:rStyle w:val="1204"/>
          </w:rPr>
          <w:t xml:space="preserve">Технически</w:t>
        </w:r>
        <w:r>
          <w:rPr>
            <w:rStyle w:val="1204"/>
          </w:rPr>
          <w:t xml:space="preserve">х</w:t>
        </w:r>
        <w:r>
          <w:rPr>
            <w:rStyle w:val="1204"/>
          </w:rPr>
          <w:t xml:space="preserve"> требованиях (Приложение № 1)</w:t>
        </w:r>
      </w:hyperlink>
      <w: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 xml:space="preserve">продукцию</w:t>
      </w:r>
      <w:r>
        <w:t xml:space="preserve">, являющ</w:t>
      </w:r>
      <w:r>
        <w:t xml:space="preserve">уюся</w:t>
      </w:r>
      <w:r>
        <w:t xml:space="preserve"> </w:t>
      </w:r>
      <w:r>
        <w:t xml:space="preserve">эквивалентом требуемой,</w:t>
      </w:r>
      <w:r>
        <w:t xml:space="preserve"> </w:t>
      </w:r>
      <w:r>
        <w:t xml:space="preserve">то он</w:t>
      </w:r>
      <w:r>
        <w:t xml:space="preserve"> при описании продукции обязан подтвердить соответствие предлагаемой продукции показателям эквивалентности, установленным в</w:t>
      </w:r>
      <w:r>
        <w:t xml:space="preserve"> </w:t>
      </w:r>
      <w:hyperlink w:tooltip="#Прил01_ТехТребования" w:anchor="Прил01_ТехТребования" w:history="1">
        <w:r>
          <w:rPr>
            <w:rStyle w:val="1204"/>
          </w:rPr>
          <w:t xml:space="preserve">Технически</w:t>
        </w:r>
        <w:r>
          <w:rPr>
            <w:rStyle w:val="1204"/>
          </w:rPr>
          <w:t xml:space="preserve">х</w:t>
        </w:r>
        <w:r>
          <w:rPr>
            <w:rStyle w:val="1204"/>
          </w:rPr>
          <w:t xml:space="preserve"> требованиях (Приложение № 1)</w:t>
        </w:r>
      </w:hyperlink>
      <w:r>
        <w:t xml:space="preserve">.</w:t>
      </w:r>
      <w:r/>
    </w:p>
    <w:p>
      <w:pPr>
        <w:pStyle w:val="1176"/>
      </w:pPr>
      <w:r/>
      <w:bookmarkStart w:id="97"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tooltip="#Прил01_ТехТребования" w:anchor="Прил01_ТехТребования" w:history="1">
        <w:r>
          <w:rPr>
            <w:rStyle w:val="1204"/>
          </w:rPr>
          <w:t xml:space="preserve">Технически</w:t>
        </w:r>
        <w:r>
          <w:rPr>
            <w:rStyle w:val="1204"/>
          </w:rPr>
          <w:t xml:space="preserve">ми</w:t>
        </w:r>
        <w:r>
          <w:rPr>
            <w:rStyle w:val="1204"/>
          </w:rPr>
          <w:t xml:space="preserve"> требования</w:t>
        </w:r>
        <w:r>
          <w:rPr>
            <w:rStyle w:val="1204"/>
          </w:rPr>
          <w:t xml:space="preserve">ми</w:t>
        </w:r>
        <w:r>
          <w:rPr>
            <w:rStyle w:val="1204"/>
          </w:rPr>
          <w:t xml:space="preserve"> (Приложение № 1)</w:t>
        </w:r>
      </w:hyperlink>
      <w:r>
        <w:t xml:space="preserve">.</w:t>
      </w:r>
      <w:bookmarkEnd w:id="97"/>
      <w:r/>
      <w:r/>
    </w:p>
    <w:p>
      <w:pPr>
        <w:pStyle w:val="1176"/>
      </w:pPr>
      <w:r/>
      <w:bookmarkStart w:id="98" w:name="_Ref130455500"/>
      <w:r>
        <w:t xml:space="preserve">В случае нарушения Участником требований к описанию продукции</w:t>
      </w:r>
      <w:r>
        <w:t xml:space="preserve"> (пункты </w:t>
      </w:r>
      <w:r>
        <w:fldChar w:fldCharType="begin"/>
      </w:r>
      <w:r>
        <w:instrText xml:space="preserve"> REF _Ref130379863 \r \h </w:instrText>
      </w:r>
      <w:r>
        <w:fldChar w:fldCharType="separate"/>
      </w:r>
      <w:r>
        <w:t xml:space="preserve">4.3.11</w:t>
      </w:r>
      <w:r>
        <w:fldChar w:fldCharType="end"/>
      </w:r>
      <w:r>
        <w:t xml:space="preserve"> – </w:t>
      </w:r>
      <w:r>
        <w:fldChar w:fldCharType="begin"/>
      </w:r>
      <w:r>
        <w:instrText xml:space="preserve"> REF _Ref130379876 \r \h </w:instrText>
      </w:r>
      <w:r>
        <w:fldChar w:fldCharType="separate"/>
      </w:r>
      <w:r>
        <w:t xml:space="preserve">4.3.14</w:t>
      </w:r>
      <w:r>
        <w:fldChar w:fldCharType="end"/>
      </w:r>
      <w:r>
        <w:t xml:space="preserve">)</w:t>
      </w:r>
      <w:r>
        <w:t xml:space="preserve"> Организатор вправе отклонить заявку такого Участника от дальнейшего участия в закупке.</w:t>
      </w:r>
      <w:bookmarkEnd w:id="98"/>
      <w:r/>
      <w:r/>
    </w:p>
    <w:p>
      <w:pPr>
        <w:pStyle w:val="1176"/>
        <w:keepNext/>
      </w:pPr>
      <w:r/>
      <w:bookmarkStart w:id="99" w:name="_Ref125370398"/>
      <w:r/>
      <w:bookmarkStart w:id="100" w:name="_Ref125714384"/>
      <w:r>
        <w:t xml:space="preserve">Документы, входящие в заявку, не должны содержать недостоверные сведения или намеренно искаженную информацию</w:t>
      </w:r>
      <w:r>
        <w:t xml:space="preserve">. Т</w:t>
      </w:r>
      <w:r>
        <w:t xml:space="preserve">акже должны отсутствовать</w:t>
      </w:r>
      <w:r>
        <w:t xml:space="preserve">:</w:t>
      </w:r>
      <w:r/>
    </w:p>
    <w:p>
      <w:pPr>
        <w:pStyle w:val="1177"/>
      </w:pPr>
      <w:r>
        <w:t xml:space="preserve">внутренние противоречия между различными частями </w:t>
      </w:r>
      <w:r>
        <w:t xml:space="preserve">и</w:t>
      </w:r>
      <w:r>
        <w:t xml:space="preserve"> (</w:t>
      </w:r>
      <w:r>
        <w:t xml:space="preserve">или</w:t>
      </w:r>
      <w:r>
        <w:t xml:space="preserve">)</w:t>
      </w:r>
      <w:r>
        <w:t xml:space="preserve"> документами заявки, в том числе по тексту внутри одного документа</w:t>
      </w:r>
      <w:r>
        <w:t xml:space="preserve">;</w:t>
      </w:r>
      <w:r/>
    </w:p>
    <w:p>
      <w:pPr>
        <w:pStyle w:val="1177"/>
      </w:pPr>
      <w:r>
        <w:t xml:space="preserve">противоречия между документами заявки и сведениями, указанными Участником в</w:t>
      </w:r>
      <w:r>
        <w:t xml:space="preserve"> </w:t>
      </w:r>
      <w:r>
        <w:t xml:space="preserve">структурированных формах на ЭП</w:t>
      </w:r>
      <w:r>
        <w:t xml:space="preserve">.</w:t>
      </w:r>
      <w:bookmarkEnd w:id="99"/>
      <w:r/>
      <w:bookmarkEnd w:id="100"/>
      <w:r/>
      <w:r/>
    </w:p>
    <w:p>
      <w:pPr>
        <w:pStyle w:val="1176"/>
      </w:pPr>
      <w:r>
        <w:t xml:space="preserve">Представленные в составе заявки документы, оформленные / выданные государственными, лицензирующими, сертификационными, </w:t>
      </w:r>
      <w:r>
        <w:t xml:space="preserve">аккредитационными</w:t>
      </w:r>
      <w:r>
        <w:t xml:space="preserve"> органами </w:t>
      </w:r>
      <w:r>
        <w:t xml:space="preserve">и</w:t>
      </w:r>
      <w:r>
        <w:t xml:space="preserve"> (</w:t>
      </w:r>
      <w:r>
        <w:t xml:space="preserve">или</w:t>
      </w:r>
      <w:r>
        <w:t xml:space="preserve">)</w:t>
      </w:r>
      <w:r>
        <w:t xml:space="preserve"> саморегулируемыми организациями, должны соответствовать императивным требованиям (при наличии) законодательства в отношении:</w:t>
      </w:r>
      <w:r/>
    </w:p>
    <w:p>
      <w:pPr>
        <w:pStyle w:val="1177"/>
      </w:pPr>
      <w:r>
        <w:t xml:space="preserve">полномочий таких органов / лиц на оформление</w:t>
      </w:r>
      <w:r>
        <w:t xml:space="preserve"> этих </w:t>
      </w:r>
      <w:r>
        <w:t xml:space="preserve">документов;</w:t>
      </w:r>
      <w:r/>
    </w:p>
    <w:p>
      <w:pPr>
        <w:pStyle w:val="1177"/>
      </w:pPr>
      <w:r>
        <w:t xml:space="preserve">формы, объема и содержания </w:t>
      </w:r>
      <w:r>
        <w:t xml:space="preserve">этих</w:t>
      </w:r>
      <w:r>
        <w:t xml:space="preserve"> документов.</w:t>
      </w:r>
      <w:r/>
    </w:p>
    <w:p>
      <w:pPr>
        <w:pStyle w:val="1176"/>
        <w:keepNext/>
      </w:pPr>
      <w:r>
        <w:t xml:space="preserve">Участник должен подготовить </w:t>
      </w:r>
      <w:r>
        <w:t xml:space="preserve">з</w:t>
      </w:r>
      <w:r>
        <w:t xml:space="preserve">аявк</w:t>
      </w:r>
      <w:r>
        <w:t xml:space="preserve">у </w:t>
      </w:r>
      <w:r>
        <w:t xml:space="preserve">с соблюдением следующ</w:t>
      </w:r>
      <w:r>
        <w:t xml:space="preserve">их условий</w:t>
      </w:r>
      <w:r>
        <w:t xml:space="preserve">:</w:t>
      </w:r>
      <w:r/>
    </w:p>
    <w:p>
      <w:pPr>
        <w:pStyle w:val="1177"/>
      </w:pPr>
      <w:r>
        <w:t xml:space="preserve">документы заявки могут предоставляться как в графическом виде (</w:t>
      </w:r>
      <w:r>
        <w:t xml:space="preserve">в том числе в в</w:t>
      </w:r>
      <w:r>
        <w:t xml:space="preserve">иде </w:t>
      </w:r>
      <w:r>
        <w:t xml:space="preserve">скан-копии</w:t>
      </w:r>
      <w:r>
        <w:t xml:space="preserve">;</w:t>
      </w:r>
      <w:r>
        <w:t xml:space="preserve"> рекомендуемый формат: </w:t>
      </w:r>
      <w:r>
        <w:t xml:space="preserve">*.</w:t>
      </w:r>
      <w:r>
        <w:rPr>
          <w:lang w:val="en-US"/>
        </w:rPr>
        <w:t xml:space="preserve">pdf</w:t>
      </w:r>
      <w:r>
        <w:t xml:space="preserve">), так и в</w:t>
      </w:r>
      <w:r>
        <w:t xml:space="preserve"> </w:t>
      </w:r>
      <w:r>
        <w:t xml:space="preserve">электронном виде (в</w:t>
      </w:r>
      <w:r>
        <w:t xml:space="preserve"> </w:t>
      </w:r>
      <w:r>
        <w:t xml:space="preserve">формате </w:t>
      </w:r>
      <w:r>
        <w:t xml:space="preserve">Microsoft</w:t>
      </w:r>
      <w:r>
        <w:t xml:space="preserve"> </w:t>
      </w:r>
      <w:r>
        <w:t xml:space="preserve">Word</w:t>
      </w:r>
      <w:r>
        <w:t xml:space="preserve"> (*.</w:t>
      </w:r>
      <w:r>
        <w:t xml:space="preserve">doc</w:t>
      </w:r>
      <w:r>
        <w:rPr>
          <w:lang w:val="en-US"/>
        </w:rPr>
        <w:t xml:space="preserve">x</w:t>
      </w:r>
      <w:r>
        <w:t xml:space="preserve">), </w:t>
      </w:r>
      <w:r>
        <w:t xml:space="preserve">Microsoft</w:t>
      </w:r>
      <w:r>
        <w:t xml:space="preserve"> </w:t>
      </w:r>
      <w:r>
        <w:t xml:space="preserve">Excel</w:t>
      </w:r>
      <w:r>
        <w:t xml:space="preserve"> (*.</w:t>
      </w:r>
      <w:r>
        <w:t xml:space="preserve">xls</w:t>
      </w:r>
      <w:r>
        <w:rPr>
          <w:lang w:val="en-US"/>
        </w:rPr>
        <w:t xml:space="preserve">x</w:t>
      </w:r>
      <w:r>
        <w:t xml:space="preserve">), и других)</w:t>
      </w:r>
      <w:r>
        <w:t xml:space="preserve">. Исключение составляют документы</w:t>
      </w:r>
      <w:r>
        <w:t xml:space="preserve">, выданны</w:t>
      </w:r>
      <w:r>
        <w:t xml:space="preserve">е</w:t>
      </w:r>
      <w:r>
        <w:t xml:space="preserve"> Участнику третьими лицами </w:t>
      </w:r>
      <w:r>
        <w:t xml:space="preserve">(в</w:t>
      </w:r>
      <w:r>
        <w:t xml:space="preserve"> </w:t>
      </w:r>
      <w:r>
        <w:t xml:space="preserve">том числе, бухгалтерская (финансовая) отчетность, соглашение о</w:t>
      </w:r>
      <w:r>
        <w:t xml:space="preserve"> </w:t>
      </w:r>
      <w:r>
        <w:t xml:space="preserve">создании коллективного участника и т.п.)</w:t>
      </w:r>
      <w:r>
        <w:t xml:space="preserve">, которые должны быть предоставлены </w:t>
      </w:r>
      <w:r>
        <w:t xml:space="preserve">только </w:t>
      </w:r>
      <w:r>
        <w:t xml:space="preserve">в графическом виде (</w:t>
      </w:r>
      <w:r>
        <w:t xml:space="preserve">в том числе в виде </w:t>
      </w:r>
      <w:r>
        <w:t xml:space="preserve">скан-копии</w:t>
      </w:r>
      <w:r>
        <w:t xml:space="preserve">; рекомендуемый формат: </w:t>
      </w:r>
      <w:r>
        <w:t xml:space="preserve">*.</w:t>
      </w:r>
      <w:r>
        <w:rPr>
          <w:lang w:val="en-US"/>
        </w:rPr>
        <w:t xml:space="preserve">pdf</w:t>
      </w:r>
      <w:r>
        <w:t xml:space="preserve">);</w:t>
      </w:r>
      <w:r/>
    </w:p>
    <w:p>
      <w:pPr>
        <w:pStyle w:val="1177"/>
      </w:pPr>
      <w:r>
        <w:t xml:space="preserve">электронные копии документов, заверенные треть</w:t>
      </w:r>
      <w:r>
        <w:t xml:space="preserve">ей</w:t>
      </w:r>
      <w:r>
        <w:t xml:space="preserve"> </w:t>
      </w:r>
      <w:r>
        <w:t xml:space="preserve">стороной</w:t>
      </w:r>
      <w:r>
        <w:t xml:space="preserve">,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r/>
    </w:p>
    <w:p>
      <w:pPr>
        <w:pStyle w:val="1177"/>
      </w:pPr>
      <w:r>
        <w:t xml:space="preserve">все файлы не должны иметь защиты от их открытия, </w:t>
      </w:r>
      <w:r>
        <w:t xml:space="preserve">изменения, </w:t>
      </w:r>
      <w:r>
        <w:t xml:space="preserve">копирования их содержимого или их печати;</w:t>
      </w:r>
      <w:r/>
    </w:p>
    <w:p>
      <w:pPr>
        <w:pStyle w:val="1177"/>
      </w:pPr>
      <w:r>
        <w:t xml:space="preserve">файлы электронной заявки рекомендуется именовать так</w:t>
      </w:r>
      <w:r>
        <w:t xml:space="preserve">, чтобы было можно</w:t>
      </w:r>
      <w:r>
        <w:t xml:space="preserve"> идентифицировать содержание данного файла заявки</w:t>
      </w:r>
      <w:r>
        <w:t xml:space="preserve"> (</w:t>
      </w:r>
      <w:r>
        <w:t xml:space="preserve">указа</w:t>
      </w:r>
      <w:r>
        <w:t xml:space="preserve">ть </w:t>
      </w:r>
      <w:r>
        <w:t xml:space="preserve">в</w:t>
      </w:r>
      <w:r>
        <w:t xml:space="preserve"> </w:t>
      </w:r>
      <w:r>
        <w:t xml:space="preserve">названии файла содержащийся в нем документ). К</w:t>
      </w:r>
      <w:r>
        <w:t xml:space="preserve">аждый документ рекомендуется размещать в отдельном файле;</w:t>
      </w:r>
      <w:r/>
    </w:p>
    <w:p>
      <w:pPr>
        <w:pStyle w:val="1177"/>
      </w:pPr>
      <w:r>
        <w:t xml:space="preserve">е</w:t>
      </w:r>
      <w:r>
        <w:t xml:space="preserve">сли какой-либо документ представлен в нечитаемом виде, данный документ считается непредставленным.</w:t>
      </w:r>
      <w:r/>
    </w:p>
    <w:p>
      <w:pPr>
        <w:pStyle w:val="1176"/>
      </w:pPr>
      <w:r>
        <w:t xml:space="preserve">Никакие исправления в документах заявки не имеют силу, </w:t>
      </w:r>
      <w:r>
        <w:t xml:space="preserve">за исключением</w:t>
      </w:r>
      <w:r>
        <w:t xml:space="preserve"> </w:t>
      </w:r>
      <w:r>
        <w:t xml:space="preserve">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r/>
    </w:p>
    <w:p>
      <w:pPr>
        <w:pStyle w:val="1175"/>
      </w:pPr>
      <w:r/>
      <w:bookmarkStart w:id="101" w:name="_Ref130394205"/>
      <w:r/>
      <w:bookmarkStart w:id="102" w:name="_Ref130394785"/>
      <w:r/>
      <w:bookmarkStart w:id="103" w:name="_Ref130394802"/>
      <w:r/>
      <w:bookmarkStart w:id="104" w:name="_Toc232579427"/>
      <w:r>
        <w:t xml:space="preserve">Разъяснение Документации о закупке</w:t>
      </w:r>
      <w:bookmarkEnd w:id="89"/>
      <w:r/>
      <w:bookmarkEnd w:id="90"/>
      <w:r/>
      <w:bookmarkEnd w:id="91"/>
      <w:r/>
      <w:bookmarkEnd w:id="101"/>
      <w:r/>
      <w:bookmarkEnd w:id="102"/>
      <w:r/>
      <w:bookmarkEnd w:id="103"/>
      <w:r/>
      <w:bookmarkEnd w:id="104"/>
      <w:r/>
      <w:r/>
    </w:p>
    <w:p>
      <w:pPr>
        <w:pStyle w:val="1176"/>
      </w:pPr>
      <w:r>
        <w:t xml:space="preserve">Участники вправе обратиться к Организатору за разъяснениями Документации о закупке.</w:t>
      </w:r>
      <w:r/>
    </w:p>
    <w:p>
      <w:pPr>
        <w:pStyle w:val="1176"/>
      </w:pPr>
      <w:r>
        <w:t xml:space="preserve">З</w:t>
      </w:r>
      <w:r>
        <w:t xml:space="preserve">апросы подаются в соответствии с Регламентами и инструкциями </w:t>
      </w:r>
      <w:r>
        <w:t xml:space="preserve">О</w:t>
      </w:r>
      <w:r>
        <w:t xml:space="preserve">ператора ЭП, опубликованными на сайте соответствующей ЭП.</w:t>
      </w:r>
      <w:r/>
    </w:p>
    <w:p>
      <w:pPr>
        <w:pStyle w:val="1176"/>
      </w:pPr>
      <w:r>
        <w:t xml:space="preserve">Организатор обязуется ответить на любой вопрос, поступивший не позднее чем за 3</w:t>
      </w:r>
      <w:r>
        <w:t xml:space="preserve"> </w:t>
      </w:r>
      <w:r>
        <w:t xml:space="preserve">(три) рабочих дня до даты окончания срока подачи заявок. </w:t>
      </w:r>
      <w:r>
        <w:t xml:space="preserve">В случае поступления вопросов с нарушением установленного срока</w:t>
      </w:r>
      <w:r>
        <w:t xml:space="preserve"> Организатор вправе не предоставлять разъяснения.</w:t>
      </w:r>
      <w:r/>
    </w:p>
    <w:p>
      <w:pPr>
        <w:pStyle w:val="1176"/>
      </w:pPr>
      <w:r>
        <w:t xml:space="preserve">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t xml:space="preserve">1.2</w:t>
      </w:r>
      <w:r>
        <w:fldChar w:fldCharType="end"/>
      </w:r>
      <w:r>
        <w:t xml:space="preserve">, но в любом случае не позднее чем в течение 3 (трех) рабочих дней с даты поступления такого запроса. </w:t>
      </w:r>
      <w:r>
        <w:t xml:space="preserve">Копия ответа размещается Организатором на ЭП</w:t>
      </w:r>
      <w:r>
        <w:t xml:space="preserve">.</w:t>
      </w:r>
      <w:r/>
    </w:p>
    <w:p>
      <w:pPr>
        <w:pStyle w:val="1176"/>
      </w:pPr>
      <w:r>
        <w:t xml:space="preserve">Организатор</w:t>
      </w:r>
      <w:r>
        <w:t xml:space="preserve"> также</w:t>
      </w:r>
      <w:r>
        <w:t xml:space="preserve"> вправе по собственной инициативе </w:t>
      </w:r>
      <w:r>
        <w:t xml:space="preserve">(без получения запросов от Участников)</w:t>
      </w:r>
      <w:r>
        <w:t xml:space="preserve"> </w:t>
      </w:r>
      <w:r>
        <w:t xml:space="preserve">официально разместить разъяснения Документации о</w:t>
      </w:r>
      <w:r>
        <w:t xml:space="preserve"> </w:t>
      </w:r>
      <w:r>
        <w:t xml:space="preserve">закупке.</w:t>
      </w:r>
      <w:r/>
    </w:p>
    <w:p>
      <w:pPr>
        <w:pStyle w:val="1176"/>
      </w:pPr>
      <w:r>
        <w:t xml:space="preserve">Разъяснения Документации о закупке носят справочный характер и не могут изменять предмет закупки и условия </w:t>
      </w:r>
      <w:hyperlink w:tooltip="#Прил02_ПроектДоговора" w:anchor="Прил02_ПроектДоговора" w:history="1">
        <w:r>
          <w:rPr>
            <w:rStyle w:val="1204"/>
          </w:rPr>
          <w:t xml:space="preserve">П</w:t>
        </w:r>
        <w:r>
          <w:rPr>
            <w:rStyle w:val="1204"/>
          </w:rPr>
          <w:t xml:space="preserve">роекта </w:t>
        </w:r>
        <w:r>
          <w:rPr>
            <w:rStyle w:val="1204"/>
          </w:rPr>
          <w:t xml:space="preserve">д</w:t>
        </w:r>
        <w:r>
          <w:rPr>
            <w:rStyle w:val="1204"/>
          </w:rPr>
          <w:t xml:space="preserve">оговора</w:t>
        </w:r>
        <w:r>
          <w:rPr>
            <w:rStyle w:val="1204"/>
          </w:rPr>
          <w:t xml:space="preserve"> (Приложения № 2)</w:t>
        </w:r>
      </w:hyperlink>
      <w:r>
        <w:rPr>
          <w:rStyle w:val="1204"/>
        </w:rPr>
        <w:t xml:space="preserve">,</w:t>
      </w:r>
      <w:r>
        <w:t xml:space="preserve"> в</w:t>
      </w:r>
      <w:r>
        <w:t xml:space="preserve"> </w:t>
      </w:r>
      <w:r>
        <w:t xml:space="preserve">противном случае </w:t>
      </w:r>
      <w:r>
        <w:t xml:space="preserve">вносятся</w:t>
      </w:r>
      <w:r>
        <w:t xml:space="preserve"> изменения в Документацию о</w:t>
      </w:r>
      <w:r>
        <w:t xml:space="preserve"> </w:t>
      </w:r>
      <w:r>
        <w:t xml:space="preserve">закупке. При этом Участники обязаны учитывать разъяснения Организатора при подготовке своих заявок. Все риски и последствия за подачу заявки без</w:t>
      </w:r>
      <w:r>
        <w:t xml:space="preserve"> </w:t>
      </w:r>
      <w:r>
        <w:t xml:space="preserve">учета официально размещенных разъяснений несет Участник.</w:t>
      </w:r>
      <w:r/>
    </w:p>
    <w:p>
      <w:pPr>
        <w:pStyle w:val="1176"/>
      </w:pPr>
      <w:r>
        <w:t xml:space="preserve">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t xml:space="preserve"> </w:t>
      </w:r>
      <w:r>
        <w:t xml:space="preserve">вправе на нее ссылаться.</w:t>
      </w:r>
      <w:r/>
    </w:p>
    <w:p>
      <w:pPr>
        <w:pStyle w:val="1175"/>
      </w:pPr>
      <w:r/>
      <w:bookmarkStart w:id="105" w:name="_Ref125362076"/>
      <w:r/>
      <w:bookmarkStart w:id="106" w:name="_Ref125363891"/>
      <w:r/>
      <w:bookmarkStart w:id="107" w:name="_Ref125364404"/>
      <w:r/>
      <w:bookmarkStart w:id="108" w:name="_Toc232579428"/>
      <w:r>
        <w:t xml:space="preserve">Изменения </w:t>
      </w:r>
      <w:r>
        <w:t xml:space="preserve">Извещени</w:t>
      </w:r>
      <w:r>
        <w:t xml:space="preserve">я</w:t>
      </w:r>
      <w:r>
        <w:t xml:space="preserve"> </w:t>
      </w:r>
      <w:r>
        <w:t xml:space="preserve">и</w:t>
      </w:r>
      <w:r>
        <w:t xml:space="preserve"> </w:t>
      </w:r>
      <w:r>
        <w:t xml:space="preserve">(или)</w:t>
      </w:r>
      <w:r>
        <w:t xml:space="preserve"> </w:t>
      </w:r>
      <w:r>
        <w:t xml:space="preserve">Документаци</w:t>
      </w:r>
      <w:r>
        <w:t xml:space="preserve">и</w:t>
      </w:r>
      <w:r>
        <w:t xml:space="preserve"> о закупке</w:t>
      </w:r>
      <w:bookmarkEnd w:id="105"/>
      <w:r/>
      <w:bookmarkEnd w:id="106"/>
      <w:r/>
      <w:bookmarkEnd w:id="107"/>
      <w:r/>
      <w:bookmarkEnd w:id="108"/>
      <w:r/>
      <w:r/>
    </w:p>
    <w:p>
      <w:pPr>
        <w:pStyle w:val="1176"/>
      </w:pPr>
      <w:r>
        <w:t xml:space="preserve">Организатор в любой момент до окончания срока подачи заявок (</w:t>
      </w:r>
      <w:r>
        <w:t xml:space="preserve">подраздел </w:t>
      </w:r>
      <w:r>
        <w:fldChar w:fldCharType="begin"/>
      </w:r>
      <w:r>
        <w:instrText xml:space="preserve"> REF _Ref125359973 \r \h </w:instrText>
      </w:r>
      <w:r>
        <w:fldChar w:fldCharType="separate"/>
      </w:r>
      <w:r>
        <w:t xml:space="preserve">1.2</w:t>
      </w:r>
      <w:r>
        <w:fldChar w:fldCharType="end"/>
      </w:r>
      <w:r>
        <w:t xml:space="preserve">) вправе внести изменения в Извещение </w:t>
      </w:r>
      <w:r>
        <w:t xml:space="preserve">и</w:t>
      </w:r>
      <w:r>
        <w:t xml:space="preserve"> (</w:t>
      </w:r>
      <w:r>
        <w:t xml:space="preserve">или</w:t>
      </w:r>
      <w:r>
        <w:t xml:space="preserve">)</w:t>
      </w:r>
      <w:r>
        <w:t xml:space="preserve"> Документацию о закупке. При</w:t>
      </w:r>
      <w:r>
        <w:t xml:space="preserve"> </w:t>
      </w:r>
      <w:r>
        <w:t xml:space="preserve">этом официальному размещению подлежит обновленная редакция Извещения </w:t>
      </w:r>
      <w:r>
        <w:t xml:space="preserve">и</w:t>
      </w:r>
      <w:r>
        <w:t xml:space="preserve"> (</w:t>
      </w:r>
      <w:r>
        <w:t xml:space="preserve">или</w:t>
      </w:r>
      <w:r>
        <w:t xml:space="preserve">)</w:t>
      </w:r>
      <w:r>
        <w:t xml:space="preserve"> Документации о закупке, а также перечень внесенных изменений в них.</w:t>
      </w:r>
      <w:r/>
    </w:p>
    <w:p>
      <w:pPr>
        <w:pStyle w:val="1176"/>
      </w:pPr>
      <w:r/>
      <w:bookmarkStart w:id="109" w:name="_Ref125550844"/>
      <w:r>
        <w:t xml:space="preserve">После окончания срока подачи заявок допускается изменени</w:t>
      </w:r>
      <w:r>
        <w:t xml:space="preserve">е</w:t>
      </w:r>
      <w:r>
        <w:t xml:space="preserve"> только в части установленных Документацией о закупке дат рассмотрения заявок и </w:t>
      </w:r>
      <w:r>
        <w:t xml:space="preserve">подведения итогов закупки (</w:t>
      </w:r>
      <w:r>
        <w:t xml:space="preserve">подраздел </w:t>
      </w:r>
      <w:r>
        <w:fldChar w:fldCharType="begin"/>
      </w:r>
      <w:r>
        <w:instrText xml:space="preserve"> REF _Ref125359973 \r \h </w:instrText>
      </w:r>
      <w:r>
        <w:fldChar w:fldCharType="separate"/>
      </w:r>
      <w:r>
        <w:t xml:space="preserve">1.2</w:t>
      </w:r>
      <w:r>
        <w:fldChar w:fldCharType="end"/>
      </w:r>
      <w:r>
        <w:t xml:space="preserve">) в пределах срока действия заявок и с уведомлением Участников, подавших заявки.</w:t>
      </w:r>
      <w:bookmarkEnd w:id="109"/>
      <w:r/>
      <w:r/>
    </w:p>
    <w:p>
      <w:pPr>
        <w:pStyle w:val="1176"/>
      </w:pPr>
      <w:r>
        <w:t xml:space="preserve">Текст изменений официально размещается в течение 3</w:t>
      </w:r>
      <w:r>
        <w:t xml:space="preserve"> </w:t>
      </w:r>
      <w:r>
        <w:t xml:space="preserve">(трех) календарных дней со дня принятия решения о внесении указанных изменений.</w:t>
      </w:r>
      <w:r>
        <w:t xml:space="preserve"> В</w:t>
      </w:r>
      <w:r>
        <w:t xml:space="preserve">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r/>
    </w:p>
    <w:p>
      <w:pPr>
        <w:pStyle w:val="1176"/>
      </w:pPr>
      <w:r/>
      <w:bookmarkStart w:id="110" w:name="_Hlk135643673"/>
      <w:r>
        <w:t xml:space="preserve">При </w:t>
      </w:r>
      <w:r>
        <w:t xml:space="preserve">внесении изменений в Документацию о закупке (за исключением указанного в пункте </w:t>
      </w:r>
      <w:r>
        <w:fldChar w:fldCharType="begin"/>
      </w:r>
      <w:r>
        <w:instrText xml:space="preserve"> REF _Ref125550844 \r \h </w:instrText>
      </w:r>
      <w:r>
        <w:instrText xml:space="preserve"> \* MERGEFORMAT </w:instrText>
      </w:r>
      <w:r>
        <w:fldChar w:fldCharType="separate"/>
      </w:r>
      <w:r>
        <w:t xml:space="preserve">4.5.2</w:t>
      </w:r>
      <w:r>
        <w:fldChar w:fldCharType="end"/>
      </w:r>
      <w:r>
        <w:t xml:space="preserve">),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заявок, установленного в Положении о закупке для данного способа, а именно не </w:t>
      </w:r>
      <w:r>
        <w:t xml:space="preserve">менее</w:t>
      </w:r>
      <w:bookmarkEnd w:id="110"/>
      <w:r>
        <w:t xml:space="preserve"> 4</w:t>
      </w:r>
      <w:r>
        <w:rPr>
          <w:lang w:val="en-US"/>
        </w:rPr>
        <w:t xml:space="preserve"> </w:t>
      </w:r>
      <w:r>
        <w:t xml:space="preserve">(четырех) рабочих дней</w:t>
      </w:r>
      <w:r>
        <w:t xml:space="preserve">.</w:t>
      </w:r>
      <w:r>
        <w:t xml:space="preserve">.</w:t>
      </w:r>
      <w:r/>
    </w:p>
    <w:p>
      <w:pPr>
        <w:pStyle w:val="1176"/>
      </w:pPr>
      <w:r>
        <w:t xml:space="preserve">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r/>
    </w:p>
    <w:p>
      <w:pPr>
        <w:pStyle w:val="1175"/>
      </w:pPr>
      <w:r/>
      <w:bookmarkStart w:id="111" w:name="_Ref125362119"/>
      <w:r/>
      <w:bookmarkStart w:id="112" w:name="_Toc232579429"/>
      <w:r>
        <w:t xml:space="preserve">Подача заявок и их прием</w:t>
      </w:r>
      <w:bookmarkEnd w:id="111"/>
      <w:r/>
      <w:bookmarkEnd w:id="112"/>
      <w:r/>
      <w:r/>
    </w:p>
    <w:p>
      <w:pPr>
        <w:pStyle w:val="1176"/>
      </w:pPr>
      <w:r>
        <w:t xml:space="preserve">Участник вправе подать </w:t>
      </w:r>
      <w:r>
        <w:t xml:space="preserve">одну </w:t>
      </w:r>
      <w:r>
        <w:t xml:space="preserve">подготовленную </w:t>
      </w:r>
      <w:r>
        <w:t xml:space="preserve">заявку на участие в закупке</w:t>
      </w:r>
      <w:r>
        <w:t xml:space="preserve"> </w:t>
      </w:r>
      <w:r>
        <w:t xml:space="preserve">в</w:t>
      </w:r>
      <w:r>
        <w:t xml:space="preserve"> </w:t>
      </w:r>
      <w:r>
        <w:t xml:space="preserve">любое время начиная с</w:t>
      </w:r>
      <w:r>
        <w:t xml:space="preserve"> </w:t>
      </w:r>
      <w:r>
        <w:t xml:space="preserve">даты официального размещения Извещения и до</w:t>
      </w:r>
      <w:r>
        <w:t xml:space="preserve"> </w:t>
      </w:r>
      <w:r>
        <w:t xml:space="preserve">окончания срока подачи заявок</w:t>
      </w:r>
      <w:r>
        <w:t xml:space="preserve"> (подраздел </w:t>
      </w:r>
      <w:r>
        <w:fldChar w:fldCharType="begin"/>
      </w:r>
      <w:r>
        <w:instrText xml:space="preserve"> REF _Ref125359973 \r \h </w:instrText>
      </w:r>
      <w:r>
        <w:fldChar w:fldCharType="separate"/>
      </w:r>
      <w:r>
        <w:t xml:space="preserve">1.2</w:t>
      </w:r>
      <w:r>
        <w:fldChar w:fldCharType="end"/>
      </w:r>
      <w:r>
        <w:t xml:space="preserve">)</w:t>
      </w:r>
      <w:r>
        <w:t xml:space="preserve">. Заявки, поданные позднее установленного срока, не могут быть приняты </w:t>
      </w:r>
      <w:r>
        <w:t xml:space="preserve">Организатором</w:t>
      </w:r>
      <w:r>
        <w:t xml:space="preserve">, независимо от</w:t>
      </w:r>
      <w:r>
        <w:t xml:space="preserve"> </w:t>
      </w:r>
      <w:r>
        <w:t xml:space="preserve">причин опоздания.</w:t>
      </w:r>
      <w:r/>
    </w:p>
    <w:p>
      <w:pPr>
        <w:pStyle w:val="1176"/>
      </w:pPr>
      <w:r>
        <w:t xml:space="preserve">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t xml:space="preserve">и</w:t>
      </w:r>
      <w:r>
        <w:t xml:space="preserve"> о закупке (включая все приложения к ней).</w:t>
      </w:r>
      <w:r/>
    </w:p>
    <w:p>
      <w:pPr>
        <w:pStyle w:val="1176"/>
      </w:pPr>
      <w:r>
        <w:t xml:space="preserve">Заявка должна быть подготовлена в форме электронного документа и подана с использованием функционала ЭП</w:t>
      </w:r>
      <w:r>
        <w:t xml:space="preserve"> в доступном для прочтения формате</w:t>
      </w:r>
      <w:r>
        <w:t xml:space="preserve">.</w:t>
      </w:r>
      <w:r>
        <w:t xml:space="preserve"> При этом </w:t>
      </w:r>
      <w:r>
        <w:t xml:space="preserve">Участник должен </w:t>
      </w:r>
      <w:r>
        <w:t xml:space="preserve">сканировать документы после того, как они будут оформлены в соответствии с требованиями Документации о закупке.</w:t>
      </w:r>
      <w:r/>
    </w:p>
    <w:p>
      <w:pPr>
        <w:pStyle w:val="1176"/>
      </w:pPr>
      <w:r>
        <w:t xml:space="preserve">Заявка должна быть подписана электронной подписью лица, которое является уполномоченным представителем Участника</w:t>
      </w:r>
      <w:r>
        <w:t xml:space="preserve">.</w:t>
      </w:r>
      <w:r/>
    </w:p>
    <w:p>
      <w:pPr>
        <w:pStyle w:val="1176"/>
      </w:pPr>
      <w:r>
        <w:t xml:space="preserve">Правила </w:t>
      </w:r>
      <w:r>
        <w:t xml:space="preserve">подачи заявок</w:t>
      </w:r>
      <w:r>
        <w:t xml:space="preserve"> также</w:t>
      </w:r>
      <w:r>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 xml:space="preserve">.</w:t>
      </w:r>
      <w:r/>
    </w:p>
    <w:p>
      <w:pPr>
        <w:pStyle w:val="1176"/>
      </w:pPr>
      <w:r>
        <w:t xml:space="preserve">Е</w:t>
      </w:r>
      <w:r>
        <w:t xml:space="preserve">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r>
        <w:t xml:space="preserve">.</w:t>
      </w:r>
      <w:r/>
    </w:p>
    <w:p>
      <w:pPr>
        <w:pStyle w:val="1176"/>
      </w:pPr>
      <w:r>
        <w:t xml:space="preserve">О</w:t>
      </w:r>
      <w:r>
        <w:t xml:space="preserve">ператор ЭП до окончания срока подачи заявок обеспечивает конфиденциальность информации, содержащейся в поданных заявках.</w:t>
      </w:r>
      <w:r/>
    </w:p>
    <w:p>
      <w:pPr>
        <w:pStyle w:val="1175"/>
      </w:pPr>
      <w:r/>
      <w:bookmarkStart w:id="113" w:name="_Ref125362130"/>
      <w:r/>
      <w:bookmarkStart w:id="114" w:name="_Ref125362192"/>
      <w:r/>
      <w:bookmarkStart w:id="115" w:name="_Ref125363819"/>
      <w:r/>
      <w:bookmarkStart w:id="116" w:name="_Ref125365136"/>
      <w:r/>
      <w:bookmarkStart w:id="117" w:name="_Toc232579430"/>
      <w:r>
        <w:t xml:space="preserve">Изменение и отзыв заявок</w:t>
      </w:r>
      <w:bookmarkEnd w:id="113"/>
      <w:r/>
      <w:bookmarkEnd w:id="114"/>
      <w:r/>
      <w:bookmarkEnd w:id="115"/>
      <w:r/>
      <w:bookmarkEnd w:id="116"/>
      <w:r/>
      <w:bookmarkEnd w:id="117"/>
      <w:r/>
      <w:r/>
    </w:p>
    <w:p>
      <w:pPr>
        <w:pStyle w:val="1176"/>
      </w:pPr>
      <w:r>
        <w:t xml:space="preserve">Участник вправе изменить или отозвать поданную им ранее заявку до момента окончания срока подачи заявок. </w:t>
      </w:r>
      <w:r>
        <w:t xml:space="preserve">В</w:t>
      </w:r>
      <w:r>
        <w:t xml:space="preserve">несение изменений в заявку</w:t>
      </w:r>
      <w:r>
        <w:t xml:space="preserve">, отзыв заявки</w:t>
      </w:r>
      <w:r>
        <w:t xml:space="preserve"> </w:t>
      </w:r>
      <w:r>
        <w:t xml:space="preserve">после этого времени </w:t>
      </w:r>
      <w:r>
        <w:t xml:space="preserve">не</w:t>
      </w:r>
      <w:r>
        <w:t xml:space="preserve"> </w:t>
      </w:r>
      <w:r>
        <w:t xml:space="preserve">допускаются</w:t>
      </w:r>
      <w:r>
        <w:t xml:space="preserve">, кроме случаев, прямо предусмотренных Документацией о</w:t>
      </w:r>
      <w:r>
        <w:t xml:space="preserve"> </w:t>
      </w:r>
      <w:r>
        <w:t xml:space="preserve">закупке.</w:t>
      </w:r>
      <w:r/>
    </w:p>
    <w:p>
      <w:pPr>
        <w:pStyle w:val="1176"/>
      </w:pPr>
      <w:r>
        <w:t xml:space="preserve">Отзыв Участником ранее поданной заявки является отказом от участия в</w:t>
      </w:r>
      <w:r>
        <w:t xml:space="preserve"> </w:t>
      </w:r>
      <w:r>
        <w:t xml:space="preserve">закупке, отозванные заявки не рассматриваются Организатором</w:t>
      </w:r>
      <w:r>
        <w:t xml:space="preserve"> по существу</w:t>
      </w:r>
      <w:r>
        <w:t xml:space="preserve">.</w:t>
      </w:r>
      <w:r/>
    </w:p>
    <w:p>
      <w:pPr>
        <w:pStyle w:val="1176"/>
      </w:pPr>
      <w:r>
        <w:t xml:space="preserve">Изменение и </w:t>
      </w:r>
      <w:r>
        <w:t xml:space="preserve">отзыв Участником ранее поданной заявки </w:t>
      </w:r>
      <w:r>
        <w:t xml:space="preserve">о</w:t>
      </w:r>
      <w:r>
        <w:t xml:space="preserve">существляется в</w:t>
      </w:r>
      <w:r>
        <w:t xml:space="preserve"> </w:t>
      </w:r>
      <w:r>
        <w:t xml:space="preserve">порядке, аналогичном порядку подачи и приема заявок, установленному в подразделе </w:t>
      </w:r>
      <w:r>
        <w:fldChar w:fldCharType="begin"/>
      </w:r>
      <w:r>
        <w:instrText xml:space="preserve"> REF _Ref125362119 \w \h </w:instrText>
      </w:r>
      <w:r>
        <w:instrText xml:space="preserve"> \* MERGEFORMAT </w:instrText>
      </w:r>
      <w:r>
        <w:fldChar w:fldCharType="separate"/>
      </w:r>
      <w:r>
        <w:t xml:space="preserve">4.6</w:t>
      </w:r>
      <w:r>
        <w:fldChar w:fldCharType="end"/>
      </w:r>
      <w:r>
        <w:t xml:space="preserve">.</w:t>
      </w:r>
      <w:r/>
    </w:p>
    <w:p>
      <w:pPr>
        <w:pStyle w:val="1176"/>
      </w:pPr>
      <w:r>
        <w:t xml:space="preserve">И</w:t>
      </w:r>
      <w:r>
        <w:t xml:space="preserve">зменения и отзыв заявки осуществляется посредством функционала ЭП</w:t>
      </w:r>
      <w:r>
        <w:t xml:space="preserve"> (</w:t>
      </w:r>
      <w:r>
        <w:t xml:space="preserve">подробный порядок определяется Регламентом ЭП</w:t>
      </w:r>
      <w:r>
        <w:t xml:space="preserve">)</w:t>
      </w:r>
      <w:r>
        <w:t xml:space="preserve">.</w:t>
      </w:r>
      <w:r/>
    </w:p>
    <w:p>
      <w:pPr>
        <w:pStyle w:val="1175"/>
      </w:pPr>
      <w:r/>
      <w:bookmarkStart w:id="118" w:name="_Ref130221619"/>
      <w:r/>
      <w:bookmarkStart w:id="119" w:name="_Ref125364340"/>
      <w:r/>
      <w:bookmarkStart w:id="120" w:name="_Toc232579431"/>
      <w:r>
        <w:t xml:space="preserve">Открыти</w:t>
      </w:r>
      <w:r>
        <w:t xml:space="preserve">е</w:t>
      </w:r>
      <w:r>
        <w:t xml:space="preserve"> доступа к заявкам</w:t>
      </w:r>
      <w:bookmarkEnd w:id="118"/>
      <w:r/>
      <w:bookmarkEnd w:id="120"/>
      <w:r/>
      <w:r/>
    </w:p>
    <w:p>
      <w:pPr>
        <w:pStyle w:val="1176"/>
      </w:pPr>
      <w:r>
        <w:t xml:space="preserve">Открытие доступа к заявкам («в</w:t>
      </w:r>
      <w:r>
        <w:t xml:space="preserve">скрытие</w:t>
      </w:r>
      <w:r>
        <w:t xml:space="preserve">»</w:t>
      </w:r>
      <w:r>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t xml:space="preserve"> (</w:t>
      </w:r>
      <w:r>
        <w:t xml:space="preserve">подраздел </w:t>
      </w:r>
      <w:r>
        <w:fldChar w:fldCharType="begin"/>
      </w:r>
      <w:r>
        <w:instrText xml:space="preserve"> REF _Ref125359973 \r \h </w:instrText>
      </w:r>
      <w:r>
        <w:fldChar w:fldCharType="separate"/>
      </w:r>
      <w:r>
        <w:t xml:space="preserve">1.2</w:t>
      </w:r>
      <w:r>
        <w:fldChar w:fldCharType="end"/>
      </w:r>
      <w:r>
        <w:t xml:space="preserve">)</w:t>
      </w:r>
      <w:r>
        <w:t xml:space="preserve">.</w:t>
      </w:r>
      <w:r/>
    </w:p>
    <w:p>
      <w:pPr>
        <w:pStyle w:val="1176"/>
      </w:pPr>
      <w:r>
        <w:t xml:space="preserve">О</w:t>
      </w:r>
      <w:r>
        <w:t xml:space="preserve">ператор ЭП предоставляет Организатору доступ одновременно ко всем поданным заявкам в полном объеме.</w:t>
      </w:r>
      <w:r/>
    </w:p>
    <w:p>
      <w:pPr>
        <w:pStyle w:val="1176"/>
        <w:keepNext/>
      </w:pPr>
      <w:r>
        <w:t xml:space="preserve">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1188"/>
        </w:rPr>
        <w:footnoteReference w:id="4"/>
      </w:r>
      <w:r>
        <w:t xml:space="preserve">:</w:t>
      </w:r>
      <w:r/>
    </w:p>
    <w:p>
      <w:pPr>
        <w:pStyle w:val="1177"/>
      </w:pPr>
      <w:r>
        <w:t xml:space="preserve">дата подписания протокола;</w:t>
      </w:r>
      <w:r/>
    </w:p>
    <w:p>
      <w:pPr>
        <w:pStyle w:val="1177"/>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177"/>
      </w:pPr>
      <w:r>
        <w:t xml:space="preserve">наименование и адрес регистрации Участников, подавших заявки, </w:t>
      </w:r>
      <w:r>
        <w:t xml:space="preserve">и</w:t>
      </w:r>
      <w:r>
        <w:t xml:space="preserve"> </w:t>
      </w:r>
      <w:r>
        <w:t xml:space="preserve">(или)</w:t>
      </w:r>
      <w:r>
        <w:t xml:space="preserve"> их идентификационные номера, присваиваемые </w:t>
      </w:r>
      <w:r>
        <w:t xml:space="preserve">О</w:t>
      </w:r>
      <w:r>
        <w:t xml:space="preserve">ператором ЭП;</w:t>
      </w:r>
      <w:r/>
    </w:p>
    <w:p>
      <w:pPr>
        <w:pStyle w:val="1177"/>
      </w:pPr>
      <w:r>
        <w:t xml:space="preserve">стоимости</w:t>
      </w:r>
      <w:r>
        <w:t xml:space="preserve"> заявок (или иное указание на общую стоимость заявки);</w:t>
      </w:r>
      <w:r/>
    </w:p>
    <w:p>
      <w:pPr>
        <w:pStyle w:val="1177"/>
      </w:pPr>
      <w:r>
        <w:t xml:space="preserve">причины, </w:t>
      </w:r>
      <w:r>
        <w:t xml:space="preserve">по которым закупка признана несостоявшейся в</w:t>
      </w:r>
      <w:r>
        <w:t xml:space="preserve"> </w:t>
      </w:r>
      <w:r>
        <w:t xml:space="preserve">соответствии с</w:t>
      </w:r>
      <w:r>
        <w:t xml:space="preserve"> </w:t>
      </w:r>
      <w:r>
        <w:t xml:space="preserve">подразделом</w:t>
      </w:r>
      <w:r>
        <w:t xml:space="preserve"> </w:t>
      </w:r>
      <w:r>
        <w:fldChar w:fldCharType="begin"/>
      </w:r>
      <w:r>
        <w:instrText xml:space="preserve"> REF _Ref125364149 \w \h </w:instrText>
      </w:r>
      <w:r>
        <w:instrText xml:space="preserve"> \* MERGEFORMAT </w:instrText>
      </w:r>
      <w:r>
        <w:fldChar w:fldCharType="separate"/>
      </w:r>
      <w:r>
        <w:t xml:space="preserve">4.15</w:t>
      </w:r>
      <w:r>
        <w:fldChar w:fldCharType="end"/>
      </w:r>
      <w:r>
        <w:t xml:space="preserve"> (в случае ее признания таковой),</w:t>
      </w:r>
      <w:r/>
    </w:p>
    <w:p>
      <w:pPr>
        <w:pStyle w:val="1180"/>
        <w:ind w:left="1134"/>
      </w:pPr>
      <w:r>
        <w:t xml:space="preserve">после чего официально размещает его в течение</w:t>
      </w:r>
      <w:r>
        <w:t xml:space="preserve"> 3</w:t>
      </w:r>
      <w:r>
        <w:t xml:space="preserve"> </w:t>
      </w:r>
      <w:r>
        <w:t xml:space="preserve">(трех) календарных дней с</w:t>
      </w:r>
      <w:r>
        <w:t xml:space="preserve"> </w:t>
      </w:r>
      <w:r>
        <w:t xml:space="preserve">даты подписания такого протокола. Заседани</w:t>
      </w:r>
      <w:r>
        <w:t xml:space="preserve">е</w:t>
      </w:r>
      <w:r>
        <w:t xml:space="preserve"> Закупочной комиссии при этом не проводится</w:t>
      </w:r>
      <w:r>
        <w:t xml:space="preserve">.</w:t>
      </w:r>
      <w:r/>
    </w:p>
    <w:p>
      <w:pPr>
        <w:pStyle w:val="1176"/>
      </w:pPr>
      <w:r>
        <w:t xml:space="preserve">П</w:t>
      </w:r>
      <w:r>
        <w:t xml:space="preserve">ротокол открытия доступа к заявкам может формироваться автоматически </w:t>
      </w:r>
      <w:r>
        <w:t xml:space="preserve">О</w:t>
      </w:r>
      <w:r>
        <w:t xml:space="preserve">ператором ЭП, после чего официально размещаться в</w:t>
      </w:r>
      <w:r>
        <w:t xml:space="preserve"> </w:t>
      </w:r>
      <w:r>
        <w:t xml:space="preserve">установленном порядке. В этом случае протокол считается подписанным уполномоченным лицом Организатора</w:t>
      </w:r>
      <w:r>
        <w:t xml:space="preserve">.</w:t>
      </w:r>
      <w:r/>
    </w:p>
    <w:p>
      <w:pPr>
        <w:pStyle w:val="1176"/>
      </w:pPr>
      <w:r>
        <w:t xml:space="preserve">П</w:t>
      </w:r>
      <w:r>
        <w:t xml:space="preserve">орядок получения Участниками информации о поступивших заявках через ЭП определяется Регламентом ЭП.</w:t>
      </w:r>
      <w:r/>
    </w:p>
    <w:p>
      <w:pPr>
        <w:pStyle w:val="1175"/>
      </w:pPr>
      <w:r/>
      <w:bookmarkStart w:id="121" w:name="_Ref125362364"/>
      <w:r/>
      <w:bookmarkStart w:id="122" w:name="_Ref125366689"/>
      <w:r/>
      <w:bookmarkStart w:id="123" w:name="_Ref135749133"/>
      <w:r/>
      <w:bookmarkStart w:id="124" w:name="_Toc232579432"/>
      <w:r/>
      <w:bookmarkEnd w:id="119"/>
      <w:r>
        <w:t xml:space="preserve">Рассмотрение заявок (</w:t>
      </w:r>
      <w:r>
        <w:t xml:space="preserve">отборочная стадия</w:t>
      </w:r>
      <w:r>
        <w:t xml:space="preserve">)</w:t>
      </w:r>
      <w:bookmarkEnd w:id="121"/>
      <w:r/>
      <w:bookmarkEnd w:id="122"/>
      <w:r>
        <w:t xml:space="preserve">, </w:t>
      </w:r>
      <w:r>
        <w:t xml:space="preserve">в том числе (при</w:t>
      </w:r>
      <w:r>
        <w:t xml:space="preserve"> </w:t>
      </w:r>
      <w:r>
        <w:t xml:space="preserve">необходимости) проведение аккредитаци</w:t>
      </w:r>
      <w:r>
        <w:t xml:space="preserve">и</w:t>
      </w:r>
      <w:bookmarkEnd w:id="123"/>
      <w:r/>
      <w:bookmarkEnd w:id="124"/>
      <w:r/>
      <w:r/>
    </w:p>
    <w:p>
      <w:pPr>
        <w:pStyle w:val="1176"/>
      </w:pPr>
      <w:r>
        <w:t xml:space="preserve">Дата окончания срока рассмотрения заявок </w:t>
      </w:r>
      <w:r>
        <w:t xml:space="preserve">установлена в подразделе </w:t>
      </w:r>
      <w:r>
        <w:fldChar w:fldCharType="begin"/>
      </w:r>
      <w:r>
        <w:instrText xml:space="preserve"> REF _Ref125359973 \r \h </w:instrText>
      </w:r>
      <w:r>
        <w:fldChar w:fldCharType="separate"/>
      </w:r>
      <w:r>
        <w:t xml:space="preserve">1.2</w:t>
      </w:r>
      <w:r>
        <w:fldChar w:fldCharType="end"/>
      </w:r>
      <w:r>
        <w:t xml:space="preserve">. Организатор по согласованию с Заказчиком вправе, при необходимости, изменить </w:t>
      </w:r>
      <w:r>
        <w:t xml:space="preserve">ее</w:t>
      </w:r>
      <w:r>
        <w:t xml:space="preserve">, официально разместив информацию об этом.</w:t>
      </w:r>
      <w:r/>
    </w:p>
    <w:p>
      <w:pPr>
        <w:pStyle w:val="1176"/>
      </w:pPr>
      <w:r>
        <w:t xml:space="preserve">В рамках рассмотрения заявок (отборочной стадии) осуществляется проверка каждой заявки </w:t>
      </w:r>
      <w:r>
        <w:t xml:space="preserve">на предмет </w:t>
      </w:r>
      <w:r>
        <w:t xml:space="preserve">соответствия </w:t>
      </w:r>
      <w:hyperlink w:tooltip="#Прил07_ОтборочныеКритерии" w:anchor="Прил07_ОтборочныеКритерии" w:history="1">
        <w:r>
          <w:rPr>
            <w:rStyle w:val="1204"/>
          </w:rPr>
          <w:t xml:space="preserve">О</w:t>
        </w:r>
        <w:r>
          <w:rPr>
            <w:rStyle w:val="1204"/>
          </w:rPr>
          <w:t xml:space="preserve">тборочным критериям</w:t>
        </w:r>
        <w:r>
          <w:rPr>
            <w:rStyle w:val="1204"/>
          </w:rPr>
          <w:t xml:space="preserve"> рассмотрения заявок (Приложение № </w:t>
        </w:r>
        <w:r>
          <w:rPr>
            <w:rStyle w:val="1204"/>
          </w:rPr>
          <w:t xml:space="preserve">7</w:t>
        </w:r>
        <w:r>
          <w:rPr>
            <w:rStyle w:val="1204"/>
          </w:rPr>
          <w:t xml:space="preserve">)</w:t>
        </w:r>
      </w:hyperlink>
      <w:r>
        <w:t xml:space="preserve">, </w:t>
      </w:r>
      <w:r>
        <w:t xml:space="preserve">в том числе </w:t>
      </w:r>
      <w:r>
        <w:t xml:space="preserve">проводится </w:t>
      </w:r>
      <w:r>
        <w:t xml:space="preserve">процедура </w:t>
      </w:r>
      <w:r>
        <w:t xml:space="preserve">аккредитаци</w:t>
      </w:r>
      <w:r>
        <w:t xml:space="preserve">и</w:t>
      </w:r>
      <w:r>
        <w:t xml:space="preserve"> Участников (при необходимости)</w:t>
      </w:r>
      <w:r>
        <w:t xml:space="preserve">.</w:t>
      </w:r>
      <w:r/>
    </w:p>
    <w:p>
      <w:pPr>
        <w:pStyle w:val="1176"/>
      </w:pPr>
      <w:r>
        <w:t xml:space="preserve">Рассмотрение заявок проводится на основании представленных в составе заявки документов и свед</w:t>
      </w:r>
      <w:r>
        <w:t xml:space="preserve">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r/>
    </w:p>
    <w:p>
      <w:pPr>
        <w:pStyle w:val="1176"/>
        <w:keepNext/>
      </w:pPr>
      <w:r>
        <w:t xml:space="preserve">При выявлении в рамках рассмотрения заявок наличия арифметических ошибок</w:t>
      </w:r>
      <w:r>
        <w:t xml:space="preserve">, </w:t>
      </w:r>
      <w:r>
        <w:t xml:space="preserve">в том числе</w:t>
      </w:r>
      <w:r>
        <w:t xml:space="preserve">:</w:t>
      </w:r>
      <w:r/>
    </w:p>
    <w:p>
      <w:pPr>
        <w:pStyle w:val="1177"/>
      </w:pPr>
      <w:r>
        <w:t xml:space="preserve">в результате суммирования единичных расценок</w:t>
      </w:r>
      <w:r>
        <w:t xml:space="preserve">;</w:t>
      </w:r>
      <w:r/>
    </w:p>
    <w:p>
      <w:pPr>
        <w:pStyle w:val="1177"/>
      </w:pPr>
      <w:r>
        <w:t xml:space="preserve">в итогах </w:t>
      </w:r>
      <w:r>
        <w:t xml:space="preserve">умножения единичных расценок на объем продукции</w:t>
      </w:r>
      <w:r>
        <w:t xml:space="preserve">;</w:t>
      </w:r>
      <w:r/>
    </w:p>
    <w:p>
      <w:pPr>
        <w:pStyle w:val="1177"/>
      </w:pPr>
      <w:r>
        <w:t xml:space="preserve">в вычислении </w:t>
      </w:r>
      <w:r>
        <w:t xml:space="preserve">суммы НДС и итоговой </w:t>
      </w:r>
      <w:r>
        <w:t xml:space="preserve">стоимости</w:t>
      </w:r>
      <w:r>
        <w:t xml:space="preserve"> заявки с учетом НДС</w:t>
      </w:r>
      <w:r>
        <w:t xml:space="preserve">;</w:t>
      </w:r>
      <w:r/>
    </w:p>
    <w:p>
      <w:pPr>
        <w:pStyle w:val="1177"/>
      </w:pPr>
      <w:r>
        <w:t xml:space="preserve">иных внутренних противоречий в составе заявки</w:t>
      </w:r>
      <w:r>
        <w:t xml:space="preserve">,</w:t>
      </w:r>
      <w:r/>
    </w:p>
    <w:p>
      <w:pPr>
        <w:pStyle w:val="1180"/>
        <w:ind w:left="1134"/>
      </w:pPr>
      <w:r>
        <w:t xml:space="preserve">Организатор исходит из</w:t>
      </w:r>
      <w:r>
        <w:t xml:space="preserve"> </w:t>
      </w:r>
      <w:r>
        <w:t xml:space="preserve">преимущества общей итоговой </w:t>
      </w:r>
      <w:r>
        <w:t xml:space="preserve">стоимости</w:t>
      </w:r>
      <w:r>
        <w:t xml:space="preserve"> (без учета НДС), указанной в</w:t>
      </w:r>
      <w:r>
        <w:t xml:space="preserve"> </w:t>
      </w:r>
      <w:r>
        <w:t xml:space="preserve">структурированных формах на</w:t>
      </w:r>
      <w:r>
        <w:t xml:space="preserve"> </w:t>
      </w:r>
      <w:r>
        <w:t xml:space="preserve">ЭП</w:t>
      </w:r>
      <w:r>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t xml:space="preserve">При</w:t>
      </w:r>
      <w:r>
        <w:t xml:space="preserve"> </w:t>
      </w:r>
      <w:r>
        <w:t xml:space="preserve">уклонении Участника от заключения договора на вышеуказанных условиях</w:t>
      </w:r>
      <w:r>
        <w:t xml:space="preserve"> </w:t>
      </w:r>
      <w:r>
        <w:t xml:space="preserve">заявка такого Участника подлежит отклонению решени</w:t>
      </w:r>
      <w:r>
        <w:t xml:space="preserve">ем</w:t>
      </w:r>
      <w:r>
        <w:t xml:space="preserve"> Закупочной комиссии.</w:t>
      </w:r>
      <w:r/>
    </w:p>
    <w:p>
      <w:pPr>
        <w:pStyle w:val="1176"/>
        <w:keepNext/>
      </w:pPr>
      <w:r/>
      <w:bookmarkStart w:id="125" w:name="_Ref125551456"/>
      <w:r>
        <w:t xml:space="preserve">По результатам рассмотрения заявок (проведения отборочной стадии) Закупочная комиссия отклоняет заявки по следующим основаниям:</w:t>
      </w:r>
      <w:bookmarkEnd w:id="125"/>
      <w:r/>
      <w:r/>
    </w:p>
    <w:p>
      <w:pPr>
        <w:pStyle w:val="1177"/>
      </w:pPr>
      <w:r>
        <w:t xml:space="preserve">несоответствие по составу</w:t>
      </w:r>
      <w:r>
        <w:rPr>
          <w:rStyle w:val="1188"/>
        </w:rPr>
        <w:footnoteReference w:id="5"/>
      </w:r>
      <w:r>
        <w:t xml:space="preserve">, содержанию и </w:t>
      </w:r>
      <w:r>
        <w:t xml:space="preserve">соблюдению требований Документации о закупке к подготовке (оформлению) заявки</w:t>
      </w:r>
      <w:r>
        <w:t xml:space="preserve">, в том числе наличие</w:t>
      </w:r>
      <w:r>
        <w:t xml:space="preserve">:</w:t>
      </w:r>
      <w:r/>
    </w:p>
    <w:p>
      <w:pPr>
        <w:pStyle w:val="1178"/>
      </w:pPr>
      <w:r>
        <w:t xml:space="preserve">недостоверных сведений</w:t>
      </w:r>
      <w:r>
        <w:rPr>
          <w:rStyle w:val="1188"/>
        </w:rPr>
        <w:footnoteReference w:id="6"/>
      </w:r>
      <w:r>
        <w:t xml:space="preserve"> или намеренно искаженной информации или документов</w:t>
      </w:r>
      <w:r>
        <w:t xml:space="preserve">;</w:t>
      </w:r>
      <w:r/>
    </w:p>
    <w:p>
      <w:pPr>
        <w:pStyle w:val="1178"/>
      </w:pPr>
      <w:r>
        <w:t xml:space="preserve">внутренних противоречий между различными частями </w:t>
      </w:r>
      <w:r>
        <w:t xml:space="preserve">и</w:t>
      </w:r>
      <w:r>
        <w:t xml:space="preserve"> (</w:t>
      </w:r>
      <w:r>
        <w:t xml:space="preserve">или</w:t>
      </w:r>
      <w:r>
        <w:t xml:space="preserve">)</w:t>
      </w:r>
      <w:r>
        <w:t xml:space="preserve"> документами заявки, в том числе по тексту внутри одного документа;</w:t>
      </w:r>
      <w:r/>
    </w:p>
    <w:p>
      <w:pPr>
        <w:pStyle w:val="1178"/>
      </w:pPr>
      <w:r>
        <w:t xml:space="preserve">противоречий между документами заявки и сведениями, указанными Участником в структурированных формах на ЭП</w:t>
      </w:r>
      <w:r>
        <w:t xml:space="preserve">;</w:t>
      </w:r>
      <w:r/>
    </w:p>
    <w:p>
      <w:pPr>
        <w:pStyle w:val="1177"/>
      </w:pPr>
      <w:r>
        <w:t xml:space="preserve">несоответствие Участников требованиям Документации о закупке;</w:t>
      </w:r>
      <w:r/>
    </w:p>
    <w:p>
      <w:pPr>
        <w:pStyle w:val="1177"/>
      </w:pPr>
      <w:r>
        <w:t xml:space="preserve">несоответствие привлекаемых субподрядчиков (соисполнителей)</w:t>
      </w:r>
      <w:r>
        <w:t xml:space="preserve"> </w:t>
      </w:r>
      <w:r>
        <w:t xml:space="preserve">требованиям Документации о </w:t>
      </w:r>
      <w:r>
        <w:t xml:space="preserve">закупке;</w:t>
      </w:r>
      <w:r/>
    </w:p>
    <w:p>
      <w:pPr>
        <w:pStyle w:val="1177"/>
      </w:pPr>
      <w:r>
        <w:t xml:space="preserve">несоответствие предлагаемой продукции требованиям Документации о</w:t>
      </w:r>
      <w:r>
        <w:t xml:space="preserve"> </w:t>
      </w:r>
      <w:r>
        <w:t xml:space="preserve">закупке, в том числе порядка описания такой продукции</w:t>
      </w:r>
      <w:r>
        <w:t xml:space="preserve"> </w:t>
      </w:r>
      <w:r>
        <w:t xml:space="preserve">(включая требования по предоставлению информации и перечня документов, которые подтверждают страну происхождения товара – для случаев запрета или ограничения, установленных законодательством о</w:t>
      </w:r>
      <w:r>
        <w:t xml:space="preserve"> </w:t>
      </w:r>
      <w:r>
        <w:t xml:space="preserve">национальном режиме)</w:t>
      </w:r>
      <w:r>
        <w:t xml:space="preserve">;</w:t>
      </w:r>
      <w:r/>
    </w:p>
    <w:p>
      <w:pPr>
        <w:pStyle w:val="1177"/>
      </w:pPr>
      <w:r>
        <w:t xml:space="preserve">несоответствие предлагаемых договорных условий требованиям Документации о закупке, в том числе превышение </w:t>
      </w:r>
      <w:r>
        <w:t xml:space="preserve">стоимости</w:t>
      </w:r>
      <w:r>
        <w:t xml:space="preserve"> заявки</w:t>
      </w:r>
      <w:r>
        <w:t xml:space="preserve"> (цены Договора)</w:t>
      </w:r>
      <w:r>
        <w:t xml:space="preserve"> </w:t>
      </w:r>
      <w:r>
        <w:t xml:space="preserve">над установленным </w:t>
      </w:r>
      <w:r>
        <w:t xml:space="preserve">размер</w:t>
      </w:r>
      <w:r>
        <w:t xml:space="preserve">ом</w:t>
      </w:r>
      <w:r>
        <w:t xml:space="preserve"> НМЦ;</w:t>
      </w:r>
      <w:r/>
    </w:p>
    <w:p>
      <w:pPr>
        <w:pStyle w:val="1177"/>
      </w:pPr>
      <w:r>
        <w:t xml:space="preserve">несоответствие размера</w:t>
      </w:r>
      <w:r>
        <w:t xml:space="preserve">, формы, условий и порядка предоставления обеспечения заявки.</w:t>
      </w:r>
      <w:r/>
    </w:p>
    <w:p>
      <w:pPr>
        <w:pStyle w:val="1176"/>
      </w:pPr>
      <w:r>
        <w:t xml:space="preserve">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t xml:space="preserve"> (</w:t>
      </w:r>
      <w:r>
        <w:t xml:space="preserve">подраздел </w:t>
      </w:r>
      <w:r>
        <w:fldChar w:fldCharType="begin"/>
      </w:r>
      <w:r>
        <w:instrText xml:space="preserve"> REF _Ref125359973 \r \h </w:instrText>
      </w:r>
      <w:r>
        <w:fldChar w:fldCharType="separate"/>
      </w:r>
      <w:r>
        <w:t xml:space="preserve">1.2</w:t>
      </w:r>
      <w:r>
        <w:fldChar w:fldCharType="end"/>
      </w:r>
      <w:r>
        <w:t xml:space="preserve">, </w:t>
      </w:r>
      <w:r>
        <w:t xml:space="preserve">подраздел </w:t>
      </w:r>
      <w:r>
        <w:fldChar w:fldCharType="begin"/>
      </w:r>
      <w:r>
        <w:instrText xml:space="preserve"> REF _Ref125362430 \r \h </w:instrText>
      </w:r>
      <w:r>
        <w:fldChar w:fldCharType="separate"/>
      </w:r>
      <w:r>
        <w:t xml:space="preserve">4.11</w:t>
      </w:r>
      <w:r>
        <w:fldChar w:fldCharType="end"/>
      </w:r>
      <w:r>
        <w:t xml:space="preserve">)</w:t>
      </w:r>
      <w:r>
        <w:t xml:space="preserve">. В</w:t>
      </w:r>
      <w:r>
        <w:t xml:space="preserve"> </w:t>
      </w:r>
      <w:r>
        <w:t xml:space="preserve">данном случае оценка и </w:t>
      </w:r>
      <w:r>
        <w:t xml:space="preserve">сопоставление заявок, а также их предварительная </w:t>
      </w:r>
      <w:r>
        <w:t xml:space="preserve">ранжировка</w:t>
      </w:r>
      <w:r>
        <w:t xml:space="preserve"> осуществляются в соответствии с</w:t>
      </w:r>
      <w:r>
        <w:t xml:space="preserve"> </w:t>
      </w:r>
      <w:r>
        <w:t xml:space="preserve">подраздел</w:t>
      </w:r>
      <w:r>
        <w:t xml:space="preserve">а</w:t>
      </w:r>
      <w:r>
        <w:t xml:space="preserve">м</w:t>
      </w:r>
      <w:r>
        <w:t xml:space="preserve">и</w:t>
      </w:r>
      <w:r>
        <w:t xml:space="preserve"> </w:t>
      </w:r>
      <w:r>
        <w:fldChar w:fldCharType="begin"/>
      </w:r>
      <w:r>
        <w:instrText xml:space="preserve"> REF _Ref125362626 \w \h  \* MERGEFORMAT </w:instrText>
      </w:r>
      <w:r>
        <w:fldChar w:fldCharType="separate"/>
      </w:r>
      <w:r>
        <w:t xml:space="preserve">4.12</w:t>
      </w:r>
      <w:r>
        <w:fldChar w:fldCharType="end"/>
      </w:r>
      <w:r>
        <w:t xml:space="preserve">,</w:t>
      </w:r>
      <w:r>
        <w:t xml:space="preserve"> </w:t>
      </w:r>
      <w:r>
        <w:fldChar w:fldCharType="begin"/>
      </w:r>
      <w:r>
        <w:instrText xml:space="preserve"> REF _Ref130985951 \r \h </w:instrText>
      </w:r>
      <w:r>
        <w:fldChar w:fldCharType="separate"/>
      </w:r>
      <w:r>
        <w:t xml:space="preserve">4.13</w:t>
      </w:r>
      <w:r>
        <w:fldChar w:fldCharType="end"/>
      </w:r>
      <w:r>
        <w:t xml:space="preserve">,</w:t>
      </w:r>
      <w:r>
        <w:t xml:space="preserve"> на основании представленных в составе заявки документов и сведений (включая </w:t>
      </w:r>
      <w:r>
        <w:t xml:space="preserve">стоимост</w:t>
      </w:r>
      <w:r>
        <w:t xml:space="preserve">ь</w:t>
      </w:r>
      <w:r>
        <w:t xml:space="preserve"> заявки</w:t>
      </w:r>
      <w:r>
        <w:t xml:space="preserve"> (цен</w:t>
      </w:r>
      <w:r>
        <w:t xml:space="preserve">у</w:t>
      </w:r>
      <w:r>
        <w:t xml:space="preserve"> Договора)</w:t>
      </w:r>
      <w:r>
        <w:t xml:space="preserve">).</w:t>
      </w:r>
      <w:r/>
    </w:p>
    <w:p>
      <w:pPr>
        <w:pStyle w:val="1176"/>
        <w:keepNext/>
      </w:pPr>
      <w:r>
        <w:t xml:space="preserve">Решение Закупочной комиссии по рассмотрению заявок оформляется протоколом, в котором, как минимум, указываются</w:t>
      </w:r>
      <w:r>
        <w:rPr>
          <w:rStyle w:val="1188"/>
        </w:rPr>
        <w:footnoteReference w:id="7"/>
      </w:r>
      <w:r>
        <w:t xml:space="preserve">:</w:t>
      </w:r>
      <w:r/>
    </w:p>
    <w:p>
      <w:pPr>
        <w:pStyle w:val="1177"/>
      </w:pPr>
      <w:r>
        <w:t xml:space="preserve">дата подписания протокола;</w:t>
      </w:r>
      <w:r/>
    </w:p>
    <w:p>
      <w:pPr>
        <w:pStyle w:val="1177"/>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177"/>
      </w:pPr>
      <w:r>
        <w:t xml:space="preserve">наименования Участников, подавших заявки, </w:t>
      </w:r>
      <w:r>
        <w:t xml:space="preserve">и</w:t>
      </w:r>
      <w:r>
        <w:t xml:space="preserve"> (</w:t>
      </w:r>
      <w:r>
        <w:t xml:space="preserve">или</w:t>
      </w:r>
      <w:r>
        <w:t xml:space="preserve">)</w:t>
      </w:r>
      <w:r>
        <w:t xml:space="preserve"> их идентификационные номера, присваиваемые </w:t>
      </w:r>
      <w:r>
        <w:t xml:space="preserve">О</w:t>
      </w:r>
      <w:r>
        <w:t xml:space="preserve">ператором ЭП;</w:t>
      </w:r>
      <w:r/>
    </w:p>
    <w:p>
      <w:pPr>
        <w:pStyle w:val="1177"/>
        <w:keepNext/>
      </w:pPr>
      <w:r>
        <w:t xml:space="preserve">результаты рассмотрения заявок с указанием, в том числе:</w:t>
      </w:r>
      <w:r/>
    </w:p>
    <w:p>
      <w:pPr>
        <w:pStyle w:val="1178"/>
      </w:pPr>
      <w:r>
        <w:t xml:space="preserve">количества заявок, которые были отклонены;</w:t>
      </w:r>
      <w:r/>
    </w:p>
    <w:p>
      <w:pPr>
        <w:pStyle w:val="1178"/>
      </w:pPr>
      <w:r>
        <w:t xml:space="preserve">оснований отклонения каждой заявки с указанием положений Документации о закупке, которым не соответствует такая заявка</w:t>
      </w:r>
      <w:r>
        <w:t xml:space="preserve">;</w:t>
      </w:r>
      <w:r/>
    </w:p>
    <w:p>
      <w:pPr>
        <w:pStyle w:val="1177"/>
      </w:pPr>
      <w:r>
        <w:t xml:space="preserve">причины, по </w:t>
      </w:r>
      <w:r>
        <w:t xml:space="preserve">которым закупка признана несостоявшейся в соответствии с</w:t>
      </w:r>
      <w:r>
        <w:t xml:space="preserve"> </w:t>
      </w:r>
      <w:r>
        <w:t xml:space="preserve">подразделом</w:t>
      </w:r>
      <w:r>
        <w:t xml:space="preserve"> </w:t>
      </w:r>
      <w:r>
        <w:fldChar w:fldCharType="begin"/>
      </w:r>
      <w:r>
        <w:instrText xml:space="preserve"> REF _Ref125364149 \w \h </w:instrText>
      </w:r>
      <w:r>
        <w:instrText xml:space="preserve"> \* MERGEFORMAT </w:instrText>
      </w:r>
      <w:r>
        <w:fldChar w:fldCharType="separate"/>
      </w:r>
      <w:r>
        <w:t xml:space="preserve">4.15</w:t>
      </w:r>
      <w:r>
        <w:fldChar w:fldCharType="end"/>
      </w:r>
      <w:r>
        <w:t xml:space="preserve"> (в случае ее признания таковой);</w:t>
      </w:r>
      <w:r/>
    </w:p>
    <w:p>
      <w:pPr>
        <w:pStyle w:val="1177"/>
        <w:keepNext/>
      </w:pPr>
      <w:r>
        <w:t xml:space="preserve">результаты предварите</w:t>
      </w:r>
      <w:r>
        <w:t xml:space="preserve">льной оценки и сопоставления допущенных заявок</w:t>
      </w:r>
      <w:r>
        <w:t xml:space="preserve"> – в случае принятия решения о проведении переторжки</w:t>
      </w:r>
      <w:r>
        <w:t xml:space="preserve">, с</w:t>
      </w:r>
      <w:r>
        <w:t xml:space="preserve"> </w:t>
      </w:r>
      <w:r>
        <w:t xml:space="preserve">указанием, в том числе:</w:t>
      </w:r>
      <w:r/>
    </w:p>
    <w:p>
      <w:pPr>
        <w:pStyle w:val="1178"/>
      </w:pPr>
      <w:r>
        <w:t xml:space="preserve">значения (в баллах), присвоенного каждой заявке по каждому из</w:t>
      </w:r>
      <w:r>
        <w:t xml:space="preserve"> </w:t>
      </w:r>
      <w:r>
        <w:t xml:space="preserve">предусмотренных критериев оценки, установленных в</w:t>
      </w:r>
      <w:r>
        <w:t xml:space="preserve"> </w:t>
      </w:r>
      <w:r>
        <w:t xml:space="preserve">Документации о закупке;</w:t>
      </w:r>
      <w:r/>
    </w:p>
    <w:p>
      <w:pPr>
        <w:pStyle w:val="1178"/>
      </w:pPr>
      <w:r>
        <w:t xml:space="preserve">порядкового номера каждой допущенной заявки в предварительной </w:t>
      </w:r>
      <w:r>
        <w:t xml:space="preserve">ранжировке</w:t>
      </w:r>
      <w:r>
        <w:t xml:space="preserve"> заявок, включая </w:t>
      </w:r>
      <w:r>
        <w:t xml:space="preserve">стоимость</w:t>
      </w:r>
      <w:r>
        <w:t xml:space="preserve"> заявки</w:t>
      </w:r>
      <w:r>
        <w:t xml:space="preserve"> (цен</w:t>
      </w:r>
      <w:r>
        <w:t xml:space="preserve">у</w:t>
      </w:r>
      <w:r>
        <w:t xml:space="preserve"> Договора)</w:t>
      </w:r>
      <w:r>
        <w:t xml:space="preserve">;</w:t>
      </w:r>
      <w:r/>
    </w:p>
    <w:p>
      <w:pPr>
        <w:pStyle w:val="1177"/>
      </w:pPr>
      <w:r/>
      <w:bookmarkStart w:id="126" w:name="_Ref125551524"/>
      <w:r>
        <w:t xml:space="preserve">решение о проведении или </w:t>
      </w:r>
      <w:r>
        <w:t xml:space="preserve">непроведении</w:t>
      </w:r>
      <w:r>
        <w:t xml:space="preserve"> переторжки,</w:t>
      </w:r>
      <w:bookmarkEnd w:id="126"/>
      <w:r/>
      <w:r/>
    </w:p>
    <w:p>
      <w:pPr>
        <w:pStyle w:val="1180"/>
        <w:ind w:left="1134"/>
      </w:pPr>
      <w:r>
        <w:t xml:space="preserve">после чего Организатор официально размещает его в течение 3</w:t>
      </w:r>
      <w:r>
        <w:t xml:space="preserve"> </w:t>
      </w:r>
      <w:r>
        <w:t xml:space="preserve">(трех) календарных дней с даты подписания такого протокола.</w:t>
      </w:r>
      <w:r/>
    </w:p>
    <w:p>
      <w:pPr>
        <w:pStyle w:val="1176"/>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t xml:space="preserve">и</w:t>
      </w:r>
      <w:r>
        <w:t xml:space="preserve"> (</w:t>
      </w:r>
      <w:r>
        <w:t xml:space="preserve">или</w:t>
      </w:r>
      <w:r>
        <w:t xml:space="preserve">)</w:t>
      </w:r>
      <w:r>
        <w:t xml:space="preserve"> оценки и сопоставления своей заявки в порядке, аналогичном </w:t>
      </w:r>
      <w:r>
        <w:t xml:space="preserve">порядку направления запросов на разъяснение Документации о</w:t>
      </w:r>
      <w:r>
        <w:t xml:space="preserve"> </w:t>
      </w:r>
      <w:r>
        <w:t xml:space="preserve">закупке (подраздел</w:t>
      </w:r>
      <w:r>
        <w:t xml:space="preserve"> </w:t>
      </w:r>
      <w:r>
        <w:fldChar w:fldCharType="begin"/>
      </w:r>
      <w:r>
        <w:instrText xml:space="preserve"> REF _Ref130394785 \r \h </w:instrText>
      </w:r>
      <w:r>
        <w:fldChar w:fldCharType="separate"/>
      </w:r>
      <w:r>
        <w:t xml:space="preserve">4.4</w:t>
      </w:r>
      <w:r>
        <w:fldChar w:fldCharType="end"/>
      </w:r>
      <w:r>
        <w:t xml:space="preserve">). Организатор в течение 10</w:t>
      </w:r>
      <w:r>
        <w:t xml:space="preserve"> </w:t>
      </w:r>
      <w:r>
        <w:t xml:space="preserve">(десяти) рабочих дней со</w:t>
      </w:r>
      <w:r>
        <w:t xml:space="preserve"> </w:t>
      </w:r>
      <w:r>
        <w:t xml:space="preserve">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t xml:space="preserve">предоставляются.</w:t>
      </w:r>
      <w:r/>
    </w:p>
    <w:p>
      <w:pPr>
        <w:pStyle w:val="1176"/>
      </w:pPr>
      <w:r>
        <w:t xml:space="preserve">Е</w:t>
      </w:r>
      <w:r>
        <w:t xml:space="preserve">сли рассмотрение </w:t>
      </w:r>
      <w:r>
        <w:t xml:space="preserve">заявок</w:t>
      </w:r>
      <w:r>
        <w:t xml:space="preserve">, оценка и сопоставление заявок, а также подведение итогов закупки осуществляются одновременно, отдельный протокол по</w:t>
      </w:r>
      <w:r>
        <w:t xml:space="preserve"> </w:t>
      </w:r>
      <w:r>
        <w:t xml:space="preserve">результатам рассмотрения заявок может не</w:t>
      </w:r>
      <w:r>
        <w:t xml:space="preserve"> оформляться, а</w:t>
      </w:r>
      <w:r>
        <w:t xml:space="preserve"> </w:t>
      </w:r>
      <w:r>
        <w:t xml:space="preserve">соответствующая информация подлежит обязательному включению в</w:t>
      </w:r>
      <w:r>
        <w:t xml:space="preserve"> </w:t>
      </w:r>
      <w:r>
        <w:t xml:space="preserve">итоговый протокол по</w:t>
      </w:r>
      <w:r>
        <w:t xml:space="preserve"> </w:t>
      </w:r>
      <w:r>
        <w:t xml:space="preserve">результатам закупки.</w:t>
      </w:r>
      <w:r/>
    </w:p>
    <w:p>
      <w:pPr>
        <w:pStyle w:val="1176"/>
      </w:pPr>
      <w:r>
        <w:t xml:space="preserve">Если основания для отклонения заявки, </w:t>
      </w:r>
      <w:r>
        <w:t xml:space="preserve">указанные в пункте</w:t>
      </w:r>
      <w:r>
        <w:t xml:space="preserve"> </w:t>
      </w:r>
      <w:r>
        <w:fldChar w:fldCharType="begin"/>
      </w:r>
      <w:r>
        <w:instrText xml:space="preserve"> REF _Ref125551456 \w \h </w:instrText>
      </w:r>
      <w:r>
        <w:instrText xml:space="preserve"> \* MERGEFORMAT </w:instrText>
      </w:r>
      <w:r>
        <w:fldChar w:fldCharType="separate"/>
      </w:r>
      <w:r>
        <w:t xml:space="preserve">4.9.5</w:t>
      </w:r>
      <w:r>
        <w:fldChar w:fldCharType="end"/>
      </w:r>
      <w:r>
        <w:t xml:space="preserve">,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t xml:space="preserve"> </w:t>
      </w:r>
      <w:r>
        <w:t xml:space="preserve">отдельный или ближайший ко времени события протокол</w:t>
      </w:r>
      <w:r>
        <w:t xml:space="preserve"> закупки</w:t>
      </w:r>
      <w:r>
        <w:t xml:space="preserve">.</w:t>
      </w:r>
      <w:r/>
    </w:p>
    <w:p>
      <w:pPr>
        <w:pStyle w:val="1175"/>
      </w:pPr>
      <w:r/>
      <w:bookmarkStart w:id="127" w:name="_Ref125362381"/>
      <w:r/>
      <w:bookmarkStart w:id="128" w:name="_Ref125362425"/>
      <w:r/>
      <w:bookmarkStart w:id="129" w:name="_Ref125362464"/>
      <w:r/>
      <w:bookmarkStart w:id="130" w:name="_Ref125362610"/>
      <w:r/>
      <w:bookmarkStart w:id="131" w:name="_Toc232579433"/>
      <w:r>
        <w:t xml:space="preserve">Дополнительные запросы разъяснений заявок</w:t>
      </w:r>
      <w:bookmarkEnd w:id="127"/>
      <w:r/>
      <w:bookmarkEnd w:id="128"/>
      <w:r/>
      <w:bookmarkEnd w:id="129"/>
      <w:r/>
      <w:bookmarkEnd w:id="130"/>
      <w:r/>
      <w:bookmarkEnd w:id="131"/>
      <w:r/>
      <w:r/>
    </w:p>
    <w:p>
      <w:pPr>
        <w:pStyle w:val="1176"/>
      </w:pPr>
      <w:r/>
      <w:bookmarkStart w:id="132" w:name="_Ref125365611"/>
      <w:r>
        <w:t xml:space="preserve">В рамках процедуры рассмотрения</w:t>
      </w:r>
      <w:r>
        <w:t xml:space="preserve"> заявок</w:t>
      </w:r>
      <w:r>
        <w:t xml:space="preserve">,</w:t>
      </w:r>
      <w:r>
        <w:t xml:space="preserve"> оценки и сопоставления заявок Организатор вправе направить в адрес Участника дополнительный запрос разъяснений </w:t>
      </w:r>
      <w:r>
        <w:t xml:space="preserve">и</w:t>
      </w:r>
      <w:r>
        <w:t xml:space="preserve"> (</w:t>
      </w:r>
      <w:r>
        <w:t xml:space="preserve">или</w:t>
      </w:r>
      <w:r>
        <w:t xml:space="preserve">)</w:t>
      </w:r>
      <w:r>
        <w:t xml:space="preserve"> дополнени</w:t>
      </w:r>
      <w:r>
        <w:t xml:space="preserve">й</w:t>
      </w:r>
      <w:r>
        <w:t xml:space="preserve"> его заявки, влияющи</w:t>
      </w:r>
      <w:r>
        <w:t xml:space="preserve">х</w:t>
      </w:r>
      <w:r>
        <w:t xml:space="preserve"> на отклонение или оценку и сопоставление его заявки, в следующих случаях:</w:t>
      </w:r>
      <w:bookmarkEnd w:id="132"/>
      <w:r/>
      <w:r/>
    </w:p>
    <w:p>
      <w:pPr>
        <w:pStyle w:val="1177"/>
        <w:keepNext/>
      </w:pPr>
      <w:r>
        <w:t xml:space="preserve">в составе заявки отсутствуют, представлены не</w:t>
      </w:r>
      <w:r>
        <w:t xml:space="preserve"> </w:t>
      </w:r>
      <w:r>
        <w:t xml:space="preserve">в</w:t>
      </w:r>
      <w:r>
        <w:t xml:space="preserve"> </w:t>
      </w:r>
      <w:r>
        <w:t xml:space="preserve">полном объеме или в</w:t>
      </w:r>
      <w:r>
        <w:t xml:space="preserve"> </w:t>
      </w:r>
      <w:r>
        <w:t xml:space="preserve">нечитаемом виде документы или сведения, необходимые</w:t>
      </w:r>
      <w:r>
        <w:t xml:space="preserve"> для определения</w:t>
      </w:r>
      <w:r>
        <w:t xml:space="preserve">:</w:t>
      </w:r>
      <w:r/>
    </w:p>
    <w:p>
      <w:pPr>
        <w:pStyle w:val="1178"/>
      </w:pPr>
      <w:r>
        <w:t xml:space="preserve">соответствия Участника требованиям</w:t>
      </w:r>
      <w:r>
        <w:t xml:space="preserve"> </w:t>
      </w:r>
      <w:r>
        <w:t xml:space="preserve">Документации о закупке</w:t>
      </w:r>
      <w:r>
        <w:t xml:space="preserve">;</w:t>
      </w:r>
      <w:r/>
    </w:p>
    <w:p>
      <w:pPr>
        <w:pStyle w:val="1178"/>
      </w:pPr>
      <w:r>
        <w:t xml:space="preserve">наличия соответствующих полномочий на подписани</w:t>
      </w:r>
      <w:r>
        <w:t xml:space="preserve">е</w:t>
      </w:r>
      <w:r>
        <w:t xml:space="preserve"> заявки от</w:t>
      </w:r>
      <w:r>
        <w:t xml:space="preserve"> </w:t>
      </w:r>
      <w:r>
        <w:t xml:space="preserve">имени Участника у лица, подписавшего заявку</w:t>
      </w:r>
      <w:r>
        <w:t xml:space="preserve">;</w:t>
      </w:r>
      <w:r/>
    </w:p>
    <w:p>
      <w:pPr>
        <w:pStyle w:val="1178"/>
      </w:pPr>
      <w:r>
        <w:t xml:space="preserve">соответствия заявки требованиям Документации о закупке в части характеристик предлагаемой продукции и договорных условий, расчета цены </w:t>
      </w:r>
      <w:r>
        <w:t xml:space="preserve">Д</w:t>
      </w:r>
      <w:r>
        <w:t xml:space="preserve">оговора;</w:t>
      </w:r>
      <w:r/>
    </w:p>
    <w:p>
      <w:pPr>
        <w:pStyle w:val="1177"/>
      </w:pPr>
      <w:r/>
      <w:bookmarkStart w:id="133" w:name="_Ref134702259"/>
      <w:r>
        <w:t xml:space="preserve">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r/>
    </w:p>
    <w:p>
      <w:pPr>
        <w:pStyle w:val="1177"/>
      </w:pPr>
      <w:r>
        <w:t xml:space="preserve">в заявке имеются разночтения или положения, допускающие неоднозначное толкование, не позволяющие определить соответствие заявки или Участника</w:t>
      </w:r>
      <w:r>
        <w:t xml:space="preserve"> (в том числе не позволяющие провести в отношении него процедуру аккредитации (при необходимости)</w:t>
      </w:r>
      <w:r>
        <w:rPr>
          <w:rStyle w:val="1188"/>
        </w:rPr>
        <w:footnoteReference w:id="8"/>
      </w:r>
      <w:r>
        <w:t xml:space="preserve">)</w:t>
      </w:r>
      <w:r>
        <w:t xml:space="preserve"> требованиям Документации о закупке или осуществить оценку и сопоставление заявок</w:t>
      </w:r>
      <w:r>
        <w:t xml:space="preserve">.</w:t>
      </w:r>
      <w:bookmarkEnd w:id="133"/>
      <w:r/>
      <w:r/>
    </w:p>
    <w:p>
      <w:pPr>
        <w:pStyle w:val="1176"/>
      </w:pPr>
      <w:r>
        <w:t xml:space="preserve">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t xml:space="preserve">й</w:t>
      </w:r>
      <w:r>
        <w:t xml:space="preserve"> его заявки, влияющи</w:t>
      </w:r>
      <w:r>
        <w:t xml:space="preserve">х</w:t>
      </w:r>
      <w:r>
        <w:t xml:space="preserve"> на прохождени</w:t>
      </w:r>
      <w:r>
        <w:t xml:space="preserve">е</w:t>
      </w:r>
      <w:r>
        <w:t xml:space="preserve"> аккредитации таким Участником (в том числе в случае</w:t>
      </w:r>
      <w:r>
        <w:t xml:space="preserve">,</w:t>
      </w:r>
      <w:r>
        <w:t xml:space="preserve"> </w:t>
      </w:r>
      <w:r>
        <w:t xml:space="preserve">указанном в </w:t>
      </w:r>
      <w:r>
        <w:t xml:space="preserve">подпункт</w:t>
      </w:r>
      <w:r>
        <w:t xml:space="preserve">е</w:t>
      </w:r>
      <w:r>
        <w:t xml:space="preserve"> </w:t>
      </w:r>
      <w:r>
        <w:fldChar w:fldCharType="begin"/>
      </w:r>
      <w:r>
        <w:instrText xml:space="preserve"> REF  _Ref134702259 \d ( \h \r </w:instrText>
      </w:r>
      <w:r>
        <w:fldChar w:fldCharType="separate"/>
      </w:r>
      <w:r>
        <w:t xml:space="preserve">4.10.1(б)</w:t>
      </w:r>
      <w:r>
        <w:fldChar w:fldCharType="end"/>
      </w:r>
      <w:r>
        <w:t xml:space="preserve">).</w:t>
      </w:r>
      <w:r/>
    </w:p>
    <w:p>
      <w:pPr>
        <w:pStyle w:val="1176"/>
      </w:pPr>
      <w:r>
        <w:t xml:space="preserve">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r/>
    </w:p>
    <w:p>
      <w:pPr>
        <w:pStyle w:val="1176"/>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t xml:space="preserve">Участникам </w:t>
      </w:r>
      <w:r>
        <w:t xml:space="preserve">закупки.</w:t>
      </w:r>
      <w:r/>
    </w:p>
    <w:p>
      <w:pPr>
        <w:pStyle w:val="1176"/>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t xml:space="preserve">направляются Участнику если в</w:t>
      </w:r>
      <w:r>
        <w:t xml:space="preserve"> </w:t>
      </w:r>
      <w:r>
        <w:t xml:space="preserve">соответствии с</w:t>
      </w:r>
      <w:r>
        <w:t xml:space="preserve"> </w:t>
      </w:r>
      <w:r>
        <w:t xml:space="preserve">пункт</w:t>
      </w:r>
      <w:r>
        <w:t xml:space="preserve">ом</w:t>
      </w:r>
      <w:r>
        <w:t xml:space="preserve"> </w:t>
      </w:r>
      <w:r>
        <w:fldChar w:fldCharType="begin"/>
      </w:r>
      <w:r>
        <w:instrText xml:space="preserve"> REF _Ref125551456 \w \h </w:instrText>
      </w:r>
      <w:r>
        <w:instrText xml:space="preserve"> \* MERGEFORMAT </w:instrText>
      </w:r>
      <w:r>
        <w:fldChar w:fldCharType="separate"/>
      </w:r>
      <w:r>
        <w:t xml:space="preserve">4.9.5</w:t>
      </w:r>
      <w:r>
        <w:fldChar w:fldCharType="end"/>
      </w:r>
      <w:r>
        <w:t xml:space="preserve"> имеются прямые основания для</w:t>
      </w:r>
      <w:r>
        <w:t xml:space="preserve"> </w:t>
      </w:r>
      <w:r>
        <w:t xml:space="preserve">отклонения заявки такого Участника, не относящ</w:t>
      </w:r>
      <w:r>
        <w:t xml:space="preserve">иеся к случаям, перечисленным в</w:t>
      </w:r>
      <w:r>
        <w:t xml:space="preserve"> </w:t>
      </w:r>
      <w:r>
        <w:t xml:space="preserve">пункте</w:t>
      </w:r>
      <w:r>
        <w:t xml:space="preserve"> </w:t>
      </w:r>
      <w:r>
        <w:fldChar w:fldCharType="begin"/>
      </w:r>
      <w:r>
        <w:instrText xml:space="preserve"> REF _Ref125365611 \w \h </w:instrText>
      </w:r>
      <w:r>
        <w:fldChar w:fldCharType="separate"/>
      </w:r>
      <w:r>
        <w:t xml:space="preserve">4.10.1</w:t>
      </w:r>
      <w:r>
        <w:fldChar w:fldCharType="end"/>
      </w:r>
      <w:r>
        <w:t xml:space="preserve">.</w:t>
      </w:r>
      <w:r/>
    </w:p>
    <w:p>
      <w:pPr>
        <w:pStyle w:val="1176"/>
      </w:pPr>
      <w:r>
        <w:t xml:space="preserve">Срок предоставления </w:t>
      </w:r>
      <w:r>
        <w:t xml:space="preserve">Участниками </w:t>
      </w:r>
      <w:r>
        <w:t xml:space="preserve">разъяснений своих заявок устанавливается одинаковый для всех и составляет не менее 2</w:t>
      </w:r>
      <w:r>
        <w:t xml:space="preserve"> </w:t>
      </w:r>
      <w:r>
        <w:t xml:space="preserve">(двух) рабочих дней с момента направления запроса в адрес Участника.</w:t>
      </w:r>
      <w:r/>
    </w:p>
    <w:p>
      <w:pPr>
        <w:pStyle w:val="1176"/>
      </w:pPr>
      <w:r>
        <w:t xml:space="preserve">Направление Организатором </w:t>
      </w:r>
      <w:r>
        <w:t xml:space="preserve">дополнительных</w:t>
      </w:r>
      <w:r>
        <w:t xml:space="preserve"> запросов и ответов Участников на данные запросы осуществляется</w:t>
      </w:r>
      <w:r>
        <w:t xml:space="preserve"> </w:t>
      </w:r>
      <w:r>
        <w:t xml:space="preserve">с помощью программных и технических средств ЭП в порядке, предусмотренном Регламентом ЭП</w:t>
      </w:r>
      <w:r>
        <w:t xml:space="preserve"> (о</w:t>
      </w:r>
      <w:r>
        <w:t xml:space="preserve">тветы Участников, поступившие не через ЭП, к рассмотрению не принимаются</w:t>
      </w:r>
      <w:r>
        <w:t xml:space="preserve">)</w:t>
      </w:r>
      <w:r>
        <w:t xml:space="preserve">.</w:t>
      </w:r>
      <w:r/>
    </w:p>
    <w:p>
      <w:pPr>
        <w:pStyle w:val="1176"/>
      </w:pPr>
      <w:r>
        <w:t xml:space="preserve">Непредставление или представление не в полном объеме запрашиваемых документов </w:t>
      </w:r>
      <w:r>
        <w:t xml:space="preserve">и</w:t>
      </w:r>
      <w:r>
        <w:t xml:space="preserve"> (</w:t>
      </w:r>
      <w:r>
        <w:t xml:space="preserve">или</w:t>
      </w:r>
      <w:r>
        <w:t xml:space="preserve">)</w:t>
      </w:r>
      <w:r>
        <w:t xml:space="preserve"> разъяснений</w:t>
      </w:r>
      <w:r>
        <w:t xml:space="preserve"> </w:t>
      </w:r>
      <w:r>
        <w:t xml:space="preserve">в установленный в запросе срок </w:t>
      </w:r>
      <w:r>
        <w:t xml:space="preserve">служит основанием для отклонения заявки такого Участника по</w:t>
      </w:r>
      <w:r>
        <w:t xml:space="preserve"> </w:t>
      </w:r>
      <w:r>
        <w:t xml:space="preserve">условиям пункт</w:t>
      </w:r>
      <w:r>
        <w:t xml:space="preserve">а</w:t>
      </w:r>
      <w:r>
        <w:t xml:space="preserve"> </w:t>
      </w:r>
      <w:r>
        <w:fldChar w:fldCharType="begin"/>
      </w:r>
      <w:r>
        <w:instrText xml:space="preserve"> REF _Ref125551456 \w \h </w:instrText>
      </w:r>
      <w:r>
        <w:instrText xml:space="preserve"> \* MERGEFORMAT </w:instrText>
      </w:r>
      <w:r>
        <w:fldChar w:fldCharType="separate"/>
      </w:r>
      <w:r>
        <w:t xml:space="preserve">4.9.5</w:t>
      </w:r>
      <w:r>
        <w:fldChar w:fldCharType="end"/>
      </w:r>
      <w:r>
        <w:t xml:space="preserve">.</w:t>
      </w:r>
      <w:r/>
    </w:p>
    <w:p>
      <w:pPr>
        <w:pStyle w:val="1175"/>
      </w:pPr>
      <w:r/>
      <w:bookmarkStart w:id="134" w:name="_Ref125362430"/>
      <w:r/>
      <w:bookmarkStart w:id="135" w:name="_Ref125362537"/>
      <w:r/>
      <w:bookmarkStart w:id="136" w:name="_Ref127536359"/>
      <w:r/>
      <w:bookmarkStart w:id="137" w:name="_Toc232579434"/>
      <w:r>
        <w:t xml:space="preserve">Переторжка</w:t>
      </w:r>
      <w:bookmarkEnd w:id="134"/>
      <w:r/>
      <w:bookmarkEnd w:id="135"/>
      <w:r/>
      <w:bookmarkEnd w:id="136"/>
      <w:r/>
      <w:bookmarkEnd w:id="137"/>
      <w:r/>
      <w:r/>
    </w:p>
    <w:p>
      <w:pPr>
        <w:pStyle w:val="1176"/>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p>
    <w:p>
      <w:pPr>
        <w:pStyle w:val="1176"/>
      </w:pPr>
      <w:r>
        <w:t xml:space="preserve">Р</w:t>
      </w:r>
      <w:r>
        <w:t xml:space="preserve">ешение о проведении процедуры переторжки, а также ее предмете, сроках и форме ее проведения принимает Закупочная комиссия </w:t>
      </w:r>
      <w:r>
        <w:t xml:space="preserve">(</w:t>
      </w:r>
      <w:r>
        <w:t xml:space="preserve">и фиксирует в</w:t>
      </w:r>
      <w:r>
        <w:t xml:space="preserve"> </w:t>
      </w:r>
      <w:r>
        <w:t xml:space="preserve">протоколе рассмотрения заявок</w:t>
      </w:r>
      <w:r>
        <w:t xml:space="preserve">)</w:t>
      </w:r>
      <w:r>
        <w:t xml:space="preserve">.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 xml:space="preserve">.</w:t>
      </w:r>
      <w:r/>
    </w:p>
    <w:p>
      <w:pPr>
        <w:pStyle w:val="1176"/>
        <w:keepNext/>
      </w:pPr>
      <w:r>
        <w:t xml:space="preserve">П</w:t>
      </w:r>
      <w:r>
        <w:t xml:space="preserve">редметом переторжки могут являться следующие условия (или их сочетания), позволяющие повысить предпочтительность поданных заявок:</w:t>
      </w:r>
      <w:r/>
    </w:p>
    <w:p>
      <w:pPr>
        <w:pStyle w:val="1177"/>
      </w:pPr>
      <w:r>
        <w:t xml:space="preserve">стоимость</w:t>
      </w:r>
      <w:r>
        <w:t xml:space="preserve"> заявки</w:t>
      </w:r>
      <w:r>
        <w:t xml:space="preserve"> (цена Договора)</w:t>
      </w:r>
      <w:r>
        <w:t xml:space="preserve"> </w:t>
      </w:r>
      <w:r>
        <w:t xml:space="preserve">/ </w:t>
      </w:r>
      <w:r>
        <w:t xml:space="preserve">цена за единицу продукции;</w:t>
      </w:r>
      <w:r/>
    </w:p>
    <w:p>
      <w:pPr>
        <w:pStyle w:val="1177"/>
      </w:pPr>
      <w:r>
        <w:t xml:space="preserve">сроки поставки продукции;</w:t>
      </w:r>
      <w:r/>
    </w:p>
    <w:p>
      <w:pPr>
        <w:pStyle w:val="1177"/>
      </w:pPr>
      <w:r>
        <w:t xml:space="preserve">условия оплаты;</w:t>
      </w:r>
      <w:r/>
    </w:p>
    <w:p>
      <w:pPr>
        <w:pStyle w:val="1177"/>
      </w:pPr>
      <w:r>
        <w:t xml:space="preserve">иные условия, которые являются критериями оценки заявок.</w:t>
      </w:r>
      <w:r/>
    </w:p>
    <w:p>
      <w:pPr>
        <w:pStyle w:val="1180"/>
        <w:ind w:left="1134"/>
      </w:pPr>
      <w:r>
        <w:t xml:space="preserve">При этом предметом переторжки не могут быть условия, которые не</w:t>
      </w:r>
      <w:r>
        <w:t xml:space="preserve"> </w:t>
      </w:r>
      <w:r>
        <w:t xml:space="preserve">входят в</w:t>
      </w:r>
      <w:r>
        <w:t xml:space="preserve"> </w:t>
      </w:r>
      <w:r>
        <w:t xml:space="preserve">состав критериев оценки в соответствии с</w:t>
      </w:r>
      <w:r>
        <w:t xml:space="preserve"> </w:t>
      </w:r>
      <w:r>
        <w:t xml:space="preserve">Документацией о</w:t>
      </w:r>
      <w:r>
        <w:t xml:space="preserve"> </w:t>
      </w:r>
      <w:r>
        <w:t xml:space="preserve">закупке</w:t>
      </w:r>
      <w:r>
        <w:t xml:space="preserve">.</w:t>
      </w:r>
      <w:r/>
    </w:p>
    <w:p>
      <w:pPr>
        <w:pStyle w:val="1176"/>
      </w:pPr>
      <w:r>
        <w:t xml:space="preserve">П</w:t>
      </w:r>
      <w:r>
        <w:t xml:space="preserve">ри проведении переторжки п</w:t>
      </w:r>
      <w:r>
        <w:t xml:space="preserve">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 xml:space="preserve">.</w:t>
      </w:r>
      <w:r/>
    </w:p>
    <w:p>
      <w:pPr>
        <w:pStyle w:val="1176"/>
      </w:pPr>
      <w:r>
        <w:t xml:space="preserve">В</w:t>
      </w:r>
      <w:r>
        <w:t xml:space="preserve"> переторжке может принять участие любой Участник, заявка которого не была отклонена по результатам рассмотрения заявок.</w:t>
      </w:r>
      <w:r/>
    </w:p>
    <w:p>
      <w:pPr>
        <w:pStyle w:val="1176"/>
      </w:pPr>
      <w:r>
        <w:t xml:space="preserve">Участник, допущенный к переторжке, вправе не принимать в ней участия, при</w:t>
      </w:r>
      <w:r>
        <w:t xml:space="preserve"> </w:t>
      </w:r>
      <w:r>
        <w:t xml:space="preserve">этом его заявка не отклоняется и действует на предложенных в ней условиях в течение срока, </w:t>
      </w:r>
      <w:r>
        <w:t xml:space="preserve">указанного в Письме о подаче оферты</w:t>
      </w:r>
      <w:r>
        <w:t xml:space="preserve"> (форма 2) (</w:t>
      </w:r>
      <w:hyperlink w:tooltip="#Прил04_ФормыЗаявки" w:anchor="Прил04_ФормыЗаявки" w:history="1">
        <w:r>
          <w:rPr>
            <w:rStyle w:val="1204"/>
          </w:rPr>
          <w:t xml:space="preserve">Приложение № </w:t>
        </w:r>
        <w:r>
          <w:rPr>
            <w:rStyle w:val="1204"/>
          </w:rPr>
          <w:t xml:space="preserve">4</w:t>
        </w:r>
      </w:hyperlink>
      <w:r>
        <w:t xml:space="preserve">)</w:t>
      </w:r>
      <w:r>
        <w:t xml:space="preserve">.</w:t>
      </w:r>
      <w:r/>
    </w:p>
    <w:p>
      <w:pPr>
        <w:pStyle w:val="1176"/>
      </w:pPr>
      <w:r>
        <w:t xml:space="preserve">П</w:t>
      </w:r>
      <w:r>
        <w:t xml:space="preserve">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 xml:space="preserve">.</w:t>
      </w:r>
      <w:r/>
    </w:p>
    <w:p>
      <w:pPr>
        <w:pStyle w:val="1176"/>
      </w:pPr>
      <w:r>
        <w:t xml:space="preserve">И</w:t>
      </w:r>
      <w:r>
        <w:t xml:space="preserve">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t xml:space="preserve">собой отклонения (в сторону ухудшения) от требований, условий Заказчика, описанных в Документации о закупке, коммерческих интересов Заказчика. При</w:t>
      </w:r>
      <w:r>
        <w:t xml:space="preserve"> </w:t>
      </w:r>
      <w:r>
        <w:t xml:space="preserve">наличии таких отклонений заявка Участника рассматривается с ранее заявленными условиями.</w:t>
      </w:r>
      <w:r/>
    </w:p>
    <w:p>
      <w:pPr>
        <w:pStyle w:val="1176"/>
      </w:pPr>
      <w:r>
        <w:t xml:space="preserve">Участник не</w:t>
      </w:r>
      <w:r>
        <w:t xml:space="preserve"> </w:t>
      </w:r>
      <w:r>
        <w:t xml:space="preserve">вправе изменять </w:t>
      </w:r>
      <w:r>
        <w:t xml:space="preserve">и</w:t>
      </w:r>
      <w:r>
        <w:t xml:space="preserve"> (</w:t>
      </w:r>
      <w:r>
        <w:t xml:space="preserve">или</w:t>
      </w:r>
      <w:r>
        <w:t xml:space="preserve">)</w:t>
      </w:r>
      <w:r>
        <w:t xml:space="preserve"> отзывать поданные предложения на</w:t>
      </w:r>
      <w:r>
        <w:t xml:space="preserve"> </w:t>
      </w:r>
      <w:r>
        <w:t xml:space="preserve">переторжку после окончания ее проведения</w:t>
      </w:r>
      <w:r>
        <w:t xml:space="preserve">.</w:t>
      </w:r>
      <w:r/>
    </w:p>
    <w:p>
      <w:pPr>
        <w:pStyle w:val="1176"/>
      </w:pPr>
      <w:r>
        <w:t xml:space="preserve">У</w:t>
      </w:r>
      <w:r>
        <w:t xml:space="preserve">частие в </w:t>
      </w:r>
      <w:r>
        <w:t xml:space="preserve">переторжке не расценивается Организатором как нарушение требований</w:t>
      </w:r>
      <w:r>
        <w:t xml:space="preserve"> о </w:t>
      </w:r>
      <w:r>
        <w:t xml:space="preserve">прав</w:t>
      </w:r>
      <w:r>
        <w:t xml:space="preserve">е</w:t>
      </w:r>
      <w:r>
        <w:t xml:space="preserve"> </w:t>
      </w:r>
      <w:r>
        <w:t xml:space="preserve">подачи </w:t>
      </w:r>
      <w:r>
        <w:t xml:space="preserve">Участник</w:t>
      </w:r>
      <w:r>
        <w:t xml:space="preserve">ом</w:t>
      </w:r>
      <w:r>
        <w:t xml:space="preserve"> </w:t>
      </w:r>
      <w:r>
        <w:t xml:space="preserve">не более одной</w:t>
      </w:r>
      <w:r>
        <w:t xml:space="preserve"> заявк</w:t>
      </w:r>
      <w:r>
        <w:t xml:space="preserve">и</w:t>
      </w:r>
      <w:r>
        <w:t xml:space="preserve">.</w:t>
      </w:r>
      <w:r>
        <w:t xml:space="preserve"> Предложения, </w:t>
      </w:r>
      <w:r>
        <w:t xml:space="preserve">заявленные Участниками в</w:t>
      </w:r>
      <w:r>
        <w:t xml:space="preserve"> </w:t>
      </w:r>
      <w:r>
        <w:t xml:space="preserve">ходе переторжки, имеют статус разрешенных изменений в ранее поданную заявку.</w:t>
      </w:r>
      <w:r/>
    </w:p>
    <w:p>
      <w:pPr>
        <w:pStyle w:val="1176"/>
      </w:pPr>
      <w:r>
        <w:t xml:space="preserve">Процедура переторжки проводится на ЭП в порядке, предусмотренном настоящим подразделом и Регламентом ЭП.</w:t>
      </w:r>
      <w:r/>
    </w:p>
    <w:p>
      <w:pPr>
        <w:pStyle w:val="1176"/>
        <w:keepNext/>
      </w:pPr>
      <w:r>
        <w:t xml:space="preserve">В зависимости от правил, предусмотренных Регламентом Э</w:t>
      </w:r>
      <w:r>
        <w:t xml:space="preserve">П</w:t>
      </w:r>
      <w:r>
        <w:t xml:space="preserve">, переторжка может проводиться</w:t>
      </w:r>
      <w:r>
        <w:t xml:space="preserve">:</w:t>
      </w:r>
      <w:r/>
    </w:p>
    <w:p>
      <w:pPr>
        <w:pStyle w:val="1177"/>
      </w:pPr>
      <w:r>
        <w:t xml:space="preserve">в заочной форме путем однократной подачи предложения на переторжку к установленному </w:t>
      </w:r>
      <w:r>
        <w:t xml:space="preserve">сроку;</w:t>
      </w:r>
      <w:r/>
    </w:p>
    <w:p>
      <w:pPr>
        <w:pStyle w:val="1177"/>
      </w:pPr>
      <w:r>
        <w:t xml:space="preserve">в очной форме путем неоднократного снижения </w:t>
      </w:r>
      <w:r>
        <w:t xml:space="preserve">стоимости заявки (цены Договора)</w:t>
      </w:r>
      <w:r>
        <w:t xml:space="preserve"> или улучшения других показателей</w:t>
      </w:r>
      <w:r>
        <w:t xml:space="preserve">, в том числе</w:t>
      </w:r>
      <w:r>
        <w:t xml:space="preserve"> с</w:t>
      </w:r>
      <w:r>
        <w:t xml:space="preserve"> </w:t>
      </w:r>
      <w:r>
        <w:t xml:space="preserve">установлением «шага» переторжки</w:t>
      </w:r>
      <w:r>
        <w:t xml:space="preserve">.</w:t>
      </w:r>
      <w:r/>
    </w:p>
    <w:p>
      <w:pPr>
        <w:pStyle w:val="1176"/>
      </w:pPr>
      <w:r>
        <w:t xml:space="preserve">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t xml:space="preserve"> посредством ЭП</w:t>
      </w:r>
      <w:r>
        <w:t xml:space="preserve">. В уведомлении указывается срок окончания подачи Участниками предложений на переторжку.</w:t>
      </w:r>
      <w:r/>
    </w:p>
    <w:p>
      <w:pPr>
        <w:pStyle w:val="1176"/>
      </w:pPr>
      <w:r>
        <w:t xml:space="preserve">Участник, желающий принять участие в переторжке, должен в срок, установленный Закупочной комиссией</w:t>
      </w:r>
      <w:r>
        <w:t xml:space="preserve">,</w:t>
      </w:r>
      <w:r>
        <w:t xml:space="preserve"> предоставить свои предложения на переторжку.</w:t>
      </w:r>
      <w:r/>
    </w:p>
    <w:p>
      <w:pPr>
        <w:pStyle w:val="1176"/>
      </w:pPr>
      <w:r/>
      <w:bookmarkStart w:id="138" w:name="_Ref136245191"/>
      <w:r>
        <w:t xml:space="preserve">При заочной </w:t>
      </w:r>
      <w:r>
        <w:t xml:space="preserve">форме </w:t>
      </w:r>
      <w:r>
        <w:t xml:space="preserve">переторжки</w:t>
      </w:r>
      <w:r>
        <w:t xml:space="preserve"> Участник вместе с пр</w:t>
      </w:r>
      <w:r>
        <w:t xml:space="preserve">ед</w:t>
      </w:r>
      <w:r>
        <w:t xml:space="preserve">ложением на переторжку размещает на ЭП </w:t>
      </w:r>
      <w:r>
        <w:t xml:space="preserve">документы своей заявки</w:t>
      </w:r>
      <w:r>
        <w:t xml:space="preserve">,</w:t>
      </w:r>
      <w:r>
        <w:t xml:space="preserve"> указанные в</w:t>
      </w:r>
      <w:r>
        <w:t xml:space="preserve"> </w:t>
      </w:r>
      <w:r>
        <w:t xml:space="preserve">пункте</w:t>
      </w:r>
      <w:r>
        <w:t xml:space="preserve"> </w:t>
      </w:r>
      <w:r>
        <w:fldChar w:fldCharType="begin"/>
      </w:r>
      <w:r>
        <w:instrText xml:space="preserve"> REF _Ref136244167 \r \h </w:instrText>
      </w:r>
      <w:r>
        <w:fldChar w:fldCharType="separate"/>
      </w:r>
      <w:r>
        <w:t xml:space="preserve">4.11.17</w:t>
      </w:r>
      <w:r>
        <w:fldChar w:fldCharType="end"/>
      </w:r>
      <w:r>
        <w:t xml:space="preserve">, подлежащие корректировке в строгом соответствии с</w:t>
      </w:r>
      <w:r>
        <w:t xml:space="preserve"> </w:t>
      </w:r>
      <w:r>
        <w:t xml:space="preserve">предложени</w:t>
      </w:r>
      <w:r>
        <w:t xml:space="preserve">е</w:t>
      </w:r>
      <w:r>
        <w:t xml:space="preserve">м, заявленным</w:t>
      </w:r>
      <w:r>
        <w:t xml:space="preserve"> им</w:t>
      </w:r>
      <w:r>
        <w:t xml:space="preserve"> в ходе проведения переторжки</w:t>
      </w:r>
      <w:r>
        <w:t xml:space="preserve">.</w:t>
      </w:r>
      <w:bookmarkEnd w:id="138"/>
      <w:r/>
      <w:r/>
    </w:p>
    <w:p>
      <w:pPr>
        <w:pStyle w:val="1176"/>
      </w:pPr>
      <w:r>
        <w:t xml:space="preserve">При </w:t>
      </w:r>
      <w:r>
        <w:t xml:space="preserve">очной</w:t>
      </w:r>
      <w:r>
        <w:t xml:space="preserve"> </w:t>
      </w:r>
      <w:r>
        <w:t xml:space="preserve">форме </w:t>
      </w:r>
      <w:r>
        <w:t xml:space="preserve">переторжки Участник</w:t>
      </w:r>
      <w:r>
        <w:t xml:space="preserve">,</w:t>
      </w:r>
      <w:r>
        <w:t xml:space="preserve"> </w:t>
      </w:r>
      <w:r>
        <w:t xml:space="preserve">признанный Победителем, при</w:t>
      </w:r>
      <w:r>
        <w:t xml:space="preserve"> </w:t>
      </w:r>
      <w:r>
        <w:t xml:space="preserve">условии</w:t>
      </w:r>
      <w:r>
        <w:t xml:space="preserve">,</w:t>
      </w:r>
      <w:r>
        <w:t xml:space="preserve"> что он принимал участие в переторжк</w:t>
      </w:r>
      <w:r>
        <w:t xml:space="preserve">е</w:t>
      </w:r>
      <w:r>
        <w:t xml:space="preserve">, обязан предоставить </w:t>
      </w:r>
      <w:r>
        <w:t xml:space="preserve">З</w:t>
      </w:r>
      <w:r>
        <w:t xml:space="preserve">аказчику в </w:t>
      </w:r>
      <w:r>
        <w:t xml:space="preserve">сроки, определенные подразделом </w:t>
      </w:r>
      <w:r>
        <w:fldChar w:fldCharType="begin"/>
      </w:r>
      <w:r>
        <w:instrText xml:space="preserve"> REF _Ref138232981 \r \h </w:instrText>
      </w:r>
      <w:r>
        <w:fldChar w:fldCharType="separate"/>
      </w:r>
      <w:r>
        <w:t xml:space="preserve">5.2</w:t>
      </w:r>
      <w:r>
        <w:fldChar w:fldCharType="end"/>
      </w:r>
      <w:r>
        <w:t xml:space="preserve">,</w:t>
      </w:r>
      <w:r>
        <w:t xml:space="preserve"> </w:t>
      </w:r>
      <w:r>
        <w:t xml:space="preserve">документы своей заявки</w:t>
      </w:r>
      <w:r>
        <w:t xml:space="preserve">,</w:t>
      </w:r>
      <w:r>
        <w:t xml:space="preserve"> указанные в</w:t>
      </w:r>
      <w:r>
        <w:t xml:space="preserve"> </w:t>
      </w:r>
      <w:r>
        <w:t xml:space="preserve">пункте</w:t>
      </w:r>
      <w:r>
        <w:t xml:space="preserve"> </w:t>
      </w:r>
      <w:r>
        <w:fldChar w:fldCharType="begin"/>
      </w:r>
      <w:r>
        <w:instrText xml:space="preserve"> REF _Ref136244167 \r \h </w:instrText>
      </w:r>
      <w:r>
        <w:fldChar w:fldCharType="separate"/>
      </w:r>
      <w:r>
        <w:t xml:space="preserve">4.11.17</w:t>
      </w:r>
      <w:r>
        <w:fldChar w:fldCharType="end"/>
      </w:r>
      <w:r>
        <w:t xml:space="preserve">, подлежащие корректировке в строгом соответствии с</w:t>
      </w:r>
      <w:r>
        <w:t xml:space="preserve"> </w:t>
      </w:r>
      <w:r>
        <w:t xml:space="preserve">предложени</w:t>
      </w:r>
      <w:r>
        <w:t xml:space="preserve">е</w:t>
      </w:r>
      <w:r>
        <w:t xml:space="preserve">м, заявленным</w:t>
      </w:r>
      <w:r>
        <w:t xml:space="preserve"> им</w:t>
      </w:r>
      <w:r>
        <w:t xml:space="preserve"> в ходе проведения переторжки</w:t>
      </w:r>
      <w:r>
        <w:t xml:space="preserve"> (в том числе, последним по времени </w:t>
      </w:r>
      <w:r>
        <w:t xml:space="preserve">стоимостным</w:t>
      </w:r>
      <w:r>
        <w:t xml:space="preserve"> предложением, заявленным в</w:t>
      </w:r>
      <w:r>
        <w:t xml:space="preserve"> </w:t>
      </w:r>
      <w:r>
        <w:t xml:space="preserve">ходе проведения переторжки)</w:t>
      </w:r>
      <w:r>
        <w:t xml:space="preserve">.</w:t>
      </w:r>
      <w:r/>
    </w:p>
    <w:p>
      <w:pPr>
        <w:pStyle w:val="1176"/>
        <w:keepNext/>
      </w:pPr>
      <w:r/>
      <w:bookmarkStart w:id="139" w:name="_Ref136244167"/>
      <w:r>
        <w:t xml:space="preserve">Документы заявки, </w:t>
      </w:r>
      <w:r>
        <w:t xml:space="preserve">подлежащие корректировке </w:t>
      </w:r>
      <w:r>
        <w:t xml:space="preserve">по результатам</w:t>
      </w:r>
      <w:r>
        <w:t xml:space="preserve"> переторжки</w:t>
      </w:r>
      <w:r>
        <w:t xml:space="preserve">:</w:t>
      </w:r>
      <w:bookmarkEnd w:id="139"/>
      <w:r/>
      <w:r/>
    </w:p>
    <w:p>
      <w:pPr>
        <w:pStyle w:val="1177"/>
      </w:pPr>
      <w:r/>
      <w:bookmarkStart w:id="140" w:name="_Ref130376111"/>
      <w:r>
        <w:t xml:space="preserve">Письмо о подаче оферты (форма 2) (</w:t>
      </w:r>
      <w:hyperlink w:tooltip="#Прил04_ФормыЗаявки" w:anchor="Прил04_ФормыЗаявки" w:history="1">
        <w:r>
          <w:rPr>
            <w:rStyle w:val="1204"/>
          </w:rPr>
          <w:t xml:space="preserve">Приложение № </w:t>
        </w:r>
        <w:r>
          <w:rPr>
            <w:rStyle w:val="1204"/>
          </w:rPr>
          <w:t xml:space="preserve">4</w:t>
        </w:r>
      </w:hyperlink>
      <w:r>
        <w:t xml:space="preserve">);</w:t>
      </w:r>
      <w:r/>
    </w:p>
    <w:p>
      <w:pPr>
        <w:pStyle w:val="1177"/>
      </w:pPr>
      <w:r>
        <w:t xml:space="preserve">Коммерческое предложение (форма 3) (</w:t>
      </w:r>
      <w:hyperlink w:tooltip="#Прил04_ФормыЗаявки" w:anchor="Прил04_ФормыЗаявки" w:history="1">
        <w:r>
          <w:rPr>
            <w:rStyle w:val="1204"/>
          </w:rPr>
          <w:t xml:space="preserve">Приложение № </w:t>
        </w:r>
        <w:r>
          <w:rPr>
            <w:rStyle w:val="1204"/>
          </w:rPr>
          <w:t xml:space="preserve">4</w:t>
        </w:r>
      </w:hyperlink>
      <w:r>
        <w:t xml:space="preserve">)</w:t>
      </w:r>
      <w:r>
        <w:t xml:space="preserve">; также</w:t>
      </w:r>
      <w:r>
        <w:t xml:space="preserve"> дополнительно</w:t>
      </w:r>
      <w:r>
        <w:t xml:space="preserve"> предоставляется</w:t>
      </w:r>
      <w:r>
        <w:t xml:space="preserve"> </w:t>
      </w:r>
      <w:r>
        <w:t xml:space="preserve">подтверждающая документация, составленная в</w:t>
      </w:r>
      <w:r>
        <w:t xml:space="preserve"> </w:t>
      </w:r>
      <w:r>
        <w:t xml:space="preserve">соответствии </w:t>
      </w:r>
      <w:r>
        <w:t xml:space="preserve">с </w:t>
      </w:r>
      <w:hyperlink w:tooltip="#Прил01_ТехТребования" w:anchor="Прил01_ТехТребования" w:history="1">
        <w:r>
          <w:rPr>
            <w:rStyle w:val="1204"/>
          </w:rPr>
          <w:t xml:space="preserve">Техническими требования</w:t>
        </w:r>
        <w:r>
          <w:rPr>
            <w:rStyle w:val="1204"/>
          </w:rPr>
          <w:t xml:space="preserve">ми</w:t>
        </w:r>
        <w:r>
          <w:rPr>
            <w:rStyle w:val="1204"/>
          </w:rPr>
          <w:t xml:space="preserve"> (Приложение № 1)</w:t>
        </w:r>
      </w:hyperlink>
      <w:r>
        <w:t xml:space="preserve"> – только если в</w:t>
      </w:r>
      <w:r>
        <w:t xml:space="preserve"> </w:t>
      </w:r>
      <w:r>
        <w:t xml:space="preserve">Технических требованиях установлены требования </w:t>
      </w:r>
      <w:r>
        <w:t xml:space="preserve">к</w:t>
      </w:r>
      <w:r>
        <w:t xml:space="preserve"> </w:t>
      </w:r>
      <w:r>
        <w:t xml:space="preserve">документации по ценообразованию</w:t>
      </w:r>
      <w:r>
        <w:t xml:space="preserve"> (подраздел «</w:t>
      </w:r>
      <w:r>
        <w:t xml:space="preserve">Требования </w:t>
      </w:r>
      <w:r>
        <w:t xml:space="preserve">к</w:t>
      </w:r>
      <w:r>
        <w:t xml:space="preserve"> </w:t>
      </w:r>
      <w:r>
        <w:t xml:space="preserve">документации по</w:t>
      </w:r>
      <w:r>
        <w:t xml:space="preserve"> </w:t>
      </w:r>
      <w:r>
        <w:t xml:space="preserve">ценообразованию на этапе закупки</w:t>
      </w:r>
      <w:r>
        <w:t xml:space="preserve">»)</w:t>
      </w:r>
      <w:r>
        <w:t xml:space="preserve">,</w:t>
      </w:r>
      <w:r>
        <w:t xml:space="preserve"> либо аналогичные по</w:t>
      </w:r>
      <w:r>
        <w:t xml:space="preserve"> </w:t>
      </w:r>
      <w:r>
        <w:t xml:space="preserve">смыслу</w:t>
      </w:r>
      <w:r>
        <w:t xml:space="preserve">;</w:t>
      </w:r>
      <w:r/>
    </w:p>
    <w:p>
      <w:pPr>
        <w:pStyle w:val="1177"/>
      </w:pPr>
      <w:r>
        <w:t xml:space="preserve">План распределения объемов поставки продукции (форма 1</w:t>
      </w:r>
      <w:r>
        <w:t xml:space="preserve">1</w:t>
      </w:r>
      <w:r>
        <w:t xml:space="preserve">) (</w:t>
      </w:r>
      <w:hyperlink w:tooltip="#Прил04_ФормыЗаявки" w:anchor="Прил04_ФормыЗаявки" w:history="1">
        <w:r>
          <w:rPr>
            <w:rStyle w:val="1204"/>
          </w:rPr>
          <w:t xml:space="preserve">Приложение № </w:t>
        </w:r>
        <w:r>
          <w:rPr>
            <w:rStyle w:val="1204"/>
          </w:rPr>
          <w:t xml:space="preserve">4</w:t>
        </w:r>
      </w:hyperlink>
      <w:r>
        <w:t xml:space="preserve">) – только если заявка подана Коллективным участником или Генеральным</w:t>
      </w:r>
      <w:r>
        <w:t xml:space="preserve"> подрядчиком;</w:t>
      </w:r>
      <w:r/>
    </w:p>
    <w:p>
      <w:pPr>
        <w:pStyle w:val="1177"/>
      </w:pPr>
      <w:r>
        <w:t xml:space="preserve">иной документ, указанный в протоколе </w:t>
      </w:r>
      <w:r>
        <w:t xml:space="preserve">закупки </w:t>
      </w:r>
      <w:r>
        <w:t xml:space="preserve">(которым назначена переторжка), связанный с предметом проводимой переторжки.</w:t>
      </w:r>
      <w:bookmarkEnd w:id="140"/>
      <w:r/>
      <w:r/>
    </w:p>
    <w:p>
      <w:pPr>
        <w:pStyle w:val="1176"/>
      </w:pPr>
      <w:r>
        <w:t xml:space="preserve">Е</w:t>
      </w:r>
      <w:r>
        <w:t xml:space="preserve">сли Участник</w:t>
      </w:r>
      <w:r>
        <w:t xml:space="preserve">,</w:t>
      </w:r>
      <w:r>
        <w:t xml:space="preserve"> принявший участие в переторжке</w:t>
      </w:r>
      <w:r>
        <w:t xml:space="preserve"> в заочной форме,</w:t>
      </w:r>
      <w:r>
        <w:t xml:space="preserve"> </w:t>
      </w:r>
      <w:r>
        <w:t xml:space="preserve">не </w:t>
      </w:r>
      <w:r>
        <w:t xml:space="preserve">предоставил документы, в соответствии с пунктом </w:t>
      </w:r>
      <w:r>
        <w:fldChar w:fldCharType="begin"/>
      </w:r>
      <w:r>
        <w:instrText xml:space="preserve"> REF _Ref136245191 \r \h </w:instrText>
      </w:r>
      <w:r>
        <w:fldChar w:fldCharType="separate"/>
      </w:r>
      <w:r>
        <w:t xml:space="preserve">4.11.15</w:t>
      </w:r>
      <w:r>
        <w:fldChar w:fldCharType="end"/>
      </w:r>
      <w:r>
        <w:t xml:space="preserve">, либо не предоставил их в ответ на дополнительный запрос Организатора, он</w:t>
      </w:r>
      <w:r>
        <w:t xml:space="preserve"> </w:t>
      </w:r>
      <w:r>
        <w:t xml:space="preserve">считается не участвовавшим в переторжке, и его заявка остается действующей с ранее (первоначально) заявленными условиями.</w:t>
      </w:r>
      <w:r/>
    </w:p>
    <w:p>
      <w:pPr>
        <w:pStyle w:val="1176"/>
      </w:pPr>
      <w:r>
        <w:t xml:space="preserve">При наличии соответствующего решения Закупочной комиссии о допуске Участника к переторжке </w:t>
      </w:r>
      <w:r>
        <w:t xml:space="preserve">в заочной форме </w:t>
      </w:r>
      <w:r>
        <w:t xml:space="preserve">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r/>
    </w:p>
    <w:p>
      <w:pPr>
        <w:pStyle w:val="1176"/>
      </w:pPr>
      <w:r>
        <w:t xml:space="preserve">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r/>
    </w:p>
    <w:p>
      <w:pPr>
        <w:pStyle w:val="1175"/>
      </w:pPr>
      <w:r/>
      <w:bookmarkStart w:id="141" w:name="_Ref125362626"/>
      <w:r/>
      <w:bookmarkStart w:id="142" w:name="_Ref125365335"/>
      <w:r/>
      <w:bookmarkStart w:id="143" w:name="_Ref125365519"/>
      <w:r/>
      <w:bookmarkStart w:id="144" w:name="_Ref125366534"/>
      <w:r/>
      <w:bookmarkStart w:id="145" w:name="_Ref125369041"/>
      <w:r/>
      <w:bookmarkStart w:id="146" w:name="_Ref125369308"/>
      <w:r/>
      <w:bookmarkStart w:id="147" w:name="_Toc232579435"/>
      <w:r>
        <w:t xml:space="preserve">Оценка и сопоставление заявок</w:t>
      </w:r>
      <w:bookmarkEnd w:id="141"/>
      <w:r/>
      <w:bookmarkEnd w:id="142"/>
      <w:r/>
      <w:bookmarkEnd w:id="143"/>
      <w:r/>
      <w:bookmarkEnd w:id="144"/>
      <w:r/>
      <w:bookmarkEnd w:id="145"/>
      <w:r/>
      <w:bookmarkEnd w:id="146"/>
      <w:r/>
      <w:bookmarkEnd w:id="147"/>
      <w:r/>
      <w:r/>
    </w:p>
    <w:p>
      <w:pPr>
        <w:pStyle w:val="1176"/>
      </w:pPr>
      <w:r>
        <w:t xml:space="preserve">Оценка и сопоставление заявок, признанных Закупочной комиссией </w:t>
      </w:r>
      <w:r>
        <w:t xml:space="preserve">соответствующими по результатам </w:t>
      </w:r>
      <w:r>
        <w:t xml:space="preserve">рассмотрения заявок</w:t>
      </w:r>
      <w:r>
        <w:t xml:space="preserve"> (подраздел </w:t>
      </w:r>
      <w:r>
        <w:fldChar w:fldCharType="begin"/>
      </w:r>
      <w:r>
        <w:instrText xml:space="preserve"> REF _Ref125362364 \w \h </w:instrText>
      </w:r>
      <w:r>
        <w:instrText xml:space="preserve"> \* MERGEFORMAT </w:instrText>
      </w:r>
      <w:r>
        <w:fldChar w:fldCharType="separate"/>
      </w:r>
      <w:r>
        <w:t xml:space="preserve">4.9</w:t>
      </w:r>
      <w:r>
        <w:fldChar w:fldCharType="end"/>
      </w:r>
      <w:r>
        <w:t xml:space="preserve">), осуществляется</w:t>
      </w:r>
      <w:r>
        <w:t xml:space="preserve"> в соответствии </w:t>
      </w:r>
      <w:r>
        <w:t xml:space="preserve">с </w:t>
      </w:r>
      <w:hyperlink w:tooltip="#Прил08_ПорядокОценки" w:anchor="Прил08_ПорядокОценки" w:history="1">
        <w:r>
          <w:rPr>
            <w:rStyle w:val="1204"/>
          </w:rPr>
          <w:t xml:space="preserve">Порядком и критериями оценки и сопоставления заявок (Приложение № </w:t>
        </w:r>
        <w:r>
          <w:rPr>
            <w:rStyle w:val="1204"/>
          </w:rPr>
          <w:t xml:space="preserve">8</w:t>
        </w:r>
        <w:r>
          <w:rPr>
            <w:rStyle w:val="1204"/>
          </w:rPr>
          <w:t xml:space="preserve">)</w:t>
        </w:r>
      </w:hyperlink>
      <w:r>
        <w:rPr>
          <w:rStyle w:val="1204"/>
        </w:rPr>
        <w:t xml:space="preserve">.</w:t>
      </w:r>
      <w:r>
        <w:t xml:space="preserve"> Их результатом является</w:t>
      </w:r>
      <w:r>
        <w:t xml:space="preserve"> формирование </w:t>
      </w:r>
      <w:r>
        <w:t xml:space="preserve">ранжировки</w:t>
      </w:r>
      <w:r>
        <w:t xml:space="preserve"> заявок по</w:t>
      </w:r>
      <w:r>
        <w:t xml:space="preserve"> </w:t>
      </w:r>
      <w:r>
        <w:t xml:space="preserve">степени предпочтительности на</w:t>
      </w:r>
      <w:r>
        <w:t xml:space="preserve"> </w:t>
      </w:r>
      <w:r>
        <w:t xml:space="preserve">основании полученного итогового балла (по мере уменьшения). При этом первое место в</w:t>
      </w:r>
      <w:r>
        <w:t xml:space="preserve"> </w:t>
      </w:r>
      <w:r>
        <w:t xml:space="preserve">ранжировке</w:t>
      </w:r>
      <w:r>
        <w:t xml:space="preserve"> присваивается заявке, получившей наибольший итоговый балл</w:t>
      </w:r>
      <w:r>
        <w:t xml:space="preserve">. Е</w:t>
      </w:r>
      <w:r>
        <w:t xml:space="preserve">сли </w:t>
      </w:r>
      <w:r>
        <w:t xml:space="preserve">по результат</w:t>
      </w:r>
      <w:r>
        <w:t xml:space="preserve">а</w:t>
      </w:r>
      <w:r>
        <w:t xml:space="preserve">м оценки </w:t>
      </w:r>
      <w:r>
        <w:t xml:space="preserve">нескольки</w:t>
      </w:r>
      <w:r>
        <w:t xml:space="preserve">м </w:t>
      </w:r>
      <w:r>
        <w:t xml:space="preserve">заявка</w:t>
      </w:r>
      <w:r>
        <w:t xml:space="preserve">м</w:t>
      </w:r>
      <w:r>
        <w:t xml:space="preserve"> присвоен одинаковый итоговый балл</w:t>
      </w:r>
      <w:r>
        <w:t xml:space="preserve">, то </w:t>
      </w:r>
      <w:r>
        <w:t xml:space="preserve">меньший порядковый номер (более высокое место в </w:t>
      </w:r>
      <w:r>
        <w:t xml:space="preserve">ранжировке</w:t>
      </w:r>
      <w:r>
        <w:t xml:space="preserve">) присваивается заявке, которая поступила ранее других заявок (по дате и времени последнего изменения заявки </w:t>
      </w:r>
      <w:r>
        <w:t xml:space="preserve">на ЭП </w:t>
      </w:r>
      <w:r>
        <w:t xml:space="preserve">до окончания срока подачи заявок)</w:t>
      </w:r>
      <w:r>
        <w:t xml:space="preserve">.</w:t>
      </w:r>
      <w:r/>
    </w:p>
    <w:p>
      <w:pPr>
        <w:pStyle w:val="1176"/>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t xml:space="preserve">и</w:t>
      </w:r>
      <w:r>
        <w:t xml:space="preserve"> (</w:t>
      </w:r>
      <w:r>
        <w:t xml:space="preserve">или</w:t>
      </w:r>
      <w:r>
        <w:t xml:space="preserve">)</w:t>
      </w:r>
      <w:r>
        <w:t xml:space="preserve"> критериев оценки и сопоставления заявок, кроме предусмотренных Документацией о закупке, не допускается.</w:t>
      </w:r>
      <w:r/>
    </w:p>
    <w:p>
      <w:pPr>
        <w:pStyle w:val="1176"/>
      </w:pPr>
      <w:r>
        <w:t xml:space="preserve">Если проводилась </w:t>
      </w:r>
      <w:r>
        <w:t xml:space="preserve">переторжк</w:t>
      </w:r>
      <w:r>
        <w:t xml:space="preserve">а,</w:t>
      </w:r>
      <w:r>
        <w:t xml:space="preserve"> оценка и сопоставление заявок, а также их </w:t>
      </w:r>
      <w:r>
        <w:t xml:space="preserve">ранжировка</w:t>
      </w:r>
      <w:r>
        <w:t xml:space="preserve"> осуществляются с учетом предложений, полученных по</w:t>
      </w:r>
      <w:r>
        <w:t xml:space="preserve"> </w:t>
      </w:r>
      <w:r>
        <w:t xml:space="preserve">результатам переторжки (последней переторжки – если она проводилась многократно). Заявки Участников, не принявших участие в</w:t>
      </w:r>
      <w:r>
        <w:t xml:space="preserve"> </w:t>
      </w:r>
      <w:r>
        <w:t xml:space="preserve">переторжке, учитываются при построении </w:t>
      </w:r>
      <w:r>
        <w:t xml:space="preserve">ранжировки</w:t>
      </w:r>
      <w:r>
        <w:t xml:space="preserve"> заявок с</w:t>
      </w:r>
      <w:r>
        <w:t xml:space="preserve"> </w:t>
      </w:r>
      <w:r>
        <w:t xml:space="preserve">первоначальными, указанными в их заявках предложениями (или с</w:t>
      </w:r>
      <w:r>
        <w:t xml:space="preserve"> </w:t>
      </w:r>
      <w:r>
        <w:t xml:space="preserve">предложениями, принятыми Организатором в рамках последней прошедшей переторжки – если она проводилась многократно).</w:t>
      </w:r>
      <w:r/>
    </w:p>
    <w:p>
      <w:pPr>
        <w:pStyle w:val="1176"/>
      </w:pPr>
      <w:r/>
      <w:bookmarkStart w:id="148" w:name="_Ref125366064"/>
      <w:r/>
      <w:bookmarkStart w:id="149" w:name="_Ref125369991"/>
      <w:r/>
      <w:bookmarkStart w:id="150" w:name="_Ref125370507"/>
      <w:r/>
      <w:bookmarkStart w:id="151" w:name="_Ref130458671"/>
      <w:r>
        <w:t xml:space="preserve">Оценка и сопоставление заявок, </w:t>
      </w:r>
      <w:r>
        <w:t xml:space="preserve">а также их </w:t>
      </w:r>
      <w:r>
        <w:t xml:space="preserve">ранжировка</w:t>
      </w:r>
      <w:r>
        <w:t xml:space="preserve">, осуществляется с</w:t>
      </w:r>
      <w:r>
        <w:t xml:space="preserve"> </w:t>
      </w:r>
      <w:r>
        <w:t xml:space="preserve">учетом применения законодательства о национальном режиме, в </w:t>
      </w:r>
      <w:r>
        <w:t xml:space="preserve">т.ч</w:t>
      </w:r>
      <w:r>
        <w:t xml:space="preserve">. ПП</w:t>
      </w:r>
      <w:r>
        <w:t xml:space="preserve"> </w:t>
      </w:r>
      <w:r>
        <w:t xml:space="preserve">1875 (подраздел</w:t>
      </w:r>
      <w:r>
        <w:t xml:space="preserve"> </w:t>
      </w:r>
      <w:r>
        <w:fldChar w:fldCharType="begin"/>
      </w:r>
      <w:r>
        <w:instrText xml:space="preserve"> REF _Ref130985951 \r \h </w:instrText>
      </w:r>
      <w:r>
        <w:fldChar w:fldCharType="separate"/>
      </w:r>
      <w:r>
        <w:t xml:space="preserve">4.13</w:t>
      </w:r>
      <w:r>
        <w:fldChar w:fldCharType="end"/>
      </w:r>
      <w:r>
        <w:t xml:space="preserve">).</w:t>
      </w:r>
      <w:r/>
    </w:p>
    <w:p>
      <w:pPr>
        <w:pStyle w:val="1176"/>
      </w:pPr>
      <w:r>
        <w:t xml:space="preserve">Результаты оценки и сопоставления заявок вносятся в итоговый протокол по</w:t>
      </w:r>
      <w:r>
        <w:t xml:space="preserve"> </w:t>
      </w:r>
      <w:r>
        <w:t xml:space="preserve">результатам закупки.</w:t>
      </w:r>
      <w:r/>
    </w:p>
    <w:p>
      <w:pPr>
        <w:pStyle w:val="1175"/>
      </w:pPr>
      <w:r/>
      <w:bookmarkStart w:id="152" w:name="_Ref186213053"/>
      <w:r/>
      <w:bookmarkStart w:id="153" w:name="_Ref130985951"/>
      <w:r/>
      <w:bookmarkStart w:id="154" w:name="_Ref132894106"/>
      <w:r/>
      <w:bookmarkStart w:id="155" w:name="_Ref132894111"/>
      <w:r/>
      <w:bookmarkStart w:id="156" w:name="_Toc232579436"/>
      <w:r>
        <w:t xml:space="preserve">Применение </w:t>
      </w:r>
      <w:r>
        <w:t xml:space="preserve">законодательства о национальном режиме</w:t>
      </w:r>
      <w:bookmarkEnd w:id="148"/>
      <w:r/>
      <w:bookmarkEnd w:id="149"/>
      <w:r/>
      <w:bookmarkEnd w:id="150"/>
      <w:r/>
      <w:bookmarkEnd w:id="151"/>
      <w:r/>
      <w:bookmarkEnd w:id="152"/>
      <w:r/>
      <w:bookmarkEnd w:id="153"/>
      <w:r/>
      <w:bookmarkEnd w:id="154"/>
      <w:r/>
      <w:bookmarkEnd w:id="155"/>
      <w:r/>
      <w:bookmarkEnd w:id="156"/>
      <w:r/>
      <w:r/>
    </w:p>
    <w:p>
      <w:pPr>
        <w:pStyle w:val="1176"/>
      </w:pPr>
      <w:r>
        <w:t xml:space="preserve">Настоящий подраздел применяется исходя из информации, установленной в подразделе </w:t>
      </w:r>
      <w:r>
        <w:fldChar w:fldCharType="begin"/>
      </w:r>
      <w:r>
        <w:instrText xml:space="preserve"> REF _Ref125359973 \r \h </w:instrText>
      </w:r>
      <w:r>
        <w:fldChar w:fldCharType="separate"/>
      </w:r>
      <w:r>
        <w:t xml:space="preserve">1.2</w:t>
      </w:r>
      <w:r>
        <w:fldChar w:fldCharType="end"/>
      </w:r>
      <w:r>
        <w:t xml:space="preserve">.</w:t>
      </w:r>
      <w:r/>
    </w:p>
    <w:p>
      <w:pPr>
        <w:pStyle w:val="1176"/>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запрета закупки иностранной продукции, то не до</w:t>
      </w:r>
      <w:r>
        <w:t xml:space="preserve">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 xml:space="preserve">4.9</w:t>
      </w:r>
      <w:r>
        <w:fldChar w:fldCharType="end"/>
      </w:r>
      <w:r>
        <w:t xml:space="preserve">).</w:t>
      </w:r>
      <w:r/>
    </w:p>
    <w:p>
      <w:pPr>
        <w:pStyle w:val="1176"/>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w:t>
      </w:r>
      <w:r>
        <w:t xml:space="preserve">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 xml:space="preserve">4.9</w:t>
      </w:r>
      <w:r>
        <w:fldChar w:fldCharType="end"/>
      </w:r>
      <w:r>
        <w:t xml:space="preserve">).</w:t>
      </w:r>
      <w:r/>
    </w:p>
    <w:p>
      <w:pPr>
        <w:pStyle w:val="1176"/>
      </w:pPr>
      <w:r>
        <w:t xml:space="preserve">Если в подразделе </w:t>
      </w:r>
      <w:r>
        <w:fldChar w:fldCharType="begin"/>
      </w:r>
      <w:r>
        <w:instrText xml:space="preserve"> REF _Ref125359973 \r \h </w:instrText>
      </w:r>
      <w:r>
        <w:fldChar w:fldCharType="separate"/>
      </w:r>
      <w:r>
        <w:t xml:space="preserve">1.2</w:t>
      </w:r>
      <w:r>
        <w:fldChar w:fldCharType="end"/>
      </w:r>
      <w:r>
        <w:t xml:space="preserve"> установлен режим преимущества российской продукции, то при оценке и сопоставлении заявок, а также их </w:t>
      </w:r>
      <w:r>
        <w:t xml:space="preserve">ранжировке</w:t>
      </w:r>
      <w:r>
        <w:t xml:space="preserve"> (подраздел </w:t>
      </w:r>
      <w:r>
        <w:fldChar w:fldCharType="begin"/>
      </w:r>
      <w:r>
        <w:instrText xml:space="preserve"> REF _Ref125362626 \r \h </w:instrText>
      </w:r>
      <w:r>
        <w:fldChar w:fldCharType="separate"/>
      </w:r>
      <w:r>
        <w:t xml:space="preserve">4.12</w:t>
      </w:r>
      <w:r>
        <w:fldChar w:fldCharType="end"/>
      </w:r>
      <w:r>
        <w:t xml:space="preserve">), осуществляется снижение</w:t>
      </w:r>
      <w:r>
        <w:rPr>
          <w:rStyle w:val="1188"/>
        </w:rPr>
        <w:footnoteReference w:id="9"/>
      </w:r>
      <w: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r/>
    </w:p>
    <w:p>
      <w:pPr>
        <w:pStyle w:val="1176"/>
      </w:pPr>
      <w:r/>
      <w:bookmarkStart w:id="157" w:name="_Ref209609906"/>
      <w: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tooltip="#Прил01_ТехТребования" w:anchor="Прил01_ТехТребования" w:history="1">
        <w:r>
          <w:rPr>
            <w:rStyle w:val="1204"/>
          </w:rPr>
          <w:t xml:space="preserve">Технических требованиях (Приложение № 1)</w:t>
        </w:r>
      </w:hyperlink>
      <w:r>
        <w:t xml:space="preserve">.</w:t>
      </w:r>
      <w:bookmarkEnd w:id="157"/>
      <w:r/>
      <w:r/>
    </w:p>
    <w:p>
      <w:pPr>
        <w:pStyle w:val="1175"/>
      </w:pPr>
      <w:r/>
      <w:bookmarkStart w:id="158" w:name="_Ref125362658"/>
      <w:r/>
      <w:bookmarkStart w:id="159" w:name="_Ref125366091"/>
      <w:r/>
      <w:bookmarkStart w:id="160" w:name="_Ref125367242"/>
      <w:r/>
      <w:bookmarkStart w:id="161" w:name="_Toc232579437"/>
      <w:r>
        <w:t xml:space="preserve">П</w:t>
      </w:r>
      <w:r>
        <w:t xml:space="preserve">одведение итогов закупки</w:t>
      </w:r>
      <w:r>
        <w:t xml:space="preserve"> (</w:t>
      </w:r>
      <w:r>
        <w:t xml:space="preserve">о</w:t>
      </w:r>
      <w:r>
        <w:t xml:space="preserve">пределение Победителя</w:t>
      </w:r>
      <w:r>
        <w:t xml:space="preserve">)</w:t>
      </w:r>
      <w:bookmarkEnd w:id="158"/>
      <w:r/>
      <w:bookmarkEnd w:id="159"/>
      <w:r/>
      <w:bookmarkEnd w:id="160"/>
      <w:r/>
      <w:bookmarkEnd w:id="161"/>
      <w:r/>
      <w:r/>
    </w:p>
    <w:p>
      <w:pPr>
        <w:pStyle w:val="1176"/>
      </w:pPr>
      <w:r>
        <w:t xml:space="preserve">Дата окончания срока подведения итогов закупки указана в </w:t>
      </w:r>
      <w:r>
        <w:t xml:space="preserve">подразделе </w:t>
      </w:r>
      <w:r>
        <w:fldChar w:fldCharType="begin"/>
      </w:r>
      <w:r>
        <w:instrText xml:space="preserve"> REF _Ref125359973 \r \h </w:instrText>
      </w:r>
      <w:r>
        <w:fldChar w:fldCharType="separate"/>
      </w:r>
      <w:r>
        <w:t xml:space="preserve">1.2</w:t>
      </w:r>
      <w:r>
        <w:fldChar w:fldCharType="end"/>
      </w:r>
      <w:r>
        <w:t xml:space="preserve">. Организатор по</w:t>
      </w:r>
      <w:r>
        <w:t xml:space="preserve"> </w:t>
      </w:r>
      <w:r>
        <w:t xml:space="preserve">согласованию с Заказчиком вправе, при необходимости, изменить данный срок, официально разместив информацию об этом.</w:t>
      </w:r>
      <w:r/>
    </w:p>
    <w:p>
      <w:pPr>
        <w:pStyle w:val="1176"/>
      </w:pPr>
      <w:r>
        <w:t xml:space="preserve">На основании полученных результатов оценки и сопоставления заявок Организатор подводит итоги закупки. </w:t>
      </w:r>
      <w:r>
        <w:t xml:space="preserve">Победителем закупки признается Участник, заявка</w:t>
      </w:r>
      <w:r>
        <w:t xml:space="preserve"> которого</w:t>
      </w:r>
      <w:r>
        <w:t xml:space="preserve"> заня</w:t>
      </w:r>
      <w:r>
        <w:t xml:space="preserve">ла</w:t>
      </w:r>
      <w:r>
        <w:t xml:space="preserve"> 1</w:t>
      </w:r>
      <w:r>
        <w:t xml:space="preserve"> </w:t>
      </w:r>
      <w:r>
        <w:t xml:space="preserve">(первое) место в </w:t>
      </w:r>
      <w:r>
        <w:t xml:space="preserve">ранжировке</w:t>
      </w:r>
      <w:r>
        <w:t xml:space="preserve"> заявок</w:t>
      </w:r>
      <w:r>
        <w:t xml:space="preserve"> </w:t>
      </w:r>
      <w:r>
        <w:t xml:space="preserve">по </w:t>
      </w:r>
      <w:r>
        <w:t xml:space="preserve">итогам рассмотрения, оценки и сопоставления заявок</w:t>
      </w:r>
      <w:r>
        <w:t xml:space="preserve">.</w:t>
      </w:r>
      <w:r/>
    </w:p>
    <w:p>
      <w:pPr>
        <w:pStyle w:val="1176"/>
      </w:pPr>
      <w:r>
        <w:t xml:space="preserve">Перед окончательным определением Победителя Организатор вправе потребовать от Участника, занявшего верхнее место в </w:t>
      </w:r>
      <w:r>
        <w:t xml:space="preserve">ранжировке</w:t>
      </w:r>
      <w:r>
        <w:t xml:space="preserve">, прохождения процедуры </w:t>
      </w:r>
      <w:r>
        <w:t xml:space="preserve">постквалификации</w:t>
      </w:r>
      <w:r>
        <w:t xml:space="preserve">. В</w:t>
      </w:r>
      <w:r>
        <w:t xml:space="preserve"> </w:t>
      </w:r>
      <w:r>
        <w:t xml:space="preserve">рамках </w:t>
      </w:r>
      <w:r>
        <w:t xml:space="preserve">постквалификации</w:t>
      </w:r>
      <w:r>
        <w:t xml:space="preserve"> Организатор вправе запросить у Участник</w:t>
      </w:r>
      <w:r>
        <w:t xml:space="preserve">а</w:t>
      </w:r>
      <w:r>
        <w:t xml:space="preserve"> предоставление документов </w:t>
      </w:r>
      <w:r>
        <w:t xml:space="preserve">и</w:t>
      </w:r>
      <w:r>
        <w:t xml:space="preserve"> (</w:t>
      </w:r>
      <w:r>
        <w:t xml:space="preserve">или</w:t>
      </w:r>
      <w:r>
        <w:t xml:space="preserve">)</w:t>
      </w:r>
      <w:r>
        <w:t xml:space="preserve"> информации, подтверждающих представленные в заявке сведения, а</w:t>
      </w:r>
      <w:r>
        <w:t xml:space="preserve"> </w:t>
      </w:r>
      <w:r>
        <w:t xml:space="preserve">также провести дополнительную проверку достоверности представленных документов и информации. </w:t>
      </w:r>
      <w:r>
        <w:t xml:space="preserve">Постквалификация</w:t>
      </w:r>
      <w:r>
        <w:t xml:space="preserve"> </w:t>
      </w:r>
      <w:r>
        <w:t xml:space="preserve">проводится по отборочным критериям</w:t>
      </w:r>
      <w:r>
        <w:t xml:space="preserve"> </w:t>
      </w:r>
      <w:r>
        <w:t xml:space="preserve">(</w:t>
      </w:r>
      <w:hyperlink w:tooltip="#Прил07_ОтборочныеКритерии" w:anchor="Прил07_ОтборочныеКритерии" w:history="1">
        <w:r>
          <w:rPr>
            <w:rStyle w:val="1204"/>
          </w:rPr>
          <w:t xml:space="preserve">Приложение № </w:t>
        </w:r>
        <w:r>
          <w:rPr>
            <w:rStyle w:val="1204"/>
          </w:rPr>
          <w:t xml:space="preserve">7</w:t>
        </w:r>
      </w:hyperlink>
      <w:r>
        <w:t xml:space="preserve">)</w:t>
      </w:r>
      <w:r>
        <w:t xml:space="preserve">, относящимся к</w:t>
      </w:r>
      <w:r>
        <w:t xml:space="preserve"> </w:t>
      </w:r>
      <w:r>
        <w:t xml:space="preserve">соответствию Участника установленным требованиям Документации о</w:t>
      </w:r>
      <w:r>
        <w:t xml:space="preserve"> </w:t>
      </w:r>
      <w:r>
        <w:t xml:space="preserve">закупке</w:t>
      </w:r>
      <w:r>
        <w:t xml:space="preserve">.</w:t>
      </w:r>
      <w:r>
        <w:t xml:space="preserve"> Заявка Участника, </w:t>
      </w:r>
      <w:r>
        <w:t xml:space="preserve">не</w:t>
      </w:r>
      <w:r>
        <w:t xml:space="preserve"> </w:t>
      </w:r>
      <w:r>
        <w:t xml:space="preserve">отвечающего необходимым требованиям, отклоняется, </w:t>
      </w:r>
      <w:r>
        <w:t xml:space="preserve">при этом</w:t>
      </w:r>
      <w:r>
        <w:t xml:space="preserve"> </w:t>
      </w:r>
      <w:r>
        <w:t xml:space="preserve">Организатор вправе продолжить процедуру провер</w:t>
      </w:r>
      <w:r>
        <w:t xml:space="preserve">ки в</w:t>
      </w:r>
      <w:r>
        <w:t xml:space="preserve"> </w:t>
      </w:r>
      <w:r>
        <w:t xml:space="preserve">отношении Участника, занявшего следующее место в</w:t>
      </w:r>
      <w:r>
        <w:t xml:space="preserve"> </w:t>
      </w:r>
      <w:r>
        <w:t xml:space="preserve">ранжировке</w:t>
      </w:r>
      <w:r>
        <w:t xml:space="preserve">.</w:t>
      </w:r>
      <w:r/>
    </w:p>
    <w:p>
      <w:pPr>
        <w:pStyle w:val="1176"/>
      </w:pPr>
      <w:r>
        <w:t xml:space="preserve">Е</w:t>
      </w:r>
      <w:r>
        <w:t xml:space="preserve">сли к моменту подведения итогов закупки с выбором в качестве Победителя ранее аккредитованного Участника прошло более 6</w:t>
      </w:r>
      <w:r>
        <w:t xml:space="preserve"> </w:t>
      </w:r>
      <w:r>
        <w:t xml:space="preserve">(шести) календарных месяцев с даты присвоения ему статуса «аккредитован»</w:t>
      </w:r>
      <w:r>
        <w:t xml:space="preserve"> / «аккредитация не требуется»</w:t>
      </w:r>
      <w:r>
        <w:t xml:space="preserve">, перед окончательным определением Победителя проводится процедура </w:t>
      </w:r>
      <w:r>
        <w:t xml:space="preserve">а</w:t>
      </w:r>
      <w:r>
        <w:t xml:space="preserve">ктуализации статуса </w:t>
      </w:r>
      <w:r>
        <w:t xml:space="preserve">аккредитации </w:t>
      </w:r>
      <w:r>
        <w:t xml:space="preserve">данного Участника. Если по</w:t>
      </w:r>
      <w:r>
        <w:t xml:space="preserve"> </w:t>
      </w:r>
      <w:r>
        <w:t xml:space="preserve">результатам такой проверки Участник</w:t>
      </w:r>
      <w:r>
        <w:t xml:space="preserve">у</w:t>
      </w:r>
      <w:r>
        <w:t xml:space="preserve"> </w:t>
      </w:r>
      <w:r>
        <w:t xml:space="preserve">присвоен</w:t>
      </w:r>
      <w:r>
        <w:t xml:space="preserve"> </w:t>
      </w:r>
      <w:r>
        <w:t xml:space="preserve">статус «</w:t>
      </w:r>
      <w:r>
        <w:t xml:space="preserve">не </w:t>
      </w:r>
      <w:r>
        <w:t xml:space="preserve">аккредитован», его заявка отклоняется, а</w:t>
      </w:r>
      <w:r>
        <w:t xml:space="preserve"> </w:t>
      </w:r>
      <w:r>
        <w:t xml:space="preserve">Закупочная комиссия </w:t>
      </w:r>
      <w:r>
        <w:t xml:space="preserve">имеет право выбрать</w:t>
      </w:r>
      <w:r>
        <w:t xml:space="preserve"> в качестве Победителя иного Участника, занявшего следующее после него место в</w:t>
      </w:r>
      <w:r>
        <w:t xml:space="preserve"> </w:t>
      </w:r>
      <w:r>
        <w:t xml:space="preserve">ранжировке</w:t>
      </w:r>
      <w:r>
        <w:t xml:space="preserve"> заявок, из</w:t>
      </w:r>
      <w:r>
        <w:t xml:space="preserve"> </w:t>
      </w:r>
      <w:r>
        <w:t xml:space="preserve">числа остальных действующих заявок (при</w:t>
      </w:r>
      <w:r>
        <w:t xml:space="preserve"> </w:t>
      </w:r>
      <w:r>
        <w:t xml:space="preserve">наличии у</w:t>
      </w:r>
      <w:r>
        <w:t xml:space="preserve"> </w:t>
      </w:r>
      <w:r>
        <w:t xml:space="preserve">него актуального статуса аккредитации).</w:t>
      </w:r>
      <w:r/>
    </w:p>
    <w:p>
      <w:pPr>
        <w:pStyle w:val="1176"/>
        <w:keepNext/>
      </w:pPr>
      <w:r/>
      <w:bookmarkStart w:id="162" w:name="_Ref125365974"/>
      <w:r>
        <w:t xml:space="preserve">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Pr>
          <w:rStyle w:val="1188"/>
        </w:rPr>
        <w:footnoteReference w:id="10"/>
      </w:r>
      <w:r>
        <w:t xml:space="preserve">:</w:t>
      </w:r>
      <w:bookmarkEnd w:id="162"/>
      <w:r/>
      <w:r/>
    </w:p>
    <w:p>
      <w:pPr>
        <w:pStyle w:val="1177"/>
      </w:pPr>
      <w:r>
        <w:t xml:space="preserve">дата подписания протокола;</w:t>
      </w:r>
      <w:r/>
    </w:p>
    <w:p>
      <w:pPr>
        <w:pStyle w:val="1177"/>
      </w:pPr>
      <w: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p>
    <w:p>
      <w:pPr>
        <w:pStyle w:val="1177"/>
      </w:pPr>
      <w:r>
        <w:t xml:space="preserve">наименования Участников,</w:t>
      </w:r>
      <w:r>
        <w:t xml:space="preserve"> заявки которых были</w:t>
      </w:r>
      <w:r>
        <w:t xml:space="preserve"> </w:t>
      </w:r>
      <w:r>
        <w:t xml:space="preserve">допущен</w:t>
      </w:r>
      <w:r>
        <w:t xml:space="preserve">ы</w:t>
      </w:r>
      <w:r>
        <w:t xml:space="preserve"> по</w:t>
      </w:r>
      <w:r>
        <w:t xml:space="preserve"> </w:t>
      </w:r>
      <w:r>
        <w:t xml:space="preserve">результатам </w:t>
      </w:r>
      <w:r>
        <w:t xml:space="preserve">рассмотрения заявок, </w:t>
      </w:r>
      <w:r>
        <w:t xml:space="preserve">и</w:t>
      </w:r>
      <w:r>
        <w:t xml:space="preserve"> (</w:t>
      </w:r>
      <w:r>
        <w:t xml:space="preserve">или</w:t>
      </w:r>
      <w:r>
        <w:t xml:space="preserve">)</w:t>
      </w:r>
      <w:r>
        <w:t xml:space="preserve"> их идентификационные номера, присваиваемые </w:t>
      </w:r>
      <w:r>
        <w:t xml:space="preserve">О</w:t>
      </w:r>
      <w:r>
        <w:t xml:space="preserve">ператором </w:t>
      </w:r>
      <w:r>
        <w:t xml:space="preserve">ЭП;</w:t>
      </w:r>
      <w:r/>
    </w:p>
    <w:p>
      <w:pPr>
        <w:pStyle w:val="1177"/>
        <w:keepNext/>
      </w:pPr>
      <w:r>
        <w:t xml:space="preserve">результаты </w:t>
      </w:r>
      <w:r>
        <w:t xml:space="preserve">дополнительного </w:t>
      </w:r>
      <w:r>
        <w:t xml:space="preserve">рассмотрения заявок</w:t>
      </w:r>
      <w:r>
        <w:t xml:space="preserve"> (</w:t>
      </w:r>
      <w:r>
        <w:t xml:space="preserve">при возникновении оснований для отклонения заявок по результатам </w:t>
      </w:r>
      <w:r>
        <w:t xml:space="preserve">проведения </w:t>
      </w:r>
      <w:r>
        <w:t xml:space="preserve">постквалификации</w:t>
      </w:r>
      <w:r>
        <w:t xml:space="preserve"> и</w:t>
      </w:r>
      <w:r>
        <w:t xml:space="preserve">ли</w:t>
      </w:r>
      <w:r>
        <w:t xml:space="preserve"> </w:t>
      </w:r>
      <w:r>
        <w:t xml:space="preserve">актуализации статуса аккредитации, если </w:t>
      </w:r>
      <w:r>
        <w:t xml:space="preserve">такие процедуры </w:t>
      </w:r>
      <w:r>
        <w:t xml:space="preserve">проводил</w:t>
      </w:r>
      <w:r>
        <w:t xml:space="preserve">и</w:t>
      </w:r>
      <w:r>
        <w:t xml:space="preserve">сь</w:t>
      </w:r>
      <w:r>
        <w:t xml:space="preserve">)</w:t>
      </w:r>
      <w:r>
        <w:t xml:space="preserve"> с указанием, в том числе:</w:t>
      </w:r>
      <w:r/>
    </w:p>
    <w:p>
      <w:pPr>
        <w:pStyle w:val="1178"/>
      </w:pPr>
      <w:r>
        <w:t xml:space="preserve">количества заявок, которые были отклонены;</w:t>
      </w:r>
      <w:r/>
    </w:p>
    <w:p>
      <w:pPr>
        <w:pStyle w:val="1178"/>
      </w:pPr>
      <w:r>
        <w:t xml:space="preserve">оснований отклонения каждой заявки с указанием положений Документации о закупке, которым не соответствует такая заявка</w:t>
      </w:r>
      <w:r>
        <w:t xml:space="preserve">;</w:t>
      </w:r>
      <w:r/>
    </w:p>
    <w:p>
      <w:pPr>
        <w:pStyle w:val="1177"/>
      </w:pPr>
      <w:r>
        <w:t xml:space="preserve">результаты оценки и сопоставления заявок с указанием, в том числе</w:t>
      </w:r>
      <w:r>
        <w:t xml:space="preserve"> </w:t>
      </w:r>
      <w:r>
        <w:t xml:space="preserve">значения (в баллах), присвоенного каждой заявке по каждому из</w:t>
      </w:r>
      <w:r>
        <w:t xml:space="preserve"> </w:t>
      </w:r>
      <w:r>
        <w:t xml:space="preserve">предусмотренных критериев оценки, установленных в Документации о</w:t>
      </w:r>
      <w:r>
        <w:t xml:space="preserve"> </w:t>
      </w:r>
      <w:r>
        <w:t xml:space="preserve">закупке</w:t>
      </w:r>
      <w:r>
        <w:t xml:space="preserve">;</w:t>
      </w:r>
      <w:r/>
    </w:p>
    <w:p>
      <w:pPr>
        <w:pStyle w:val="1177"/>
      </w:pPr>
      <w:r/>
      <w:bookmarkStart w:id="163" w:name="_Hlk149651367"/>
      <w:r>
        <w:t xml:space="preserve">поря</w:t>
      </w:r>
      <w:r>
        <w:t xml:space="preserve">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w:t>
      </w:r>
      <w:r>
        <w:t xml:space="preserve">ранжировке</w:t>
      </w:r>
      <w:r>
        <w:t xml:space="preserve"> заявок</w:t>
      </w:r>
      <w:r>
        <w:t xml:space="preserve">;</w:t>
      </w:r>
      <w:bookmarkEnd w:id="163"/>
      <w:r/>
      <w:r/>
    </w:p>
    <w:p>
      <w:pPr>
        <w:pStyle w:val="1177"/>
      </w:pPr>
      <w:r>
        <w:t xml:space="preserve">наименование Победителя закупки </w:t>
      </w:r>
      <w:r>
        <w:t xml:space="preserve">или</w:t>
      </w:r>
      <w:r>
        <w:t xml:space="preserve"> </w:t>
      </w:r>
      <w:r>
        <w:t xml:space="preserve">Единственного </w:t>
      </w:r>
      <w:r>
        <w:t xml:space="preserve">участника </w:t>
      </w:r>
      <w:r>
        <w:t xml:space="preserve">несостоявшейся закупки, с которым планируется заключить Договор;</w:t>
      </w:r>
      <w:r/>
    </w:p>
    <w:p>
      <w:pPr>
        <w:pStyle w:val="1177"/>
      </w:pPr>
      <w:r>
        <w:t xml:space="preserve">причины, по которым закупка признана несостоявшейся (в случае ее признания таковой),</w:t>
      </w:r>
      <w:r/>
    </w:p>
    <w:p>
      <w:pPr>
        <w:pStyle w:val="1180"/>
        <w:ind w:left="1134"/>
      </w:pPr>
      <w:r>
        <w:t xml:space="preserve">после чего Организатор официально размещает его в течение 3</w:t>
      </w:r>
      <w:r>
        <w:t xml:space="preserve"> </w:t>
      </w:r>
      <w:r>
        <w:t xml:space="preserve">(трех) календарных дней с даты подписания такого протокола.</w:t>
      </w:r>
      <w:r/>
    </w:p>
    <w:p>
      <w:pPr>
        <w:pStyle w:val="1176"/>
      </w:pPr>
      <w:r>
        <w:t xml:space="preserve">Победитель дополнительно уведомляется о результатах проводимой закупки с</w:t>
      </w:r>
      <w:r>
        <w:t xml:space="preserve"> </w:t>
      </w:r>
      <w:r>
        <w:t xml:space="preserve">использованием ЭП – уведомление направляется </w:t>
      </w:r>
      <w:r>
        <w:t xml:space="preserve">О</w:t>
      </w:r>
      <w:r>
        <w:t xml:space="preserve">ператором ЭП согласно Регламенту ЭП</w:t>
      </w:r>
      <w:r>
        <w:t xml:space="preserve">.</w:t>
      </w:r>
      <w:r/>
    </w:p>
    <w:p>
      <w:pPr>
        <w:pStyle w:val="1176"/>
      </w:pPr>
      <w:r>
        <w:t xml:space="preserve">Если между официальным размещением итогового протокола по результатам закупки и подписанием Договора изменится Победитель (</w:t>
      </w:r>
      <w:r>
        <w:t xml:space="preserve">например, вследствие уклонения Победителя или потери им статуса</w:t>
      </w:r>
      <w:r>
        <w:t xml:space="preserve">), информация о новом Победителе официально размещается Организатором в том же порядке</w:t>
      </w:r>
      <w:r>
        <w:t xml:space="preserve">.</w:t>
      </w:r>
      <w:r/>
    </w:p>
    <w:p>
      <w:pPr>
        <w:pStyle w:val="1175"/>
      </w:pPr>
      <w:r/>
      <w:bookmarkStart w:id="164" w:name="_Ref125364149"/>
      <w:r/>
      <w:bookmarkStart w:id="165" w:name="_Ref125364187"/>
      <w:r/>
      <w:bookmarkStart w:id="166" w:name="_Ref125365305"/>
      <w:r/>
      <w:bookmarkStart w:id="167" w:name="_Ref125365570"/>
      <w:r/>
      <w:bookmarkStart w:id="168" w:name="_Ref125366631"/>
      <w:r/>
      <w:bookmarkStart w:id="169" w:name="_Ref125366796"/>
      <w:r/>
      <w:bookmarkStart w:id="170" w:name="_Toc232579438"/>
      <w:r>
        <w:t xml:space="preserve">Признание закупки несостоявшейся</w:t>
      </w:r>
      <w:bookmarkEnd w:id="164"/>
      <w:r/>
      <w:bookmarkEnd w:id="165"/>
      <w:r/>
      <w:bookmarkEnd w:id="166"/>
      <w:r/>
      <w:bookmarkEnd w:id="167"/>
      <w:r/>
      <w:bookmarkEnd w:id="168"/>
      <w:r/>
      <w:bookmarkEnd w:id="169"/>
      <w:r/>
      <w:bookmarkEnd w:id="170"/>
      <w:r/>
      <w:r/>
    </w:p>
    <w:p>
      <w:pPr>
        <w:pStyle w:val="1176"/>
        <w:keepNext/>
      </w:pPr>
      <w:r>
        <w:t xml:space="preserve">Закупка признается несостоявшейся в следующих случаях:</w:t>
      </w:r>
      <w:r/>
    </w:p>
    <w:p>
      <w:pPr>
        <w:pStyle w:val="1177"/>
      </w:pPr>
      <w:r>
        <w:t xml:space="preserve">если по окончанию срока подачи заявок поступило менее 2</w:t>
      </w:r>
      <w:r>
        <w:t xml:space="preserve"> </w:t>
      </w:r>
      <w:r>
        <w:t xml:space="preserve">(двух) заявок (с учетом возможных отзывов заявок);</w:t>
      </w:r>
      <w:r/>
    </w:p>
    <w:p>
      <w:pPr>
        <w:pStyle w:val="1177"/>
      </w:pPr>
      <w:r>
        <w:t xml:space="preserve">по результатам рассмотрения заявок Закупочной комиссией принято решение о признании менее 2</w:t>
      </w:r>
      <w:r>
        <w:t xml:space="preserve"> </w:t>
      </w:r>
      <w:r>
        <w:t xml:space="preserve">(двух) заявок соответствующими требованиям Документации о закупки</w:t>
      </w:r>
      <w:r>
        <w:t xml:space="preserve">.</w:t>
      </w:r>
      <w:r/>
    </w:p>
    <w:p>
      <w:pPr>
        <w:pStyle w:val="1176"/>
      </w:pPr>
      <w:r>
        <w:t xml:space="preserve">Указанные обстоятельства в случае их наступления фиксируются в</w:t>
      </w:r>
      <w:r>
        <w:t xml:space="preserve"> </w:t>
      </w:r>
      <w:r>
        <w:t xml:space="preserve">соответствующем протоколе, оформляемом по результатам проведения закупки (или ее этапа).</w:t>
      </w:r>
      <w:r/>
    </w:p>
    <w:p>
      <w:pPr>
        <w:pStyle w:val="1176"/>
        <w:keepNext/>
      </w:pPr>
      <w:r>
        <w:t xml:space="preserve">В случае признания закупки несостоявшейся (с учетом условий, предусмотренных Положением о закупке):</w:t>
      </w:r>
      <w:r/>
    </w:p>
    <w:p>
      <w:pPr>
        <w:ind w:left="1701" w:hanging="567"/>
        <w:jc w:val="both"/>
        <w:outlineLvl w:val="3"/>
      </w:pPr>
      <w:r>
        <w:t xml:space="preserve">а) </w:t>
      </w:r>
      <w:bookmarkStart w:id="171" w:name="_Hlk214281841"/>
      <w:r>
        <w:t xml:space="preserve">  если поступила только 1 (одна) заявка от одного Участника (с учетом отозванных Участниками заявок), либо по результатам рассмотрения заявок (или </w:t>
      </w:r>
      <w:r>
        <w:t xml:space="preserve">постквалификации</w:t>
      </w:r>
      <w:r>
        <w:t xml:space="preserve">,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t xml:space="preserve">5</w:t>
      </w:r>
      <w:r>
        <w:rPr>
          <w:lang w:val="en-US"/>
        </w:rPr>
        <w:fldChar w:fldCharType="end"/>
      </w:r>
      <w:r>
        <w:t xml:space="preserve">) (при наличии экономической целесообразности и/или при условии отсутствия времени на повторное проведение закупки).</w:t>
      </w:r>
      <w:r/>
    </w:p>
    <w:p>
      <w:pPr>
        <w:ind w:left="1701"/>
        <w:jc w:val="both"/>
        <w:outlineLvl w:val="3"/>
      </w:pPr>
      <w:r>
        <w:t xml:space="preserve">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r/>
    </w:p>
    <w:p>
      <w:pPr>
        <w:numPr>
          <w:ilvl w:val="0"/>
          <w:numId w:val="17"/>
        </w:numPr>
        <w:jc w:val="both"/>
        <w:outlineLvl w:val="3"/>
      </w:pPr>
      <w:r>
        <w:t xml:space="preserve">повторное проведение закупки (с изменением способа закупки, если применимо в соответствии с Положением о закупке);</w:t>
      </w:r>
      <w:r/>
    </w:p>
    <w:p>
      <w:pPr>
        <w:numPr>
          <w:ilvl w:val="0"/>
          <w:numId w:val="17"/>
        </w:numPr>
        <w:jc w:val="both"/>
        <w:outlineLvl w:val="3"/>
      </w:pPr>
      <w:r>
        <w:t xml:space="preserve">отказ от заключения договора по следующим основаниям:</w:t>
      </w:r>
      <w:r/>
    </w:p>
    <w:p>
      <w:pPr>
        <w:numPr>
          <w:ilvl w:val="0"/>
          <w:numId w:val="18"/>
        </w:numPr>
        <w:jc w:val="both"/>
        <w:outlineLvl w:val="3"/>
      </w:pPr>
      <w:r>
        <w:t xml:space="preserve">изменение финансовых, инвестиционных, производственных и иных программ, оказавших влияние на потребность в данной закупке;</w:t>
      </w:r>
      <w:r/>
    </w:p>
    <w:p>
      <w:pPr>
        <w:numPr>
          <w:ilvl w:val="0"/>
          <w:numId w:val="18"/>
        </w:numPr>
        <w:jc w:val="both"/>
        <w:outlineLvl w:val="3"/>
      </w:pPr>
      <w:r>
        <w:t xml:space="preserve">изменение потребности в продукции, в том числе изменение характеристик продукции, при наличии утверждения таких изменений;</w:t>
      </w:r>
      <w:r/>
    </w:p>
    <w:p>
      <w:pPr>
        <w:numPr>
          <w:ilvl w:val="0"/>
          <w:numId w:val="18"/>
        </w:numPr>
        <w:jc w:val="both"/>
        <w:outlineLvl w:val="3"/>
      </w:pPr>
      <w:r>
        <w:t xml:space="preserve">необходимость исполнения предписаний антимонопольного органа;</w:t>
      </w:r>
      <w:r/>
    </w:p>
    <w:p>
      <w:pPr>
        <w:numPr>
          <w:ilvl w:val="0"/>
          <w:numId w:val="17"/>
        </w:numPr>
        <w:jc w:val="both"/>
        <w:outlineLvl w:val="3"/>
      </w:pPr>
      <w:r>
        <w:t xml:space="preserve">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171"/>
      <w:r/>
      <w:r/>
    </w:p>
    <w:p>
      <w:pPr>
        <w:ind w:left="1701" w:hanging="283"/>
        <w:jc w:val="both"/>
        <w:outlineLvl w:val="3"/>
      </w:pPr>
      <w:r>
        <w:t xml:space="preserve">б) если</w:t>
      </w:r>
      <w:r>
        <w:t xml:space="preserve"> не поступило ни одной заявки, либо по результатам рассмотрения заявок (или </w:t>
      </w:r>
      <w:r>
        <w:t xml:space="preserve">постквалификации</w:t>
      </w:r>
      <w:r>
        <w:t xml:space="preserve">, если проводилась), принято решение о признании их не соответствующими требованиям Документации о закупке – Заказчик проводит повторную закупку (с изменением способа закупки, если применимо в соответствии с Положением о закупке).</w:t>
      </w:r>
      <w:r/>
    </w:p>
    <w:p>
      <w:pPr>
        <w:ind w:left="1701"/>
        <w:jc w:val="both"/>
        <w:outlineLvl w:val="3"/>
      </w:pPr>
      <w:r>
        <w:t xml:space="preserve">Заказчик вправе отказаться от проведения повторной закупки по следующим основаниям:</w:t>
      </w:r>
      <w:r/>
    </w:p>
    <w:p>
      <w:pPr>
        <w:numPr>
          <w:ilvl w:val="0"/>
          <w:numId w:val="18"/>
        </w:numPr>
        <w:jc w:val="both"/>
        <w:outlineLvl w:val="3"/>
      </w:pPr>
      <w:r>
        <w:t xml:space="preserve">изменение финансовых, инвестиционных, производственных и иных программ, оказавших влияние на потребность в данной закупке;</w:t>
      </w:r>
      <w:r/>
    </w:p>
    <w:p>
      <w:pPr>
        <w:numPr>
          <w:ilvl w:val="0"/>
          <w:numId w:val="18"/>
        </w:numPr>
        <w:jc w:val="both"/>
        <w:outlineLvl w:val="3"/>
      </w:pPr>
      <w:r>
        <w:t xml:space="preserve">изменение потребности в продукции, в том числе изменение характеристик продукции;</w:t>
      </w:r>
      <w:r/>
    </w:p>
    <w:p>
      <w:pPr>
        <w:numPr>
          <w:ilvl w:val="0"/>
          <w:numId w:val="18"/>
        </w:numPr>
        <w:jc w:val="both"/>
        <w:outlineLvl w:val="3"/>
      </w:pPr>
      <w:r>
        <w:t xml:space="preserve">при отсутствии заявок, соответствующих установленным требованиям, по результатам повторного проведения закупки.</w:t>
      </w:r>
      <w:r/>
    </w:p>
    <w:p>
      <w:pPr>
        <w:pStyle w:val="1175"/>
      </w:pPr>
      <w:r/>
      <w:bookmarkStart w:id="172" w:name="_Ref126141962"/>
      <w:r/>
      <w:bookmarkStart w:id="173" w:name="_Toc232579439"/>
      <w:r>
        <w:t xml:space="preserve">Отказ от проведения закупки</w:t>
      </w:r>
      <w:bookmarkEnd w:id="172"/>
      <w:r>
        <w:t xml:space="preserve"> (отмена закупки)</w:t>
      </w:r>
      <w:bookmarkEnd w:id="173"/>
      <w:r/>
      <w:r/>
    </w:p>
    <w:p>
      <w:pPr>
        <w:pStyle w:val="1176"/>
      </w:pPr>
      <w:r>
        <w:t xml:space="preserve">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r/>
    </w:p>
    <w:p>
      <w:pPr>
        <w:pStyle w:val="1176"/>
      </w:pPr>
      <w:r>
        <w:t xml:space="preserve">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r/>
    </w:p>
    <w:p>
      <w:pPr>
        <w:pStyle w:val="1176"/>
      </w:pPr>
      <w:r>
        <w:t xml:space="preserve">Дополнительно о</w:t>
      </w:r>
      <w:r>
        <w:t xml:space="preserve">рганизатор уведомляет всех Участников об отмене закупки посредством ЭП.</w:t>
      </w:r>
      <w:r/>
    </w:p>
    <w:p>
      <w:pPr>
        <w:pStyle w:val="1176"/>
      </w:pPr>
      <w:r>
        <w:t xml:space="preserve">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w:t>
      </w:r>
      <w:r>
        <w:t xml:space="preserve"> </w:t>
      </w:r>
      <w:r>
        <w:t xml:space="preserve">гражданским законодательством.</w:t>
      </w:r>
      <w:r/>
    </w:p>
    <w:p>
      <w:pPr>
        <w:pStyle w:val="1175"/>
      </w:pPr>
      <w:r/>
      <w:bookmarkStart w:id="174" w:name="_Ref130455226"/>
      <w:r/>
      <w:bookmarkStart w:id="175" w:name="_Ref130225422"/>
      <w:r/>
      <w:bookmarkStart w:id="176" w:name="_Ref125361212"/>
      <w:r/>
      <w:bookmarkStart w:id="177" w:name="_Ref125362671"/>
      <w:r/>
      <w:bookmarkStart w:id="178" w:name="_Ref125363439"/>
      <w:r/>
      <w:bookmarkStart w:id="179" w:name="_Ref125366769"/>
      <w:r/>
      <w:bookmarkStart w:id="180" w:name="_Ref125367083"/>
      <w:r/>
      <w:bookmarkStart w:id="181" w:name="_Ref125367087"/>
      <w:r/>
      <w:bookmarkStart w:id="182" w:name="_Toc232579440"/>
      <w:r>
        <w:t xml:space="preserve">Особенности</w:t>
      </w:r>
      <w:r>
        <w:t xml:space="preserve"> проведения закупки с необходимостью обеспечения заявки</w:t>
      </w:r>
      <w:bookmarkEnd w:id="174"/>
      <w:r/>
      <w:bookmarkEnd w:id="182"/>
      <w:r/>
      <w:r/>
    </w:p>
    <w:p>
      <w:pPr>
        <w:pStyle w:val="1176"/>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предусмотрена обязанность Участников предоставить обеспечение заявки на</w:t>
      </w:r>
      <w:r>
        <w:t xml:space="preserve"> </w:t>
      </w:r>
      <w:r>
        <w:t xml:space="preserve">участие в закупке.</w:t>
      </w:r>
      <w:r/>
    </w:p>
    <w:p>
      <w:pPr>
        <w:pStyle w:val="1176"/>
      </w:pPr>
      <w:r>
        <w:t xml:space="preserve">Настоящий подраздел дополняет</w:t>
      </w:r>
      <w:r>
        <w:t xml:space="preserve"> или изменяет</w:t>
      </w:r>
      <w:r>
        <w:t xml:space="preserve"> </w:t>
      </w:r>
      <w:r>
        <w:t xml:space="preserve">порядок</w:t>
      </w:r>
      <w:r>
        <w:t xml:space="preserve"> проведения закупки. В</w:t>
      </w:r>
      <w:r>
        <w:t xml:space="preserve"> </w:t>
      </w:r>
      <w:r>
        <w:t xml:space="preserve">случае противоречий между требованиями настоящего </w:t>
      </w:r>
      <w:r>
        <w:t xml:space="preserve">подраздела </w:t>
      </w:r>
      <w:r>
        <w:t xml:space="preserve">и </w:t>
      </w:r>
      <w:r>
        <w:t xml:space="preserve">порядка проведения закупки или с инструкциями по подготовке заявки</w:t>
      </w:r>
      <w:r>
        <w:t xml:space="preserve"> применяются требования настоящего </w:t>
      </w:r>
      <w:r>
        <w:t xml:space="preserve">под</w:t>
      </w:r>
      <w:r>
        <w:t xml:space="preserve">раздела.</w:t>
      </w:r>
      <w:r/>
    </w:p>
    <w:p>
      <w:pPr>
        <w:pStyle w:val="1176"/>
      </w:pPr>
      <w:r>
        <w:t xml:space="preserve">Обязательства Участников, связанные с подачей заявок, обеспечиваются в форме</w:t>
      </w:r>
      <w:r>
        <w:t xml:space="preserve">, порядке и размере </w:t>
      </w:r>
      <w:r>
        <w:t xml:space="preserve">в соответствии с подразделом </w:t>
      </w:r>
      <w:r>
        <w:fldChar w:fldCharType="begin"/>
      </w:r>
      <w:r>
        <w:instrText xml:space="preserve"> REF _Ref125359973 \r \h </w:instrText>
      </w:r>
      <w:r>
        <w:fldChar w:fldCharType="separate"/>
      </w:r>
      <w:r>
        <w:t xml:space="preserve">1.2</w:t>
      </w:r>
      <w:r>
        <w:fldChar w:fldCharType="end"/>
      </w:r>
      <w:r>
        <w:t xml:space="preserve">.</w:t>
      </w:r>
      <w:r>
        <w:t xml:space="preserve"> </w:t>
      </w:r>
      <w:r>
        <w:t xml:space="preserve">Выбор формы (способа) </w:t>
      </w:r>
      <w:r>
        <w:t xml:space="preserve">обеспечения из числа предусмотренных осуществляется Участниками самостоятельно.</w:t>
      </w:r>
      <w:r/>
    </w:p>
    <w:p>
      <w:pPr>
        <w:pStyle w:val="1176"/>
      </w:pPr>
      <w:r>
        <w:t xml:space="preserve">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w:t>
      </w:r>
      <w:r>
        <w:t xml:space="preserve"> </w:t>
      </w:r>
      <w:r>
        <w:t xml:space="preserve">(подраздел </w:t>
      </w:r>
      <w:r>
        <w:fldChar w:fldCharType="begin"/>
      </w:r>
      <w:r>
        <w:instrText xml:space="preserve"> REF _Ref125359973 \r \h </w:instrText>
      </w:r>
      <w:r>
        <w:fldChar w:fldCharType="separate"/>
      </w:r>
      <w:r>
        <w:t xml:space="preserve">1.2</w:t>
      </w:r>
      <w:r>
        <w:fldChar w:fldCharType="end"/>
      </w:r>
      <w:r>
        <w:t xml:space="preserve">) </w:t>
      </w:r>
      <w:r>
        <w:t xml:space="preserve">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r/>
    </w:p>
    <w:p>
      <w:pPr>
        <w:pStyle w:val="1176"/>
      </w:pPr>
      <w:r>
        <w:t xml:space="preserve">В случае выбора Участником обеспечения заявки </w:t>
      </w:r>
      <w:r>
        <w:t xml:space="preserve">путем предоставление банковской гарантии (в том числе электронной банковской гарантии, выданной посредством функционала ЭП), </w:t>
      </w:r>
      <w:r>
        <w:t xml:space="preserve">такая банковская гарантия составляется с</w:t>
      </w:r>
      <w:r>
        <w:t xml:space="preserve"> </w:t>
      </w:r>
      <w:r>
        <w:t xml:space="preserve">учетом требований статей</w:t>
      </w:r>
      <w:r>
        <w:t xml:space="preserve"> </w:t>
      </w:r>
      <w:r>
        <w:t xml:space="preserve">368 – 378 ГК</w:t>
      </w:r>
      <w:r>
        <w:t xml:space="preserve"> </w:t>
      </w:r>
      <w:r>
        <w:t xml:space="preserve">РФ, а также следующих условий</w:t>
      </w:r>
      <w:r>
        <w:t xml:space="preserve">:</w:t>
      </w:r>
      <w:r/>
    </w:p>
    <w:p>
      <w:pPr>
        <w:pStyle w:val="1177"/>
      </w:pPr>
      <w:r>
        <w:t xml:space="preserve">банковская гарантия должна быть безотзывной и безусловной (гарантия по первому требованию);</w:t>
      </w:r>
      <w:r/>
    </w:p>
    <w:p>
      <w:pPr>
        <w:pStyle w:val="1177"/>
      </w:pPr>
      <w:r>
        <w:t xml:space="preserve">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t xml:space="preserve">1.2</w:t>
      </w:r>
      <w:r>
        <w:fldChar w:fldCharType="end"/>
      </w:r>
      <w:r>
        <w:t xml:space="preserve">;</w:t>
      </w:r>
      <w:r/>
    </w:p>
    <w:p>
      <w:pPr>
        <w:pStyle w:val="1177"/>
      </w:pPr>
      <w:r>
        <w:t xml:space="preserve">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t xml:space="preserve">1.2</w:t>
      </w:r>
      <w:r>
        <w:fldChar w:fldCharType="end"/>
      </w:r>
      <w:r>
        <w:t xml:space="preserve">);</w:t>
      </w:r>
      <w:r/>
    </w:p>
    <w:p>
      <w:pPr>
        <w:pStyle w:val="1177"/>
      </w:pPr>
      <w:r>
        <w:t xml:space="preserve">бенефициаром в банковской гарантии должен быть указан Заказчик, принципалом – Участник, гарантом – банк, выдавший банковскую гарантию;</w:t>
      </w:r>
      <w:r/>
    </w:p>
    <w:p>
      <w:pPr>
        <w:pStyle w:val="1177"/>
      </w:pPr>
      <w:r>
        <w:t xml:space="preserve">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w:t>
      </w:r>
      <w:r>
        <w:t xml:space="preserve"> </w:t>
      </w:r>
      <w:r>
        <w:fldChar w:fldCharType="begin"/>
      </w:r>
      <w:r>
        <w:instrText xml:space="preserve"> REF _Ref230095903 \r \h </w:instrText>
      </w:r>
      <w:r>
        <w:fldChar w:fldCharType="separate"/>
      </w:r>
      <w:r>
        <w:t xml:space="preserve">4.17.11</w:t>
      </w:r>
      <w:r>
        <w:fldChar w:fldCharType="end"/>
      </w:r>
      <w:r>
        <w:t xml:space="preserve">;</w:t>
      </w:r>
      <w:r/>
    </w:p>
    <w:p>
      <w:pPr>
        <w:pStyle w:val="1177"/>
      </w:pPr>
      <w:r>
        <w:t xml:space="preserve">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w:t>
      </w:r>
      <w:r>
        <w:t xml:space="preserve">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r/>
    </w:p>
    <w:p>
      <w:pPr>
        <w:pStyle w:val="1177"/>
      </w:pPr>
      <w:r>
        <w:t xml:space="preserve">платеж по банковской гарантии должен быть осуществлен в течение 10 (десяти) рабочих дней после обращения бенефициара;</w:t>
      </w:r>
      <w:r/>
    </w:p>
    <w:p>
      <w:pPr>
        <w:pStyle w:val="1177"/>
      </w:pPr>
      <w:r>
        <w:t xml:space="preserve">в банковской гарантии не должно быть условий или требований, противоречащих вышеизложенному или делающих вышеизложенное неисполнимым;</w:t>
      </w:r>
      <w:r/>
    </w:p>
    <w:p>
      <w:pPr>
        <w:pStyle w:val="1177"/>
      </w:pPr>
      <w:r>
        <w:t xml:space="preserve">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1188"/>
        </w:rPr>
        <w:footnoteReference w:id="11"/>
      </w:r>
      <w:r>
        <w:t xml:space="preserve">,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r/>
    </w:p>
    <w:p>
      <w:pPr>
        <w:pStyle w:val="1177"/>
      </w:pPr>
      <w:r>
        <w:t xml:space="preserve">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w:t>
      </w:r>
      <w:r>
        <w:t xml:space="preserve">.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банковской гарантии.</w:t>
      </w:r>
      <w:r/>
    </w:p>
    <w:p>
      <w:pPr>
        <w:pStyle w:val="1176"/>
      </w:pPr>
      <w:r>
        <w:t xml:space="preserve">В случае выбора Участником обеспечения заявки путем предоставления </w:t>
      </w:r>
      <w:r>
        <w:t xml:space="preserve">банковской</w:t>
      </w:r>
      <w:r>
        <w:t xml:space="preserve"> гарантии</w:t>
      </w:r>
      <w:r>
        <w:t xml:space="preserve">,</w:t>
      </w:r>
      <w:r>
        <w:t xml:space="preserve"> он должен предоставить в составе своей заявки копию такой гарантии</w:t>
      </w:r>
      <w:r>
        <w:t xml:space="preserve"> (</w:t>
      </w:r>
      <w:r>
        <w:t xml:space="preserve">либо электронную банковскую гарантию, выданную банком посредством функционала ЭП</w:t>
      </w:r>
      <w:r>
        <w:t xml:space="preserve">)</w:t>
      </w:r>
      <w:r>
        <w:t xml:space="preserve">,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r>
        <w:t xml:space="preserve">.</w:t>
      </w:r>
      <w:r/>
    </w:p>
    <w:p>
      <w:pPr>
        <w:pStyle w:val="1176"/>
      </w:pPr>
      <w:r>
        <w:t xml:space="preserve">При </w:t>
      </w:r>
      <w:r>
        <w:t xml:space="preserve">многолотовой</w:t>
      </w:r>
      <w:r>
        <w:t xml:space="preserve"> закупк</w:t>
      </w:r>
      <w:r>
        <w:t xml:space="preserve">е</w:t>
      </w:r>
      <w:r>
        <w:t xml:space="preserve"> (подраздел </w:t>
      </w:r>
      <w:r>
        <w:fldChar w:fldCharType="begin"/>
      </w:r>
      <w:r>
        <w:instrText xml:space="preserve"> REF _Ref149317278 \n \h </w:instrText>
      </w:r>
      <w:r>
        <w:fldChar w:fldCharType="separate"/>
      </w:r>
      <w:r>
        <w:t xml:space="preserve">4.18</w:t>
      </w:r>
      <w:r>
        <w:fldChar w:fldCharType="end"/>
      </w:r>
      <w:r>
        <w:t xml:space="preserve">) обеспечение исполнения обязательств Участника офо</w:t>
      </w:r>
      <w:r>
        <w:t xml:space="preserve">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t xml:space="preserve"> </w:t>
      </w:r>
      <w:r>
        <w:t xml:space="preserve">которые Участник подал заявку и по которым он был признан Победителем.</w:t>
      </w:r>
      <w:r/>
    </w:p>
    <w:p>
      <w:pPr>
        <w:pStyle w:val="1176"/>
      </w:pPr>
      <w:r>
        <w:t xml:space="preserve">При подаче </w:t>
      </w:r>
      <w:r>
        <w:t xml:space="preserve">заявки </w:t>
      </w:r>
      <w:r>
        <w:t xml:space="preserve">с альтернативными предложениями (подраздел </w:t>
      </w:r>
      <w:r>
        <w:fldChar w:fldCharType="begin"/>
      </w:r>
      <w:r>
        <w:instrText xml:space="preserve"> REF _Ref125550863 \r \h </w:instrText>
      </w:r>
      <w:r>
        <w:fldChar w:fldCharType="separate"/>
      </w:r>
      <w:r>
        <w:t xml:space="preserve">4.19</w:t>
      </w:r>
      <w:r>
        <w:fldChar w:fldCharType="end"/>
      </w:r>
      <w:r>
        <w:t xml:space="preserve">) размер обеспечения </w:t>
      </w:r>
      <w:r>
        <w:t xml:space="preserve">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r/>
    </w:p>
    <w:p>
      <w:pPr>
        <w:pStyle w:val="1176"/>
      </w:pPr>
      <w:r>
        <w:t xml:space="preserve">Подать заявку (принять участие в закупке) могут только Участники, </w:t>
      </w:r>
      <w:r>
        <w:t xml:space="preserve">предоставившие </w:t>
      </w:r>
      <w:r>
        <w:t xml:space="preserve">надлежащее обеспечение их заявок.</w:t>
      </w:r>
      <w:r/>
    </w:p>
    <w:p>
      <w:pPr>
        <w:pStyle w:val="1176"/>
      </w:pPr>
      <w:r>
        <w:t xml:space="preserve">Требование об обеспечении заявки в равной мере распространяется на всех Участников.</w:t>
      </w:r>
      <w:r/>
    </w:p>
    <w:p>
      <w:pPr>
        <w:pStyle w:val="1176"/>
        <w:keepNext/>
      </w:pPr>
      <w:r/>
      <w:bookmarkStart w:id="183" w:name="_Ref230095903"/>
      <w:r>
        <w:t xml:space="preserve">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83"/>
      <w:r/>
      <w:r/>
    </w:p>
    <w:p>
      <w:pPr>
        <w:pStyle w:val="1177"/>
      </w:pPr>
      <w:r>
        <w:t xml:space="preserve">обязательство заключить Договор в установленном Документацией о закупке </w:t>
      </w:r>
      <w:r>
        <w:t xml:space="preserve">порядке (</w:t>
      </w:r>
      <w:r>
        <w:t xml:space="preserve">раздел </w:t>
      </w:r>
      <w:r>
        <w:fldChar w:fldCharType="begin"/>
      </w:r>
      <w:r>
        <w:instrText xml:space="preserve"> REF _Ref130224037 \r \h </w:instrText>
      </w:r>
      <w:r>
        <w:fldChar w:fldCharType="separate"/>
      </w:r>
      <w:r>
        <w:t xml:space="preserve">5</w:t>
      </w:r>
      <w:r>
        <w:fldChar w:fldCharType="end"/>
      </w:r>
      <w:r>
        <w:t xml:space="preserve">), в том числе </w:t>
      </w:r>
      <w:r>
        <w:t xml:space="preserve">предоставить</w:t>
      </w:r>
      <w:r>
        <w:t xml:space="preserve"> </w:t>
      </w:r>
      <w:r>
        <w:t xml:space="preserve">Сведения</w:t>
      </w:r>
      <w:r>
        <w:t xml:space="preserve"> о</w:t>
      </w:r>
      <w:r>
        <w:t xml:space="preserve"> </w:t>
      </w:r>
      <w:r>
        <w:t xml:space="preserve">цепочке </w:t>
      </w:r>
      <w:r>
        <w:t xml:space="preserve">собственников, включая бенефициаров (в том числе конечных) </w:t>
      </w:r>
      <w:r>
        <w:t xml:space="preserve">(</w:t>
      </w:r>
      <w:hyperlink w:tooltip="#Прил05_ФормыПобедителя" w:anchor="Прил05_ФормыПобедителя" w:history="1">
        <w:r>
          <w:rPr>
            <w:rStyle w:val="1204"/>
          </w:rPr>
          <w:t xml:space="preserve">Приложение № </w:t>
        </w:r>
        <w:r>
          <w:rPr>
            <w:rStyle w:val="1204"/>
          </w:rPr>
          <w:t xml:space="preserve">5</w:t>
        </w:r>
      </w:hyperlink>
      <w:r>
        <w:t xml:space="preserve">),</w:t>
      </w:r>
      <w:r>
        <w:t xml:space="preserve"> а также предоставить</w:t>
      </w:r>
      <w:r>
        <w:t xml:space="preserve"> иные</w:t>
      </w:r>
      <w:r>
        <w:t xml:space="preserve"> документы в</w:t>
      </w:r>
      <w:r>
        <w:t xml:space="preserve"> </w:t>
      </w:r>
      <w:r>
        <w:t xml:space="preserve">соответствии с</w:t>
      </w:r>
      <w:r>
        <w:t xml:space="preserve"> </w:t>
      </w:r>
      <w:r>
        <w:t xml:space="preserve">условиями </w:t>
      </w:r>
      <w:r>
        <w:t xml:space="preserve">подраздела </w:t>
      </w:r>
      <w:r>
        <w:fldChar w:fldCharType="begin"/>
      </w:r>
      <w:r>
        <w:instrText xml:space="preserve"> REF _Ref138232981 \r \h </w:instrText>
      </w:r>
      <w:r>
        <w:fldChar w:fldCharType="separate"/>
      </w:r>
      <w:r>
        <w:t xml:space="preserve">5.2</w:t>
      </w:r>
      <w:r>
        <w:fldChar w:fldCharType="end"/>
      </w:r>
      <w:r>
        <w:t xml:space="preserve">;</w:t>
      </w:r>
      <w:r/>
    </w:p>
    <w:p>
      <w:pPr>
        <w:pStyle w:val="1177"/>
      </w:pPr>
      <w:r>
        <w:t xml:space="preserve">обязательство предоставить до заключения</w:t>
      </w:r>
      <w:r>
        <w:t xml:space="preserve"> договора Заказчику обеспечение исполнения договора – если </w:t>
      </w:r>
      <w:hyperlink w:tooltip="#Прил02_ПроектДоговора" w:anchor="Прил02_ПроектДоговора" w:history="1">
        <w:r>
          <w:rPr>
            <w:rStyle w:val="1204"/>
          </w:rPr>
          <w:t xml:space="preserve">Проект договора (Приложение № 2)</w:t>
        </w:r>
      </w:hyperlink>
      <w:r>
        <w:t xml:space="preserve"> предусматривает обеспечение исполнения договора с соответствующим</w:t>
      </w:r>
      <w:r>
        <w:t xml:space="preserve">и</w:t>
      </w:r>
      <w:r>
        <w:t xml:space="preserve"> обязательствами (в порядке и сроки, предусмотренные </w:t>
      </w:r>
      <w:hyperlink w:tooltip="#Прил02_ПроектДоговора" w:anchor="Прил02_ПроектДоговора" w:history="1">
        <w:r>
          <w:rPr>
            <w:rStyle w:val="1204"/>
          </w:rPr>
          <w:t xml:space="preserve">Проектом договора</w:t>
        </w:r>
      </w:hyperlink>
      <w:r>
        <w:t xml:space="preserve">).</w:t>
      </w:r>
      <w:r/>
    </w:p>
    <w:p>
      <w:pPr>
        <w:pStyle w:val="1176"/>
      </w:pPr>
      <w:r>
        <w:t xml:space="preserve">В случае невыполнения Победителем указанных выше обязательств Организатор вправе удержать обеспечение заявки п</w:t>
      </w:r>
      <w:r>
        <w:t xml:space="preserve">утем обращения в соответствующ</w:t>
      </w:r>
      <w:r>
        <w:t xml:space="preserve">ий</w:t>
      </w:r>
      <w:r>
        <w:t xml:space="preserve">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r/>
    </w:p>
    <w:p>
      <w:pPr>
        <w:pStyle w:val="1176"/>
        <w:keepNext/>
      </w:pPr>
      <w:r>
        <w:t xml:space="preserve">Возврат обеспечения заявки </w:t>
      </w:r>
      <w:r>
        <w:t xml:space="preserve">(в случае предоставления Участником обеспечения в виде денежных средств)</w:t>
      </w:r>
      <w:r>
        <w:t xml:space="preserve"> осуществляется Организатором в срок не более 20 (двадцати) рабочих дней с даты:</w:t>
      </w:r>
      <w:r/>
    </w:p>
    <w:p>
      <w:pPr>
        <w:pStyle w:val="1177"/>
      </w:pPr>
      <w:r>
        <w:t xml:space="preserve">принятия решения об отказе от проведения закупки – всем Участникам, подавшим заявки к моменту принятия такого решения;</w:t>
      </w:r>
      <w:r/>
    </w:p>
    <w:p>
      <w:pPr>
        <w:pStyle w:val="1177"/>
      </w:pPr>
      <w:r>
        <w:t xml:space="preserve">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r/>
    </w:p>
    <w:p>
      <w:pPr>
        <w:pStyle w:val="1177"/>
      </w:pPr>
      <w:r>
        <w:t xml:space="preserve">официального размещения протокола рассмотрения заявок (при условии его оформления) – Участникам, чьи заявки были отклонены;</w:t>
      </w:r>
      <w:r/>
    </w:p>
    <w:p>
      <w:pPr>
        <w:pStyle w:val="1177"/>
      </w:pPr>
      <w:r>
        <w:t xml:space="preserve">официального размещения итогового протокола по результатам закупки – всем Участникам, кроме Победителя;</w:t>
      </w:r>
      <w:r/>
    </w:p>
    <w:p>
      <w:pPr>
        <w:pStyle w:val="1177"/>
      </w:pPr>
      <w:r>
        <w:t xml:space="preserve">заключения Договора по результатам закупки – Победителю, с которым заключен Договор;</w:t>
      </w:r>
      <w:r/>
    </w:p>
    <w:p>
      <w:pPr>
        <w:pStyle w:val="1177"/>
      </w:pPr>
      <w:r>
        <w:t xml:space="preserve">признания закупки несостоявшейся – Участнику, которому обеспечение не было возвращено по иным основаниям.</w:t>
      </w:r>
      <w:r/>
    </w:p>
    <w:p>
      <w:pPr>
        <w:pStyle w:val="1176"/>
      </w:pPr>
      <w:r>
        <w:t xml:space="preserve">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instrText xml:space="preserve"> \* MERGEFORMAT </w:instrText>
      </w:r>
      <w:r>
        <w:fldChar w:fldCharType="separate"/>
      </w:r>
      <w:r>
        <w:t xml:space="preserve">2.3</w:t>
      </w:r>
      <w:r>
        <w:fldChar w:fldCharType="end"/>
      </w:r>
      <w:r>
        <w:t xml:space="preserve">)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r/>
    </w:p>
    <w:p>
      <w:pPr>
        <w:pStyle w:val="1175"/>
      </w:pPr>
      <w:r/>
      <w:bookmarkStart w:id="184" w:name="_Ref149317278"/>
      <w:r/>
      <w:bookmarkStart w:id="185" w:name="_Toc232579441"/>
      <w:r>
        <w:t xml:space="preserve">Особенности проведения </w:t>
      </w:r>
      <w:r>
        <w:t xml:space="preserve">м</w:t>
      </w:r>
      <w:r>
        <w:t xml:space="preserve">ноголотов</w:t>
      </w:r>
      <w:r>
        <w:t xml:space="preserve">ой</w:t>
      </w:r>
      <w:r>
        <w:t xml:space="preserve"> закупк</w:t>
      </w:r>
      <w:r>
        <w:t xml:space="preserve">и</w:t>
      </w:r>
      <w:bookmarkEnd w:id="175"/>
      <w:r/>
      <w:bookmarkEnd w:id="184"/>
      <w:r/>
      <w:bookmarkEnd w:id="185"/>
      <w:r/>
      <w:r/>
    </w:p>
    <w:p>
      <w:pPr>
        <w:pStyle w:val="1176"/>
      </w:pPr>
      <w:r>
        <w:t xml:space="preserve">Нормы настоящего подраздела применяются, если подразделом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предусмотрено проведение </w:t>
      </w:r>
      <w:r>
        <w:t xml:space="preserve">многолотовой</w:t>
      </w:r>
      <w:r>
        <w:t xml:space="preserve"> закупки.</w:t>
      </w:r>
      <w:r/>
    </w:p>
    <w:p>
      <w:pPr>
        <w:pStyle w:val="1176"/>
      </w:pPr>
      <w:r>
        <w:t xml:space="preserve">Настоящий подраздел дополняет</w:t>
      </w:r>
      <w:r>
        <w:t xml:space="preserve"> или изменяет</w:t>
      </w:r>
      <w:r>
        <w:t xml:space="preserve"> порядок проведения закупки</w:t>
      </w:r>
      <w:r>
        <w:t xml:space="preserve">. </w:t>
      </w:r>
      <w:r>
        <w:t xml:space="preserve">В</w:t>
      </w:r>
      <w:r>
        <w:t xml:space="preserve"> </w:t>
      </w:r>
      <w:r>
        <w:t xml:space="preserve">случае противоречий между требованиями настоящего подраздела и порядка проведения закупки</w:t>
      </w:r>
      <w:r>
        <w:t xml:space="preserve"> или</w:t>
      </w:r>
      <w:r>
        <w:t xml:space="preserve"> с инструкциями по</w:t>
      </w:r>
      <w:r>
        <w:t xml:space="preserve"> </w:t>
      </w:r>
      <w:r>
        <w:t xml:space="preserve">подготовке заяв</w:t>
      </w:r>
      <w:r>
        <w:t xml:space="preserve">к</w:t>
      </w:r>
      <w:r>
        <w:t xml:space="preserve">и</w:t>
      </w:r>
      <w:r>
        <w:t xml:space="preserve"> применяются требования настоящего </w:t>
      </w:r>
      <w:r>
        <w:t xml:space="preserve">под</w:t>
      </w:r>
      <w:r>
        <w:t xml:space="preserve">раздела.</w:t>
      </w:r>
      <w:r/>
    </w:p>
    <w:p>
      <w:pPr>
        <w:pStyle w:val="1176"/>
      </w:pPr>
      <w:r>
        <w:t xml:space="preserve">Многолотовая</w:t>
      </w:r>
      <w:r>
        <w:t xml:space="preserve"> закупка может проводиться как для одного, так и для нескольких Заказчиков. Для всех лотов выпускается общее Извещение, Документация </w:t>
      </w:r>
      <w:r>
        <w:t xml:space="preserve">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xml:space="preserve"> </w:t>
      </w:r>
      <w:r>
        <w:t xml:space="preserve">указан номер конкретного лота, относятся ко всем лотам одновременно.</w:t>
      </w:r>
      <w:r/>
    </w:p>
    <w:p>
      <w:pPr>
        <w:pStyle w:val="1176"/>
      </w:pPr>
      <w:r>
        <w:t xml:space="preserve">Участник может подать </w:t>
      </w:r>
      <w:r>
        <w:t xml:space="preserve">одну </w:t>
      </w:r>
      <w:r>
        <w:t xml:space="preserve">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t xml:space="preserve"> В </w:t>
      </w:r>
      <w:r>
        <w:t xml:space="preserve">многолотовой</w:t>
      </w:r>
      <w:r>
        <w:t xml:space="preserve"> </w:t>
      </w:r>
      <w:r>
        <w:t xml:space="preserve">закупке </w:t>
      </w:r>
      <w:r>
        <w:t xml:space="preserve">подача Участником по</w:t>
      </w:r>
      <w:r>
        <w:t xml:space="preserve"> </w:t>
      </w:r>
      <w:r>
        <w:t xml:space="preserve">одной </w:t>
      </w:r>
      <w:r>
        <w:t xml:space="preserve">заявке </w:t>
      </w:r>
      <w:r>
        <w:t xml:space="preserve">на каждый лот не считается</w:t>
      </w:r>
      <w:r>
        <w:t xml:space="preserve"> подачей</w:t>
      </w:r>
      <w:r>
        <w:t xml:space="preserve"> второй заявки на</w:t>
      </w:r>
      <w:r>
        <w:t xml:space="preserve"> </w:t>
      </w:r>
      <w:r>
        <w:t xml:space="preserve">закупку.</w:t>
      </w:r>
      <w:r/>
    </w:p>
    <w:p>
      <w:pPr>
        <w:pStyle w:val="1176"/>
        <w:keepNext/>
      </w:pPr>
      <w:r>
        <w:t xml:space="preserve">В случае подачи заявки на несколько лотов </w:t>
      </w:r>
      <w:r>
        <w:t xml:space="preserve">дополнительно должны быть</w:t>
      </w:r>
      <w:r>
        <w:t xml:space="preserve"> </w:t>
      </w:r>
      <w:r>
        <w:t xml:space="preserve">соблюдены следующие требования:</w:t>
      </w:r>
      <w:r/>
    </w:p>
    <w:p>
      <w:pPr>
        <w:pStyle w:val="1177"/>
      </w:pPr>
      <w:r>
        <w:t xml:space="preserve">Письмо о подаче оферты (форма 2)</w:t>
      </w:r>
      <w:r>
        <w:t xml:space="preserve"> (</w:t>
      </w:r>
      <w:hyperlink w:tooltip="#Прил04_ФормыЗаявки" w:anchor="Прил04_ФормыЗаявки" w:history="1">
        <w:r>
          <w:rPr>
            <w:rStyle w:val="1204"/>
          </w:rPr>
          <w:t xml:space="preserve">Приложение № </w:t>
        </w:r>
        <w:r>
          <w:rPr>
            <w:rStyle w:val="1204"/>
          </w:rPr>
          <w:t xml:space="preserve">4</w:t>
        </w:r>
      </w:hyperlink>
      <w:r>
        <w:t xml:space="preserve">)</w:t>
      </w:r>
      <w:r>
        <w:t xml:space="preserve"> должно содержать указание номера и названия каждого лота,</w:t>
      </w:r>
      <w:r>
        <w:t xml:space="preserve"> по каждому лоту должна быть указана его стоимость</w:t>
      </w:r>
      <w:r>
        <w:t xml:space="preserve">;</w:t>
      </w:r>
      <w:r/>
    </w:p>
    <w:p>
      <w:pPr>
        <w:pStyle w:val="1177"/>
      </w:pPr>
      <w:r>
        <w:t xml:space="preserve">Коммерческое предложение (форма 3), Техническое предложение (форма 4), Календарный график (форма 5)</w:t>
      </w:r>
      <w:r>
        <w:t xml:space="preserve"> </w:t>
      </w:r>
      <w:r>
        <w:rPr>
          <w:i/>
        </w:rPr>
        <w:t xml:space="preserve">(не требуется в данной закупке)</w:t>
      </w:r>
      <w:r>
        <w:t xml:space="preserve">, </w:t>
      </w:r>
      <w:r>
        <w:t xml:space="preserve">План распределения объемов поставки продукции (форма</w:t>
      </w:r>
      <w:r>
        <w:t xml:space="preserve"> </w:t>
      </w:r>
      <w:r>
        <w:t xml:space="preserve">11)</w:t>
      </w:r>
      <w:r>
        <w:t xml:space="preserve"> – </w:t>
      </w:r>
      <w:hyperlink w:tooltip="#Прил04_ФормыЗаявки" w:anchor="Прил04_ФормыЗаявки" w:history="1">
        <w:r>
          <w:rPr>
            <w:rStyle w:val="1204"/>
          </w:rPr>
          <w:t xml:space="preserve">Приложение № </w:t>
        </w:r>
        <w:r>
          <w:rPr>
            <w:rStyle w:val="1204"/>
          </w:rPr>
          <w:t xml:space="preserve">4</w:t>
        </w:r>
      </w:hyperlink>
      <w:r>
        <w:t xml:space="preserve">,</w:t>
      </w:r>
      <w:r>
        <w:t xml:space="preserve"> должны быть подготовлены отдельно по</w:t>
      </w:r>
      <w:r>
        <w:t xml:space="preserve"> </w:t>
      </w:r>
      <w:r>
        <w:t xml:space="preserve">каждому из лотов с указанием номера и названия лота.</w:t>
      </w:r>
      <w:r/>
    </w:p>
    <w:p>
      <w:pPr>
        <w:pStyle w:val="1176"/>
      </w:pPr>
      <w:r>
        <w:t xml:space="preserve">Решения, принимаемые в ходе процедуры закупки, в том числе </w:t>
      </w:r>
      <w:r>
        <w:t xml:space="preserve">решения в рамках </w:t>
      </w:r>
      <w:r>
        <w:t xml:space="preserve">рассмотрени</w:t>
      </w:r>
      <w:r>
        <w:t xml:space="preserve">я,</w:t>
      </w:r>
      <w:r>
        <w:t xml:space="preserve"> оценк</w:t>
      </w:r>
      <w:r>
        <w:t xml:space="preserve">и и сопоставления</w:t>
      </w:r>
      <w:r>
        <w:t xml:space="preserve"> заявок, определени</w:t>
      </w:r>
      <w:r>
        <w:t xml:space="preserve">я</w:t>
      </w:r>
      <w:r>
        <w:t xml:space="preserve"> Победителя, признани</w:t>
      </w:r>
      <w:r>
        <w:t xml:space="preserve">я</w:t>
      </w:r>
      <w:r>
        <w:t xml:space="preserve"> закупки несостоявшейся, отказ</w:t>
      </w:r>
      <w:r>
        <w:t xml:space="preserve">а</w:t>
      </w:r>
      <w:r>
        <w:t xml:space="preserve"> от дальнейшего ее проведения и т.д., осуществляются раздельно и независимо по каждому из</w:t>
      </w:r>
      <w:r>
        <w:t xml:space="preserve"> </w:t>
      </w:r>
      <w:r>
        <w:t xml:space="preserve">лотов. При этом Организатор вправе оформить по</w:t>
      </w:r>
      <w:r>
        <w:t xml:space="preserve"> </w:t>
      </w:r>
      <w:r>
        <w:t xml:space="preserve">каждому лоту отдельный протокол</w:t>
      </w:r>
      <w:r>
        <w:t xml:space="preserve"> закупки</w:t>
      </w:r>
      <w:r>
        <w:t xml:space="preserve"> или сформировать общий по всем лотам протокол</w:t>
      </w:r>
      <w:r>
        <w:t xml:space="preserve"> закупки</w:t>
      </w:r>
      <w:r>
        <w:t xml:space="preserve">, в</w:t>
      </w:r>
      <w:r>
        <w:t xml:space="preserve"> </w:t>
      </w:r>
      <w:r>
        <w:t xml:space="preserve">который в отношении каждого лота вносятся сведения, подлежащие официальному размещению.</w:t>
      </w:r>
      <w:r/>
    </w:p>
    <w:p>
      <w:pPr>
        <w:pStyle w:val="1175"/>
      </w:pPr>
      <w:r/>
      <w:bookmarkStart w:id="186" w:name="_Ref125550863"/>
      <w:r/>
      <w:bookmarkStart w:id="187" w:name="_Toc232579442"/>
      <w:r>
        <w:t xml:space="preserve">Особенности проведения закупки с возможностью</w:t>
      </w:r>
      <w:r>
        <w:t xml:space="preserve"> подачи а</w:t>
      </w:r>
      <w:r>
        <w:t xml:space="preserve">льтернативны</w:t>
      </w:r>
      <w:r>
        <w:t xml:space="preserve">х</w:t>
      </w:r>
      <w:r>
        <w:t xml:space="preserve"> предложени</w:t>
      </w:r>
      <w:r>
        <w:t xml:space="preserve">й</w:t>
      </w:r>
      <w:bookmarkEnd w:id="186"/>
      <w:r/>
      <w:bookmarkEnd w:id="187"/>
      <w:r/>
      <w:r/>
    </w:p>
    <w:p>
      <w:pPr>
        <w:pStyle w:val="1176"/>
      </w:pPr>
      <w:r>
        <w:t xml:space="preserve">Нормы настоящего подраздела применяются, если подразделом</w:t>
      </w:r>
      <w:r>
        <w:t xml:space="preserve"> </w:t>
      </w:r>
      <w:r>
        <w:fldChar w:fldCharType="begin"/>
      </w:r>
      <w:r>
        <w:instrText xml:space="preserve"> REF _Ref125359973 \r \h </w:instrText>
      </w:r>
      <w:r>
        <w:fldChar w:fldCharType="separate"/>
      </w:r>
      <w:r>
        <w:t xml:space="preserve">1.2</w:t>
      </w:r>
      <w:r>
        <w:fldChar w:fldCharType="end"/>
      </w:r>
      <w:r>
        <w:t xml:space="preserve"> предусмотрена возможность подачи альтернативных предложений.</w:t>
      </w:r>
      <w:r/>
    </w:p>
    <w:p>
      <w:pPr>
        <w:pStyle w:val="1176"/>
      </w:pPr>
      <w:r>
        <w:t xml:space="preserve">Настоящий подраздел дополняет</w:t>
      </w:r>
      <w:r>
        <w:t xml:space="preserve"> или изменяет</w:t>
      </w:r>
      <w:r>
        <w:t xml:space="preserve"> </w:t>
      </w:r>
      <w:r>
        <w:t xml:space="preserve">порядок</w:t>
      </w:r>
      <w:r>
        <w:t xml:space="preserve"> проведения закупки</w:t>
      </w:r>
      <w:r>
        <w:t xml:space="preserve">.</w:t>
      </w:r>
      <w:r>
        <w:t xml:space="preserve"> </w:t>
      </w:r>
      <w:r>
        <w:t xml:space="preserve">В</w:t>
      </w:r>
      <w:r>
        <w:t xml:space="preserve"> </w:t>
      </w:r>
      <w:r>
        <w:t xml:space="preserve">случае противоречий между требованиями настоящего </w:t>
      </w:r>
      <w:r>
        <w:t xml:space="preserve">подраздела </w:t>
      </w:r>
      <w:r>
        <w:t xml:space="preserve">и </w:t>
      </w:r>
      <w:r>
        <w:t xml:space="preserve">порядка проведения закупки или с инструкциями по</w:t>
      </w:r>
      <w:r>
        <w:t xml:space="preserve"> </w:t>
      </w:r>
      <w:r>
        <w:t xml:space="preserve">подготовке заявк</w:t>
      </w:r>
      <w:r>
        <w:t xml:space="preserve">и</w:t>
      </w:r>
      <w:r>
        <w:t xml:space="preserve"> применяются требования настоящего </w:t>
      </w:r>
      <w:r>
        <w:t xml:space="preserve">под</w:t>
      </w:r>
      <w:r>
        <w:t xml:space="preserve">раздела.</w:t>
      </w:r>
      <w:r/>
    </w:p>
    <w:p>
      <w:pPr>
        <w:pStyle w:val="1176"/>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t xml:space="preserve">в подразделе </w:t>
      </w:r>
      <w:r>
        <w:fldChar w:fldCharType="begin"/>
      </w:r>
      <w:r>
        <w:instrText xml:space="preserve"> REF _Ref125359973 \r \h </w:instrText>
      </w:r>
      <w:r>
        <w:fldChar w:fldCharType="separate"/>
      </w:r>
      <w:r>
        <w:t xml:space="preserve">1.2</w:t>
      </w:r>
      <w:r>
        <w:fldChar w:fldCharType="end"/>
      </w:r>
      <w:r>
        <w:t xml:space="preserve">. </w:t>
      </w:r>
      <w:r>
        <w:t xml:space="preserve">Т</w:t>
      </w:r>
      <w:r>
        <w:t xml:space="preserve">ребовани</w:t>
      </w:r>
      <w:r>
        <w:t xml:space="preserve">е</w:t>
      </w:r>
      <w:r>
        <w:t xml:space="preserve"> о том, что участник имеет право подать только одну заявку</w:t>
      </w:r>
      <w:r>
        <w:t xml:space="preserve">,</w:t>
      </w:r>
      <w:r>
        <w:t xml:space="preserve"> </w:t>
      </w:r>
      <w:r>
        <w:t xml:space="preserve">к альтернативным предложениям не</w:t>
      </w:r>
      <w:r>
        <w:t xml:space="preserve"> </w:t>
      </w:r>
      <w:r>
        <w:t xml:space="preserve">относ</w:t>
      </w:r>
      <w:r>
        <w:t xml:space="preserve">и</w:t>
      </w:r>
      <w:r>
        <w:t xml:space="preserve">тся</w:t>
      </w:r>
      <w:r>
        <w:t xml:space="preserve">. При этом не допускается подача заявки на часть какого-либо лота по отдельным видам или объемам продукции (в случае нарушения – поданная заявк</w:t>
      </w:r>
      <w:r>
        <w:t xml:space="preserve">а</w:t>
      </w:r>
      <w:r>
        <w:t xml:space="preserve"> в отношении такого лота подлежит отклонению).</w:t>
      </w:r>
      <w:r/>
    </w:p>
    <w:p>
      <w:pPr>
        <w:pStyle w:val="1176"/>
      </w:pPr>
      <w:r>
        <w:t xml:space="preserve">Альтернативные предложения могут сопровождаться</w:t>
      </w:r>
      <w:r>
        <w:t xml:space="preserve"> альтернативными ценами</w:t>
      </w:r>
      <w:r>
        <w:t xml:space="preserve"> (не превышающи</w:t>
      </w:r>
      <w:r>
        <w:t xml:space="preserve">ми</w:t>
      </w:r>
      <w:r>
        <w:t xml:space="preserve"> НМЦ, установленную в подразделе </w:t>
      </w:r>
      <w:r>
        <w:fldChar w:fldCharType="begin"/>
      </w:r>
      <w:r>
        <w:instrText xml:space="preserve"> REF _Ref125359973 \r \h </w:instrText>
      </w:r>
      <w:r>
        <w:fldChar w:fldCharType="separate"/>
      </w:r>
      <w:r>
        <w:t xml:space="preserve">1.2</w:t>
      </w:r>
      <w:r>
        <w:fldChar w:fldCharType="end"/>
      </w:r>
      <w:r>
        <w:t xml:space="preserve">).</w:t>
      </w:r>
      <w:r>
        <w:t xml:space="preserve"> При этом </w:t>
      </w:r>
      <w:r>
        <w:t xml:space="preserve">альтернативные предложения, по сути отличающиеся от основного только ценой, рассматриваться не будут.</w:t>
      </w:r>
      <w:r/>
    </w:p>
    <w:p>
      <w:pPr>
        <w:pStyle w:val="1176"/>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t xml:space="preserve">быть представлены соответствующие измененные формы</w:t>
      </w:r>
      <w:r>
        <w:t xml:space="preserve"> </w:t>
      </w:r>
      <w:r>
        <w:t xml:space="preserve">заявки</w:t>
      </w:r>
      <w:r>
        <w:t xml:space="preserve"> (</w:t>
      </w:r>
      <w:hyperlink w:tooltip="#Прил04_ФормыЗаявки" w:anchor="Прил04_ФормыЗаявки" w:history="1">
        <w:r>
          <w:rPr>
            <w:rStyle w:val="1204"/>
          </w:rPr>
          <w:t xml:space="preserve">Приложение № </w:t>
        </w:r>
        <w:r>
          <w:rPr>
            <w:rStyle w:val="1204"/>
          </w:rPr>
          <w:t xml:space="preserve">4</w:t>
        </w:r>
      </w:hyperlink>
      <w:r>
        <w:t xml:space="preserve">)</w:t>
      </w:r>
      <w:r>
        <w:t xml:space="preserve"> с указанием</w:t>
      </w:r>
      <w:r>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t xml:space="preserve"> </w:t>
      </w:r>
      <w:r>
        <w:t xml:space="preserve">следует дублировать документы, подтверждающие соответствие Участника установленным</w:t>
      </w:r>
      <w:r>
        <w:t xml:space="preserve"> </w:t>
      </w:r>
      <w:r>
        <w:t xml:space="preserve">требованиям, а также формы заявки, которые не</w:t>
      </w:r>
      <w:r>
        <w:t xml:space="preserve"> </w:t>
      </w:r>
      <w:r>
        <w:t xml:space="preserve">отличаются от</w:t>
      </w:r>
      <w:r>
        <w:t xml:space="preserve"> </w:t>
      </w:r>
      <w:r>
        <w:t xml:space="preserve">форм</w:t>
      </w:r>
      <w:r>
        <w:t xml:space="preserve"> основного предложения.</w:t>
      </w:r>
      <w:r/>
    </w:p>
    <w:p>
      <w:pPr>
        <w:pStyle w:val="1176"/>
      </w:pPr>
      <w:r>
        <w:t xml:space="preserve">При проведении переторжки (подраздел </w:t>
      </w:r>
      <w:r>
        <w:fldChar w:fldCharType="begin"/>
      </w:r>
      <w:r>
        <w:instrText xml:space="preserve"> REF _Ref127536359 \r \h </w:instrText>
      </w:r>
      <w:r>
        <w:fldChar w:fldCharType="separate"/>
      </w:r>
      <w:r>
        <w:t xml:space="preserve">4.11</w:t>
      </w:r>
      <w:r>
        <w:fldChar w:fldCharType="end"/>
      </w:r>
      <w:r>
        <w:t xml:space="preserve">) альтернативные предложения Участников допускаются к ней наравне с основными предложениями.</w:t>
      </w:r>
      <w:r/>
    </w:p>
    <w:p>
      <w:pPr>
        <w:pStyle w:val="1176"/>
      </w:pPr>
      <w:r>
        <w:t xml:space="preserve">Решения Закупочной комиссии по рассмотрению</w:t>
      </w:r>
      <w:r>
        <w:t xml:space="preserve">, </w:t>
      </w:r>
      <w:r>
        <w:t xml:space="preserve">оценке</w:t>
      </w:r>
      <w:r>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t xml:space="preserve"> </w:t>
      </w:r>
      <w:r>
        <w:t xml:space="preserve">является основанием для</w:t>
      </w:r>
      <w:r>
        <w:t xml:space="preserve"> </w:t>
      </w:r>
      <w:r>
        <w:t xml:space="preserve">отклонения альтернативных предложений</w:t>
      </w:r>
      <w:r>
        <w:t xml:space="preserve"> и наоборот</w:t>
      </w:r>
      <w:r>
        <w:t xml:space="preserve">. При формировании </w:t>
      </w:r>
      <w:r>
        <w:t xml:space="preserve">ранжировки</w:t>
      </w:r>
      <w:r>
        <w:t xml:space="preserve"> заявок альтернативные предложения ранжируются отдельно (наравне с</w:t>
      </w:r>
      <w:r>
        <w:t xml:space="preserve"> </w:t>
      </w:r>
      <w:r>
        <w:t xml:space="preserve">основными предложениями), с</w:t>
      </w:r>
      <w:r>
        <w:t xml:space="preserve"> </w:t>
      </w:r>
      <w:r>
        <w:t xml:space="preserve">присвоением каждому предложению отдельного места в </w:t>
      </w:r>
      <w:r>
        <w:t xml:space="preserve">ранжировке</w:t>
      </w:r>
      <w:r>
        <w:t xml:space="preserve">.</w:t>
      </w:r>
      <w:r/>
    </w:p>
    <w:p>
      <w:pPr>
        <w:pStyle w:val="1174"/>
      </w:pPr>
      <w:r/>
      <w:bookmarkStart w:id="188" w:name="_Ref126142429"/>
      <w:r/>
      <w:bookmarkStart w:id="189" w:name="_Ref130224037"/>
      <w:r/>
      <w:bookmarkStart w:id="190" w:name="_Toc232579443"/>
      <w:r>
        <w:t xml:space="preserve">П</w:t>
      </w:r>
      <w:r>
        <w:t xml:space="preserve">орядок заключения </w:t>
      </w:r>
      <w:r>
        <w:t xml:space="preserve">Д</w:t>
      </w:r>
      <w:r>
        <w:t xml:space="preserve">оговора</w:t>
      </w:r>
      <w:bookmarkEnd w:id="176"/>
      <w:r/>
      <w:bookmarkEnd w:id="177"/>
      <w:r/>
      <w:bookmarkEnd w:id="178"/>
      <w:r/>
      <w:bookmarkEnd w:id="179"/>
      <w:r/>
      <w:bookmarkEnd w:id="180"/>
      <w:r/>
      <w:bookmarkEnd w:id="181"/>
      <w:r/>
      <w:bookmarkEnd w:id="188"/>
      <w:r/>
      <w:bookmarkEnd w:id="189"/>
      <w:r/>
      <w:bookmarkEnd w:id="190"/>
      <w:r/>
      <w:r/>
    </w:p>
    <w:p>
      <w:pPr>
        <w:pStyle w:val="1175"/>
      </w:pPr>
      <w:r/>
      <w:bookmarkStart w:id="191" w:name="_Ref139028625"/>
      <w:r/>
      <w:bookmarkStart w:id="192" w:name="_Ref125366947"/>
      <w:r/>
      <w:bookmarkStart w:id="193" w:name="_Ref125368755"/>
      <w:r/>
      <w:bookmarkStart w:id="194" w:name="_Ref135736094"/>
      <w:r/>
      <w:bookmarkStart w:id="195" w:name="_Toc232579444"/>
      <w:r>
        <w:t xml:space="preserve">Общие положения</w:t>
      </w:r>
      <w:bookmarkEnd w:id="191"/>
      <w:r/>
      <w:bookmarkEnd w:id="195"/>
      <w:r/>
      <w:r/>
    </w:p>
    <w:p>
      <w:pPr>
        <w:pStyle w:val="1176"/>
      </w:pPr>
      <w:r>
        <w:t xml:space="preserve">Нормы настоящего раздела</w:t>
      </w:r>
      <w:r>
        <w:t xml:space="preserve"> </w:t>
      </w:r>
      <w:r>
        <w:fldChar w:fldCharType="begin"/>
      </w:r>
      <w:r>
        <w:instrText xml:space="preserve"> REF _Ref126142429 \r \h </w:instrText>
      </w:r>
      <w:r>
        <w:fldChar w:fldCharType="separate"/>
      </w:r>
      <w:r>
        <w:t xml:space="preserve">5</w:t>
      </w:r>
      <w:r>
        <w:fldChar w:fldCharType="end"/>
      </w:r>
      <w:r>
        <w:t xml:space="preserve"> также применяются </w:t>
      </w:r>
      <w:r>
        <w:t xml:space="preserve">в отношении </w:t>
      </w:r>
      <w:r>
        <w:t xml:space="preserve">Е</w:t>
      </w:r>
      <w:r>
        <w:t xml:space="preserve">динственного </w:t>
      </w:r>
      <w:r>
        <w:t xml:space="preserve">у</w:t>
      </w:r>
      <w:r>
        <w:t xml:space="preserve">частника несостоявшейся закупки, с которым принято решение о заключении договора</w:t>
      </w:r>
      <w:r>
        <w:t xml:space="preserve"> (к нему применяются те же нормы, что и в</w:t>
      </w:r>
      <w:r>
        <w:t xml:space="preserve"> </w:t>
      </w:r>
      <w:r>
        <w:t xml:space="preserve">отношении Победителя).</w:t>
      </w:r>
      <w:r/>
    </w:p>
    <w:p>
      <w:pPr>
        <w:pStyle w:val="1175"/>
      </w:pPr>
      <w:r/>
      <w:bookmarkStart w:id="196" w:name="_Ref138232981"/>
      <w:r/>
      <w:bookmarkStart w:id="197" w:name="_Toc232579445"/>
      <w:r>
        <w:t xml:space="preserve">Заключение Договора</w:t>
      </w:r>
      <w:bookmarkEnd w:id="192"/>
      <w:r/>
      <w:bookmarkEnd w:id="193"/>
      <w:r/>
      <w:bookmarkEnd w:id="194"/>
      <w:r/>
      <w:bookmarkEnd w:id="196"/>
      <w:r/>
      <w:bookmarkEnd w:id="197"/>
      <w:r/>
      <w:r/>
    </w:p>
    <w:p>
      <w:pPr>
        <w:pStyle w:val="1176"/>
      </w:pPr>
      <w:r/>
      <w:bookmarkStart w:id="198" w:name="_Ref125362935"/>
      <w:r/>
      <w:bookmarkStart w:id="199" w:name="_Ref130293821"/>
      <w:r>
        <w:t xml:space="preserve">Договор между Заказчиком и Победителем заключается не ранее чем через 10</w:t>
      </w:r>
      <w:r>
        <w:t xml:space="preserve"> </w:t>
      </w:r>
      <w:r>
        <w:t xml:space="preserve">(десять) календарных дней и не позднее чем через 20</w:t>
      </w:r>
      <w:r>
        <w:t xml:space="preserve"> </w:t>
      </w:r>
      <w:r>
        <w:t xml:space="preserve">(двадцать) календарных дней с даты официального размещения итогового протокола по</w:t>
      </w:r>
      <w:r>
        <w:t xml:space="preserve"> </w:t>
      </w:r>
      <w:r>
        <w:t xml:space="preserve">результатам закупки.</w:t>
      </w:r>
      <w:bookmarkEnd w:id="198"/>
      <w:r/>
      <w:bookmarkEnd w:id="199"/>
      <w:r/>
      <w:r/>
    </w:p>
    <w:p>
      <w:pPr>
        <w:pStyle w:val="1176"/>
      </w:pPr>
      <w:r>
        <w:t xml:space="preserve">Договор не может быть заключен, если это запрещено законодательством о</w:t>
      </w:r>
      <w:r>
        <w:t xml:space="preserve"> </w:t>
      </w:r>
      <w:r>
        <w:t xml:space="preserve">национальном режиме в случаях, установленных в подразделе</w:t>
      </w:r>
      <w:r>
        <w:t xml:space="preserve"> </w:t>
      </w:r>
      <w:r>
        <w:fldChar w:fldCharType="begin"/>
      </w:r>
      <w:r>
        <w:instrText xml:space="preserve"> REF _Ref186213053 \r \h </w:instrText>
      </w:r>
      <w:r>
        <w:fldChar w:fldCharType="separate"/>
      </w:r>
      <w:r>
        <w:t xml:space="preserve">4.13</w:t>
      </w:r>
      <w:r>
        <w:fldChar w:fldCharType="end"/>
      </w:r>
      <w:r>
        <w:t xml:space="preserve">.</w:t>
      </w:r>
      <w:r/>
    </w:p>
    <w:p>
      <w:pPr>
        <w:pStyle w:val="1176"/>
      </w:pPr>
      <w:r/>
      <w:bookmarkStart w:id="200" w:name="_Ref125363464"/>
      <w:r>
        <w:t xml:space="preserve">В целях заключения Договора Участник, признанный Победителем, обязан в</w:t>
      </w:r>
      <w:r>
        <w:t xml:space="preserve"> </w:t>
      </w:r>
      <w:r>
        <w:t xml:space="preserve">срок не позднее 3</w:t>
      </w:r>
      <w:r>
        <w:t xml:space="preserve"> </w:t>
      </w:r>
      <w:r>
        <w:t xml:space="preserve">(трех) рабочих дней с даты официального размещения Организатором итогового протокола по результатам закупки, направить по</w:t>
      </w:r>
      <w:r>
        <w:t xml:space="preserve"> </w:t>
      </w:r>
      <w:r>
        <w:t xml:space="preserve">адресу,</w:t>
      </w:r>
      <w:r>
        <w:t xml:space="preserve"> определенному в подразделе </w:t>
      </w:r>
      <w:r>
        <w:fldChar w:fldCharType="begin"/>
      </w:r>
      <w:r>
        <w:instrText xml:space="preserve"> REF _Ref125359973 \r \h </w:instrText>
      </w:r>
      <w:r>
        <w:fldChar w:fldCharType="separate"/>
      </w:r>
      <w:r>
        <w:t xml:space="preserve">1.2</w:t>
      </w:r>
      <w:r>
        <w:fldChar w:fldCharType="end"/>
      </w:r>
      <w:r>
        <w:t xml:space="preserve"> как м</w:t>
      </w:r>
      <w:r>
        <w:t xml:space="preserve">есто подачи документов в</w:t>
      </w:r>
      <w:r>
        <w:t xml:space="preserve"> </w:t>
      </w:r>
      <w:r>
        <w:t xml:space="preserve">отношении цепочки собственников, включая конечных бенефициаров</w:t>
      </w:r>
      <w:r>
        <w:t xml:space="preserve">, </w:t>
      </w:r>
      <w:r>
        <w:t xml:space="preserve">Справку о цепочке собственников, включая бенефициаров (в том числе конечных), по форме в соответствии с</w:t>
      </w:r>
      <w:r>
        <w:t xml:space="preserve"> </w:t>
      </w:r>
      <w:hyperlink w:tooltip="#Прил05_ФормыПобедителя" w:anchor="Прил05_ФормыПобедителя" w:history="1">
        <w:r>
          <w:rPr>
            <w:rStyle w:val="1204"/>
          </w:rPr>
          <w:t xml:space="preserve">Приложением № </w:t>
        </w:r>
        <w:r>
          <w:rPr>
            <w:rStyle w:val="1204"/>
          </w:rPr>
          <w:t xml:space="preserve">5</w:t>
        </w:r>
      </w:hyperlink>
      <w:r>
        <w:t xml:space="preserve">,</w:t>
      </w:r>
      <w:r>
        <w:t xml:space="preserve"> с приложением подтверждающих документов согласно перечню, установленному в</w:t>
      </w:r>
      <w:r>
        <w:t xml:space="preserve"> </w:t>
      </w:r>
      <w:r>
        <w:t xml:space="preserve">Приложении</w:t>
      </w:r>
      <w:r>
        <w:t xml:space="preserve"> </w:t>
      </w:r>
      <w:r>
        <w:t xml:space="preserve">1 к указанной справке. Данные документы должны быть предоставлены в</w:t>
      </w:r>
      <w:r>
        <w:t xml:space="preserve"> </w:t>
      </w:r>
      <w:r>
        <w:t xml:space="preserve">бумажном виде и на электронном носителе в отдельном запечатанном конверте с</w:t>
      </w:r>
      <w:r>
        <w:t xml:space="preserve"> </w:t>
      </w:r>
      <w:r>
        <w:t xml:space="preserve">надписью «Документы Победителя о цепочке собственников».</w:t>
      </w:r>
      <w:bookmarkEnd w:id="200"/>
      <w:r/>
      <w:r/>
    </w:p>
    <w:p>
      <w:pPr>
        <w:pStyle w:val="1176"/>
        <w:keepNext/>
      </w:pPr>
      <w:r/>
      <w:bookmarkStart w:id="201" w:name="_Ref125551776"/>
      <w:r>
        <w:t xml:space="preserve">В</w:t>
      </w:r>
      <w:r>
        <w:t xml:space="preserve"> срок не позднее 3</w:t>
      </w:r>
      <w:r>
        <w:t xml:space="preserve"> </w:t>
      </w:r>
      <w:r>
        <w:t xml:space="preserve">(трех) рабочих дней с даты официального размещения Организатором итогового протокола по результатам закупки, Победитель обязан предоставить Заказчику</w:t>
      </w:r>
      <w:r>
        <w:t xml:space="preserve"> (скан-копи</w:t>
      </w:r>
      <w:r>
        <w:t xml:space="preserve">и в</w:t>
      </w:r>
      <w:r>
        <w:t xml:space="preserve"> формате </w:t>
      </w:r>
      <w:r>
        <w:rPr>
          <w:lang w:val="en-US"/>
        </w:rPr>
        <w:t xml:space="preserve">pdf</w:t>
      </w:r>
      <w:r>
        <w:t xml:space="preserve">)</w:t>
      </w:r>
      <w:r>
        <w:t xml:space="preserve">:</w:t>
      </w:r>
      <w:bookmarkEnd w:id="201"/>
      <w:r/>
      <w:r/>
    </w:p>
    <w:p>
      <w:pPr>
        <w:pStyle w:val="1177"/>
      </w:pPr>
      <w:r>
        <w:t xml:space="preserve">З</w:t>
      </w:r>
      <w:r>
        <w:t xml:space="preserve">аверени</w:t>
      </w:r>
      <w:r>
        <w:t xml:space="preserve">е</w:t>
      </w:r>
      <w:r>
        <w:t xml:space="preserve"> об </w:t>
      </w:r>
      <w:r>
        <w:t xml:space="preserve">обстоятельствах, </w:t>
      </w:r>
      <w:r>
        <w:t xml:space="preserve">представляющее </w:t>
      </w:r>
      <w:r>
        <w:t xml:space="preserve">собой гарантийное письмо об </w:t>
      </w:r>
      <w:r>
        <w:t xml:space="preserve">отсутствии обстоятельств, </w:t>
      </w:r>
      <w:r>
        <w:t xml:space="preserve">препятствующих заключению Договора, в</w:t>
      </w:r>
      <w:r>
        <w:t xml:space="preserve"> </w:t>
      </w:r>
      <w:r>
        <w:t xml:space="preserve">случаях и по форме, предусмотренных</w:t>
      </w:r>
      <w:r>
        <w:t xml:space="preserve"> </w:t>
      </w:r>
      <w:hyperlink w:tooltip="#Прил05_ФормыПобедителя" w:anchor="Прил05_ФормыПобедителя" w:history="1">
        <w:r>
          <w:rPr>
            <w:rStyle w:val="1204"/>
          </w:rPr>
          <w:t xml:space="preserve">Приложением № </w:t>
        </w:r>
        <w:r>
          <w:rPr>
            <w:rStyle w:val="1204"/>
          </w:rPr>
          <w:t xml:space="preserve">5</w:t>
        </w:r>
      </w:hyperlink>
      <w:r>
        <w:t xml:space="preserve">;</w:t>
      </w:r>
      <w:r/>
    </w:p>
    <w:p>
      <w:pPr>
        <w:pStyle w:val="1177"/>
      </w:pPr>
      <w:r/>
      <w:bookmarkStart w:id="202" w:name="_Ref125552642"/>
      <w:r>
        <w:t xml:space="preserve">если он принимал участие в переторжке</w:t>
      </w:r>
      <w:r>
        <w:t xml:space="preserve"> в очной форме</w:t>
      </w:r>
      <w:r>
        <w:t xml:space="preserve"> – документы</w:t>
      </w:r>
      <w:r>
        <w:t xml:space="preserve"> своей заявки, подлежащие корректировке в строгом соответствии с его предложениями, </w:t>
      </w:r>
      <w:r>
        <w:t xml:space="preserve">заявленными в ходе проведения переторжки</w:t>
      </w:r>
      <w:r>
        <w:t xml:space="preserve"> (подраздел </w:t>
      </w:r>
      <w:r>
        <w:fldChar w:fldCharType="begin"/>
      </w:r>
      <w:r>
        <w:instrText xml:space="preserve"> REF _Ref127536359 \r \h </w:instrText>
      </w:r>
      <w:r>
        <w:fldChar w:fldCharType="separate"/>
      </w:r>
      <w:r>
        <w:t xml:space="preserve">4.11</w:t>
      </w:r>
      <w:r>
        <w:fldChar w:fldCharType="end"/>
      </w:r>
      <w:r>
        <w:t xml:space="preserve">)</w:t>
      </w:r>
      <w:bookmarkEnd w:id="202"/>
      <w:r>
        <w:t xml:space="preserve">;</w:t>
      </w:r>
      <w:r/>
    </w:p>
    <w:p>
      <w:pPr>
        <w:pStyle w:val="1176"/>
        <w:keepNext/>
      </w:pPr>
      <w:r/>
      <w:bookmarkStart w:id="203" w:name="_Ref125551072"/>
      <w:r>
        <w:t xml:space="preserve">П</w:t>
      </w:r>
      <w:r>
        <w:t xml:space="preserve">еред заключением Договора</w:t>
      </w:r>
      <w:r>
        <w:t xml:space="preserve"> </w:t>
      </w:r>
      <w:r>
        <w:t xml:space="preserve">Победитель</w:t>
      </w:r>
      <w:r>
        <w:t xml:space="preserve"> обязан предоставить Заказчику</w:t>
      </w:r>
      <w:r>
        <w:t xml:space="preserve">, не позднее сроков, установленных в пункте </w:t>
      </w:r>
      <w:r>
        <w:fldChar w:fldCharType="begin"/>
      </w:r>
      <w:r>
        <w:instrText xml:space="preserve"> REF _Ref130293821 \w \h </w:instrText>
      </w:r>
      <w:r>
        <w:fldChar w:fldCharType="separate"/>
      </w:r>
      <w:r>
        <w:t xml:space="preserve">5.2.1</w:t>
      </w:r>
      <w:r>
        <w:fldChar w:fldCharType="end"/>
      </w:r>
      <w:r>
        <w:t xml:space="preserve">,</w:t>
      </w:r>
      <w:r>
        <w:t xml:space="preserve"> в целях </w:t>
      </w:r>
      <w:r>
        <w:t xml:space="preserve">подтверждения своего соответствия </w:t>
      </w:r>
      <w:r>
        <w:t xml:space="preserve">обязательному </w:t>
      </w:r>
      <w:r>
        <w:t xml:space="preserve">требовани</w:t>
      </w:r>
      <w:r>
        <w:t xml:space="preserve">ю к Участникам</w:t>
      </w:r>
      <w:r>
        <w:t xml:space="preserve">, указанн</w:t>
      </w:r>
      <w:r>
        <w:t xml:space="preserve">о</w:t>
      </w:r>
      <w:r>
        <w:t xml:space="preserve">м</w:t>
      </w:r>
      <w:r>
        <w:t xml:space="preserve">у</w:t>
      </w:r>
      <w:r>
        <w:t xml:space="preserve"> </w:t>
      </w:r>
      <w:r>
        <w:t xml:space="preserve">в</w:t>
      </w:r>
      <w:r>
        <w:t xml:space="preserve"> </w:t>
      </w:r>
      <w:r>
        <w:t xml:space="preserve">пункте</w:t>
      </w:r>
      <w:r>
        <w:t xml:space="preserve"> </w:t>
      </w:r>
      <w:r>
        <w:fldChar w:fldCharType="begin"/>
      </w:r>
      <w:r>
        <w:instrText xml:space="preserve"> REF _Ref125552433 \w \h </w:instrText>
      </w:r>
      <w:r>
        <w:instrText xml:space="preserve"> \* MERGEFORMAT </w:instrText>
      </w:r>
      <w:r>
        <w:fldChar w:fldCharType="separate"/>
      </w:r>
      <w:r>
        <w:t xml:space="preserve">1</w:t>
      </w:r>
      <w:r>
        <w:fldChar w:fldCharType="end"/>
      </w:r>
      <w:r>
        <w:t xml:space="preserve"> подраздела</w:t>
      </w:r>
      <w:r>
        <w:t xml:space="preserve"> </w:t>
      </w:r>
      <w:r>
        <w:fldChar w:fldCharType="begin"/>
      </w:r>
      <w:r>
        <w:instrText xml:space="preserve"> REF _Ref125361435 \w \h </w:instrText>
      </w:r>
      <w:r>
        <w:instrText xml:space="preserve"> \* MERGEFORMAT </w:instrText>
      </w:r>
      <w:r>
        <w:fldChar w:fldCharType="separate"/>
      </w:r>
      <w:r>
        <w:t xml:space="preserve">8.2</w:t>
      </w:r>
      <w:r>
        <w:fldChar w:fldCharType="end"/>
      </w:r>
      <w:r>
        <w:t xml:space="preserve"> (</w:t>
      </w:r>
      <w:hyperlink w:tooltip="#Прил03_ТребованияУчастникам" w:anchor="Прил03_ТребованияУчастникам" w:history="1">
        <w:r>
          <w:rPr>
            <w:rStyle w:val="1204"/>
          </w:rPr>
          <w:t xml:space="preserve">Приложение № 3</w:t>
        </w:r>
      </w:hyperlink>
      <w:r>
        <w:t xml:space="preserve">)</w:t>
      </w:r>
      <w:r>
        <w:t xml:space="preserve">, следующие документы</w:t>
      </w:r>
      <w:r>
        <w:t xml:space="preserve"> (скан-копии в формате </w:t>
      </w:r>
      <w:r>
        <w:rPr>
          <w:lang w:val="en-US"/>
        </w:rPr>
        <w:t xml:space="preserve">pdf</w:t>
      </w:r>
      <w:r>
        <w:t xml:space="preserve">)</w:t>
      </w:r>
      <w:r>
        <w:rPr>
          <w:rStyle w:val="1188"/>
        </w:rPr>
        <w:footnoteReference w:id="12"/>
      </w:r>
      <w:r>
        <w:t xml:space="preserve">:</w:t>
      </w:r>
      <w:bookmarkEnd w:id="203"/>
      <w:r/>
      <w:r/>
    </w:p>
    <w:p>
      <w:pPr>
        <w:pStyle w:val="1177"/>
        <w:keepNext/>
      </w:pPr>
      <w:r>
        <w:t xml:space="preserve">для юридического лица:</w:t>
      </w:r>
      <w:r/>
    </w:p>
    <w:p>
      <w:pPr>
        <w:pStyle w:val="1178"/>
      </w:pPr>
      <w:r>
        <w:t xml:space="preserve">к</w:t>
      </w:r>
      <w:r>
        <w:t xml:space="preserve">опия </w:t>
      </w:r>
      <w:r>
        <w:t xml:space="preserve">у</w:t>
      </w:r>
      <w:r>
        <w:t xml:space="preserve">става в действующей редакции с отметкой</w:t>
      </w:r>
      <w:r>
        <w:t xml:space="preserve"> ИФНС либо копия нотариально заверенного </w:t>
      </w:r>
      <w:r>
        <w:t xml:space="preserve">у</w:t>
      </w:r>
      <w:r>
        <w:t xml:space="preserve">става (с отметкой нотариуса);</w:t>
      </w:r>
      <w:r/>
    </w:p>
    <w:p>
      <w:pPr>
        <w:pStyle w:val="1178"/>
      </w:pPr>
      <w:r/>
      <w:bookmarkStart w:id="204" w:name="_Ref125638686"/>
      <w:r>
        <w:t xml:space="preserve">к</w:t>
      </w:r>
      <w:r>
        <w:t xml:space="preserve">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t xml:space="preserve"> </w:t>
      </w:r>
      <w:r>
        <w:t xml:space="preserve">передаче полномочий Управляющей компании), заверенные Победителем;</w:t>
      </w:r>
      <w:bookmarkEnd w:id="204"/>
      <w:r/>
      <w:r/>
    </w:p>
    <w:p>
      <w:pPr>
        <w:pStyle w:val="1178"/>
      </w:pPr>
      <w:r>
        <w:t xml:space="preserve">е</w:t>
      </w:r>
      <w:r>
        <w:t xml:space="preserve">сли </w:t>
      </w:r>
      <w:r>
        <w:t xml:space="preserve">договор </w:t>
      </w:r>
      <w:r>
        <w:t xml:space="preserve">подписывается лицом, действующим на основании доверенности, </w:t>
      </w:r>
      <w:r>
        <w:t xml:space="preserve">дополнительно </w:t>
      </w:r>
      <w:r>
        <w:t xml:space="preserve">предоставляется соответствующ</w:t>
      </w:r>
      <w:r>
        <w:t xml:space="preserve">ая</w:t>
      </w:r>
      <w:r>
        <w:t xml:space="preserve"> доверенност</w:t>
      </w:r>
      <w:r>
        <w:t xml:space="preserve">ь</w:t>
      </w:r>
      <w:r>
        <w:t xml:space="preserve"> либо ее нотариально заверенн</w:t>
      </w:r>
      <w:r>
        <w:t xml:space="preserve">ая</w:t>
      </w:r>
      <w:r>
        <w:t xml:space="preserve"> копи</w:t>
      </w:r>
      <w:r>
        <w:t xml:space="preserve">я</w:t>
      </w:r>
      <w:r>
        <w:t xml:space="preserve"> (с указанием правомочий на</w:t>
      </w:r>
      <w:r>
        <w:t xml:space="preserve"> </w:t>
      </w:r>
      <w:r>
        <w:t xml:space="preserve">подписание </w:t>
      </w:r>
      <w:r>
        <w:t xml:space="preserve">договора</w:t>
      </w:r>
      <w:r>
        <w:t xml:space="preserve">) и документы</w:t>
      </w:r>
      <w:r>
        <w:t xml:space="preserve">,</w:t>
      </w:r>
      <w:r>
        <w:t xml:space="preserve"> подтверждающие соответствующие полномочия</w:t>
      </w:r>
      <w:r>
        <w:t xml:space="preserve"> лиц</w:t>
      </w:r>
      <w:r>
        <w:t xml:space="preserve">а</w:t>
      </w:r>
      <w:r>
        <w:t xml:space="preserve">, выдавше</w:t>
      </w:r>
      <w:r>
        <w:t xml:space="preserve">го</w:t>
      </w:r>
      <w:r>
        <w:t xml:space="preserve"> доверенность;</w:t>
      </w:r>
      <w:r/>
    </w:p>
    <w:p>
      <w:pPr>
        <w:pStyle w:val="1178"/>
      </w:pPr>
      <w:r>
        <w:t xml:space="preserve">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w:t>
      </w:r>
      <w:r>
        <w:t xml:space="preserve"> </w:t>
      </w:r>
      <w:r>
        <w:t xml:space="preserve">которых проводится закупка)</w:t>
      </w:r>
      <w:r>
        <w:t xml:space="preserve">;</w:t>
      </w:r>
      <w:r/>
    </w:p>
    <w:p>
      <w:pPr>
        <w:pStyle w:val="1177"/>
      </w:pPr>
      <w:r>
        <w:t xml:space="preserve">для лиц</w:t>
      </w:r>
      <w:r>
        <w:t xml:space="preserve">а</w:t>
      </w:r>
      <w:r>
        <w:t xml:space="preserve">,</w:t>
      </w:r>
      <w:r>
        <w:t xml:space="preserve"> </w:t>
      </w:r>
      <w:r>
        <w:t xml:space="preserve">зарегистрированн</w:t>
      </w:r>
      <w:r>
        <w:t xml:space="preserve">ого</w:t>
      </w:r>
      <w:r>
        <w:t xml:space="preserve"> вне Российской Федерации</w:t>
      </w:r>
      <w:r>
        <w:t xml:space="preserve">:</w:t>
      </w:r>
      <w:r>
        <w:t xml:space="preserve"> </w:t>
      </w:r>
      <w:r>
        <w:t xml:space="preserve">в</w:t>
      </w:r>
      <w:r>
        <w:t xml:space="preserve">ыписк</w:t>
      </w:r>
      <w:r>
        <w:t xml:space="preserve">а</w:t>
      </w:r>
      <w:r>
        <w:t xml:space="preserve"> из</w:t>
      </w:r>
      <w:r>
        <w:t xml:space="preserve"> </w:t>
      </w:r>
      <w:r>
        <w:t xml:space="preserve">торгового реестра страны регистрации иностранного Участника;</w:t>
      </w:r>
      <w:r/>
    </w:p>
    <w:p>
      <w:pPr>
        <w:pStyle w:val="1177"/>
      </w:pPr>
      <w:r>
        <w:t xml:space="preserve">д</w:t>
      </w:r>
      <w:r>
        <w:t xml:space="preserve">ля физическ</w:t>
      </w:r>
      <w:r>
        <w:t xml:space="preserve">ого</w:t>
      </w:r>
      <w:r>
        <w:t xml:space="preserve"> лиц</w:t>
      </w:r>
      <w:r>
        <w:t xml:space="preserve">а:</w:t>
      </w:r>
      <w:r>
        <w:t xml:space="preserve"> нотариально заверенная копия всех страниц документа, удостоверяющего личность (паспорта);</w:t>
      </w:r>
      <w:r/>
    </w:p>
    <w:p>
      <w:pPr>
        <w:pStyle w:val="1177"/>
      </w:pPr>
      <w:r/>
      <w:bookmarkStart w:id="205" w:name="_Ref125361554"/>
      <w:r>
        <w:t xml:space="preserve">е</w:t>
      </w:r>
      <w:r>
        <w:t xml:space="preserve">сли Договор заключается с лидером Коллективного участника, то</w:t>
      </w:r>
      <w:r>
        <w:t xml:space="preserve"> </w:t>
      </w:r>
      <w:r>
        <w:t xml:space="preserve">в</w:t>
      </w:r>
      <w:r>
        <w:t xml:space="preserve"> </w:t>
      </w:r>
      <w:r>
        <w:t xml:space="preserve">обязательном порядке </w:t>
      </w:r>
      <w:r>
        <w:t xml:space="preserve">предоставляется оригинал </w:t>
      </w:r>
      <w:r>
        <w:t xml:space="preserve">и</w:t>
      </w:r>
      <w:r>
        <w:t xml:space="preserve"> (</w:t>
      </w:r>
      <w:r>
        <w:t xml:space="preserve">или</w:t>
      </w:r>
      <w:r>
        <w:t xml:space="preserve">)</w:t>
      </w:r>
      <w:r>
        <w:t xml:space="preserve"> нотариально заверенная копия Соглашения между членами Коллективного участника, указанного в пункте</w:t>
      </w:r>
      <w:r>
        <w:t xml:space="preserve"> </w:t>
      </w:r>
      <w:r>
        <w:fldChar w:fldCharType="begin"/>
      </w:r>
      <w:r>
        <w:instrText xml:space="preserve"> REF _Ref125366972 \r \h </w:instrText>
      </w:r>
      <w:r>
        <w:fldChar w:fldCharType="separate"/>
      </w:r>
      <w:r>
        <w:t xml:space="preserve">3.2.3</w:t>
      </w:r>
      <w:r>
        <w:fldChar w:fldCharType="end"/>
      </w:r>
      <w:r>
        <w:t xml:space="preserve">.</w:t>
      </w:r>
      <w:bookmarkEnd w:id="205"/>
      <w:r/>
      <w:r/>
    </w:p>
    <w:p>
      <w:pPr>
        <w:pStyle w:val="1176"/>
      </w:pPr>
      <w:r>
        <w:t xml:space="preserve">Е</w:t>
      </w:r>
      <w:r>
        <w:t xml:space="preserve">сли в соответствии с законодательством</w:t>
      </w:r>
      <w:r>
        <w:t xml:space="preserve"> и </w:t>
      </w:r>
      <w:r>
        <w:t xml:space="preserve">у</w:t>
      </w:r>
      <w:r>
        <w:t xml:space="preserve">ставом Заказчика потребуется предварительное одобрение заключаемого на</w:t>
      </w:r>
      <w:r>
        <w:t xml:space="preserve"> </w:t>
      </w:r>
      <w:r>
        <w:t xml:space="preserve">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t xml:space="preserve"> </w:t>
      </w:r>
      <w:r>
        <w:t xml:space="preserve">(пять) календарных дней с</w:t>
      </w:r>
      <w:r>
        <w:t xml:space="preserve"> </w:t>
      </w:r>
      <w:r>
        <w:t xml:space="preserve">даты указанного одобрения.</w:t>
      </w:r>
      <w:r/>
    </w:p>
    <w:p>
      <w:pPr>
        <w:pStyle w:val="1176"/>
      </w:pPr>
      <w:r>
        <w:t xml:space="preserve">В случае обжалования в антимонопольном органе результатов закупки Договор заключается не позднее чем через 5</w:t>
      </w:r>
      <w:r>
        <w:t xml:space="preserve"> </w:t>
      </w:r>
      <w:r>
        <w:t xml:space="preserve">(пять) календарных дней с даты вынесения решения антимонопольного органа по результатам такого обжалования</w:t>
      </w:r>
      <w:r>
        <w:t xml:space="preserve"> (за исключением случая возврата на предыдущий этап закупки)</w:t>
      </w:r>
      <w:r>
        <w:t xml:space="preserve">.</w:t>
      </w:r>
      <w:r/>
    </w:p>
    <w:p>
      <w:pPr>
        <w:pStyle w:val="1176"/>
        <w:keepNext/>
      </w:pPr>
      <w:r/>
      <w:bookmarkStart w:id="206" w:name="_Ref132288402"/>
      <w:r>
        <w:t xml:space="preserve">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06"/>
      <w:r/>
      <w:r/>
    </w:p>
    <w:p>
      <w:pPr>
        <w:pStyle w:val="1177"/>
      </w:pPr>
      <w:r>
        <w:t xml:space="preserve">протокол преддоговорных переговоров между Заказчиком и Победителем (при проведении таковых)</w:t>
      </w:r>
      <w:r>
        <w:t xml:space="preserve">;</w:t>
      </w:r>
      <w:r/>
    </w:p>
    <w:p>
      <w:pPr>
        <w:pStyle w:val="1177"/>
      </w:pPr>
      <w:r>
        <w:t xml:space="preserve">итоговый протокол по результатам закупки;</w:t>
      </w:r>
      <w:r/>
    </w:p>
    <w:p>
      <w:pPr>
        <w:pStyle w:val="1177"/>
      </w:pPr>
      <w:r>
        <w:t xml:space="preserve">Извещение и Документация о закупке со всеми изменениями;</w:t>
      </w:r>
      <w:r/>
    </w:p>
    <w:p>
      <w:pPr>
        <w:pStyle w:val="1177"/>
      </w:pPr>
      <w:r>
        <w:t xml:space="preserve">заявка Победителя со всеми дополнениями и разъяснениями.</w:t>
      </w:r>
      <w:r/>
    </w:p>
    <w:p>
      <w:pPr>
        <w:pStyle w:val="1176"/>
      </w:pPr>
      <w:r/>
      <w:bookmarkStart w:id="207" w:name="_Ref125368506"/>
      <w:r>
        <w:t xml:space="preserve">С</w:t>
      </w:r>
      <w:r>
        <w:t xml:space="preserve">ведения о заключенном Договоре в течение 3</w:t>
      </w:r>
      <w:r>
        <w:t xml:space="preserve"> </w:t>
      </w:r>
      <w:r>
        <w:t xml:space="preserve">(трех) рабочих дней со дня заключения такого Договора вносятся Заказчиком в Реестр договоров </w:t>
      </w:r>
      <w:r>
        <w:t xml:space="preserve">в </w:t>
      </w:r>
      <w:r>
        <w:t xml:space="preserve">ЕИС</w:t>
      </w:r>
      <w:r>
        <w:t xml:space="preserve"> (если размещение таких сведений допустимо Законом 223-ФЗ)</w:t>
      </w:r>
      <w:r>
        <w:t xml:space="preserve">. Если при</w:t>
      </w:r>
      <w:r>
        <w:t xml:space="preserve"> </w:t>
      </w:r>
      <w:r>
        <w:t xml:space="preserve">заключении и исполнении Договора изменятся количество, объем, цена закупаемой продукции или сроки исполнения Договора (по сравнению с</w:t>
      </w:r>
      <w:r>
        <w:t xml:space="preserve"> </w:t>
      </w:r>
      <w:r>
        <w:t xml:space="preserve">указанными в итоговом протоколе по</w:t>
      </w:r>
      <w:r>
        <w:t xml:space="preserve"> </w:t>
      </w:r>
      <w:r>
        <w:t xml:space="preserve">результатам закупки), то в течение 10</w:t>
      </w:r>
      <w:r>
        <w:t xml:space="preserve"> </w:t>
      </w:r>
      <w:r>
        <w:t xml:space="preserve">(десяти) календарных дней со дня внесения таких изменений в Договор </w:t>
      </w:r>
      <w:r>
        <w:t xml:space="preserve">соответствующая информация с указанием измененных условий Договора также размещается </w:t>
      </w:r>
      <w:r>
        <w:t xml:space="preserve">Заказчиком </w:t>
      </w:r>
      <w:r>
        <w:t xml:space="preserve">в ЕИС (если размещение таких сведений допустимо Законом</w:t>
      </w:r>
      <w:r>
        <w:t xml:space="preserve"> </w:t>
      </w:r>
      <w:r>
        <w:t xml:space="preserve">223-ФЗ)</w:t>
      </w:r>
      <w:r>
        <w:t xml:space="preserve">.</w:t>
      </w:r>
      <w:bookmarkEnd w:id="207"/>
      <w:r/>
      <w:r/>
    </w:p>
    <w:p>
      <w:pPr>
        <w:pStyle w:val="1176"/>
        <w:keepNext/>
      </w:pPr>
      <w:r/>
      <w:bookmarkStart w:id="208" w:name="_Ref125552524"/>
      <w:r>
        <w:t xml:space="preserve">Если </w:t>
      </w:r>
      <w:r>
        <w:t xml:space="preserve">Д</w:t>
      </w:r>
      <w:r>
        <w:t xml:space="preserve">оговор заключается в электронной форме</w:t>
      </w:r>
      <w:r>
        <w:t xml:space="preserve">:</w:t>
      </w:r>
      <w:r/>
    </w:p>
    <w:p>
      <w:pPr>
        <w:pStyle w:val="1177"/>
      </w:pPr>
      <w:r/>
      <w:bookmarkStart w:id="209" w:name="_Ref164248655"/>
      <w:r>
        <w:t xml:space="preserve">то он заключается </w:t>
      </w:r>
      <w:r>
        <w:t xml:space="preserve">с</w:t>
      </w:r>
      <w:r>
        <w:t xml:space="preserve"> </w:t>
      </w:r>
      <w:r>
        <w:t xml:space="preserve">использованием Системы ЭДО, в</w:t>
      </w:r>
      <w:r>
        <w:t xml:space="preserve"> </w:t>
      </w:r>
      <w:r>
        <w:t xml:space="preserve">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t xml:space="preserve"> </w:t>
      </w:r>
      <w:r>
        <w:t xml:space="preserve">особенностях заключения Договора в</w:t>
      </w:r>
      <w:r>
        <w:t xml:space="preserve"> </w:t>
      </w:r>
      <w:r>
        <w:t xml:space="preserve">электронной форме, содержатся в</w:t>
      </w:r>
      <w:r>
        <w:t xml:space="preserve"> подразделе </w:t>
      </w:r>
      <w:r>
        <w:fldChar w:fldCharType="begin"/>
      </w:r>
      <w:r>
        <w:instrText xml:space="preserve"> REF _Ref125359973 \r \h </w:instrText>
      </w:r>
      <w:r>
        <w:fldChar w:fldCharType="separate"/>
      </w:r>
      <w:r>
        <w:t xml:space="preserve">1.2</w:t>
      </w:r>
      <w:r>
        <w:fldChar w:fldCharType="end"/>
      </w:r>
      <w:bookmarkEnd w:id="208"/>
      <w:r/>
      <w:bookmarkEnd w:id="209"/>
      <w:r>
        <w:t xml:space="preserve">;</w:t>
      </w:r>
      <w:r/>
    </w:p>
    <w:p>
      <w:pPr>
        <w:pStyle w:val="1177"/>
      </w:pPr>
      <w:r/>
      <w:bookmarkStart w:id="210" w:name="_Ref164248170"/>
      <w:r>
        <w:t xml:space="preserve">З</w:t>
      </w:r>
      <w:r>
        <w:t xml:space="preserve">аказчик в течение установленного в пункте </w:t>
      </w:r>
      <w:r>
        <w:fldChar w:fldCharType="begin"/>
      </w:r>
      <w:r>
        <w:instrText xml:space="preserve"> REF _Ref130293821 \r \h </w:instrText>
      </w:r>
      <w:r>
        <w:fldChar w:fldCharType="separate"/>
      </w:r>
      <w:r>
        <w:t xml:space="preserve">5.2.1</w:t>
      </w:r>
      <w:r>
        <w:fldChar w:fldCharType="end"/>
      </w:r>
      <w:r>
        <w:t xml:space="preserve"> срока направляет в</w:t>
      </w:r>
      <w:r>
        <w:t xml:space="preserve"> </w:t>
      </w:r>
      <w:r>
        <w:t xml:space="preserve">адрес Победителя подписанный со своей стороны </w:t>
      </w:r>
      <w:r>
        <w:t xml:space="preserve">П</w:t>
      </w:r>
      <w:r>
        <w:t xml:space="preserve">роект </w:t>
      </w:r>
      <w:r>
        <w:t xml:space="preserve">д</w:t>
      </w:r>
      <w:r>
        <w:t xml:space="preserve">оговора с</w:t>
      </w:r>
      <w:r>
        <w:t xml:space="preserve"> </w:t>
      </w:r>
      <w:r>
        <w:t xml:space="preserve">использованием функционала Системы ЭДО.</w:t>
      </w:r>
      <w:bookmarkEnd w:id="210"/>
      <w:r/>
      <w:r/>
    </w:p>
    <w:p>
      <w:pPr>
        <w:pStyle w:val="1176"/>
      </w:pPr>
      <w:r>
        <w:t xml:space="preserve">Е</w:t>
      </w:r>
      <w:r>
        <w:t xml:space="preserve">сли до момента заключения с Договора в отношении Победителя была проведена повторная проверка в рамках </w:t>
      </w:r>
      <w:r>
        <w:t xml:space="preserve">м</w:t>
      </w:r>
      <w:r>
        <w:t xml:space="preserve">ониторинга аккредитованных поставщиков (в соответствии с Положением об аккредитации), и по</w:t>
      </w:r>
      <w:r>
        <w:t xml:space="preserve"> </w:t>
      </w:r>
      <w:r>
        <w:t xml:space="preserve">результатам такой проверки ему присвоен статус «не аккредитован», то он утрачивает статус Победителя, а Закупочная комиссия имеет право выбрать в</w:t>
      </w:r>
      <w:r>
        <w:t xml:space="preserve"> </w:t>
      </w:r>
      <w:r>
        <w:t xml:space="preserve">качестве Победителя иного Участника, занявшего следующее место в</w:t>
      </w:r>
      <w:r>
        <w:t xml:space="preserve"> </w:t>
      </w:r>
      <w:r>
        <w:t xml:space="preserve">ранжировке</w:t>
      </w:r>
      <w:r>
        <w:t xml:space="preserve"> заявок после Победителя, из числа остальных действующих заявок (при наличии у него </w:t>
      </w:r>
      <w:r>
        <w:t xml:space="preserve">статуса «аккредитован» / «аккредитация не требуется»</w:t>
      </w:r>
      <w:r>
        <w:t xml:space="preserve">)</w:t>
      </w:r>
      <w:r>
        <w:t xml:space="preserve">.</w:t>
      </w:r>
      <w:r/>
    </w:p>
    <w:p>
      <w:pPr>
        <w:pStyle w:val="1175"/>
      </w:pPr>
      <w:r/>
      <w:bookmarkStart w:id="211" w:name="_Ref125552570"/>
      <w:r/>
      <w:bookmarkStart w:id="212" w:name="_Toc232579446"/>
      <w:r>
        <w:t xml:space="preserve">Преддоговорные переговоры</w:t>
      </w:r>
      <w:bookmarkEnd w:id="211"/>
      <w:r/>
      <w:bookmarkEnd w:id="212"/>
      <w:r/>
      <w:r/>
    </w:p>
    <w:p>
      <w:pPr>
        <w:pStyle w:val="1176"/>
        <w:keepNext/>
      </w:pPr>
      <w:r>
        <w:t xml:space="preserve">Проведение преддоговорных переговоров между Заказчиком и Победителем допускается только в отношении следующих вопросов:</w:t>
      </w:r>
      <w:r/>
    </w:p>
    <w:p>
      <w:pPr>
        <w:pStyle w:val="1177"/>
      </w:pPr>
      <w:r>
        <w:t xml:space="preserve">снижение цены Договора (при этом объем закупаемой продукции, а также технические характеристики продукции, определенные в Документации о</w:t>
      </w:r>
      <w:r>
        <w:t xml:space="preserve"> </w:t>
      </w:r>
      <w:r>
        <w:t xml:space="preserve">закупке и заявке Победителя, остаются неизменными);</w:t>
      </w:r>
      <w:r/>
    </w:p>
    <w:p>
      <w:pPr>
        <w:pStyle w:val="1177"/>
      </w:pPr>
      <w:r>
        <w:t xml:space="preserve">увеличение объема закупаемой продукции (при этом цена Договора и технические характеристики продукции, определенные в Документации о</w:t>
      </w:r>
      <w:r>
        <w:t xml:space="preserve"> </w:t>
      </w:r>
      <w:r>
        <w:t xml:space="preserve">закупке и заявке Победителя, остаются неизменными);</w:t>
      </w:r>
      <w:r/>
    </w:p>
    <w:p>
      <w:pPr>
        <w:pStyle w:val="1177"/>
      </w:pPr>
      <w:r>
        <w:t xml:space="preserve">уточнение сроков исполнения обязательств по Договору (если заключение Договора и исполнение обязательств по нему не могут быть проведены в</w:t>
      </w:r>
      <w:r>
        <w:t xml:space="preserve"> </w:t>
      </w:r>
      <w:r>
        <w:t xml:space="preserve">установленные сроки в связи с обжалованием результатов закупки в</w:t>
      </w:r>
      <w:r>
        <w:t xml:space="preserve"> </w:t>
      </w:r>
      <w:r>
        <w:t xml:space="preserve">адрес Заказчика или антимонопольного органа, в связи с</w:t>
      </w:r>
      <w:r>
        <w:t xml:space="preserve">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t xml:space="preserve">у</w:t>
      </w:r>
      <w:r>
        <w:t xml:space="preserve">ставом </w:t>
      </w:r>
      <w:r>
        <w:t xml:space="preserve">и</w:t>
      </w:r>
      <w:r>
        <w:t xml:space="preserve"> (</w:t>
      </w:r>
      <w:r>
        <w:t xml:space="preserve">или</w:t>
      </w:r>
      <w:r>
        <w:t xml:space="preserve">)</w:t>
      </w:r>
      <w:r>
        <w:t xml:space="preserve"> локальными нормативными актами Заказчика);</w:t>
      </w:r>
      <w:r/>
    </w:p>
    <w:p>
      <w:pPr>
        <w:pStyle w:val="1177"/>
      </w:pPr>
      <w:r>
        <w:t xml:space="preserve">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r/>
    </w:p>
    <w:p>
      <w:pPr>
        <w:pStyle w:val="1177"/>
      </w:pPr>
      <w:r>
        <w:t xml:space="preserve">уточнение условий исполнения договора в луч</w:t>
      </w:r>
      <w:r>
        <w:t xml:space="preserve">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r/>
    </w:p>
    <w:p>
      <w:pPr>
        <w:pStyle w:val="1176"/>
      </w:pPr>
      <w:r>
        <w:t xml:space="preserve">В любом случае не допускаются переговоры, направленные на изменение условий заключаемого Договора, котор</w:t>
      </w:r>
      <w:r>
        <w:t xml:space="preserve">ые</w:t>
      </w:r>
      <w:r>
        <w:t xml:space="preserve"> вед</w:t>
      </w:r>
      <w:r>
        <w:t xml:space="preserve">ут</w:t>
      </w:r>
      <w:r>
        <w:t xml:space="preserve"> к ухудшению</w:t>
      </w:r>
      <w:r>
        <w:t xml:space="preserve"> его</w:t>
      </w:r>
      <w:r>
        <w:t xml:space="preserve"> условий для</w:t>
      </w:r>
      <w:r>
        <w:t xml:space="preserve"> </w:t>
      </w:r>
      <w:r>
        <w:t xml:space="preserve">Заказчика.</w:t>
      </w:r>
      <w:r/>
    </w:p>
    <w:p>
      <w:pPr>
        <w:pStyle w:val="1176"/>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t xml:space="preserve">и</w:t>
      </w:r>
      <w:r>
        <w:t xml:space="preserve"> (</w:t>
      </w:r>
      <w:r>
        <w:t xml:space="preserve">или</w:t>
      </w:r>
      <w:r>
        <w:t xml:space="preserve">)</w:t>
      </w:r>
      <w:r>
        <w:t xml:space="preserve"> Организатор.</w:t>
      </w:r>
      <w:r/>
    </w:p>
    <w:p>
      <w:pPr>
        <w:pStyle w:val="1176"/>
      </w:pPr>
      <w:r>
        <w:t xml:space="preserve">Результаты преддоговорных переговоров фиксируются в форме протокола</w:t>
      </w:r>
      <w:r>
        <w:rPr>
          <w:rStyle w:val="1188"/>
        </w:rPr>
        <w:footnoteReference w:id="13"/>
      </w:r>
      <w:r>
        <w:t xml:space="preserve">, подписываемого Заказчиком и Победителем, который официально размещается в течение 3</w:t>
      </w:r>
      <w:r>
        <w:t xml:space="preserve"> </w:t>
      </w:r>
      <w:r>
        <w:t xml:space="preserve">(трех) календарных дней с момента их проведения, и должны быть учтены при заключении </w:t>
      </w:r>
      <w:r>
        <w:t xml:space="preserve">Договора</w:t>
      </w:r>
      <w:r>
        <w:t xml:space="preserve">.</w:t>
      </w:r>
      <w:r/>
    </w:p>
    <w:p>
      <w:pPr>
        <w:pStyle w:val="1176"/>
      </w:pPr>
      <w:r>
        <w:t xml:space="preserve">Победитель вправе отказаться от участия в преддоговорных переговорах, при</w:t>
      </w:r>
      <w:r>
        <w:t xml:space="preserve"> </w:t>
      </w:r>
      <w:r>
        <w:t xml:space="preserve">этом такой отказ не является отказом от заключения Договора. Если Заказчик и Победитель в ходе проведения преддоговорных переговоров не</w:t>
      </w:r>
      <w:r>
        <w:t xml:space="preserve"> </w:t>
      </w:r>
      <w:r>
        <w:t xml:space="preserve">пришли к</w:t>
      </w:r>
      <w:r>
        <w:t xml:space="preserve"> </w:t>
      </w:r>
      <w:r>
        <w:t xml:space="preserve">соглашению по вопросу положений, входящих в состав заключаемого Договора, или Победитель отказался от участия в</w:t>
      </w:r>
      <w:r>
        <w:t xml:space="preserve"> </w:t>
      </w:r>
      <w:r>
        <w:t xml:space="preserve">преддоговорных переговорах, Договор заключается на условиях Документации о закупке и </w:t>
      </w:r>
      <w:r>
        <w:t xml:space="preserve">заявки такого Победителя (со всеми изменениями и дополнениями) в</w:t>
      </w:r>
      <w:r>
        <w:t xml:space="preserve"> </w:t>
      </w:r>
      <w:r>
        <w:t xml:space="preserve">соответствии с пунктом</w:t>
      </w:r>
      <w:r>
        <w:t xml:space="preserve"> </w:t>
      </w:r>
      <w:r>
        <w:fldChar w:fldCharType="begin"/>
      </w:r>
      <w:r>
        <w:instrText xml:space="preserve"> REF _Ref132288402 \r \h </w:instrText>
      </w:r>
      <w:r>
        <w:instrText xml:space="preserve"> \* MERGEFORMAT </w:instrText>
      </w:r>
      <w:r>
        <w:fldChar w:fldCharType="separate"/>
      </w:r>
      <w:r>
        <w:t xml:space="preserve">5.2.8</w:t>
      </w:r>
      <w:r>
        <w:fldChar w:fldCharType="end"/>
      </w:r>
      <w:r>
        <w:t xml:space="preserve">.</w:t>
      </w:r>
      <w:r/>
    </w:p>
    <w:p>
      <w:pPr>
        <w:pStyle w:val="1175"/>
      </w:pPr>
      <w:r/>
      <w:bookmarkStart w:id="213" w:name="_Ref125367068"/>
      <w:r/>
      <w:bookmarkStart w:id="214" w:name="_Toc232579447"/>
      <w:r>
        <w:t xml:space="preserve">Уклонение Победителя от заключения Договора</w:t>
      </w:r>
      <w:bookmarkEnd w:id="213"/>
      <w:r/>
      <w:bookmarkEnd w:id="214"/>
      <w:r/>
      <w:r/>
    </w:p>
    <w:p>
      <w:pPr>
        <w:pStyle w:val="1176"/>
        <w:keepNext/>
      </w:pPr>
      <w:r>
        <w:t xml:space="preserve">Е</w:t>
      </w:r>
      <w:r>
        <w:t xml:space="preserve">сли Победитель закупки:</w:t>
      </w:r>
      <w:r/>
    </w:p>
    <w:p>
      <w:pPr>
        <w:pStyle w:val="1177"/>
      </w:pPr>
      <w:r>
        <w:t xml:space="preserve">не подпишет Договор в установленные Документацией о закупке сроки (пункт</w:t>
      </w:r>
      <w:r>
        <w:t xml:space="preserve"> </w:t>
      </w:r>
      <w:r>
        <w:fldChar w:fldCharType="begin"/>
      </w:r>
      <w:r>
        <w:instrText xml:space="preserve"> REF _Ref130293821 \r \h </w:instrText>
      </w:r>
      <w:r>
        <w:instrText xml:space="preserve"> \* MERGEFORMAT </w:instrText>
      </w:r>
      <w:r>
        <w:fldChar w:fldCharType="separate"/>
      </w:r>
      <w:r>
        <w:t xml:space="preserve">5.2.1</w:t>
      </w:r>
      <w:r>
        <w:fldChar w:fldCharType="end"/>
      </w:r>
      <w:r>
        <w:t xml:space="preserve">);</w:t>
      </w:r>
      <w:r/>
    </w:p>
    <w:p>
      <w:pPr>
        <w:pStyle w:val="1177"/>
      </w:pPr>
      <w:r>
        <w:t xml:space="preserve">откажется от подписания Договора на условиях, определяемых в</w:t>
      </w:r>
      <w:r>
        <w:t xml:space="preserve"> </w:t>
      </w:r>
      <w:r>
        <w:t xml:space="preserve">соответствии </w:t>
      </w:r>
      <w:r>
        <w:t xml:space="preserve">с пунктом </w:t>
      </w:r>
      <w:r>
        <w:fldChar w:fldCharType="begin"/>
      </w:r>
      <w:r>
        <w:instrText xml:space="preserve"> REF _Ref132288402 \r \h </w:instrText>
      </w:r>
      <w:r>
        <w:instrText xml:space="preserve"> \* MERGEFORMAT </w:instrText>
      </w:r>
      <w:r>
        <w:fldChar w:fldCharType="separate"/>
      </w:r>
      <w:r>
        <w:t xml:space="preserve">5.2.8</w:t>
      </w:r>
      <w:r>
        <w:fldChar w:fldCharType="end"/>
      </w:r>
      <w:r>
        <w:t xml:space="preserve">;</w:t>
      </w:r>
      <w:r/>
    </w:p>
    <w:p>
      <w:pPr>
        <w:pStyle w:val="1177"/>
      </w:pPr>
      <w:r>
        <w:t xml:space="preserve">не раскроет информацию в отношении всей цепочки собственников, включая бенефициаров (в том числе конечных), по установленной форме (</w:t>
      </w:r>
      <w:hyperlink w:tooltip="#Прил05_ФормыПобедителя" w:anchor="Прил05_ФормыПобедителя" w:history="1">
        <w:r>
          <w:rPr>
            <w:rStyle w:val="1204"/>
          </w:rPr>
          <w:t xml:space="preserve">Приложение № </w:t>
        </w:r>
        <w:r>
          <w:rPr>
            <w:rStyle w:val="1204"/>
          </w:rPr>
          <w:t xml:space="preserve">5</w:t>
        </w:r>
      </w:hyperlink>
      <w:r>
        <w:t xml:space="preserve">), с приложением подтверждающих документов;</w:t>
      </w:r>
      <w:r/>
    </w:p>
    <w:p>
      <w:pPr>
        <w:pStyle w:val="1177"/>
      </w:pPr>
      <w:r>
        <w:t xml:space="preserve">не предоставит Заверение об обстоятельствах, </w:t>
      </w:r>
      <w:r>
        <w:t xml:space="preserve">представляющ</w:t>
      </w:r>
      <w:r>
        <w:t xml:space="preserve">е</w:t>
      </w:r>
      <w:r>
        <w:t xml:space="preserve">е </w:t>
      </w:r>
      <w:r>
        <w:t xml:space="preserve">собой гарантийное письмо об отсутствии обстоятельств, препятствующих заключению Договора, в случаях и по форме, предусмотренных </w:t>
      </w:r>
      <w:hyperlink w:tooltip="#Прил05_ФормыПобедителя" w:anchor="Прил05_ФормыПобедителя" w:history="1">
        <w:r>
          <w:rPr>
            <w:rStyle w:val="1204"/>
          </w:rPr>
          <w:t xml:space="preserve">Приложением № </w:t>
        </w:r>
        <w:r>
          <w:rPr>
            <w:rStyle w:val="1204"/>
          </w:rPr>
          <w:t xml:space="preserve">5</w:t>
        </w:r>
      </w:hyperlink>
      <w:r>
        <w:t xml:space="preserve">;</w:t>
      </w:r>
      <w:r/>
    </w:p>
    <w:p>
      <w:pPr>
        <w:pStyle w:val="1177"/>
      </w:pPr>
      <w:r>
        <w:t xml:space="preserve">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t xml:space="preserve">5.2.4</w:t>
      </w:r>
      <w:r>
        <w:fldChar w:fldCharType="end"/>
      </w:r>
      <w:r>
        <w:t xml:space="preserve">, или предоставит их с нарушением требований, установленных в Документации о закупке</w:t>
      </w:r>
      <w:r>
        <w:t xml:space="preserve">;</w:t>
      </w:r>
      <w:r/>
    </w:p>
    <w:p>
      <w:pPr>
        <w:pStyle w:val="1177"/>
      </w:pPr>
      <w:r>
        <w:t xml:space="preserve">не предоставит в установленный Заказчиком срок документы, указанные в пункте </w:t>
      </w:r>
      <w:r>
        <w:fldChar w:fldCharType="begin"/>
      </w:r>
      <w:r>
        <w:instrText xml:space="preserve"> REF _Ref125551072 \w \h </w:instrText>
      </w:r>
      <w:r>
        <w:instrText xml:space="preserve"> \* MERGEFORMAT </w:instrText>
      </w:r>
      <w:r>
        <w:fldChar w:fldCharType="separate"/>
      </w:r>
      <w:r>
        <w:t xml:space="preserve">5.2.5</w:t>
      </w:r>
      <w:r>
        <w:fldChar w:fldCharType="end"/>
      </w:r>
      <w:r>
        <w:t xml:space="preserve">, или предоставит их с нарушением требований, установленных в Документации о закупке;</w:t>
      </w:r>
      <w:r/>
    </w:p>
    <w:p>
      <w:pPr>
        <w:pStyle w:val="1177"/>
      </w:pPr>
      <w:r>
        <w:t xml:space="preserve">не предоставит копии документов, обязательных</w:t>
      </w:r>
      <w:r>
        <w:t xml:space="preserve"> к предоставлению Победителем закупки в соответствии с требованиями </w:t>
      </w:r>
      <w:hyperlink w:tooltip="#Прил01_ТехТребования" w:anchor="Прил01_ТехТребования" w:history="1">
        <w:r>
          <w:rPr>
            <w:rStyle w:val="1204"/>
          </w:rPr>
          <w:t xml:space="preserve">Приложения №</w:t>
        </w:r>
        <w:r>
          <w:rPr>
            <w:rStyle w:val="1204"/>
          </w:rPr>
          <w:t xml:space="preserve"> </w:t>
        </w:r>
        <w:r>
          <w:rPr>
            <w:rStyle w:val="1204"/>
          </w:rPr>
          <w:t xml:space="preserve">1 </w:t>
        </w:r>
        <w:r>
          <w:rPr>
            <w:rStyle w:val="1204"/>
          </w:rPr>
          <w:t xml:space="preserve">– </w:t>
        </w:r>
        <w:r>
          <w:rPr>
            <w:rStyle w:val="1204"/>
          </w:rPr>
          <w:t xml:space="preserve">Технические требования</w:t>
        </w:r>
      </w:hyperlink>
      <w:r>
        <w:t xml:space="preserve"> (в случае установления таковых);</w:t>
      </w:r>
      <w:r/>
    </w:p>
    <w:p>
      <w:pPr>
        <w:pStyle w:val="1177"/>
      </w:pPr>
      <w:r>
        <w:t xml:space="preserve">не предоставит обеспечение исполнения договора</w:t>
      </w:r>
      <w:r>
        <w:t xml:space="preserve"> </w:t>
      </w:r>
      <w:r>
        <w:t xml:space="preserve">до момента его заключения, если</w:t>
      </w:r>
      <w:r>
        <w:t xml:space="preserve"> Документация о закупке</w:t>
      </w:r>
      <w:r>
        <w:t xml:space="preserve"> предусматривает обеспечение исполнения договора с соответствующими обязательствами</w:t>
      </w:r>
      <w:r>
        <w:t xml:space="preserve">;</w:t>
      </w:r>
      <w:r/>
    </w:p>
    <w:p>
      <w:pPr>
        <w:pStyle w:val="1177"/>
      </w:pPr>
      <w:r>
        <w:t xml:space="preserve">не выполнит другие условия, прямо предусмотренные Документацией о</w:t>
      </w:r>
      <w:r>
        <w:t xml:space="preserve"> </w:t>
      </w:r>
      <w:r>
        <w:t xml:space="preserve">закупке,</w:t>
      </w:r>
      <w:r/>
    </w:p>
    <w:p>
      <w:pPr>
        <w:pStyle w:val="1180"/>
        <w:ind w:left="1134"/>
      </w:pPr>
      <w:r>
        <w:t xml:space="preserve">то он</w:t>
      </w:r>
      <w:r>
        <w:t xml:space="preserve"> (</w:t>
      </w:r>
      <w:r>
        <w:t xml:space="preserve">по истечению установленных в подразделе</w:t>
      </w:r>
      <w:r>
        <w:t xml:space="preserve"> </w:t>
      </w:r>
      <w:r>
        <w:fldChar w:fldCharType="begin"/>
      </w:r>
      <w:r>
        <w:instrText xml:space="preserve"> REF _Ref138232981 \r \h </w:instrText>
      </w:r>
      <w:r>
        <w:fldChar w:fldCharType="separate"/>
      </w:r>
      <w:r>
        <w:t xml:space="preserve">5.2</w:t>
      </w:r>
      <w:r>
        <w:fldChar w:fldCharType="end"/>
      </w:r>
      <w:r>
        <w:t xml:space="preserve"> сроков на заключение Договора</w:t>
      </w:r>
      <w:r>
        <w:t xml:space="preserve">)</w:t>
      </w:r>
      <w:r>
        <w:t xml:space="preserve"> признается уклонившимся от заключения Договора и утрачивает статус Победителя, а Закупочная комиссия </w:t>
      </w:r>
      <w:r>
        <w:t xml:space="preserve">имеет право</w:t>
      </w:r>
      <w:r>
        <w:t xml:space="preserve"> выбрать</w:t>
      </w:r>
      <w:r>
        <w:t xml:space="preserve"> в качестве Победителя иного Участника, занявшего следующее место в </w:t>
      </w:r>
      <w:r>
        <w:t xml:space="preserve">ранжировке</w:t>
      </w:r>
      <w:r>
        <w:t xml:space="preserve"> заявок после Победителя, из числа остальных действующих заявок.</w:t>
      </w:r>
      <w:r/>
    </w:p>
    <w:p>
      <w:pPr>
        <w:pStyle w:val="1174"/>
      </w:pPr>
      <w:r/>
      <w:bookmarkStart w:id="215" w:name="_Ref125363016"/>
      <w:r/>
      <w:bookmarkStart w:id="216" w:name="_Ref125363023"/>
      <w:r/>
      <w:bookmarkStart w:id="217" w:name="_Ref125363034"/>
      <w:r/>
      <w:bookmarkStart w:id="218" w:name="_Ref125363600"/>
      <w:r/>
      <w:bookmarkStart w:id="219" w:name="_Ref125363752"/>
      <w:r/>
      <w:bookmarkStart w:id="220" w:name="_Ref125364088"/>
      <w:r/>
      <w:bookmarkStart w:id="221" w:name="_Ref125364201"/>
      <w:r/>
      <w:bookmarkStart w:id="222" w:name="_Ref125370732"/>
      <w:r/>
      <w:bookmarkStart w:id="223" w:name="_Ref125370741"/>
      <w:r/>
      <w:bookmarkStart w:id="224" w:name="_Ref125370746"/>
      <w:r/>
      <w:bookmarkStart w:id="225" w:name="_Ref125370750"/>
      <w:r/>
      <w:bookmarkStart w:id="226" w:name="_Ref125370843"/>
      <w:r/>
      <w:bookmarkStart w:id="227" w:name="Прил01_ТехТребования"/>
      <w:r/>
      <w:bookmarkStart w:id="228" w:name="_Toc232579448"/>
      <w:r>
        <w:t xml:space="preserve">Приложение № 1 – Технические требования</w:t>
      </w:r>
      <w:bookmarkEnd w:id="215"/>
      <w:r/>
      <w:bookmarkEnd w:id="216"/>
      <w:r/>
      <w:bookmarkEnd w:id="217"/>
      <w:r/>
      <w:bookmarkEnd w:id="218"/>
      <w:r/>
      <w:bookmarkEnd w:id="219"/>
      <w:r/>
      <w:bookmarkEnd w:id="220"/>
      <w:r/>
      <w:bookmarkEnd w:id="221"/>
      <w:r/>
      <w:bookmarkEnd w:id="222"/>
      <w:r/>
      <w:bookmarkEnd w:id="223"/>
      <w:r/>
      <w:bookmarkEnd w:id="224"/>
      <w:r/>
      <w:bookmarkEnd w:id="225"/>
      <w:r/>
      <w:bookmarkEnd w:id="226"/>
      <w:r/>
      <w:bookmarkEnd w:id="227"/>
      <w:r/>
      <w:bookmarkEnd w:id="228"/>
      <w:r/>
      <w:r/>
    </w:p>
    <w:p>
      <w:pPr>
        <w:pStyle w:val="1175"/>
      </w:pPr>
      <w:r/>
      <w:bookmarkStart w:id="229" w:name="_Toc232579449"/>
      <w:r>
        <w:t xml:space="preserve">Пояснения к Техническим требованиям</w:t>
      </w:r>
      <w:bookmarkEnd w:id="229"/>
      <w:r/>
      <w:r/>
    </w:p>
    <w:p>
      <w:pPr>
        <w:pStyle w:val="1176"/>
      </w:pPr>
      <w:r>
        <w:t xml:space="preserve">Технические требования к закупаемой продукции приведены в</w:t>
      </w:r>
      <w:r>
        <w:t xml:space="preserve"> отдельном файле </w:t>
      </w:r>
      <w:r>
        <w:t xml:space="preserve">(</w:t>
      </w:r>
      <w:r>
        <w:t xml:space="preserve">предоставляются отдельным документом в составе Документации о закупке</w:t>
      </w:r>
      <w:r>
        <w:t xml:space="preserve">)</w:t>
      </w:r>
      <w:r>
        <w:t xml:space="preserve">, являющимся</w:t>
      </w:r>
      <w:r>
        <w:t xml:space="preserve"> Приложени</w:t>
      </w:r>
      <w:r>
        <w:t xml:space="preserve">ем</w:t>
      </w:r>
      <w:r>
        <w:t xml:space="preserve"> №</w:t>
      </w:r>
      <w:r>
        <w:t xml:space="preserve"> </w:t>
      </w:r>
      <w:r>
        <w:t xml:space="preserve">1 к Документации о закупке.</w:t>
      </w:r>
      <w:r/>
    </w:p>
    <w:p>
      <w:pPr>
        <w:pStyle w:val="1174"/>
      </w:pPr>
      <w:r/>
      <w:bookmarkStart w:id="230" w:name="_Ref125361746"/>
      <w:r/>
      <w:bookmarkStart w:id="231" w:name="_Ref125363040"/>
      <w:r/>
      <w:bookmarkStart w:id="232" w:name="_Ref125363605"/>
      <w:r/>
      <w:bookmarkStart w:id="233" w:name="_Ref125363759"/>
      <w:r/>
      <w:bookmarkStart w:id="234" w:name="_Ref125364081"/>
      <w:r/>
      <w:bookmarkStart w:id="235" w:name="_Ref125364206"/>
      <w:r/>
      <w:bookmarkStart w:id="236" w:name="_Ref125370754"/>
      <w:r/>
      <w:bookmarkStart w:id="237" w:name="Прил02_ПроектДоговора"/>
      <w:r/>
      <w:bookmarkStart w:id="238" w:name="_Toc232579450"/>
      <w:r>
        <w:t xml:space="preserve">Приложение № 2 – Проект договора</w:t>
      </w:r>
      <w:bookmarkEnd w:id="230"/>
      <w:r/>
      <w:bookmarkEnd w:id="231"/>
      <w:r/>
      <w:bookmarkEnd w:id="232"/>
      <w:r/>
      <w:bookmarkEnd w:id="233"/>
      <w:r/>
      <w:bookmarkEnd w:id="234"/>
      <w:r/>
      <w:bookmarkEnd w:id="235"/>
      <w:r/>
      <w:bookmarkEnd w:id="236"/>
      <w:r/>
      <w:bookmarkEnd w:id="237"/>
      <w:r/>
      <w:bookmarkEnd w:id="238"/>
      <w:r/>
      <w:r/>
    </w:p>
    <w:p>
      <w:pPr>
        <w:pStyle w:val="1175"/>
      </w:pPr>
      <w:r/>
      <w:bookmarkStart w:id="239" w:name="_Toc232579451"/>
      <w:r>
        <w:t xml:space="preserve">Пояснения к </w:t>
      </w:r>
      <w:r>
        <w:t xml:space="preserve">П</w:t>
      </w:r>
      <w:r>
        <w:t xml:space="preserve">роекту договора</w:t>
      </w:r>
      <w:bookmarkEnd w:id="239"/>
      <w:r/>
      <w:r/>
    </w:p>
    <w:p>
      <w:pPr>
        <w:pStyle w:val="1176"/>
      </w:pPr>
      <w:r>
        <w:t xml:space="preserve">Проект договора, заключаемого по результатам закупки, </w:t>
      </w:r>
      <w:r>
        <w:t xml:space="preserve">приведен в отдельном файле </w:t>
      </w:r>
      <w:r>
        <w:t xml:space="preserve">(</w:t>
      </w:r>
      <w:r>
        <w:t xml:space="preserve">предоставляется отдельным документом</w:t>
      </w:r>
      <w:r>
        <w:t xml:space="preserve"> </w:t>
      </w:r>
      <w:r>
        <w:t xml:space="preserve">в составе Документации о закупке</w:t>
      </w:r>
      <w:r>
        <w:t xml:space="preserve">)</w:t>
      </w:r>
      <w:r>
        <w:t xml:space="preserve">, являющимся </w:t>
      </w:r>
      <w:r>
        <w:t xml:space="preserve">Приложени</w:t>
      </w:r>
      <w:r>
        <w:t xml:space="preserve">ем</w:t>
      </w:r>
      <w:r>
        <w:t xml:space="preserve"> №</w:t>
      </w:r>
      <w:r>
        <w:t xml:space="preserve"> </w:t>
      </w:r>
      <w:r>
        <w:t xml:space="preserve">2 к Документации о закупке.</w:t>
      </w:r>
      <w:r/>
    </w:p>
    <w:p>
      <w:pPr>
        <w:pStyle w:val="1176"/>
      </w:pPr>
      <w:r>
        <w:t xml:space="preserve">Все положения </w:t>
      </w:r>
      <w:r>
        <w:t xml:space="preserve">П</w:t>
      </w:r>
      <w:r>
        <w:t xml:space="preserve">роекта </w:t>
      </w:r>
      <w:r>
        <w:t xml:space="preserve">д</w:t>
      </w:r>
      <w:r>
        <w:t xml:space="preserve">оговора являются существенными условиями для</w:t>
      </w:r>
      <w:r>
        <w:t xml:space="preserve"> </w:t>
      </w:r>
      <w:r>
        <w:t xml:space="preserve">Заказчика, за исключением пунктов договора, указанных в </w:t>
      </w:r>
      <w:r>
        <w:t xml:space="preserve">подразделе </w:t>
      </w:r>
      <w:r>
        <w:fldChar w:fldCharType="begin"/>
      </w:r>
      <w:r>
        <w:instrText xml:space="preserve"> REF _Ref125359973 \r \h </w:instrText>
      </w:r>
      <w:r>
        <w:fldChar w:fldCharType="separate"/>
      </w:r>
      <w:r>
        <w:t xml:space="preserve">1.2</w:t>
      </w:r>
      <w:r>
        <w:fldChar w:fldCharType="end"/>
      </w:r>
      <w:r>
        <w:t xml:space="preserve"> </w:t>
      </w:r>
      <w:bookmarkStart w:id="240" w:name="_Hlk132883778"/>
      <w:r>
        <w:t xml:space="preserve">как «</w:t>
      </w:r>
      <w:r>
        <w:t xml:space="preserve">Некритичные </w:t>
      </w:r>
      <w:r>
        <w:t xml:space="preserve">пункты</w:t>
      </w:r>
      <w:r>
        <w:t xml:space="preserve"> </w:t>
      </w:r>
      <w:r>
        <w:t xml:space="preserve">П</w:t>
      </w:r>
      <w:r>
        <w:t xml:space="preserve">роекта </w:t>
      </w:r>
      <w:r>
        <w:t xml:space="preserve">д</w:t>
      </w:r>
      <w:r>
        <w:t xml:space="preserve">оговора</w:t>
      </w:r>
      <w:r>
        <w:t xml:space="preserve">»</w:t>
      </w:r>
      <w:bookmarkEnd w:id="240"/>
      <w:r>
        <w:t xml:space="preserve">.</w:t>
      </w:r>
      <w:r/>
    </w:p>
    <w:p>
      <w:pPr>
        <w:pStyle w:val="1176"/>
      </w:pPr>
      <w:r>
        <w:t xml:space="preserve">В </w:t>
      </w:r>
      <w:r>
        <w:t xml:space="preserve">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t xml:space="preserve"> </w:t>
      </w:r>
      <w:r>
        <w:t xml:space="preserve">Договору. </w:t>
      </w:r>
      <w:r>
        <w:t xml:space="preserve">Е</w:t>
      </w:r>
      <w:r>
        <w:t xml:space="preserve">сли Стороны не придут к соглашению об этих изменениях, они будут обязаны подписать Договор на условиях, изложенных в</w:t>
      </w:r>
      <w:r>
        <w:t xml:space="preserve"> </w:t>
      </w:r>
      <w:r>
        <w:t xml:space="preserve">Документации о</w:t>
      </w:r>
      <w:r>
        <w:t xml:space="preserve"> </w:t>
      </w:r>
      <w:r>
        <w:t xml:space="preserve">закупке.</w:t>
      </w:r>
      <w:r/>
    </w:p>
    <w:p>
      <w:pPr>
        <w:pStyle w:val="1176"/>
      </w:pPr>
      <w:r>
        <w:t xml:space="preserve">Одновременно с подписанием Сторонами Договора или не позднее 3</w:t>
      </w:r>
      <w:r>
        <w:t xml:space="preserve"> </w:t>
      </w:r>
      <w:r>
        <w:t xml:space="preserve">(трех) рабочих дней после подписания Договора, Сторонами должно быть подписано дополнительное соглашение, </w:t>
      </w:r>
      <w:r>
        <w:t xml:space="preserve">форма которого </w:t>
      </w:r>
      <w:r>
        <w:t xml:space="preserve">приведена в </w:t>
      </w:r>
      <w:r>
        <w:t xml:space="preserve">отдельном </w:t>
      </w:r>
      <w:r>
        <w:t xml:space="preserve">файле в</w:t>
      </w:r>
      <w:r>
        <w:t xml:space="preserve"> </w:t>
      </w:r>
      <w:r>
        <w:t xml:space="preserve">формате </w:t>
      </w:r>
      <w:r>
        <w:t xml:space="preserve">Microsoft</w:t>
      </w:r>
      <w:r>
        <w:t xml:space="preserve"> </w:t>
      </w:r>
      <w:r>
        <w:t xml:space="preserve">Word</w:t>
      </w:r>
      <w:r>
        <w:t xml:space="preserve"> (предоставляется отдельным документом</w:t>
      </w:r>
      <w:r>
        <w:t xml:space="preserve"> </w:t>
      </w:r>
      <w:r>
        <w:t xml:space="preserve">в составе Документации о закупке)</w:t>
      </w:r>
      <w:r>
        <w:t xml:space="preserve">, касающееся вопросов подтверждения Участником информации о цепочке собственников, включая бенефициаров (в том числе конечных)</w:t>
      </w:r>
      <w:r>
        <w:t xml:space="preserve">:</w:t>
      </w:r>
      <w:r/>
    </w:p>
    <w:p>
      <w:pPr>
        <w:pStyle w:val="1180"/>
        <w:jc w:val="center"/>
      </w:pPr>
      <w:r/>
      <w:bookmarkStart w:id="241" w:name="_MON_1736255517"/>
      <w:r/>
      <w:bookmarkEnd w:id="241"/>
      <w:r>
        <mc:AlternateContent>
          <mc:Choice Requires="wpg">
            <w:drawing>
              <wp:inline xmlns:wp="http://schemas.openxmlformats.org/drawingml/2006/wordprocessingDrawing" distT="0" distB="0" distL="0" distR="0">
                <wp:extent cx="990600" cy="628650"/>
                <wp:effectExtent l="0" t="0" r="0" b="0"/>
                <wp:docPr id="1" name="_x0000_i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
                          <a:extLst>
                            <a:ext uri="{96DAC541-7B7A-43D3-8B79-37D633B846F1}">
                              <asvg:svgBlip xmlns:asvg="http://schemas.microsoft.com/office/drawing/2016/SVG/main" r:embed="rId17"/>
                            </a:ext>
                          </a:extLst>
                        </a:blip>
                        <a:stretch/>
                      </pic:blipFill>
                      <pic:spPr bwMode="auto">
                        <a:xfrm>
                          <a:off x="0" y="0"/>
                          <a:ext cx="990600" cy="62865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78.00pt;height:49.50pt;mso-wrap-distance-left:0.00pt;mso-wrap-distance-top:0.00pt;mso-wrap-distance-right:0.00pt;mso-wrap-distance-bottom:0.00pt;" stroked="f">
                <v:path textboxrect="0,0,0,0"/>
                <v:imagedata r:id="rId16" o:title=""/>
              </v:shape>
            </w:pict>
          </mc:Fallback>
        </mc:AlternateContent>
      </w:r>
      <w:r/>
    </w:p>
    <w:p>
      <w:pPr>
        <w:pStyle w:val="1180"/>
      </w:pPr>
      <w:r/>
      <w:r/>
    </w:p>
    <w:p>
      <w:pPr>
        <w:pStyle w:val="1180"/>
        <w:sectPr>
          <w:footnotePr/>
          <w:endnotePr/>
          <w:type w:val="nextPage"/>
          <w:pgSz w:w="11906" w:h="16838" w:orient="portrait"/>
          <w:pgMar w:top="851" w:right="850" w:bottom="851" w:left="1134" w:header="567" w:footer="567" w:gutter="0"/>
          <w:cols w:num="1" w:sep="0" w:space="708" w:equalWidth="1"/>
          <w:docGrid w:linePitch="360"/>
        </w:sectPr>
      </w:pPr>
      <w:r/>
      <w:r/>
    </w:p>
    <w:p>
      <w:pPr>
        <w:pStyle w:val="1174"/>
      </w:pPr>
      <w:r/>
      <w:bookmarkStart w:id="242" w:name="_Ref125361494"/>
      <w:r/>
      <w:bookmarkStart w:id="243" w:name="_Ref125361908"/>
      <w:r/>
      <w:bookmarkStart w:id="244" w:name="_Ref125365476"/>
      <w:r/>
      <w:bookmarkStart w:id="245" w:name="_Ref125370013"/>
      <w:r/>
      <w:bookmarkStart w:id="246" w:name="Прил03_ТребованияУчастникам"/>
      <w:r/>
      <w:bookmarkStart w:id="247" w:name="_Toc232579452"/>
      <w:r>
        <w:t xml:space="preserve">Приложение №</w:t>
      </w:r>
      <w:r>
        <w:t xml:space="preserve"> </w:t>
      </w:r>
      <w:r>
        <w:t xml:space="preserve">3 – Требования к </w:t>
      </w:r>
      <w:r>
        <w:t xml:space="preserve">У</w:t>
      </w:r>
      <w:r>
        <w:t xml:space="preserve">частникам</w:t>
      </w:r>
      <w:bookmarkEnd w:id="242"/>
      <w:r/>
      <w:bookmarkEnd w:id="243"/>
      <w:r/>
      <w:bookmarkEnd w:id="244"/>
      <w:r/>
      <w:bookmarkEnd w:id="245"/>
      <w:r/>
      <w:bookmarkEnd w:id="246"/>
      <w:r/>
      <w:bookmarkEnd w:id="247"/>
      <w:r/>
      <w:r/>
    </w:p>
    <w:p>
      <w:pPr>
        <w:pStyle w:val="1175"/>
      </w:pPr>
      <w:r/>
      <w:bookmarkStart w:id="248" w:name="_Toc232579453"/>
      <w:r>
        <w:t xml:space="preserve">Пояснения к </w:t>
      </w:r>
      <w:r>
        <w:t xml:space="preserve">требованиям к </w:t>
      </w:r>
      <w:r>
        <w:t xml:space="preserve">У</w:t>
      </w:r>
      <w:r>
        <w:t xml:space="preserve">частникам</w:t>
      </w:r>
      <w:bookmarkEnd w:id="248"/>
      <w:r/>
      <w:r/>
    </w:p>
    <w:p>
      <w:pPr>
        <w:pStyle w:val="1176"/>
      </w:pPr>
      <w:r/>
      <w:bookmarkStart w:id="249" w:name="_Hlk125628168"/>
      <w:r>
        <w:t xml:space="preserve">Чтобы претендовать на победу</w:t>
      </w:r>
      <w:r>
        <w:t xml:space="preserve">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t xml:space="preserve">.</w:t>
      </w:r>
      <w:bookmarkEnd w:id="249"/>
      <w:r/>
      <w:r/>
    </w:p>
    <w:p>
      <w:pPr>
        <w:pStyle w:val="1175"/>
        <w:spacing w:after="120"/>
      </w:pPr>
      <w:r/>
      <w:bookmarkStart w:id="250" w:name="_Ref125361435"/>
      <w:r/>
      <w:bookmarkStart w:id="251" w:name="_Ref125361590"/>
      <w:r/>
      <w:bookmarkStart w:id="252" w:name="_Ref125361617"/>
      <w:r/>
      <w:bookmarkStart w:id="253" w:name="_Ref125361832"/>
      <w:r/>
      <w:bookmarkStart w:id="254" w:name="_Ref125361846"/>
      <w:r/>
      <w:bookmarkStart w:id="255" w:name="_Ref125361926"/>
      <w:r/>
      <w:bookmarkStart w:id="256" w:name="_Ref125366879"/>
      <w:r/>
      <w:bookmarkStart w:id="257" w:name="_Ref125368812"/>
      <w:r/>
      <w:bookmarkStart w:id="258" w:name="_Ref125368895"/>
      <w:r/>
      <w:bookmarkStart w:id="259" w:name="_Ref125369088"/>
      <w:r/>
      <w:bookmarkStart w:id="260" w:name="_Ref125370058"/>
      <w:r/>
      <w:bookmarkStart w:id="261" w:name="_Ref125370064"/>
      <w:r/>
      <w:bookmarkStart w:id="262" w:name="_Ref125370071"/>
      <w:r/>
      <w:bookmarkStart w:id="263" w:name="_Toc232579454"/>
      <w:r>
        <w:t xml:space="preserve">Обязательные требования</w:t>
      </w:r>
      <w:bookmarkEnd w:id="250"/>
      <w:r/>
      <w:bookmarkEnd w:id="251"/>
      <w:r/>
      <w:bookmarkEnd w:id="252"/>
      <w:r/>
      <w:bookmarkEnd w:id="253"/>
      <w:r/>
      <w:bookmarkEnd w:id="254"/>
      <w:r/>
      <w:bookmarkEnd w:id="255"/>
      <w:r/>
      <w:bookmarkEnd w:id="256"/>
      <w:r/>
      <w:bookmarkEnd w:id="257"/>
      <w:r/>
      <w:bookmarkEnd w:id="258"/>
      <w:r/>
      <w:bookmarkEnd w:id="259"/>
      <w:r/>
      <w:bookmarkEnd w:id="260"/>
      <w:r/>
      <w:bookmarkEnd w:id="261"/>
      <w:r/>
      <w:bookmarkEnd w:id="262"/>
      <w:r/>
      <w:bookmarkEnd w:id="263"/>
      <w:r/>
      <w:r/>
    </w:p>
    <w:tbl>
      <w:tblPr>
        <w:tblStyle w:val="1201"/>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80"/>
              <w:jc w:val="center"/>
              <w:keepNext w:val="0"/>
            </w:pPr>
            <w:r>
              <w:t xml:space="preserve">№</w:t>
            </w:r>
            <w:r>
              <w:br/>
              <w:t xml:space="preserve">п/п</w:t>
            </w:r>
            <w:r/>
          </w:p>
        </w:tc>
        <w:tc>
          <w:tcPr>
            <w:tcW w:w="5670" w:type="dxa"/>
            <w:textDirection w:val="lrTb"/>
            <w:noWrap w:val="false"/>
          </w:tcPr>
          <w:p>
            <w:pPr>
              <w:pStyle w:val="1180"/>
              <w:jc w:val="center"/>
              <w:keepNext w:val="0"/>
            </w:pPr>
            <w:r>
              <w:t xml:space="preserve">Требования к Участник</w:t>
            </w:r>
            <w:r>
              <w:t xml:space="preserve">у</w:t>
            </w:r>
            <w:r/>
          </w:p>
        </w:tc>
        <w:tc>
          <w:tcPr>
            <w:tcW w:w="8327" w:type="dxa"/>
            <w:textDirection w:val="lrTb"/>
            <w:noWrap w:val="false"/>
          </w:tcPr>
          <w:p>
            <w:pPr>
              <w:pStyle w:val="1180"/>
              <w:jc w:val="center"/>
              <w:keepNext w:val="0"/>
            </w:pPr>
            <w:r>
              <w:t xml:space="preserve">Требования к документам,</w:t>
            </w:r>
            <w:r>
              <w:br/>
            </w:r>
            <w:r>
              <w:t xml:space="preserve">подтверждающим соответствие Участника установленным требованиям</w:t>
            </w:r>
            <w:r/>
          </w:p>
        </w:tc>
      </w:tr>
      <w:tr>
        <w:tblPrEx/>
        <w:trPr/>
        <w:tc>
          <w:tcPr>
            <w:tcW w:w="1129" w:type="dxa"/>
            <w:textDirection w:val="lrTb"/>
            <w:noWrap w:val="false"/>
          </w:tcPr>
          <w:p>
            <w:pPr>
              <w:pStyle w:val="1180"/>
              <w:numPr>
                <w:ilvl w:val="0"/>
                <w:numId w:val="2"/>
              </w:numPr>
              <w:ind w:left="284" w:firstLine="0"/>
              <w:jc w:val="center"/>
            </w:pPr>
            <w:r/>
            <w:bookmarkStart w:id="264" w:name="_Ref125552433"/>
            <w:r/>
            <w:bookmarkEnd w:id="264"/>
            <w:r/>
            <w:r/>
          </w:p>
        </w:tc>
        <w:tc>
          <w:tcPr>
            <w:tcW w:w="5670" w:type="dxa"/>
            <w:textDirection w:val="lrTb"/>
            <w:noWrap w:val="false"/>
          </w:tcPr>
          <w:p>
            <w:pPr>
              <w:pStyle w:val="1180"/>
            </w:pPr>
            <w:r>
              <w:t xml:space="preserve">Участник должен обладать гражданской правоспособностью в полном объеме для</w:t>
            </w:r>
            <w:r>
              <w:t xml:space="preserve"> </w:t>
            </w:r>
            <w:r>
              <w:t xml:space="preserve">заключения и исполнения Договора, </w:t>
            </w:r>
            <w:r>
              <w:t xml:space="preserve">а</w:t>
            </w:r>
            <w:r>
              <w:t xml:space="preserve"> </w:t>
            </w:r>
            <w:r>
              <w:t xml:space="preserve">также должен обладать статусом «аккредитован» в</w:t>
            </w:r>
            <w:r>
              <w:t xml:space="preserve"> </w:t>
            </w:r>
            <w:r>
              <w:t xml:space="preserve">соответствии с</w:t>
            </w:r>
            <w:r>
              <w:t xml:space="preserve"> </w:t>
            </w:r>
            <w:r>
              <w:t xml:space="preserve">Положением об аккредитации, либо являться лицом, указанным в пункте</w:t>
            </w:r>
            <w:r>
              <w:t xml:space="preserve"> </w:t>
            </w:r>
            <w:r>
              <w:t xml:space="preserve">3.11 Положения об аккредитации</w:t>
            </w:r>
            <w:r>
              <w:t xml:space="preserve">:</w:t>
            </w:r>
            <w:r/>
          </w:p>
        </w:tc>
        <w:tc>
          <w:tcPr>
            <w:tcW w:w="8327" w:type="dxa"/>
            <w:textDirection w:val="lrTb"/>
            <w:noWrap w:val="false"/>
          </w:tcPr>
          <w:p>
            <w:pPr>
              <w:pStyle w:val="1180"/>
              <w:numPr>
                <w:ilvl w:val="0"/>
                <w:numId w:val="8"/>
              </w:numPr>
              <w:ind w:left="284" w:hanging="284"/>
            </w:pPr>
            <w:r>
              <w:t xml:space="preserve">В отношении гражданской правоспособности:</w:t>
            </w:r>
            <w:r/>
          </w:p>
          <w:p>
            <w:pPr>
              <w:pStyle w:val="1180"/>
              <w:numPr>
                <w:ilvl w:val="0"/>
                <w:numId w:val="15"/>
              </w:numPr>
              <w:ind w:left="568" w:hanging="284"/>
            </w:pPr>
            <w:r>
              <w:t xml:space="preserve">если заявка подписывается лицом, действующим на основании доверенности, предоставляется электронный образ</w:t>
            </w:r>
            <w:r>
              <w:t xml:space="preserve"> (файл в формате </w:t>
            </w:r>
            <w:r>
              <w:t xml:space="preserve">*.</w:t>
            </w:r>
            <w:r>
              <w:rPr>
                <w:lang w:val="en-US"/>
              </w:rPr>
              <w:t xml:space="preserve">pdf</w:t>
            </w:r>
            <w:r>
              <w:t xml:space="preserve">)</w:t>
            </w:r>
            <w:r>
              <w:t xml:space="preserve"> оригинала соответствующей доверенности либо ее нотариально заверенной копии (с</w:t>
            </w:r>
            <w:r>
              <w:t xml:space="preserve"> </w:t>
            </w:r>
            <w:r>
              <w:t xml:space="preserve">указанием правомочий на</w:t>
            </w:r>
            <w:r>
              <w:t xml:space="preserve"> </w:t>
            </w:r>
            <w:r>
              <w:t xml:space="preserve">подписание заявки);</w:t>
            </w:r>
            <w:r/>
          </w:p>
          <w:p>
            <w:pPr>
              <w:pStyle w:val="1180"/>
              <w:numPr>
                <w:ilvl w:val="0"/>
                <w:numId w:val="8"/>
              </w:numPr>
              <w:ind w:left="284" w:hanging="284"/>
            </w:pPr>
            <w:r>
              <w:t xml:space="preserve">В отношении аккредитации:</w:t>
            </w:r>
            <w:r/>
          </w:p>
          <w:p>
            <w:pPr>
              <w:pStyle w:val="1180"/>
              <w:numPr>
                <w:ilvl w:val="0"/>
                <w:numId w:val="15"/>
              </w:numPr>
              <w:ind w:left="568" w:hanging="284"/>
            </w:pPr>
            <w:r>
              <w:t xml:space="preserve">при</w:t>
            </w:r>
            <w:r>
              <w:t xml:space="preserve"> наличи</w:t>
            </w:r>
            <w:r>
              <w:t xml:space="preserve">и</w:t>
            </w:r>
            <w:r>
              <w:t xml:space="preserve"> у Участника на момент подачи заявки статуса «аккредитован» (по результатам ранее пройденной процедуры </w:t>
            </w:r>
            <w:r>
              <w:t xml:space="preserve">а</w:t>
            </w:r>
            <w:r>
              <w:t xml:space="preserve">ккредитации) / статуса «аккредитация не требуется» (в соответствии с</w:t>
            </w:r>
            <w:r>
              <w:t xml:space="preserve"> </w:t>
            </w:r>
            <w:r>
              <w:t xml:space="preserve">ранее направленными сведениями для включения записи в Реестр аккредитации), и при отсутствии </w:t>
            </w:r>
            <w:r>
              <w:t xml:space="preserve">(</w:t>
            </w:r>
            <w:r>
              <w:t xml:space="preserve">с момента подачи им </w:t>
            </w:r>
            <w:r>
              <w:t xml:space="preserve">З</w:t>
            </w:r>
            <w:r>
              <w:t xml:space="preserve">аявки на</w:t>
            </w:r>
            <w:r>
              <w:t xml:space="preserve"> </w:t>
            </w:r>
            <w:r>
              <w:t xml:space="preserve">аккредитацию</w:t>
            </w:r>
            <w:r>
              <w:t xml:space="preserve">)</w:t>
            </w:r>
            <w:r>
              <w:t xml:space="preserve"> изменений, оказывающих влияние на</w:t>
            </w:r>
            <w:r>
              <w:t xml:space="preserve"> </w:t>
            </w:r>
            <w:r>
              <w:t xml:space="preserve">соответствие его критериям </w:t>
            </w:r>
            <w:r>
              <w:t xml:space="preserve">а</w:t>
            </w:r>
            <w:r>
              <w:t xml:space="preserve">ккредитации (на</w:t>
            </w:r>
            <w:r>
              <w:t xml:space="preserve"> </w:t>
            </w:r>
            <w:r>
              <w:t xml:space="preserve">текущий статус), а</w:t>
            </w:r>
            <w:r>
              <w:t xml:space="preserve"> </w:t>
            </w:r>
            <w:r>
              <w:t xml:space="preserve">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w:t>
            </w:r>
            <w:r>
              <w:t xml:space="preserve">З</w:t>
            </w:r>
            <w:r>
              <w:t xml:space="preserve">аявке на</w:t>
            </w:r>
            <w:r>
              <w:t xml:space="preserve"> </w:t>
            </w:r>
            <w:r>
              <w:t xml:space="preserve">аккредитацию – </w:t>
            </w:r>
            <w:r>
              <w:t xml:space="preserve">д</w:t>
            </w:r>
            <w:r>
              <w:t xml:space="preserve">екларация </w:t>
            </w:r>
            <w:r>
              <w:t xml:space="preserve">в</w:t>
            </w:r>
            <w:r>
              <w:t xml:space="preserve"> </w:t>
            </w:r>
            <w:r>
              <w:t xml:space="preserve">составе Письма о подаче оферты </w:t>
            </w:r>
            <w:r>
              <w:t xml:space="preserve">(форма </w:t>
            </w:r>
            <w:r>
              <w:t xml:space="preserve">2</w:t>
            </w:r>
            <w:r>
              <w:t xml:space="preserve">) (</w:t>
            </w:r>
            <w:hyperlink w:tooltip="#Прил04_ФормыЗаявки" w:anchor="Прил04_ФормыЗаявки" w:history="1">
              <w:r>
                <w:rPr>
                  <w:rStyle w:val="1204"/>
                </w:rPr>
                <w:t xml:space="preserve">Приложение № 4</w:t>
              </w:r>
            </w:hyperlink>
            <w:r>
              <w:t xml:space="preserve">)</w:t>
            </w:r>
            <w:r>
              <w:t xml:space="preserve">;</w:t>
            </w:r>
            <w:r>
              <w:t xml:space="preserve"> </w:t>
            </w:r>
            <w:r>
              <w:t xml:space="preserve">предоставление Заявки на</w:t>
            </w:r>
            <w:r>
              <w:t xml:space="preserve"> </w:t>
            </w:r>
            <w:r>
              <w:t xml:space="preserve">аккредитацию не требуется</w:t>
            </w:r>
            <w:r>
              <w:t xml:space="preserve">;</w:t>
            </w:r>
            <w:r/>
          </w:p>
          <w:p>
            <w:pPr>
              <w:pStyle w:val="1180"/>
              <w:numPr>
                <w:ilvl w:val="0"/>
                <w:numId w:val="15"/>
              </w:numPr>
              <w:ind w:left="568" w:hanging="284"/>
            </w:pPr>
            <w:r>
              <w:t xml:space="preserve">при</w:t>
            </w:r>
            <w:r>
              <w:t xml:space="preserve"> наличи</w:t>
            </w:r>
            <w:r>
              <w:t xml:space="preserve">и</w:t>
            </w:r>
            <w:r>
              <w:t xml:space="preserve"> у Участника на момент подачи заявки статуса «аккредитован» (по результатам ранее пройденной процедуры </w:t>
            </w:r>
            <w:r>
              <w:t xml:space="preserve">а</w:t>
            </w:r>
            <w:r>
              <w:t xml:space="preserve">ккредитации) / статуса «аккредитация не требуется» (в соответствии с</w:t>
            </w:r>
            <w:r>
              <w:t xml:space="preserve"> </w:t>
            </w:r>
            <w:r>
              <w:t xml:space="preserve">ранее направленными сведениями для включения записи в Реестр аккредитации), и при наличии </w:t>
            </w:r>
            <w:r>
              <w:t xml:space="preserve">(</w:t>
            </w:r>
            <w:r>
              <w:t xml:space="preserve">с</w:t>
            </w:r>
            <w:r>
              <w:t xml:space="preserve"> </w:t>
            </w:r>
            <w:r>
              <w:t xml:space="preserve">момента подачи </w:t>
            </w:r>
            <w:r>
              <w:t xml:space="preserve">З</w:t>
            </w:r>
            <w:r>
              <w:t xml:space="preserve">аявки на</w:t>
            </w:r>
            <w:r>
              <w:t xml:space="preserve"> </w:t>
            </w:r>
            <w:r>
              <w:t xml:space="preserve">аккредитацию</w:t>
            </w:r>
            <w:r>
              <w:t xml:space="preserve">)</w:t>
            </w:r>
            <w:r>
              <w:t xml:space="preserve"> изменений, оказывающих влияние на</w:t>
            </w:r>
            <w:r>
              <w:t xml:space="preserve"> </w:t>
            </w:r>
            <w:r>
              <w:t xml:space="preserve">соответствие его критериям </w:t>
            </w:r>
            <w:r>
              <w:t xml:space="preserve">а</w:t>
            </w:r>
            <w:r>
              <w:t xml:space="preserve">ккредитации (на</w:t>
            </w:r>
            <w:r>
              <w:t xml:space="preserve"> </w:t>
            </w:r>
            <w:r>
              <w:t xml:space="preserve">текущий статус), а</w:t>
            </w:r>
            <w:r>
              <w:t xml:space="preserve"> </w:t>
            </w:r>
            <w:r>
              <w:t xml:space="preserve">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t xml:space="preserve"> </w:t>
            </w:r>
            <w:r>
              <w:t xml:space="preserve">аккредитацию – </w:t>
            </w:r>
            <w:r>
              <w:t xml:space="preserve">декларация </w:t>
            </w:r>
            <w:r>
              <w:t xml:space="preserve">в</w:t>
            </w:r>
            <w:r>
              <w:t xml:space="preserve"> </w:t>
            </w:r>
            <w:r>
              <w:t xml:space="preserve">составе Письма о подаче оферты (форма </w:t>
            </w:r>
            <w:r>
              <w:t xml:space="preserve">2</w:t>
            </w:r>
            <w:r>
              <w:t xml:space="preserve">) (</w:t>
            </w:r>
            <w:hyperlink w:tooltip="#Прил04_ФормыЗаявки" w:anchor="Прил04_ФормыЗаявки" w:history="1">
              <w:r>
                <w:rPr>
                  <w:rStyle w:val="1204"/>
                </w:rPr>
                <w:t xml:space="preserve">Приложение № 4</w:t>
              </w:r>
            </w:hyperlink>
            <w:r>
              <w:t xml:space="preserve">)</w:t>
            </w:r>
            <w:r>
              <w:t xml:space="preserve"> и </w:t>
            </w:r>
            <w:r>
              <w:t xml:space="preserve">обновленная Заявка на</w:t>
            </w:r>
            <w:r>
              <w:t xml:space="preserve"> </w:t>
            </w:r>
            <w:r>
              <w:t xml:space="preserve">аккредитацию по установленной в</w:t>
            </w:r>
            <w:r>
              <w:t xml:space="preserve"> </w:t>
            </w:r>
            <w:r>
              <w:t xml:space="preserve">Документации о закупке форме (</w:t>
            </w:r>
            <w:hyperlink w:tooltip="#Прил10_ЗаявкаНаАккредитацию" w:anchor="Прил10_ЗаявкаНаАккредитацию" w:history="1">
              <w:r>
                <w:rPr>
                  <w:rStyle w:val="1204"/>
                </w:rPr>
                <w:t xml:space="preserve">Приложение № </w:t>
              </w:r>
              <w:r>
                <w:rPr>
                  <w:rStyle w:val="1204"/>
                </w:rPr>
                <w:t xml:space="preserve">1</w:t>
              </w:r>
              <w:r>
                <w:rPr>
                  <w:rStyle w:val="1204"/>
                </w:rPr>
                <w:t xml:space="preserve">0</w:t>
              </w:r>
            </w:hyperlink>
            <w:r>
              <w:t xml:space="preserve">);</w:t>
            </w:r>
            <w:r/>
          </w:p>
          <w:p>
            <w:pPr>
              <w:pStyle w:val="1180"/>
              <w:numPr>
                <w:ilvl w:val="0"/>
                <w:numId w:val="15"/>
              </w:numPr>
              <w:ind w:left="568" w:hanging="284"/>
            </w:pPr>
            <w:r>
              <w:t xml:space="preserve">при </w:t>
            </w:r>
            <w:r>
              <w:t xml:space="preserve">отсутствии у Участника на момент подачи заявки статуса «аккредитован» (</w:t>
            </w:r>
            <w:r>
              <w:t xml:space="preserve">при условии, что Участник </w:t>
            </w:r>
            <w:r>
              <w:t xml:space="preserve">ранее</w:t>
            </w:r>
            <w:r>
              <w:t xml:space="preserve"> направил</w:t>
            </w:r>
            <w:r>
              <w:t xml:space="preserve"> Заявку на</w:t>
            </w:r>
            <w:r>
              <w:t xml:space="preserve"> </w:t>
            </w:r>
            <w:r>
              <w:t xml:space="preserve">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t xml:space="preserve">)</w:t>
            </w:r>
            <w:r>
              <w:t xml:space="preserve"> </w:t>
            </w:r>
            <w:r>
              <w:t xml:space="preserve">– декларация </w:t>
            </w:r>
            <w:r>
              <w:t xml:space="preserve">в</w:t>
            </w:r>
            <w:r>
              <w:t xml:space="preserve"> </w:t>
            </w:r>
            <w:r>
              <w:t xml:space="preserve">составе Письма о подаче оферты (форма </w:t>
            </w:r>
            <w:r>
              <w:t xml:space="preserve">2</w:t>
            </w:r>
            <w:r>
              <w:t xml:space="preserve">) (</w:t>
            </w:r>
            <w:hyperlink w:tooltip="#Прил04_ФормыЗаявки" w:anchor="Прил04_ФормыЗаявки" w:history="1">
              <w:r>
                <w:rPr>
                  <w:rStyle w:val="1204"/>
                </w:rPr>
                <w:t xml:space="preserve">Приложение № 4</w:t>
              </w:r>
            </w:hyperlink>
            <w:r>
              <w:t xml:space="preserve">)</w:t>
            </w:r>
            <w:r>
              <w:t xml:space="preserve">;</w:t>
            </w:r>
            <w:r>
              <w:t xml:space="preserve"> предоставление Заявки на аккредитацию не требуется</w:t>
            </w:r>
            <w:r>
              <w:t xml:space="preserve">;</w:t>
            </w:r>
            <w:r/>
          </w:p>
          <w:p>
            <w:pPr>
              <w:pStyle w:val="1180"/>
              <w:numPr>
                <w:ilvl w:val="0"/>
                <w:numId w:val="15"/>
              </w:numPr>
              <w:ind w:left="568" w:hanging="284"/>
            </w:pPr>
            <w:r>
              <w:t xml:space="preserve">при</w:t>
            </w:r>
            <w:r>
              <w:t xml:space="preserve"> отсутстви</w:t>
            </w:r>
            <w:r>
              <w:t xml:space="preserve">и</w:t>
            </w:r>
            <w:r>
              <w:t xml:space="preserve"> у Участника на момент подачи заявки статуса «аккредитован» </w:t>
            </w:r>
            <w:r>
              <w:t xml:space="preserve">(не проходил ранее процедуру </w:t>
            </w:r>
            <w:r>
              <w:t xml:space="preserve">а</w:t>
            </w:r>
            <w:r>
              <w:t xml:space="preserve">ккредитации</w:t>
            </w:r>
            <w:r>
              <w:t xml:space="preserve"> или наличия </w:t>
            </w:r>
            <w:r>
              <w:t xml:space="preserve">у Участника</w:t>
            </w:r>
            <w:r>
              <w:t xml:space="preserve"> </w:t>
            </w:r>
            <w:r>
              <w:t xml:space="preserve">статуса </w:t>
            </w:r>
            <w:r>
              <w:t xml:space="preserve">«не аккредитован» (по результатам ранее пройденной процедуры </w:t>
            </w:r>
            <w:r>
              <w:t xml:space="preserve">а</w:t>
            </w:r>
            <w:r>
              <w:t xml:space="preserve">ккредитации), а также для лиц, указанных в</w:t>
            </w:r>
            <w:r>
              <w:t xml:space="preserve"> </w:t>
            </w:r>
            <w:r>
              <w:t xml:space="preserve">пункте</w:t>
            </w:r>
            <w:r>
              <w:t xml:space="preserve"> </w:t>
            </w:r>
            <w:r>
              <w:t xml:space="preserve">3.11 Положения об</w:t>
            </w:r>
            <w:r>
              <w:t xml:space="preserve"> </w:t>
            </w:r>
            <w:r>
              <w:t xml:space="preserve">аккредитации (</w:t>
            </w:r>
            <w:r>
              <w:t xml:space="preserve">а</w:t>
            </w:r>
            <w:r>
              <w:t xml:space="preserve">ккредитация не требуется), но которые ранее не</w:t>
            </w:r>
            <w:r>
              <w:t xml:space="preserve"> </w:t>
            </w:r>
            <w:r>
              <w:t xml:space="preserve">направляли соответствующие сведения для</w:t>
            </w:r>
            <w:r>
              <w:t xml:space="preserve"> </w:t>
            </w:r>
            <w:r>
              <w:t xml:space="preserve">включения записи в Реестр аккредитации </w:t>
            </w:r>
            <w:r>
              <w:t xml:space="preserve">– декларация в составе Письма о подаче оферты (форма </w:t>
            </w:r>
            <w:r>
              <w:t xml:space="preserve">2</w:t>
            </w:r>
            <w:r>
              <w:t xml:space="preserve">) (</w:t>
            </w:r>
            <w:hyperlink w:tooltip="#Прил04_ФормыЗаявки" w:anchor="Прил04_ФормыЗаявки" w:history="1">
              <w:r>
                <w:rPr>
                  <w:rStyle w:val="1204"/>
                </w:rPr>
                <w:t xml:space="preserve">Приложение № 4</w:t>
              </w:r>
            </w:hyperlink>
            <w:r>
              <w:t xml:space="preserve">) и </w:t>
            </w:r>
            <w:r>
              <w:t xml:space="preserve">Заявка на</w:t>
            </w:r>
            <w:r>
              <w:t xml:space="preserve"> </w:t>
            </w:r>
            <w:r>
              <w:t xml:space="preserve">аккредитацию по</w:t>
            </w:r>
            <w:r>
              <w:t xml:space="preserve"> </w:t>
            </w:r>
            <w:r>
              <w:t xml:space="preserve">установленной в</w:t>
            </w:r>
            <w:r>
              <w:t xml:space="preserve"> </w:t>
            </w:r>
            <w:r>
              <w:t xml:space="preserve">Документации о закупке форме </w:t>
            </w:r>
            <w:r>
              <w:t xml:space="preserve">(</w:t>
            </w:r>
            <w:hyperlink w:tooltip="#Прил10_ЗаявкаНаАккредитацию" w:anchor="Прил10_ЗаявкаНаАккредитацию" w:history="1">
              <w:r>
                <w:rPr>
                  <w:rStyle w:val="1204"/>
                </w:rPr>
                <w:t xml:space="preserve">Приложение № 10</w:t>
              </w:r>
            </w:hyperlink>
            <w:r>
              <w:t xml:space="preserve">)</w:t>
            </w:r>
            <w:r>
              <w:t xml:space="preserve">.</w:t>
            </w:r>
            <w:r/>
          </w:p>
          <w:p>
            <w:pPr>
              <w:pStyle w:val="1180"/>
              <w:ind w:left="284"/>
            </w:pPr>
            <w:r>
              <w:t xml:space="preserve">В случае заинтересованности Участника в дополнительной</w:t>
            </w:r>
            <w:r>
              <w:t xml:space="preserve"> оценке его финансового состояния, при условии отсутствия опубликованной в</w:t>
            </w:r>
            <w:r>
              <w:t xml:space="preserve"> </w:t>
            </w:r>
            <w:r>
              <w:t xml:space="preserve">государственном информационном ресурсе бухгалтерской (финансовой) отчетности организаций (</w:t>
            </w:r>
            <w:r>
              <w:t xml:space="preserve">https://bo.nalog.ru</w:t>
            </w:r>
            <w:r>
              <w:t xml:space="preserve">), к Заявке на</w:t>
            </w:r>
            <w:r>
              <w:t xml:space="preserve"> </w:t>
            </w:r>
            <w:r>
              <w:t xml:space="preserve">аккредитацию также прилагается электронная копия бухгалтерского баланса</w:t>
            </w:r>
            <w:r>
              <w:t xml:space="preserve"> (</w:t>
            </w:r>
            <w:r>
              <w:t xml:space="preserve">ОКУД</w:t>
            </w:r>
            <w:r>
              <w:t xml:space="preserve"> </w:t>
            </w:r>
            <w:r>
              <w:t xml:space="preserve">0710001</w:t>
            </w:r>
            <w:r>
              <w:t xml:space="preserve">)</w:t>
            </w:r>
            <w:r>
              <w:t xml:space="preserve"> и отчета о финансовых результатах </w:t>
            </w:r>
            <w:r>
              <w:t xml:space="preserve">(</w:t>
            </w:r>
            <w:r>
              <w:t xml:space="preserve">ОКУД</w:t>
            </w:r>
            <w:r>
              <w:t xml:space="preserve"> </w:t>
            </w:r>
            <w:r>
              <w:t xml:space="preserve">0710002</w:t>
            </w:r>
            <w:r>
              <w:t xml:space="preserve">) </w:t>
            </w:r>
            <w:r>
              <w:t xml:space="preserve">за последний завершенный финансовый год, с</w:t>
            </w:r>
            <w:r>
              <w:t xml:space="preserve"> </w:t>
            </w:r>
            <w:r>
              <w:t xml:space="preserve">отметкой налогового органа о приеме или с</w:t>
            </w:r>
            <w:r>
              <w:t xml:space="preserve"> </w:t>
            </w:r>
            <w:r>
              <w:t xml:space="preserve">приложением квитанции о приеме и</w:t>
            </w:r>
            <w:r>
              <w:t xml:space="preserve"> (</w:t>
            </w:r>
            <w:r>
              <w:t xml:space="preserve">или</w:t>
            </w:r>
            <w:r>
              <w:t xml:space="preserve">)</w:t>
            </w:r>
            <w:r>
              <w:t xml:space="preserve"> извещения о вводе сведений налоговым органом.</w:t>
            </w:r>
            <w:r/>
          </w:p>
          <w:p>
            <w:pPr>
              <w:pStyle w:val="1180"/>
              <w:ind w:left="284"/>
            </w:pPr>
            <w:r>
              <w:t xml:space="preserve">Если Участник в соответствии с законодательством формирует отчетность по формам</w:t>
            </w:r>
            <w: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r/>
          </w:p>
          <w:p>
            <w:pPr>
              <w:pStyle w:val="1180"/>
              <w:ind w:left="284"/>
            </w:pPr>
            <w:r>
              <w:t xml:space="preserve">−</w:t>
            </w:r>
            <w:r>
              <w:tab/>
              <w:t xml:space="preserve">электронной копии бухг</w:t>
            </w:r>
            <w:r>
              <w:t xml:space="preserve">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p>
          <w:p>
            <w:pPr>
              <w:pStyle w:val="1180"/>
              <w:ind w:left="284"/>
            </w:pPr>
            <w:r>
              <w:t xml:space="preserve">−</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tooltip="#Прил11_Данные_бухотчетность" w:anchor="Прил11_Данные_бухотчетность" w:history="1">
              <w:r>
                <w:t xml:space="preserve">Приложении № 11</w:t>
              </w:r>
            </w:hyperlink>
            <w:r>
              <w:t xml:space="preserve">).</w:t>
            </w:r>
            <w:r/>
          </w:p>
          <w:p>
            <w:pPr>
              <w:pStyle w:val="1180"/>
              <w:ind w:left="284"/>
            </w:pPr>
            <w:r>
              <w:t xml:space="preserve">Указанные документы не</w:t>
            </w:r>
            <w:r>
              <w:t xml:space="preserve"> </w:t>
            </w:r>
            <w:r>
              <w:t xml:space="preserve">являются обязательными к</w:t>
            </w:r>
            <w:r>
              <w:t xml:space="preserve"> </w:t>
            </w:r>
            <w:r>
              <w:t xml:space="preserve">подаче в рамках процедуры </w:t>
            </w:r>
            <w:r>
              <w:t xml:space="preserve">а</w:t>
            </w:r>
            <w:r>
              <w:t xml:space="preserve">ккредитации и предоставляются по желанию Участника</w:t>
            </w:r>
            <w:r>
              <w:t xml:space="preserve">.</w:t>
            </w:r>
            <w:r/>
          </w:p>
        </w:tc>
      </w:tr>
      <w:tr>
        <w:tblPrEx/>
        <w:trPr/>
        <w:tc>
          <w:tcPr>
            <w:tcW w:w="1129" w:type="dxa"/>
            <w:textDirection w:val="lrTb"/>
            <w:noWrap w:val="false"/>
          </w:tcPr>
          <w:p>
            <w:pPr>
              <w:pStyle w:val="1180"/>
              <w:numPr>
                <w:ilvl w:val="0"/>
                <w:numId w:val="2"/>
              </w:numPr>
              <w:ind w:left="284" w:firstLine="0"/>
              <w:jc w:val="center"/>
            </w:pPr>
            <w:r/>
            <w:bookmarkStart w:id="265" w:name="_Ref139028406"/>
            <w:r/>
            <w:bookmarkEnd w:id="265"/>
            <w:r/>
            <w:r/>
          </w:p>
        </w:tc>
        <w:tc>
          <w:tcPr>
            <w:tcW w:w="5670" w:type="dxa"/>
            <w:textDirection w:val="lrTb"/>
            <w:noWrap w:val="false"/>
          </w:tcPr>
          <w:p>
            <w:pPr>
              <w:pStyle w:val="1180"/>
            </w:pPr>
            <w:r>
              <w:t xml:space="preserve">Сведения об Участнике должны отсутствовать в</w:t>
            </w:r>
            <w:r>
              <w:t xml:space="preserve"> </w:t>
            </w:r>
            <w:r>
              <w:t xml:space="preserve">перечне юридических лиц, в</w:t>
            </w:r>
            <w:r>
              <w:t xml:space="preserve"> </w:t>
            </w:r>
            <w:r>
              <w:t xml:space="preserve">отношении которых применяются специальные экономические меры, утвержденном </w:t>
            </w:r>
            <w:r>
              <w:t xml:space="preserve">Постановлением Правительства Российской Федерации от</w:t>
            </w:r>
            <w:r>
              <w:t xml:space="preserve"> </w:t>
            </w:r>
            <w:r>
              <w:t xml:space="preserve">11.05.2022 №</w:t>
            </w:r>
            <w:r>
              <w:t xml:space="preserve"> </w:t>
            </w:r>
            <w:r>
              <w:t xml:space="preserve">851</w:t>
            </w:r>
            <w:r>
              <w:rPr>
                <w:rStyle w:val="1188"/>
              </w:rPr>
              <w:footnoteReference w:id="14"/>
            </w:r>
            <w:r>
              <w:t xml:space="preserve">, а также Участник не</w:t>
            </w:r>
            <w:r>
              <w:t xml:space="preserve"> </w:t>
            </w:r>
            <w:r>
              <w:t xml:space="preserve">должен являться подконтрольной организацией данных юридических лиц</w:t>
            </w:r>
            <w:r>
              <w:rPr>
                <w:rStyle w:val="1188"/>
              </w:rPr>
              <w:footnoteReference w:id="15"/>
            </w:r>
            <w:r>
              <w:t xml:space="preserve">:</w:t>
            </w:r>
            <w:r/>
          </w:p>
        </w:tc>
        <w:tc>
          <w:tcPr>
            <w:tcW w:w="8327" w:type="dxa"/>
            <w:textDirection w:val="lrTb"/>
            <w:noWrap w:val="false"/>
          </w:tcPr>
          <w:p>
            <w:pPr>
              <w:pStyle w:val="1180"/>
            </w:pPr>
            <w:r>
              <w:t xml:space="preserve">Декларация о соответствии Участника данному требованию в составе Письма о подаче оферты </w:t>
            </w:r>
            <w:r>
              <w:t xml:space="preserve">(форма 2)</w:t>
            </w:r>
            <w:r>
              <w:t xml:space="preserve"> </w:t>
            </w:r>
            <w:r>
              <w:t xml:space="preserve">(</w:t>
            </w:r>
            <w:hyperlink w:tooltip="#Прил04_ФормыЗаявки" w:anchor="Прил04_ФормыЗаявки" w:history="1">
              <w:r>
                <w:rPr>
                  <w:rStyle w:val="1204"/>
                </w:rPr>
                <w:t xml:space="preserve">Приложение № 4</w:t>
              </w:r>
            </w:hyperlink>
            <w:r>
              <w:t xml:space="preserve">)</w:t>
            </w:r>
            <w:r>
              <w:t xml:space="preserve">.</w:t>
            </w:r>
            <w:r/>
          </w:p>
          <w:p>
            <w:pPr>
              <w:pStyle w:val="1180"/>
              <w:rPr>
                <w:i/>
                <w:iCs/>
              </w:rPr>
            </w:pPr>
            <w:r>
              <w:rPr>
                <w:i/>
                <w:iCs/>
              </w:rPr>
              <w:t xml:space="preserve">(В рамках рассмотрения заявок </w:t>
            </w:r>
            <w:r>
              <w:rPr>
                <w:i/>
                <w:iCs/>
              </w:rPr>
              <w:t xml:space="preserve">и (или) перед заключением договора </w:t>
            </w:r>
            <w:r>
              <w:rPr>
                <w:i/>
                <w:iCs/>
              </w:rPr>
              <w:t xml:space="preserve">Организатор проверяет наличие информации об Участнике в перечне </w:t>
            </w:r>
            <w:r>
              <w:rPr>
                <w:i/>
                <w:iCs/>
              </w:rPr>
              <w:t xml:space="preserve">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xml:space="preserve"> </w:t>
            </w:r>
            <w:r>
              <w:rPr>
                <w:i/>
                <w:iCs/>
              </w:rPr>
              <w:t xml:space="preserve">851 «О мерах по</w:t>
            </w:r>
            <w:r>
              <w:rPr>
                <w:i/>
                <w:iCs/>
              </w:rPr>
              <w:t xml:space="preserve"> </w:t>
            </w:r>
            <w:r>
              <w:rPr>
                <w:i/>
                <w:iCs/>
              </w:rPr>
              <w:t xml:space="preserve">реализации Указа Президента Российской Федерации от 3 мая 2022</w:t>
            </w:r>
            <w:r>
              <w:rPr>
                <w:i/>
                <w:iCs/>
              </w:rPr>
              <w:t xml:space="preserve"> </w:t>
            </w:r>
            <w:r>
              <w:rPr>
                <w:i/>
                <w:iCs/>
              </w:rPr>
              <w:t xml:space="preserve">г. N</w:t>
            </w:r>
            <w:r>
              <w:rPr>
                <w:i/>
                <w:iCs/>
              </w:rPr>
              <w:t xml:space="preserve"> </w:t>
            </w:r>
            <w:r>
              <w:rPr>
                <w:i/>
                <w:iCs/>
              </w:rPr>
              <w:t xml:space="preserve">252».)</w:t>
            </w:r>
            <w:r>
              <w:rPr>
                <w:i/>
                <w:iCs/>
              </w:rPr>
            </w:r>
            <w:r>
              <w:rPr>
                <w:i/>
                <w:iCs/>
              </w:rPr>
            </w:r>
          </w:p>
        </w:tc>
      </w:tr>
      <w:tr>
        <w:tblPrEx/>
        <w:trPr/>
        <w:tc>
          <w:tcPr>
            <w:tcW w:w="1129" w:type="dxa"/>
            <w:textDirection w:val="lrTb"/>
            <w:noWrap w:val="false"/>
          </w:tcPr>
          <w:p>
            <w:pPr>
              <w:pStyle w:val="1180"/>
              <w:numPr>
                <w:ilvl w:val="0"/>
                <w:numId w:val="2"/>
              </w:numPr>
              <w:ind w:left="284" w:firstLine="0"/>
              <w:jc w:val="center"/>
            </w:pPr>
            <w:r/>
            <w:bookmarkStart w:id="269" w:name="_Ref186213321"/>
            <w:r/>
            <w:bookmarkEnd w:id="269"/>
            <w:r/>
            <w:r/>
          </w:p>
        </w:tc>
        <w:tc>
          <w:tcPr>
            <w:tcW w:w="5670" w:type="dxa"/>
            <w:textDirection w:val="lrTb"/>
            <w:noWrap w:val="false"/>
          </w:tcPr>
          <w:p>
            <w:pPr>
              <w:pStyle w:val="1180"/>
            </w:pPr>
            <w:r>
              <w:t xml:space="preserve">Если в подразделе</w:t>
            </w:r>
            <w:r>
              <w:t xml:space="preserve"> </w:t>
            </w:r>
            <w:r>
              <w:fldChar w:fldCharType="begin"/>
            </w:r>
            <w:r>
              <w:instrText xml:space="preserve"> REF _Ref125359973 \r \h </w:instrText>
            </w:r>
            <w:r>
              <w:fldChar w:fldCharType="separate"/>
            </w:r>
            <w:r>
              <w:t xml:space="preserve">1.2</w:t>
            </w:r>
            <w:r>
              <w:fldChar w:fldCharType="end"/>
            </w:r>
            <w:r>
              <w:t xml:space="preserve"> установлен режим запрета закупки иностранной продукции и предметом закупки является оказание услуг и</w:t>
            </w:r>
            <w:r>
              <w:t xml:space="preserve"> </w:t>
            </w:r>
            <w:r>
              <w:t xml:space="preserve">(или) выполнение работ (в том числе с поставкой товаров при выполнении закупаемых работ и</w:t>
            </w:r>
            <w:r>
              <w:t xml:space="preserve"> </w:t>
            </w:r>
            <w:r>
              <w:t xml:space="preserve">(или) оказании закупаемых услуг), то Участник должен быть российским лицом:</w:t>
            </w:r>
            <w:r/>
          </w:p>
        </w:tc>
        <w:tc>
          <w:tcPr>
            <w:tcW w:w="8327" w:type="dxa"/>
            <w:textDirection w:val="lrTb"/>
            <w:noWrap w:val="false"/>
          </w:tcPr>
          <w:p>
            <w:pPr>
              <w:pStyle w:val="1180"/>
            </w:pPr>
            <w:r>
              <w:t xml:space="preserve">Декларация о соответствии Участника данному требованию в составе </w:t>
            </w:r>
            <w:r>
              <w:t xml:space="preserve">Письма о подаче оферты </w:t>
            </w:r>
            <w:r>
              <w:t xml:space="preserve">(форма 2)</w:t>
            </w:r>
            <w:r>
              <w:t xml:space="preserve"> </w:t>
            </w:r>
            <w:r>
              <w:t xml:space="preserve">(</w:t>
            </w:r>
            <w:hyperlink w:tooltip="#Прил04_ФормыЗаявки" w:anchor="Прил04_ФормыЗаявки" w:history="1">
              <w:r>
                <w:rPr>
                  <w:rStyle w:val="1204"/>
                </w:rPr>
                <w:t xml:space="preserve">Приложение № 4</w:t>
              </w:r>
            </w:hyperlink>
            <w:r>
              <w:t xml:space="preserve">)</w:t>
            </w:r>
            <w:r>
              <w:t xml:space="preserve">.</w:t>
            </w:r>
            <w:r/>
          </w:p>
          <w:p>
            <w:pPr>
              <w:pStyle w:val="1180"/>
              <w:rPr>
                <w:i/>
                <w:iCs/>
              </w:rPr>
            </w:pPr>
            <w:r>
              <w:rPr>
                <w:i/>
                <w:iCs/>
              </w:rPr>
              <w:t xml:space="preserve">(В рамках рассмотрения заявок Организатор на основании результатов аккредитации проверяет на соответствие данному требованию.)</w:t>
            </w:r>
            <w:r>
              <w:rPr>
                <w:i/>
                <w:iCs/>
              </w:rPr>
            </w:r>
            <w:r>
              <w:rPr>
                <w:i/>
                <w:iCs/>
              </w:rPr>
            </w:r>
          </w:p>
        </w:tc>
      </w:tr>
      <w:tr>
        <w:tblPrEx/>
        <w:trPr/>
        <w:tc>
          <w:tcPr>
            <w:tcW w:w="1129" w:type="dxa"/>
            <w:textDirection w:val="lrTb"/>
            <w:noWrap w:val="false"/>
          </w:tcPr>
          <w:p>
            <w:pPr>
              <w:pStyle w:val="1180"/>
              <w:numPr>
                <w:ilvl w:val="0"/>
                <w:numId w:val="2"/>
              </w:numPr>
              <w:ind w:left="284" w:firstLine="0"/>
              <w:jc w:val="center"/>
            </w:pPr>
            <w:r/>
            <w:bookmarkStart w:id="270" w:name="_Ref186213327"/>
            <w:r/>
            <w:bookmarkEnd w:id="270"/>
            <w:r/>
            <w:r/>
          </w:p>
        </w:tc>
        <w:tc>
          <w:tcPr>
            <w:tcW w:w="5670" w:type="dxa"/>
            <w:textDirection w:val="lrTb"/>
            <w:noWrap w:val="false"/>
          </w:tcPr>
          <w:p>
            <w:pPr>
              <w:pStyle w:val="1180"/>
              <w:rPr>
                <w:highlight w:val="none"/>
              </w:rPr>
            </w:pPr>
            <w:r>
              <w:t xml:space="preserve">Если в подразделе</w:t>
            </w:r>
            <w:r>
              <w:t xml:space="preserve"> </w:t>
            </w:r>
            <w:r>
              <w:fldChar w:fldCharType="begin"/>
            </w:r>
            <w:r>
              <w:instrText xml:space="preserve"> REF _Ref125359973 \r \h </w:instrText>
            </w:r>
            <w:r>
              <w:fldChar w:fldCharType="separate"/>
            </w:r>
            <w:r>
              <w:t xml:space="preserve">1.2</w:t>
            </w:r>
            <w:r>
              <w:fldChar w:fldCharType="end"/>
            </w:r>
            <w: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w:t>
            </w:r>
            <w:r>
              <w:t xml:space="preserve"> </w:t>
            </w:r>
            <w:r>
              <w:t xml:space="preserve">(или) выполнение работ (в том числе с</w:t>
            </w:r>
            <w:r>
              <w:t xml:space="preserve"> </w:t>
            </w:r>
            <w:r>
              <w:t xml:space="preserve">поставкой товаров при выполнении закупаемых работ и</w:t>
            </w:r>
            <w:r>
              <w:t xml:space="preserve"> </w:t>
            </w:r>
            <w:r>
              <w:t xml:space="preserve">(или) оказании закупаемых услуг), то</w:t>
            </w:r>
            <w:r>
              <w:t xml:space="preserve"> </w:t>
            </w:r>
            <w:r>
              <w:t xml:space="preserve">Участник должен указать свою принадлежность – Участник является иностранным лицом или российским лицом:</w:t>
            </w:r>
            <w:r>
              <w:rPr>
                <w:highlight w:val="none"/>
              </w:rPr>
            </w:r>
          </w:p>
          <w:p>
            <w:pPr>
              <w:pStyle w:val="1180"/>
            </w:pPr>
            <w:r>
              <w:rPr>
                <w:highlight w:val="none"/>
              </w:rPr>
            </w:r>
            <w:r>
              <w:rPr>
                <w:highlight w:val="none"/>
              </w:rPr>
            </w:r>
            <w:r/>
          </w:p>
        </w:tc>
        <w:tc>
          <w:tcPr>
            <w:tcW w:w="8327" w:type="dxa"/>
            <w:textDirection w:val="lrTb"/>
            <w:noWrap w:val="false"/>
          </w:tcPr>
          <w:p>
            <w:pPr>
              <w:pStyle w:val="1180"/>
            </w:pPr>
            <w:r>
              <w:t xml:space="preserve">Декларация о принадлежности Участника к иностранному лицу или российскому лицу в составе </w:t>
            </w:r>
            <w:r>
              <w:t xml:space="preserve">Письма о подаче оферты </w:t>
            </w:r>
            <w:r>
              <w:t xml:space="preserve">(форма 2)</w:t>
            </w:r>
            <w:r>
              <w:t xml:space="preserve"> </w:t>
            </w:r>
            <w:r>
              <w:t xml:space="preserve">(</w:t>
            </w:r>
            <w:hyperlink w:tooltip="#Прил04_ФормыЗаявки" w:anchor="Прил04_ФормыЗаявки" w:history="1">
              <w:r>
                <w:rPr>
                  <w:rStyle w:val="1204"/>
                </w:rPr>
                <w:t xml:space="preserve">Приложение № 4</w:t>
              </w:r>
            </w:hyperlink>
            <w:r>
              <w:t xml:space="preserve">)</w:t>
            </w:r>
            <w:r>
              <w:t xml:space="preserve">.</w:t>
            </w:r>
            <w:r/>
          </w:p>
          <w:p>
            <w:pPr>
              <w:pStyle w:val="1180"/>
              <w:rPr>
                <w:i/>
                <w:iCs/>
              </w:rPr>
            </w:pPr>
            <w:r>
              <w:rPr>
                <w:i/>
                <w:iCs/>
              </w:rPr>
              <w:t xml:space="preserve">(В рамках рассмотрения заявок Организатор на основании результатов аккредитации проверяет на соответствие данному требованию.)</w:t>
            </w:r>
            <w:r>
              <w:rPr>
                <w:i/>
                <w:iCs/>
              </w:rPr>
            </w:r>
            <w:r>
              <w:rPr>
                <w:i/>
                <w:iCs/>
              </w:rPr>
            </w:r>
          </w:p>
        </w:tc>
      </w:tr>
    </w:tbl>
    <w:p>
      <w:pPr>
        <w:pStyle w:val="1175"/>
        <w:spacing w:after="120"/>
      </w:pPr>
      <w:r/>
      <w:bookmarkStart w:id="271" w:name="_Ref125361442"/>
      <w:r/>
      <w:bookmarkStart w:id="272" w:name="_Ref125361633"/>
      <w:r/>
      <w:bookmarkStart w:id="273" w:name="_Ref125361671"/>
      <w:r/>
      <w:bookmarkStart w:id="274" w:name="_Ref125361869"/>
      <w:r/>
      <w:bookmarkStart w:id="275" w:name="_Ref125361937"/>
      <w:r/>
      <w:bookmarkStart w:id="276" w:name="_Ref125365459"/>
      <w:r/>
      <w:bookmarkStart w:id="277" w:name="_Ref125367521"/>
      <w:r/>
      <w:bookmarkStart w:id="278" w:name="_Ref125367539"/>
      <w:r/>
      <w:bookmarkStart w:id="279" w:name="_Ref125368818"/>
      <w:r/>
      <w:bookmarkStart w:id="280" w:name="_Ref125368901"/>
      <w:r/>
      <w:bookmarkStart w:id="281" w:name="_Ref125368916"/>
      <w:r/>
      <w:bookmarkStart w:id="282" w:name="_Ref125369099"/>
      <w:r/>
      <w:bookmarkStart w:id="283" w:name="_Ref125370079"/>
      <w:r/>
      <w:bookmarkStart w:id="284" w:name="_Ref125709153"/>
      <w:r/>
      <w:bookmarkStart w:id="285" w:name="_Ref125709250"/>
      <w:r/>
      <w:bookmarkStart w:id="286" w:name="_Ref125709401"/>
      <w:r/>
      <w:bookmarkStart w:id="287" w:name="_Ref125709888"/>
      <w:r/>
      <w:bookmarkStart w:id="288" w:name="_Toc232579455"/>
      <w:r>
        <w:t xml:space="preserve">Специальные требования</w:t>
      </w:r>
      <w:bookmarkEnd w:id="271"/>
      <w:r/>
      <w:bookmarkEnd w:id="272"/>
      <w:r/>
      <w:bookmarkEnd w:id="273"/>
      <w:r/>
      <w:bookmarkEnd w:id="274"/>
      <w:r/>
      <w:bookmarkEnd w:id="275"/>
      <w:r/>
      <w:bookmarkEnd w:id="276"/>
      <w:r/>
      <w:bookmarkEnd w:id="277"/>
      <w:r/>
      <w:bookmarkEnd w:id="278"/>
      <w:r/>
      <w:bookmarkEnd w:id="279"/>
      <w:r/>
      <w:bookmarkEnd w:id="280"/>
      <w:r/>
      <w:bookmarkEnd w:id="281"/>
      <w:r/>
      <w:bookmarkEnd w:id="282"/>
      <w:r/>
      <w:bookmarkEnd w:id="283"/>
      <w:r/>
      <w:bookmarkEnd w:id="284"/>
      <w:r/>
      <w:bookmarkEnd w:id="285"/>
      <w:r/>
      <w:bookmarkEnd w:id="286"/>
      <w:r/>
      <w:bookmarkEnd w:id="287"/>
      <w:r/>
      <w:bookmarkEnd w:id="288"/>
      <w:r/>
      <w:r/>
    </w:p>
    <w:tbl>
      <w:tblPr>
        <w:tblStyle w:val="1201"/>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80"/>
              <w:jc w:val="center"/>
              <w:keepNext w:val="0"/>
            </w:pPr>
            <w:r>
              <w:t xml:space="preserve">№</w:t>
            </w:r>
            <w:r>
              <w:br/>
              <w:t xml:space="preserve">п/п</w:t>
            </w:r>
            <w:r/>
          </w:p>
        </w:tc>
        <w:tc>
          <w:tcPr>
            <w:tcW w:w="5670" w:type="dxa"/>
            <w:textDirection w:val="lrTb"/>
            <w:noWrap w:val="false"/>
          </w:tcPr>
          <w:p>
            <w:pPr>
              <w:pStyle w:val="1180"/>
              <w:jc w:val="center"/>
              <w:keepNext w:val="0"/>
            </w:pPr>
            <w:r>
              <w:t xml:space="preserve">Требования к Участник</w:t>
            </w:r>
            <w:r>
              <w:t xml:space="preserve">у</w:t>
            </w:r>
            <w:r/>
          </w:p>
        </w:tc>
        <w:tc>
          <w:tcPr>
            <w:tcW w:w="8327" w:type="dxa"/>
            <w:textDirection w:val="lrTb"/>
            <w:noWrap w:val="false"/>
          </w:tcPr>
          <w:p>
            <w:pPr>
              <w:pStyle w:val="1180"/>
              <w:jc w:val="center"/>
              <w:keepNext w:val="0"/>
            </w:pPr>
            <w:r>
              <w:t xml:space="preserve">Требования к документам,</w:t>
            </w:r>
            <w:r>
              <w:br/>
            </w:r>
            <w:r>
              <w:t xml:space="preserve">подтверждающим соответствие Участника установленным требованиям</w:t>
            </w:r>
            <w:r/>
          </w:p>
        </w:tc>
      </w:tr>
      <w:tr>
        <w:tblPrEx/>
        <w:trPr>
          <w:trHeight w:val="577"/>
        </w:trPr>
        <w:tc>
          <w:tcPr>
            <w:tcW w:w="1129" w:type="dxa"/>
            <w:textDirection w:val="lrTb"/>
            <w:noWrap w:val="false"/>
          </w:tcPr>
          <w:p>
            <w:pPr>
              <w:pStyle w:val="1180"/>
              <w:numPr>
                <w:ilvl w:val="0"/>
                <w:numId w:val="42"/>
              </w:numPr>
              <w:ind w:left="284" w:firstLine="0"/>
              <w:jc w:val="center"/>
              <w:rPr>
                <w:sz w:val="26"/>
                <w:szCs w:val="26"/>
              </w:rPr>
            </w:pPr>
            <w:r>
              <w:rPr>
                <w:sz w:val="26"/>
                <w:szCs w:val="26"/>
              </w:rPr>
            </w:r>
            <w:r>
              <w:rPr>
                <w:sz w:val="26"/>
                <w:szCs w:val="26"/>
              </w:rPr>
            </w:r>
            <w:r>
              <w:rPr>
                <w:sz w:val="26"/>
                <w:szCs w:val="26"/>
              </w:rPr>
            </w:r>
          </w:p>
        </w:tc>
        <w:tc>
          <w:tcPr>
            <w:tcW w:w="5670" w:type="dxa"/>
            <w:textDirection w:val="lrTb"/>
            <w:noWrap w:val="false"/>
          </w:tcPr>
          <w:p>
            <w:pPr>
              <w:jc w:val="both"/>
              <w:keepNext/>
              <w:spacing w:before="60" w:after="60"/>
              <w:rPr>
                <w:rFonts w:ascii="Times New Roman" w:hAnsi="Times New Roman" w:cs="Times New Roman"/>
                <w:sz w:val="24"/>
                <w:szCs w:val="24"/>
                <w:highlight w:val="yellow"/>
                <w14:ligatures w14:val="none"/>
              </w:rPr>
            </w:pPr>
            <w:r>
              <w:rPr>
                <w:rFonts w:ascii="Times New Roman" w:hAnsi="Times New Roman" w:cs="Times New Roman"/>
                <w:sz w:val="26"/>
                <w:szCs w:val="26"/>
                <w:highlight w:val="white"/>
              </w:rPr>
              <w:t xml:space="preserve">В соответствии со ст. 12 Федерального закона от 04.05.2011 № 99-ФЗ «О лицензировании отдельных видов деятельности»: наличие у Участника действующей на момент подачи заявки на участие в закупке Лицензии </w:t>
            </w:r>
            <w:r>
              <w:rPr>
                <w:rFonts w:eastAsia="Calibri"/>
                <w:iCs/>
                <w:sz w:val="26"/>
                <w:szCs w:val="26"/>
              </w:rPr>
              <w:t xml:space="preserve"> на обращение с отходами I - IV классов опасности (сбор, транспортировка, обезвреживание, утилизация отходов) </w:t>
            </w:r>
            <w:r>
              <w:rPr>
                <w:rFonts w:ascii="Times New Roman" w:hAnsi="Times New Roman" w:cs="Times New Roman"/>
                <w:sz w:val="26"/>
                <w:szCs w:val="26"/>
                <w:highlight w:val="yellow"/>
                <w14:ligatures w14:val="none"/>
              </w:rPr>
            </w:r>
            <w:r>
              <w:rPr>
                <w:rFonts w:ascii="Times New Roman" w:hAnsi="Times New Roman" w:cs="Times New Roman"/>
                <w:sz w:val="24"/>
                <w:szCs w:val="24"/>
                <w:highlight w:val="yellow"/>
                <w14:ligatures w14:val="none"/>
              </w:rPr>
            </w:r>
          </w:p>
        </w:tc>
        <w:tc>
          <w:tcPr>
            <w:tcW w:w="8327" w:type="dxa"/>
            <w:textDirection w:val="lrTb"/>
            <w:noWrap w:val="false"/>
          </w:tcPr>
          <w:p>
            <w:pPr>
              <w:ind w:left="0" w:right="0" w:firstLine="0"/>
              <w:jc w:val="both"/>
              <w:spacing w:before="0" w:beforeAutospacing="0" w:after="0" w:afterAutospacing="0" w:line="240" w:lineRule="auto"/>
              <w:rPr>
                <w:rFonts w:ascii="Times New Roman" w:hAnsi="Times New Roman" w:eastAsia="Times New Roman" w:cs="Times New Roman"/>
                <w:color w:val="000000" w:themeColor="text1"/>
                <w:sz w:val="24"/>
                <w:szCs w:val="24"/>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6"/>
                <w:szCs w:val="26"/>
              </w:rPr>
            </w:r>
            <w:r>
              <w:rPr>
                <w:rFonts w:eastAsia="Calibri"/>
                <w:sz w:val="26"/>
                <w:szCs w:val="26"/>
                <w:highlight w:val="none"/>
              </w:rPr>
              <w:t xml:space="preserve">В составе заявки Участник должен предоставить выписку из реестра л</w:t>
            </w:r>
            <w:r>
              <w:rPr>
                <w:rFonts w:ascii="Times New Roman" w:hAnsi="Times New Roman" w:eastAsia="Times New Roman" w:cs="Times New Roman"/>
                <w:color w:val="000000" w:themeColor="text1"/>
                <w:sz w:val="26"/>
                <w:szCs w:val="26"/>
              </w:rPr>
              <w:t xml:space="preserve">ицензий. Статус лицензии - действующая. В перечень работ выполняемых в составе лицензии и отходов должны входить работы / отходы указанные в технических требованиях (Приложение№1). </w:t>
            </w:r>
            <w:r>
              <w:rPr>
                <w:rFonts w:ascii="Times New Roman" w:hAnsi="Times New Roman" w:eastAsia="Times New Roman" w:cs="Times New Roman"/>
                <w:color w:val="000000" w:themeColor="text1"/>
                <w:sz w:val="26"/>
                <w:szCs w:val="26"/>
                <w:highlight w:val="none"/>
              </w:rPr>
            </w:r>
            <w:r>
              <w:rPr>
                <w:rFonts w:ascii="Times New Roman" w:hAnsi="Times New Roman" w:eastAsia="Times New Roman" w:cs="Times New Roman"/>
                <w:color w:val="000000" w:themeColor="text1"/>
                <w:sz w:val="24"/>
                <w:szCs w:val="24"/>
                <w:highlight w:val="none"/>
              </w:rPr>
            </w:r>
          </w:p>
          <w:p>
            <w:pPr>
              <w:ind w:left="0" w:right="0" w:firstLine="0"/>
              <w:jc w:val="both"/>
              <w:spacing w:before="0" w:beforeAutospacing="0" w:after="0" w:afterAutospacing="0" w:line="240" w:lineRule="auto"/>
              <w:rPr>
                <w:rFonts w:ascii="Times New Roman" w:hAnsi="Times New Roman" w:eastAsia="Times New Roman" w:cs="Times New Roman"/>
                <w:color w:val="000000" w:themeColor="text1"/>
                <w:sz w:val="24"/>
                <w:szCs w:val="24"/>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6"/>
                <w:szCs w:val="26"/>
                <w:highlight w:val="none"/>
              </w:rPr>
            </w:r>
            <w:r>
              <w:rPr>
                <w:rFonts w:ascii="Times New Roman" w:hAnsi="Times New Roman" w:eastAsia="Times New Roman" w:cs="Times New Roman"/>
                <w:color w:val="000000" w:themeColor="text1"/>
                <w:sz w:val="26"/>
                <w:szCs w:val="26"/>
                <w:highlight w:val="none"/>
              </w:rPr>
            </w:r>
            <w:r>
              <w:rPr>
                <w:rFonts w:ascii="Times New Roman" w:hAnsi="Times New Roman" w:eastAsia="Times New Roman" w:cs="Times New Roman"/>
                <w:color w:val="000000" w:themeColor="text1"/>
                <w:sz w:val="24"/>
                <w:szCs w:val="24"/>
                <w:highlight w:val="none"/>
              </w:rPr>
            </w:r>
          </w:p>
          <w:p>
            <w:pPr>
              <w:jc w:val="both"/>
              <w:keepNext/>
              <w:spacing w:before="60" w:after="60"/>
              <w:rPr>
                <w:rFonts w:ascii="Times New Roman" w:hAnsi="Times New Roman" w:cs="Times New Roman"/>
                <w:sz w:val="24"/>
                <w:szCs w:val="24"/>
                <w14:ligatures w14:val="none"/>
              </w:rPr>
            </w:pPr>
            <w:r>
              <w:rPr>
                <w:rFonts w:ascii="Times New Roman" w:hAnsi="Times New Roman" w:cs="Times New Roman"/>
                <w:sz w:val="26"/>
                <w:szCs w:val="26"/>
                <w:u w:val="single"/>
              </w:rPr>
              <w:t xml:space="preserve">Требование является обязательным, неисполнение которого повлечет отклонение заявки</w:t>
            </w:r>
            <w:r>
              <w:rPr>
                <w:rFonts w:ascii="Times New Roman" w:hAnsi="Times New Roman" w:cs="Times New Roman"/>
                <w:sz w:val="26"/>
                <w:szCs w:val="26"/>
                <w14:ligatures w14:val="none"/>
              </w:rPr>
            </w:r>
            <w:r>
              <w:rPr>
                <w:rFonts w:ascii="Times New Roman" w:hAnsi="Times New Roman" w:cs="Times New Roman"/>
                <w:sz w:val="24"/>
                <w:szCs w:val="24"/>
                <w14:ligatures w14:val="none"/>
              </w:rPr>
            </w:r>
          </w:p>
          <w:p>
            <w:pPr>
              <w:ind w:firstLine="459"/>
              <w:jc w:val="center"/>
              <w:spacing w:before="0" w:beforeAutospacing="0" w:after="0" w:afterAutospacing="0"/>
              <w:widowControl w:val="off"/>
              <w:tabs>
                <w:tab w:val="left" w:pos="426" w:leader="none"/>
              </w:tabs>
              <w:rPr>
                <w:rFonts w:ascii="Times New Roman" w:hAnsi="Times New Roman" w:cs="Times New Roman"/>
                <w:color w:val="000000" w:themeColor="text1"/>
                <w:sz w:val="24"/>
                <w:szCs w:val="24"/>
                <w:highlight w:val="green"/>
              </w:rPr>
            </w:pPr>
            <w:r>
              <w:rPr>
                <w:rFonts w:ascii="Times New Roman" w:hAnsi="Times New Roman" w:eastAsia="Times New Roman" w:cs="Times New Roman"/>
                <w:color w:val="000000" w:themeColor="text1"/>
                <w:sz w:val="26"/>
                <w:szCs w:val="26"/>
              </w:rPr>
            </w:r>
            <w:r>
              <w:rPr>
                <w:rFonts w:ascii="Times New Roman" w:hAnsi="Times New Roman" w:cs="Times New Roman"/>
                <w:color w:val="000000" w:themeColor="text1"/>
                <w:sz w:val="26"/>
                <w:szCs w:val="26"/>
                <w:highlight w:val="green"/>
              </w:rPr>
            </w:r>
            <w:r>
              <w:rPr>
                <w:rFonts w:ascii="Times New Roman" w:hAnsi="Times New Roman" w:cs="Times New Roman"/>
                <w:color w:val="000000" w:themeColor="text1"/>
                <w:sz w:val="24"/>
                <w:szCs w:val="24"/>
                <w:highlight w:val="green"/>
              </w:rPr>
            </w:r>
          </w:p>
        </w:tc>
      </w:tr>
    </w:tbl>
    <w:p>
      <w:pPr>
        <w:pStyle w:val="1175"/>
        <w:spacing w:after="120"/>
      </w:pPr>
      <w:r/>
      <w:bookmarkStart w:id="289" w:name="_Ref125550270"/>
      <w:r/>
      <w:bookmarkStart w:id="290" w:name="_Ref125550353"/>
      <w:r/>
      <w:bookmarkStart w:id="291" w:name="_Ref125553242"/>
      <w:r/>
      <w:bookmarkStart w:id="292" w:name="_Ref125553296"/>
      <w:r/>
      <w:bookmarkStart w:id="293" w:name="_Ref125553475"/>
      <w:r/>
      <w:bookmarkStart w:id="294" w:name="_Ref125553681"/>
      <w:r/>
      <w:bookmarkStart w:id="295" w:name="_Ref125709154"/>
      <w:r/>
      <w:bookmarkStart w:id="296" w:name="_Ref125709256"/>
      <w:r/>
      <w:bookmarkStart w:id="297" w:name="_Ref125709541"/>
      <w:r/>
      <w:bookmarkStart w:id="298" w:name="_Ref125709895"/>
      <w:r/>
      <w:bookmarkStart w:id="299" w:name="_Ref125361531"/>
      <w:r/>
      <w:bookmarkStart w:id="300" w:name="_Ref125369111"/>
      <w:r/>
      <w:bookmarkStart w:id="301" w:name="_Ref125370085"/>
      <w:r/>
      <w:bookmarkStart w:id="302" w:name="_Ref125370145"/>
      <w:r/>
      <w:bookmarkStart w:id="303" w:name="_Ref125370151"/>
      <w:r/>
      <w:bookmarkStart w:id="304" w:name="_Toc232579456"/>
      <w:r>
        <w:t xml:space="preserve">Квалификационные</w:t>
      </w:r>
      <w:r>
        <w:t xml:space="preserve"> требования</w:t>
      </w:r>
      <w:bookmarkEnd w:id="289"/>
      <w:r/>
      <w:bookmarkEnd w:id="290"/>
      <w:r/>
      <w:bookmarkEnd w:id="291"/>
      <w:r/>
      <w:bookmarkEnd w:id="292"/>
      <w:r/>
      <w:bookmarkEnd w:id="293"/>
      <w:r/>
      <w:bookmarkEnd w:id="294"/>
      <w:r/>
      <w:bookmarkEnd w:id="295"/>
      <w:r/>
      <w:bookmarkEnd w:id="296"/>
      <w:r/>
      <w:bookmarkEnd w:id="297"/>
      <w:r/>
      <w:bookmarkEnd w:id="298"/>
      <w:r/>
      <w:bookmarkEnd w:id="304"/>
      <w:r/>
      <w:r/>
    </w:p>
    <w:tbl>
      <w:tblPr>
        <w:tblStyle w:val="1201"/>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80"/>
              <w:jc w:val="center"/>
              <w:keepNext w:val="0"/>
            </w:pPr>
            <w:r>
              <w:t xml:space="preserve">№</w:t>
            </w:r>
            <w:r>
              <w:br/>
              <w:t xml:space="preserve">п/п</w:t>
            </w:r>
            <w:r/>
          </w:p>
        </w:tc>
        <w:tc>
          <w:tcPr>
            <w:tcW w:w="5670" w:type="dxa"/>
            <w:textDirection w:val="lrTb"/>
            <w:noWrap w:val="false"/>
          </w:tcPr>
          <w:p>
            <w:pPr>
              <w:pStyle w:val="1180"/>
              <w:jc w:val="center"/>
              <w:keepNext w:val="0"/>
            </w:pPr>
            <w:r>
              <w:t xml:space="preserve">Требования к Участник</w:t>
            </w:r>
            <w:r>
              <w:t xml:space="preserve">у</w:t>
            </w:r>
            <w:r/>
          </w:p>
        </w:tc>
        <w:tc>
          <w:tcPr>
            <w:tcW w:w="8327" w:type="dxa"/>
            <w:textDirection w:val="lrTb"/>
            <w:noWrap w:val="false"/>
          </w:tcPr>
          <w:p>
            <w:pPr>
              <w:pStyle w:val="1180"/>
              <w:jc w:val="center"/>
              <w:keepNext w:val="0"/>
            </w:pPr>
            <w:r>
              <w:t xml:space="preserve">Требования к документам,</w:t>
            </w:r>
            <w:r>
              <w:br/>
            </w:r>
            <w:r>
              <w:t xml:space="preserve">подтверждающим соответствие Участника установленным требованиям</w:t>
            </w:r>
            <w:r/>
          </w:p>
        </w:tc>
      </w:tr>
      <w:tr>
        <w:tblPrEx/>
        <w:trPr/>
        <w:tc>
          <w:tcPr>
            <w:tcW w:w="1129" w:type="dxa"/>
            <w:textDirection w:val="lrTb"/>
            <w:noWrap w:val="false"/>
          </w:tcPr>
          <w:p>
            <w:pPr>
              <w:pStyle w:val="1180"/>
              <w:numPr>
                <w:ilvl w:val="0"/>
                <w:numId w:val="10"/>
              </w:numPr>
              <w:ind w:left="284" w:firstLine="0"/>
              <w:jc w:val="center"/>
            </w:pPr>
            <w:r/>
            <w:r/>
          </w:p>
        </w:tc>
        <w:tc>
          <w:tcPr>
            <w:tcW w:w="5670" w:type="dxa"/>
            <w:textDirection w:val="lrTb"/>
            <w:noWrap w:val="false"/>
          </w:tcPr>
          <w:p>
            <w:pPr>
              <w:jc w:val="both"/>
              <w:spacing w:after="120"/>
              <w:widowControl w:val="off"/>
              <w:tabs>
                <w:tab w:val="left" w:pos="426" w:leader="none"/>
              </w:tabs>
              <w:rPr>
                <w:rFonts w:eastAsia="Calibri" w:cs="Times New Roman"/>
                <w:bCs/>
                <w:iCs/>
                <w:szCs w:val="26"/>
                <w:highlight w:val="yellow"/>
              </w:rPr>
            </w:pPr>
            <w:r>
              <w:rPr>
                <w:rFonts w:eastAsia="Times New Roman" w:cs="Times New Roman"/>
              </w:rPr>
              <w:t xml:space="preserve">Требования не установлены</w:t>
            </w:r>
            <w:r>
              <w:rPr>
                <w:rFonts w:eastAsia="Times New Roman" w:cs="Times New Roman"/>
              </w:rPr>
              <w:t xml:space="preserve">.</w:t>
            </w:r>
            <w:r>
              <w:rPr>
                <w:rFonts w:eastAsia="Calibri" w:cs="Times New Roman"/>
                <w:bCs/>
                <w:iCs/>
                <w:szCs w:val="26"/>
                <w:highlight w:val="yellow"/>
              </w:rPr>
              <w:t xml:space="preserve"> </w:t>
            </w:r>
            <w:r>
              <w:rPr>
                <w:rFonts w:eastAsia="Calibri" w:cs="Times New Roman"/>
                <w:bCs/>
                <w:iCs/>
                <w:szCs w:val="26"/>
                <w:highlight w:val="yellow"/>
              </w:rPr>
            </w:r>
            <w:r>
              <w:rPr>
                <w:rFonts w:eastAsia="Calibri" w:cs="Times New Roman"/>
                <w:bCs/>
                <w:iCs/>
                <w:szCs w:val="26"/>
                <w:highlight w:val="yellow"/>
              </w:rPr>
            </w:r>
          </w:p>
        </w:tc>
        <w:tc>
          <w:tcPr>
            <w:tcW w:w="8327" w:type="dxa"/>
            <w:textDirection w:val="lrTb"/>
            <w:noWrap w:val="false"/>
          </w:tcPr>
          <w:p>
            <w:pPr>
              <w:pStyle w:val="1180"/>
              <w:rPr>
                <w:iCs/>
                <w:szCs w:val="26"/>
                <w:highlight w:val="yellow"/>
              </w:rPr>
            </w:pPr>
            <w:r>
              <w:rPr>
                <w:rFonts w:eastAsia="Times New Roman" w:cs="Times New Roman"/>
              </w:rPr>
              <w:t xml:space="preserve">Требования не установлены</w:t>
            </w:r>
            <w:r>
              <w:rPr>
                <w:rFonts w:eastAsia="Times New Roman" w:cs="Times New Roman"/>
              </w:rPr>
              <w:t xml:space="preserve">.</w:t>
            </w:r>
            <w:r>
              <w:rPr>
                <w:iCs/>
                <w:szCs w:val="26"/>
                <w:highlight w:val="yellow"/>
              </w:rPr>
            </w:r>
            <w:r>
              <w:rPr>
                <w:iCs/>
                <w:szCs w:val="26"/>
                <w:highlight w:val="yellow"/>
              </w:rPr>
            </w:r>
          </w:p>
        </w:tc>
      </w:tr>
    </w:tbl>
    <w:p>
      <w:pPr>
        <w:pStyle w:val="1175"/>
        <w:spacing w:after="120"/>
      </w:pPr>
      <w:r/>
      <w:bookmarkStart w:id="305" w:name="_Ref125552455"/>
      <w:r/>
      <w:bookmarkStart w:id="306" w:name="_Ref125553500"/>
      <w:r/>
      <w:bookmarkStart w:id="307" w:name="_Ref125553692"/>
      <w:r/>
      <w:bookmarkStart w:id="308" w:name="_Ref125553703"/>
      <w:r/>
      <w:bookmarkStart w:id="309" w:name="_Ref125709228"/>
      <w:r/>
      <w:bookmarkStart w:id="310" w:name="_Toc232579457"/>
      <w:r>
        <w:t xml:space="preserve">Дополнительные т</w:t>
      </w:r>
      <w:r>
        <w:t xml:space="preserve">ребования к Коллективным участникам</w:t>
      </w:r>
      <w:bookmarkEnd w:id="299"/>
      <w:r/>
      <w:bookmarkEnd w:id="300"/>
      <w:r/>
      <w:bookmarkEnd w:id="301"/>
      <w:r/>
      <w:bookmarkEnd w:id="302"/>
      <w:r/>
      <w:bookmarkEnd w:id="303"/>
      <w:r/>
      <w:bookmarkEnd w:id="305"/>
      <w:r/>
      <w:bookmarkEnd w:id="306"/>
      <w:r/>
      <w:bookmarkEnd w:id="307"/>
      <w:r/>
      <w:bookmarkEnd w:id="308"/>
      <w:r/>
      <w:bookmarkEnd w:id="309"/>
      <w:r/>
      <w:bookmarkEnd w:id="310"/>
      <w:r/>
      <w:r/>
    </w:p>
    <w:tbl>
      <w:tblPr>
        <w:tblStyle w:val="1201"/>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80"/>
              <w:jc w:val="center"/>
              <w:keepNext w:val="0"/>
            </w:pPr>
            <w:r>
              <w:t xml:space="preserve">№</w:t>
            </w:r>
            <w:r>
              <w:br/>
              <w:t xml:space="preserve">п/п</w:t>
            </w:r>
            <w:r/>
          </w:p>
        </w:tc>
        <w:tc>
          <w:tcPr>
            <w:tcW w:w="5670" w:type="dxa"/>
            <w:textDirection w:val="lrTb"/>
            <w:noWrap w:val="false"/>
          </w:tcPr>
          <w:p>
            <w:pPr>
              <w:pStyle w:val="1180"/>
              <w:jc w:val="center"/>
              <w:keepNext w:val="0"/>
            </w:pPr>
            <w:r>
              <w:t xml:space="preserve">Требования к </w:t>
            </w:r>
            <w:r>
              <w:t xml:space="preserve">Коллективн</w:t>
            </w:r>
            <w:r>
              <w:t xml:space="preserve">ому</w:t>
            </w:r>
            <w:r>
              <w:t xml:space="preserve"> у</w:t>
            </w:r>
            <w:r>
              <w:t xml:space="preserve">частник</w:t>
            </w:r>
            <w:r>
              <w:t xml:space="preserve">у</w:t>
            </w:r>
            <w:r/>
          </w:p>
        </w:tc>
        <w:tc>
          <w:tcPr>
            <w:tcW w:w="8327" w:type="dxa"/>
            <w:textDirection w:val="lrTb"/>
            <w:noWrap w:val="false"/>
          </w:tcPr>
          <w:p>
            <w:pPr>
              <w:pStyle w:val="1180"/>
              <w:jc w:val="center"/>
              <w:keepNext w:val="0"/>
            </w:pPr>
            <w:r>
              <w:t xml:space="preserve">Требования к документам,</w:t>
            </w:r>
            <w:r>
              <w:t xml:space="preserve"> </w:t>
            </w:r>
            <w:r>
              <w:t xml:space="preserve">подтверждающим соответствие</w:t>
            </w:r>
            <w:r>
              <w:br/>
            </w:r>
            <w:r>
              <w:t xml:space="preserve">Коллективного участника установленным требованиям</w:t>
            </w:r>
            <w:r/>
          </w:p>
        </w:tc>
      </w:tr>
      <w:tr>
        <w:tblPrEx/>
        <w:trPr/>
        <w:tc>
          <w:tcPr>
            <w:tcW w:w="1129" w:type="dxa"/>
            <w:textDirection w:val="lrTb"/>
            <w:noWrap w:val="false"/>
          </w:tcPr>
          <w:p>
            <w:pPr>
              <w:pStyle w:val="1180"/>
              <w:numPr>
                <w:ilvl w:val="0"/>
                <w:numId w:val="4"/>
              </w:numPr>
              <w:ind w:left="284" w:firstLine="0"/>
              <w:jc w:val="center"/>
            </w:pPr>
            <w:r/>
            <w:bookmarkStart w:id="311" w:name="_Ref125370156"/>
            <w:r/>
            <w:bookmarkEnd w:id="311"/>
            <w:r/>
            <w:r/>
          </w:p>
        </w:tc>
        <w:tc>
          <w:tcPr>
            <w:tcW w:w="5670" w:type="dxa"/>
            <w:textDirection w:val="lrTb"/>
            <w:noWrap w:val="false"/>
          </w:tcPr>
          <w:p>
            <w:pPr>
              <w:pStyle w:val="1180"/>
            </w:pPr>
            <w:r>
              <w:t xml:space="preserve">Члены Коллективного участника должны иметь между собой соглашение (или иной документ), соответствующее нормам ГК</w:t>
            </w:r>
            <w:r>
              <w:t xml:space="preserve"> </w:t>
            </w:r>
            <w:r>
              <w:t xml:space="preserve">РФ</w:t>
            </w:r>
            <w:r>
              <w:t xml:space="preserve">:</w:t>
            </w:r>
            <w:r/>
          </w:p>
        </w:tc>
        <w:tc>
          <w:tcPr>
            <w:tcW w:w="8327" w:type="dxa"/>
            <w:textDirection w:val="lrTb"/>
            <w:noWrap w:val="false"/>
          </w:tcPr>
          <w:p>
            <w:pPr>
              <w:pStyle w:val="1180"/>
            </w:pPr>
            <w:r>
              <w:t xml:space="preserve">Копия Соглашения между членами </w:t>
            </w:r>
            <w:r>
              <w:t xml:space="preserve">Коллективного участника, подготовленного в соответствии с требованиями пункта </w:t>
            </w:r>
            <w:r>
              <w:fldChar w:fldCharType="begin"/>
            </w:r>
            <w:r>
              <w:instrText xml:space="preserve"> REF _Ref125366972 \w \h </w:instrText>
            </w:r>
            <w:r>
              <w:instrText xml:space="preserve"> \* MERGEFORMAT </w:instrText>
            </w:r>
            <w:r>
              <w:fldChar w:fldCharType="separate"/>
            </w:r>
            <w:r>
              <w:t xml:space="preserve">3.2.3</w:t>
            </w:r>
            <w:r>
              <w:fldChar w:fldCharType="end"/>
            </w:r>
            <w:r>
              <w:t xml:space="preserve">;</w:t>
            </w:r>
            <w:r/>
          </w:p>
        </w:tc>
      </w:tr>
      <w:tr>
        <w:tblPrEx/>
        <w:trPr/>
        <w:tc>
          <w:tcPr>
            <w:tcW w:w="1129" w:type="dxa"/>
            <w:textDirection w:val="lrTb"/>
            <w:noWrap w:val="false"/>
          </w:tcPr>
          <w:p>
            <w:pPr>
              <w:pStyle w:val="1180"/>
              <w:numPr>
                <w:ilvl w:val="0"/>
                <w:numId w:val="4"/>
              </w:numPr>
              <w:ind w:left="284" w:firstLine="0"/>
              <w:jc w:val="center"/>
            </w:pPr>
            <w:r/>
            <w:bookmarkStart w:id="312" w:name="_Ref125553738"/>
            <w:r/>
            <w:bookmarkEnd w:id="312"/>
            <w:r/>
            <w:r/>
          </w:p>
        </w:tc>
        <w:tc>
          <w:tcPr>
            <w:tcW w:w="5670" w:type="dxa"/>
            <w:textDirection w:val="lrTb"/>
            <w:noWrap w:val="false"/>
          </w:tcPr>
          <w:p>
            <w:pPr>
              <w:pStyle w:val="1180"/>
            </w:pPr>
            <w:r>
              <w:t xml:space="preserve">Заявка Коллективного участника дополнительно должна включать сведения о</w:t>
            </w:r>
            <w:r>
              <w:t xml:space="preserve"> </w:t>
            </w:r>
            <w:r>
              <w:t xml:space="preserve">распределении объемов поставки продукции между членами Коллективного участника</w:t>
            </w:r>
            <w:r>
              <w:t xml:space="preserve">:</w:t>
            </w:r>
            <w:r/>
          </w:p>
        </w:tc>
        <w:tc>
          <w:tcPr>
            <w:tcW w:w="8327" w:type="dxa"/>
            <w:textDirection w:val="lrTb"/>
            <w:noWrap w:val="false"/>
          </w:tcPr>
          <w:p>
            <w:pPr>
              <w:pStyle w:val="1180"/>
            </w:pPr>
            <w:r>
              <w:t xml:space="preserve">План распределения объемов поставки </w:t>
            </w:r>
            <w:r>
              <w:t xml:space="preserve">продукции (форма 1</w:t>
            </w:r>
            <w:r>
              <w:t xml:space="preserve">1</w:t>
            </w:r>
            <w:r>
              <w:t xml:space="preserve">) </w:t>
            </w:r>
            <w:r>
              <w:t xml:space="preserve">(</w:t>
            </w:r>
            <w:hyperlink w:tooltip="#Прил04_ФормыЗаявки" w:anchor="Прил04_ФормыЗаявки" w:history="1">
              <w:r>
                <w:rPr>
                  <w:rStyle w:val="1204"/>
                </w:rPr>
                <w:t xml:space="preserve">Приложение № 4</w:t>
              </w:r>
            </w:hyperlink>
            <w:r>
              <w:t xml:space="preserve">)</w:t>
            </w:r>
            <w:r>
              <w:t xml:space="preserve"> с указанием необходимой информации;</w:t>
            </w:r>
            <w:r/>
          </w:p>
        </w:tc>
      </w:tr>
      <w:tr>
        <w:tblPrEx/>
        <w:trPr/>
        <w:tc>
          <w:tcPr>
            <w:tcW w:w="1129" w:type="dxa"/>
            <w:textDirection w:val="lrTb"/>
            <w:noWrap w:val="false"/>
          </w:tcPr>
          <w:p>
            <w:pPr>
              <w:pStyle w:val="1180"/>
              <w:numPr>
                <w:ilvl w:val="0"/>
                <w:numId w:val="4"/>
              </w:numPr>
              <w:ind w:left="284" w:firstLine="0"/>
              <w:jc w:val="center"/>
            </w:pPr>
            <w:r/>
            <w:bookmarkStart w:id="313" w:name="_Ref125370162"/>
            <w:r/>
            <w:bookmarkEnd w:id="313"/>
            <w:r/>
            <w:r/>
          </w:p>
        </w:tc>
        <w:tc>
          <w:tcPr>
            <w:tcW w:w="5670" w:type="dxa"/>
            <w:textDirection w:val="lrTb"/>
            <w:noWrap w:val="false"/>
          </w:tcPr>
          <w:p>
            <w:pPr>
              <w:pStyle w:val="1180"/>
            </w:pPr>
            <w:r>
              <w:t xml:space="preserve">Соответствие каждого члена Коллективного </w:t>
            </w:r>
            <w:r>
              <w:t xml:space="preserve">участника установленным требованиям (</w:t>
            </w:r>
            <w:r>
              <w:t xml:space="preserve">с</w:t>
            </w:r>
            <w:r>
              <w:t xml:space="preserve"> </w:t>
            </w:r>
            <w:r>
              <w:t xml:space="preserve">учетом </w:t>
            </w:r>
            <w:r>
              <w:t xml:space="preserve">пункт</w:t>
            </w:r>
            <w:r>
              <w:t xml:space="preserve">ов</w:t>
            </w:r>
            <w:r>
              <w:t xml:space="preserve"> </w:t>
            </w:r>
            <w:r>
              <w:fldChar w:fldCharType="begin"/>
            </w:r>
            <w:r>
              <w:instrText xml:space="preserve"> REF _Ref125368791 \w \h </w:instrText>
            </w:r>
            <w:r>
              <w:instrText xml:space="preserve"> \* MERGEFORMAT </w:instrText>
            </w:r>
            <w:r>
              <w:fldChar w:fldCharType="separate"/>
            </w:r>
            <w:r>
              <w:t xml:space="preserve">3.2.5</w:t>
            </w:r>
            <w:r>
              <w:fldChar w:fldCharType="end"/>
            </w:r>
            <w:r>
              <w:t xml:space="preserve"> – </w:t>
            </w:r>
            <w:r>
              <w:fldChar w:fldCharType="begin"/>
            </w:r>
            <w:r>
              <w:instrText xml:space="preserve"> REF _Ref134705077 \r \h </w:instrText>
            </w:r>
            <w:r>
              <w:fldChar w:fldCharType="separate"/>
            </w:r>
            <w:r>
              <w:t xml:space="preserve">3.2.7</w:t>
            </w:r>
            <w:r>
              <w:fldChar w:fldCharType="end"/>
            </w:r>
            <w:r>
              <w:t xml:space="preserve">)</w:t>
            </w:r>
            <w:r>
              <w:t xml:space="preserve">,</w:t>
            </w:r>
            <w:r>
              <w:t xml:space="preserve"> в</w:t>
            </w:r>
            <w:r>
              <w:t xml:space="preserve"> </w:t>
            </w:r>
            <w:r>
              <w:t xml:space="preserve">том числе с учетом</w:t>
            </w:r>
            <w:r>
              <w:t xml:space="preserve"> </w:t>
            </w:r>
            <w:r>
              <w:t xml:space="preserve">объема поставки продукции, который ему</w:t>
            </w:r>
            <w:r>
              <w:t xml:space="preserve"> </w:t>
            </w:r>
            <w:r>
              <w:t xml:space="preserve">предполагается поручить в</w:t>
            </w:r>
            <w:r>
              <w:t xml:space="preserve"> </w:t>
            </w:r>
            <w:r>
              <w:t xml:space="preserve">соответствии с</w:t>
            </w:r>
            <w:r>
              <w:t xml:space="preserve"> </w:t>
            </w:r>
            <w:r>
              <w:t xml:space="preserve">Планом распределения объемов поставки продукции внутри</w:t>
            </w:r>
            <w:r>
              <w:t xml:space="preserve"> (форма 1</w:t>
            </w:r>
            <w:r>
              <w:t xml:space="preserve">1</w:t>
            </w:r>
            <w:r>
              <w:t xml:space="preserve">) </w:t>
            </w:r>
            <w:r>
              <w:t xml:space="preserve">(</w:t>
            </w:r>
            <w:hyperlink w:tooltip="#Прил04_ФормыЗаявки" w:anchor="Прил04_ФормыЗаявки" w:history="1">
              <w:r>
                <w:rPr>
                  <w:rStyle w:val="1204"/>
                </w:rPr>
                <w:t xml:space="preserve">Приложение № 4</w:t>
              </w:r>
            </w:hyperlink>
            <w:r>
              <w:t xml:space="preserve">)</w:t>
            </w:r>
            <w:r>
              <w:t xml:space="preserve">:</w:t>
            </w:r>
            <w:r/>
          </w:p>
        </w:tc>
        <w:tc>
          <w:tcPr>
            <w:tcW w:w="8327" w:type="dxa"/>
            <w:textDirection w:val="lrTb"/>
            <w:noWrap w:val="false"/>
          </w:tcPr>
          <w:p>
            <w:pPr>
              <w:pStyle w:val="1180"/>
            </w:pPr>
            <w:r>
              <w:t xml:space="preserve">Сведения и документы, аналогичные </w:t>
            </w:r>
            <w:r>
              <w:t xml:space="preserve">установленным в</w:t>
            </w:r>
            <w:r>
              <w:t xml:space="preserve"> </w:t>
            </w:r>
            <w:r>
              <w:t xml:space="preserve">подразделах </w:t>
            </w:r>
            <w:r>
              <w:fldChar w:fldCharType="begin"/>
            </w:r>
            <w:r>
              <w:instrText xml:space="preserve"> REF _Ref125361435 \w \h </w:instrText>
            </w:r>
            <w:r>
              <w:instrText xml:space="preserve"> \* MERGEFORMAT </w:instrText>
            </w:r>
            <w:r>
              <w:fldChar w:fldCharType="separate"/>
            </w:r>
            <w:r>
              <w:t xml:space="preserve">8.2</w:t>
            </w:r>
            <w:r>
              <w:fldChar w:fldCharType="end"/>
            </w:r>
            <w:r>
              <w:t xml:space="preserve"> – </w:t>
            </w:r>
            <w:r>
              <w:fldChar w:fldCharType="begin"/>
            </w:r>
            <w:r>
              <w:instrText xml:space="preserve"> REF _Ref125553242 \w \h </w:instrText>
            </w:r>
            <w:r>
              <w:instrText xml:space="preserve"> \* MERGEFORMAT </w:instrText>
            </w:r>
            <w:r>
              <w:fldChar w:fldCharType="separate"/>
            </w:r>
            <w:r>
              <w:t xml:space="preserve">8.4</w:t>
            </w:r>
            <w:r>
              <w:fldChar w:fldCharType="end"/>
            </w:r>
            <w:r>
              <w:t xml:space="preserve">, в</w:t>
            </w:r>
            <w:r>
              <w:t xml:space="preserve"> </w:t>
            </w:r>
            <w:r>
              <w:t xml:space="preserve">отношении каждого члена Коллективного участника, подтверждающие его соответствие данным требованиям.</w:t>
            </w:r>
            <w:r/>
          </w:p>
        </w:tc>
      </w:tr>
    </w:tbl>
    <w:p>
      <w:pPr>
        <w:pStyle w:val="1175"/>
        <w:spacing w:after="120"/>
      </w:pPr>
      <w:r/>
      <w:bookmarkStart w:id="314" w:name="_Ref125361823"/>
      <w:r/>
      <w:bookmarkStart w:id="315" w:name="_Ref125362031"/>
      <w:r/>
      <w:bookmarkStart w:id="316" w:name="_Ref125369117"/>
      <w:r/>
      <w:bookmarkStart w:id="317" w:name="_Ref125370173"/>
      <w:r/>
      <w:bookmarkStart w:id="318" w:name="_Ref125370180"/>
      <w:r/>
      <w:bookmarkStart w:id="319" w:name="_Ref125370209"/>
      <w:r/>
      <w:bookmarkStart w:id="320" w:name="_Ref125709777"/>
      <w:r/>
      <w:bookmarkStart w:id="321" w:name="_Ref125709973"/>
      <w:r/>
      <w:bookmarkStart w:id="322" w:name="_Toc232579458"/>
      <w:r>
        <w:t xml:space="preserve">Дополнительные т</w:t>
      </w:r>
      <w:r>
        <w:t xml:space="preserve">ребования к Генеральным подрядчикам</w:t>
      </w:r>
      <w:bookmarkEnd w:id="314"/>
      <w:r/>
      <w:bookmarkEnd w:id="315"/>
      <w:r/>
      <w:bookmarkEnd w:id="316"/>
      <w:r/>
      <w:bookmarkEnd w:id="317"/>
      <w:r/>
      <w:bookmarkEnd w:id="318"/>
      <w:r/>
      <w:bookmarkEnd w:id="319"/>
      <w:r/>
      <w:bookmarkEnd w:id="320"/>
      <w:r/>
      <w:bookmarkEnd w:id="321"/>
      <w:r/>
      <w:bookmarkEnd w:id="322"/>
      <w:r/>
      <w:r/>
    </w:p>
    <w:tbl>
      <w:tblPr>
        <w:tblStyle w:val="1201"/>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80"/>
              <w:jc w:val="center"/>
              <w:keepNext w:val="0"/>
            </w:pPr>
            <w:r>
              <w:t xml:space="preserve">№</w:t>
            </w:r>
            <w:r>
              <w:br/>
              <w:t xml:space="preserve">п/п</w:t>
            </w:r>
            <w:r/>
          </w:p>
        </w:tc>
        <w:tc>
          <w:tcPr>
            <w:tcW w:w="5670" w:type="dxa"/>
            <w:textDirection w:val="lrTb"/>
            <w:noWrap w:val="false"/>
          </w:tcPr>
          <w:p>
            <w:pPr>
              <w:pStyle w:val="1180"/>
              <w:jc w:val="center"/>
              <w:keepNext w:val="0"/>
            </w:pPr>
            <w:r>
              <w:t xml:space="preserve">Требования к </w:t>
            </w:r>
            <w:r>
              <w:t xml:space="preserve">Генеральн</w:t>
            </w:r>
            <w:r>
              <w:t xml:space="preserve">ому</w:t>
            </w:r>
            <w:r>
              <w:t xml:space="preserve"> </w:t>
            </w:r>
            <w:r>
              <w:t xml:space="preserve">подрядчику</w:t>
            </w:r>
            <w:r/>
          </w:p>
        </w:tc>
        <w:tc>
          <w:tcPr>
            <w:tcW w:w="8327" w:type="dxa"/>
            <w:textDirection w:val="lrTb"/>
            <w:noWrap w:val="false"/>
          </w:tcPr>
          <w:p>
            <w:pPr>
              <w:pStyle w:val="1180"/>
              <w:jc w:val="center"/>
              <w:keepNext w:val="0"/>
            </w:pPr>
            <w:r>
              <w:t xml:space="preserve">Требования к документам, подтверждающим соответствие</w:t>
            </w:r>
            <w:r>
              <w:br/>
            </w:r>
            <w:r>
              <w:t xml:space="preserve">Генерального подрядчика установленным требованиям</w:t>
            </w:r>
            <w:r/>
          </w:p>
        </w:tc>
      </w:tr>
      <w:tr>
        <w:tblPrEx/>
        <w:trPr/>
        <w:tc>
          <w:tcPr>
            <w:tcW w:w="1129" w:type="dxa"/>
            <w:textDirection w:val="lrTb"/>
            <w:noWrap w:val="false"/>
          </w:tcPr>
          <w:p>
            <w:pPr>
              <w:pStyle w:val="1180"/>
              <w:numPr>
                <w:ilvl w:val="0"/>
                <w:numId w:val="5"/>
              </w:numPr>
              <w:ind w:left="284" w:firstLine="0"/>
              <w:jc w:val="center"/>
            </w:pPr>
            <w:r/>
            <w:bookmarkStart w:id="323" w:name="_Ref125370187"/>
            <w:r/>
            <w:bookmarkEnd w:id="323"/>
            <w:r/>
            <w:r/>
          </w:p>
        </w:tc>
        <w:tc>
          <w:tcPr>
            <w:tcW w:w="5670" w:type="dxa"/>
            <w:textDirection w:val="lrTb"/>
            <w:noWrap w:val="false"/>
          </w:tcPr>
          <w:p>
            <w:pPr>
              <w:pStyle w:val="1180"/>
            </w:pPr>
            <w:r>
              <w:t xml:space="preserve">Заявка Генерального подрядчика дополнительно должна включать сведения о</w:t>
            </w:r>
            <w:r>
              <w:t xml:space="preserve"> </w:t>
            </w:r>
            <w:r>
              <w:t xml:space="preserve">распределении объемов поставки продукции между Генеральным подрядчиком и субподрядчиками</w:t>
            </w:r>
            <w:r>
              <w:t xml:space="preserve">:</w:t>
            </w:r>
            <w:r/>
          </w:p>
        </w:tc>
        <w:tc>
          <w:tcPr>
            <w:tcW w:w="8327" w:type="dxa"/>
            <w:textDirection w:val="lrTb"/>
            <w:noWrap w:val="false"/>
          </w:tcPr>
          <w:p>
            <w:pPr>
              <w:pStyle w:val="1180"/>
            </w:pPr>
            <w:r>
              <w:t xml:space="preserve">План распределения объемов поставки </w:t>
            </w:r>
            <w:r>
              <w:t xml:space="preserve">продукции (форма 1</w:t>
            </w:r>
            <w:r>
              <w:t xml:space="preserve">1</w:t>
            </w:r>
            <w:r>
              <w:t xml:space="preserve">) </w:t>
            </w:r>
            <w:r>
              <w:t xml:space="preserve">(</w:t>
            </w:r>
            <w:hyperlink w:tooltip="#Прил04_ФормыЗаявки" w:anchor="Прил04_ФормыЗаявки" w:history="1">
              <w:r>
                <w:rPr>
                  <w:rStyle w:val="1204"/>
                </w:rPr>
                <w:t xml:space="preserve">Приложение № 4</w:t>
              </w:r>
            </w:hyperlink>
            <w:r>
              <w:t xml:space="preserve">)</w:t>
            </w:r>
            <w:r>
              <w:t xml:space="preserve"> с указанием необходимой информации;</w:t>
            </w:r>
            <w:r/>
          </w:p>
        </w:tc>
      </w:tr>
      <w:tr>
        <w:tblPrEx/>
        <w:trPr/>
        <w:tc>
          <w:tcPr>
            <w:tcW w:w="1129" w:type="dxa"/>
            <w:textDirection w:val="lrTb"/>
            <w:noWrap w:val="false"/>
          </w:tcPr>
          <w:p>
            <w:pPr>
              <w:pStyle w:val="1180"/>
              <w:numPr>
                <w:ilvl w:val="0"/>
                <w:numId w:val="5"/>
              </w:numPr>
              <w:ind w:left="284" w:firstLine="0"/>
              <w:jc w:val="center"/>
            </w:pPr>
            <w:r/>
            <w:bookmarkStart w:id="324" w:name="_Ref125370199"/>
            <w:r/>
            <w:bookmarkEnd w:id="324"/>
            <w:r/>
            <w:r/>
          </w:p>
        </w:tc>
        <w:tc>
          <w:tcPr>
            <w:tcW w:w="5670" w:type="dxa"/>
            <w:textDirection w:val="lrTb"/>
            <w:noWrap w:val="false"/>
          </w:tcPr>
          <w:p>
            <w:pPr>
              <w:pStyle w:val="1180"/>
            </w:pPr>
            <w:r>
              <w:t xml:space="preserve">Генеральный подрядчик должен доказать, что каждый из привлекаемых им</w:t>
            </w:r>
            <w:r>
              <w:t xml:space="preserve"> </w:t>
            </w:r>
            <w:r>
              <w:t xml:space="preserve">субподрядчиков:</w:t>
            </w:r>
            <w:r/>
          </w:p>
          <w:p>
            <w:pPr>
              <w:pStyle w:val="1180"/>
              <w:numPr>
                <w:ilvl w:val="0"/>
                <w:numId w:val="14"/>
              </w:numPr>
              <w:ind w:left="284" w:hanging="284"/>
            </w:pPr>
            <w:r>
              <w:t xml:space="preserve">осведомлен о привлечении его в качестве субподрядчика;</w:t>
            </w:r>
            <w:r/>
          </w:p>
          <w:p>
            <w:pPr>
              <w:pStyle w:val="1180"/>
              <w:numPr>
                <w:ilvl w:val="0"/>
                <w:numId w:val="14"/>
              </w:numPr>
              <w:ind w:left="284" w:hanging="284"/>
            </w:pPr>
            <w:r>
              <w:t xml:space="preserve">согласен с выделяемым ему перечнем, объемами, сроками и стоимостью поставки продукции</w:t>
            </w:r>
            <w:r>
              <w:t xml:space="preserve">:</w:t>
            </w:r>
            <w:r/>
          </w:p>
        </w:tc>
        <w:tc>
          <w:tcPr>
            <w:tcW w:w="8327" w:type="dxa"/>
            <w:textDirection w:val="lrTb"/>
            <w:noWrap w:val="false"/>
          </w:tcPr>
          <w:p>
            <w:pPr>
              <w:pStyle w:val="1180"/>
            </w:pPr>
            <w:r>
              <w:t xml:space="preserve">Письмо от имени каждого </w:t>
            </w:r>
            <w:r>
              <w:t xml:space="preserve">привлекаемого </w:t>
            </w:r>
            <w:r>
              <w:t xml:space="preserve">субподрядчика (составляется в</w:t>
            </w:r>
            <w:r>
              <w:t xml:space="preserve"> </w:t>
            </w:r>
            <w:r>
              <w:t xml:space="preserve">произвольной форме), подтверждающее его согласие на привлечение в</w:t>
            </w:r>
            <w:r>
              <w:t xml:space="preserve"> </w:t>
            </w:r>
            <w:r>
              <w:t xml:space="preserve">качестве субподрядчика, с указанием объема и стоимости возлагаемой на</w:t>
            </w:r>
            <w:r>
              <w:t xml:space="preserve"> </w:t>
            </w:r>
            <w:r>
              <w:t xml:space="preserve">него поставки продукции, а также сроков поставки продукции</w:t>
            </w:r>
            <w:r>
              <w:t xml:space="preserve">;</w:t>
            </w:r>
            <w:r/>
          </w:p>
        </w:tc>
      </w:tr>
      <w:tr>
        <w:tblPrEx/>
        <w:trPr/>
        <w:tc>
          <w:tcPr>
            <w:tcW w:w="1129" w:type="dxa"/>
            <w:textDirection w:val="lrTb"/>
            <w:noWrap w:val="false"/>
          </w:tcPr>
          <w:p>
            <w:pPr>
              <w:pStyle w:val="1180"/>
              <w:numPr>
                <w:ilvl w:val="0"/>
                <w:numId w:val="5"/>
              </w:numPr>
              <w:ind w:left="284" w:firstLine="0"/>
              <w:jc w:val="center"/>
            </w:pPr>
            <w:r/>
            <w:bookmarkStart w:id="325" w:name="_Ref125370193"/>
            <w:r/>
            <w:bookmarkEnd w:id="325"/>
            <w:r/>
            <w:r/>
          </w:p>
        </w:tc>
        <w:tc>
          <w:tcPr>
            <w:tcW w:w="5670" w:type="dxa"/>
            <w:textDirection w:val="lrTb"/>
            <w:noWrap w:val="false"/>
          </w:tcPr>
          <w:p>
            <w:pPr>
              <w:pStyle w:val="1180"/>
            </w:pPr>
            <w:r>
              <w:t xml:space="preserve">Соответствие каждого субподрядчика установленным </w:t>
            </w:r>
            <w:r>
              <w:t xml:space="preserve">требованиям (</w:t>
            </w:r>
            <w:r>
              <w:t xml:space="preserve">с учетом </w:t>
            </w:r>
            <w:r>
              <w:t xml:space="preserve">пункт</w:t>
            </w:r>
            <w:r>
              <w:t xml:space="preserve">а</w:t>
            </w:r>
            <w:r>
              <w:t xml:space="preserve"> </w:t>
            </w:r>
            <w:r>
              <w:fldChar w:fldCharType="begin"/>
            </w:r>
            <w:r>
              <w:instrText xml:space="preserve"> REF _Ref125368863 \w \h </w:instrText>
            </w:r>
            <w:r>
              <w:instrText xml:space="preserve"> \* MERGEFORMAT </w:instrText>
            </w:r>
            <w:r>
              <w:fldChar w:fldCharType="separate"/>
            </w:r>
            <w:r>
              <w:t xml:space="preserve">3.3.4</w:t>
            </w:r>
            <w:r>
              <w:fldChar w:fldCharType="end"/>
            </w:r>
            <w:r>
              <w:t xml:space="preserve">) </w:t>
            </w:r>
            <w:r>
              <w:t xml:space="preserve">в том числе с учетом</w:t>
            </w:r>
            <w:r>
              <w:t xml:space="preserve"> объема поставки продукции, который ему предполагается поручить в</w:t>
            </w:r>
            <w:r>
              <w:t xml:space="preserve"> </w:t>
            </w:r>
            <w:r>
              <w:t xml:space="preserve">соответствии с</w:t>
            </w:r>
            <w:r>
              <w:t xml:space="preserve"> </w:t>
            </w:r>
            <w:r>
              <w:t xml:space="preserve">Планом распределения объемов </w:t>
            </w:r>
            <w:r>
              <w:t xml:space="preserve">(форма 1</w:t>
            </w:r>
            <w:r>
              <w:t xml:space="preserve">1</w:t>
            </w:r>
            <w:r>
              <w:t xml:space="preserve">) </w:t>
            </w:r>
            <w:r>
              <w:t xml:space="preserve">(</w:t>
            </w:r>
            <w:hyperlink w:tooltip="#Прил04_ФормыЗаявки" w:anchor="Прил04_ФормыЗаявки" w:history="1">
              <w:r>
                <w:rPr>
                  <w:rStyle w:val="1204"/>
                </w:rPr>
                <w:t xml:space="preserve">Приложение № 4</w:t>
              </w:r>
            </w:hyperlink>
            <w:r>
              <w:t xml:space="preserve">)</w:t>
            </w:r>
            <w:r>
              <w:t xml:space="preserve">:</w:t>
            </w:r>
            <w:r/>
          </w:p>
        </w:tc>
        <w:tc>
          <w:tcPr>
            <w:tcW w:w="8327" w:type="dxa"/>
            <w:textDirection w:val="lrTb"/>
            <w:noWrap w:val="false"/>
          </w:tcPr>
          <w:p>
            <w:pPr>
              <w:pStyle w:val="1180"/>
            </w:pPr>
            <w:r>
              <w:t xml:space="preserve">Сведения и документы, аналогичные </w:t>
            </w:r>
            <w:r>
              <w:t xml:space="preserve">установленным в</w:t>
            </w:r>
            <w:r>
              <w:t xml:space="preserve"> </w:t>
            </w:r>
            <w:r>
              <w:t xml:space="preserve">подразделах </w:t>
            </w:r>
            <w:r>
              <w:fldChar w:fldCharType="begin"/>
            </w:r>
            <w:r>
              <w:instrText xml:space="preserve"> REF _Ref125361435 \w \h  \* MERGEFORMAT </w:instrText>
            </w:r>
            <w:r>
              <w:fldChar w:fldCharType="separate"/>
            </w:r>
            <w:r>
              <w:t xml:space="preserve">8.2</w:t>
            </w:r>
            <w:r>
              <w:fldChar w:fldCharType="end"/>
            </w:r>
            <w:r>
              <w:t xml:space="preserve"> – </w:t>
            </w:r>
            <w:r>
              <w:fldChar w:fldCharType="begin"/>
            </w:r>
            <w:r>
              <w:instrText xml:space="preserve"> REF _Ref125553242 \w \h  \* MERGEFORMAT </w:instrText>
            </w:r>
            <w:r>
              <w:fldChar w:fldCharType="separate"/>
            </w:r>
            <w:r>
              <w:t xml:space="preserve">8.4</w:t>
            </w:r>
            <w:r>
              <w:fldChar w:fldCharType="end"/>
            </w:r>
            <w:r>
              <w:t xml:space="preserve">, в</w:t>
            </w:r>
            <w:r>
              <w:t xml:space="preserve"> </w:t>
            </w:r>
            <w:r>
              <w:t xml:space="preserve">отношении каждого субподрядчика, подтверждающие его соответствие данным требованиям</w:t>
            </w:r>
            <w:r>
              <w:t xml:space="preserve">;</w:t>
            </w:r>
            <w:r/>
          </w:p>
        </w:tc>
      </w:tr>
      <w:tr>
        <w:tblPrEx/>
        <w:trPr/>
        <w:tc>
          <w:tcPr>
            <w:tcW w:w="1129" w:type="dxa"/>
            <w:textDirection w:val="lrTb"/>
            <w:noWrap w:val="false"/>
          </w:tcPr>
          <w:p>
            <w:pPr>
              <w:pStyle w:val="1180"/>
              <w:numPr>
                <w:ilvl w:val="0"/>
                <w:numId w:val="5"/>
              </w:numPr>
              <w:ind w:left="284" w:firstLine="0"/>
              <w:jc w:val="center"/>
            </w:pPr>
            <w:r/>
            <w:bookmarkStart w:id="326" w:name="_Ref125553847"/>
            <w:r/>
            <w:bookmarkEnd w:id="326"/>
            <w:r/>
            <w:r/>
          </w:p>
        </w:tc>
        <w:tc>
          <w:tcPr>
            <w:tcW w:w="5670" w:type="dxa"/>
            <w:textDirection w:val="lrTb"/>
            <w:noWrap w:val="false"/>
          </w:tcPr>
          <w:p>
            <w:pPr>
              <w:pStyle w:val="1180"/>
            </w:pPr>
            <w:r>
              <w:t xml:space="preserve">Дополнительные т</w:t>
            </w:r>
            <w:r>
              <w:t xml:space="preserve">ребования не установлены.</w:t>
            </w:r>
            <w:r/>
          </w:p>
        </w:tc>
        <w:tc>
          <w:tcPr>
            <w:tcW w:w="8327" w:type="dxa"/>
            <w:textDirection w:val="lrTb"/>
            <w:noWrap w:val="false"/>
          </w:tcPr>
          <w:p>
            <w:pPr>
              <w:pStyle w:val="1180"/>
            </w:pPr>
            <w:r>
              <w:t xml:space="preserve">Дополнительные т</w:t>
            </w:r>
            <w:r>
              <w:t xml:space="preserve">ребования не установлены.</w:t>
            </w:r>
            <w:r/>
          </w:p>
        </w:tc>
      </w:tr>
    </w:tbl>
    <w:p>
      <w:pPr>
        <w:pStyle w:val="1175"/>
        <w:spacing w:after="120"/>
      </w:pPr>
      <w:r/>
      <w:bookmarkStart w:id="327" w:name="_Ref125550523"/>
      <w:r/>
      <w:bookmarkStart w:id="328" w:name="_Ref125550560"/>
      <w:r/>
      <w:bookmarkStart w:id="329" w:name="_Ref125550566"/>
      <w:r/>
      <w:bookmarkStart w:id="330" w:name="_Ref125553513"/>
      <w:r/>
      <w:bookmarkStart w:id="331" w:name="_Ref125553821"/>
      <w:r/>
      <w:bookmarkStart w:id="332" w:name="_Ref125710459"/>
      <w:r/>
      <w:bookmarkStart w:id="333" w:name="_Ref125710480"/>
      <w:r/>
      <w:bookmarkStart w:id="334" w:name="_Ref125710517"/>
      <w:r/>
      <w:bookmarkStart w:id="335" w:name="_Toc232579459"/>
      <w:r>
        <w:t xml:space="preserve">Дополнительные т</w:t>
      </w:r>
      <w:r>
        <w:t xml:space="preserve">ребования в отношении Генеральных подрядчиков с обязательным привлечением субподрядчиков (соисполнителей) из числа субъектов МСП</w:t>
      </w:r>
      <w:bookmarkEnd w:id="327"/>
      <w:r/>
      <w:bookmarkEnd w:id="328"/>
      <w:r/>
      <w:bookmarkEnd w:id="329"/>
      <w:r/>
      <w:bookmarkEnd w:id="330"/>
      <w:r/>
      <w:bookmarkEnd w:id="331"/>
      <w:r/>
      <w:bookmarkEnd w:id="332"/>
      <w:r/>
      <w:bookmarkEnd w:id="333"/>
      <w:r/>
      <w:bookmarkEnd w:id="334"/>
      <w:r/>
      <w:bookmarkEnd w:id="335"/>
      <w:r/>
      <w:r/>
    </w:p>
    <w:tbl>
      <w:tblPr>
        <w:tblStyle w:val="1201"/>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80"/>
              <w:jc w:val="center"/>
              <w:keepNext w:val="0"/>
            </w:pPr>
            <w:r>
              <w:t xml:space="preserve">№</w:t>
            </w:r>
            <w:r>
              <w:br/>
              <w:t xml:space="preserve">п/п</w:t>
            </w:r>
            <w:r/>
          </w:p>
        </w:tc>
        <w:tc>
          <w:tcPr>
            <w:tcW w:w="5670" w:type="dxa"/>
            <w:textDirection w:val="lrTb"/>
            <w:noWrap w:val="false"/>
          </w:tcPr>
          <w:p>
            <w:pPr>
              <w:pStyle w:val="1180"/>
              <w:jc w:val="center"/>
              <w:keepNext w:val="0"/>
            </w:pPr>
            <w:r>
              <w:t xml:space="preserve">Требования к Генеральн</w:t>
            </w:r>
            <w:r>
              <w:t xml:space="preserve">ому</w:t>
            </w:r>
            <w:r>
              <w:t xml:space="preserve"> </w:t>
            </w:r>
            <w:r>
              <w:t xml:space="preserve">подрядчику</w:t>
            </w:r>
            <w:r/>
          </w:p>
        </w:tc>
        <w:tc>
          <w:tcPr>
            <w:tcW w:w="8327" w:type="dxa"/>
            <w:textDirection w:val="lrTb"/>
            <w:noWrap w:val="false"/>
          </w:tcPr>
          <w:p>
            <w:pPr>
              <w:pStyle w:val="1180"/>
              <w:jc w:val="center"/>
              <w:keepNext w:val="0"/>
            </w:pPr>
            <w:r>
              <w:t xml:space="preserve">Требования к документам, подтверждающим соответствие</w:t>
            </w:r>
            <w:r>
              <w:br/>
            </w:r>
            <w:r>
              <w:t xml:space="preserve">Генерального подрядчика установленным требованиям</w:t>
            </w:r>
            <w:r/>
          </w:p>
        </w:tc>
      </w:tr>
      <w:tr>
        <w:tblPrEx/>
        <w:trPr/>
        <w:tc>
          <w:tcPr>
            <w:tcW w:w="1129" w:type="dxa"/>
            <w:textDirection w:val="lrTb"/>
            <w:noWrap w:val="false"/>
          </w:tcPr>
          <w:p>
            <w:pPr>
              <w:pStyle w:val="1180"/>
              <w:numPr>
                <w:ilvl w:val="0"/>
                <w:numId w:val="11"/>
              </w:numPr>
              <w:ind w:left="284" w:firstLine="0"/>
              <w:jc w:val="center"/>
            </w:pPr>
            <w:r/>
            <w:r/>
          </w:p>
        </w:tc>
        <w:tc>
          <w:tcPr>
            <w:tcW w:w="5670" w:type="dxa"/>
            <w:textDirection w:val="lrTb"/>
            <w:noWrap w:val="false"/>
          </w:tcPr>
          <w:p>
            <w:pPr>
              <w:pStyle w:val="1180"/>
            </w:pPr>
            <w:r>
              <w:t xml:space="preserve">Дополнительные т</w:t>
            </w:r>
            <w:r>
              <w:t xml:space="preserve">ребования не установлены.</w:t>
            </w:r>
            <w:r/>
          </w:p>
        </w:tc>
        <w:tc>
          <w:tcPr>
            <w:tcW w:w="8327" w:type="dxa"/>
            <w:textDirection w:val="lrTb"/>
            <w:noWrap w:val="false"/>
          </w:tcPr>
          <w:p>
            <w:pPr>
              <w:pStyle w:val="1180"/>
            </w:pPr>
            <w:r>
              <w:t xml:space="preserve">Дополнительные т</w:t>
            </w:r>
            <w:r>
              <w:t xml:space="preserve">ребования не установлены.</w:t>
            </w:r>
            <w:r/>
          </w:p>
        </w:tc>
      </w:tr>
    </w:tbl>
    <w:p>
      <w:pPr>
        <w:pStyle w:val="1180"/>
        <w:sectPr>
          <w:footnotePr/>
          <w:endnotePr/>
          <w:type w:val="nextPage"/>
          <w:pgSz w:w="16838" w:h="11906" w:orient="landscape"/>
          <w:pgMar w:top="1134" w:right="851" w:bottom="850" w:left="851" w:header="567" w:footer="567" w:gutter="0"/>
          <w:cols w:num="1" w:sep="0" w:space="708" w:equalWidth="1"/>
          <w:docGrid w:linePitch="360"/>
        </w:sectPr>
      </w:pPr>
      <w:r/>
      <w:r/>
    </w:p>
    <w:p>
      <w:pPr>
        <w:pStyle w:val="1174"/>
      </w:pPr>
      <w:r/>
      <w:bookmarkStart w:id="336" w:name="Прил04_ФормыЗаявки"/>
      <w:r/>
      <w:bookmarkStart w:id="337" w:name="_Ref125362865"/>
      <w:r/>
      <w:bookmarkStart w:id="338" w:name="_Ref125362900"/>
      <w:r/>
      <w:bookmarkStart w:id="339" w:name="_Toc232579460"/>
      <w:r/>
      <w:bookmarkEnd w:id="336"/>
      <w:r>
        <w:t xml:space="preserve">Приложение № </w:t>
      </w:r>
      <w:r>
        <w:t xml:space="preserve">4</w:t>
      </w:r>
      <w:r>
        <w:t xml:space="preserve"> </w:t>
      </w:r>
      <w:r>
        <w:t xml:space="preserve">– </w:t>
      </w:r>
      <w:r>
        <w:t xml:space="preserve">Образцы форм документов, включаемых в состав заявки</w:t>
      </w:r>
      <w:bookmarkEnd w:id="339"/>
      <w:r/>
      <w:r/>
    </w:p>
    <w:p>
      <w:pPr>
        <w:pStyle w:val="1175"/>
      </w:pPr>
      <w:r/>
      <w:bookmarkStart w:id="340" w:name="_Toc232579461"/>
      <w:r>
        <w:t xml:space="preserve">Пояснения к Образца</w:t>
      </w:r>
      <w:r>
        <w:t xml:space="preserve">м</w:t>
      </w:r>
      <w:r>
        <w:t xml:space="preserve"> форм документов, включаемых в состав заявки</w:t>
      </w:r>
      <w:bookmarkEnd w:id="340"/>
      <w:r/>
      <w:r/>
    </w:p>
    <w:p>
      <w:pPr>
        <w:pStyle w:val="1176"/>
      </w:pPr>
      <w:r>
        <w:t xml:space="preserve">Образцы форм документов, включаемых в состав заявки</w:t>
      </w:r>
      <w:r>
        <w:t xml:space="preserve"> (с инструкциями по их оформлению)</w:t>
      </w:r>
      <w:r>
        <w:t xml:space="preserve">, приведены в</w:t>
      </w:r>
      <w:r>
        <w:t xml:space="preserve"> </w:t>
      </w:r>
      <w:r>
        <w:t xml:space="preserve">отдельном файле </w:t>
      </w:r>
      <w:r>
        <w:t xml:space="preserve">(</w:t>
      </w:r>
      <w:r>
        <w:t xml:space="preserve">предоставляются отдельным документом в составе Документации о</w:t>
      </w:r>
      <w:r>
        <w:t xml:space="preserve"> </w:t>
      </w:r>
      <w:r>
        <w:t xml:space="preserve">закупке</w:t>
      </w:r>
      <w:r>
        <w:t xml:space="preserve">)</w:t>
      </w:r>
      <w:r>
        <w:t xml:space="preserve">, </w:t>
      </w:r>
      <w:r>
        <w:t xml:space="preserve">являющимся Приложением № </w:t>
      </w:r>
      <w:r>
        <w:t xml:space="preserve">4</w:t>
      </w:r>
      <w:r>
        <w:t xml:space="preserve"> к Документации о</w:t>
      </w:r>
      <w:r>
        <w:t xml:space="preserve"> </w:t>
      </w:r>
      <w:r>
        <w:t xml:space="preserve">закупке.</w:t>
      </w:r>
      <w:r/>
    </w:p>
    <w:p>
      <w:pPr>
        <w:pStyle w:val="1174"/>
      </w:pPr>
      <w:r/>
      <w:bookmarkStart w:id="341" w:name="Прил05_ФормыПобедителя"/>
      <w:r/>
      <w:bookmarkStart w:id="342" w:name="_Toc232579462"/>
      <w:r/>
      <w:bookmarkEnd w:id="341"/>
      <w:r>
        <w:t xml:space="preserve">Приложение № 5 </w:t>
      </w:r>
      <w:r>
        <w:t xml:space="preserve">– </w:t>
      </w:r>
      <w:r>
        <w:t xml:space="preserve">Образцы форм документов, предоставляемых Победителем</w:t>
      </w:r>
      <w:bookmarkEnd w:id="342"/>
      <w:r/>
      <w:r/>
    </w:p>
    <w:p>
      <w:pPr>
        <w:pStyle w:val="1175"/>
        <w:contextualSpacing w:val="0"/>
        <w:jc w:val="left"/>
        <w:keepNext w:val="0"/>
        <w:widowControl w:val="off"/>
        <w:suppressLineNumbers w:val="0"/>
      </w:pPr>
      <w:r/>
      <w:bookmarkStart w:id="343" w:name="_Toc232579463"/>
      <w:r>
        <w:t xml:space="preserve">Пояснения к Образцам форм документов, предоставляемых Победителем</w:t>
      </w:r>
      <w:bookmarkEnd w:id="343"/>
      <w:r/>
      <w:r/>
    </w:p>
    <w:p>
      <w:pPr>
        <w:pStyle w:val="1176"/>
        <w:contextualSpacing w:val="0"/>
        <w:jc w:val="left"/>
        <w:keepNext w:val="0"/>
        <w:widowControl w:val="off"/>
        <w:suppressLineNumbers w:val="0"/>
      </w:pPr>
      <w:r>
        <w:t xml:space="preserve">Образцы форм документов, предоставляемых Победителем (или </w:t>
      </w:r>
      <w:r>
        <w:t xml:space="preserve">Единственным </w:t>
      </w:r>
      <w:r>
        <w:t xml:space="preserve">участником, в случае признания закупки несостоявшейся и принятия решения о </w:t>
      </w:r>
      <w:r>
        <w:t xml:space="preserve">заключ</w:t>
      </w:r>
      <w:r>
        <w:t xml:space="preserve">ени</w:t>
      </w:r>
      <w:r>
        <w:t xml:space="preserve">и</w:t>
      </w:r>
      <w:r>
        <w:t xml:space="preserve"> договор</w:t>
      </w:r>
      <w:r>
        <w:t xml:space="preserve">а</w:t>
      </w:r>
      <w:r>
        <w:t xml:space="preserve"> с </w:t>
      </w:r>
      <w:r>
        <w:t xml:space="preserve">ее </w:t>
      </w:r>
      <w:r>
        <w:t xml:space="preserve">Е</w:t>
      </w:r>
      <w:r>
        <w:t xml:space="preserve">динственным </w:t>
      </w:r>
      <w:r>
        <w:t xml:space="preserve">у</w:t>
      </w:r>
      <w:r>
        <w:t xml:space="preserve">частником</w:t>
      </w:r>
      <w:r>
        <w:t xml:space="preserve">), а</w:t>
      </w:r>
      <w:r>
        <w:t xml:space="preserve"> </w:t>
      </w:r>
      <w:r>
        <w:t xml:space="preserve">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t xml:space="preserve">10.2</w:t>
      </w:r>
      <w:r>
        <w:fldChar w:fldCharType="end"/>
      </w:r>
      <w:r>
        <w:t xml:space="preserve">, </w:t>
      </w:r>
      <w:r>
        <w:fldChar w:fldCharType="begin"/>
      </w:r>
      <w:r>
        <w:instrText xml:space="preserve"> REF _Ref130395475 \r \h </w:instrText>
      </w:r>
      <w:r>
        <w:fldChar w:fldCharType="separate"/>
      </w:r>
      <w:r>
        <w:t xml:space="preserve">10.3</w:t>
      </w:r>
      <w:r>
        <w:fldChar w:fldCharType="end"/>
      </w:r>
      <w:r>
        <w:t xml:space="preserve">.</w:t>
      </w:r>
      <w:r/>
    </w:p>
    <w:p>
      <w:pPr>
        <w:pStyle w:val="1175"/>
        <w:contextualSpacing w:val="0"/>
        <w:jc w:val="both"/>
        <w:keepNext w:val="0"/>
        <w:widowControl w:val="off"/>
        <w:suppressLineNumbers w:val="0"/>
      </w:pPr>
      <w:r/>
      <w:bookmarkStart w:id="344" w:name="_Ref130395470"/>
      <w:r/>
      <w:bookmarkStart w:id="345" w:name="_Toc232579464"/>
      <w:r>
        <w:t xml:space="preserve">Форма справки «Сведения о цепочке собственников, включая бенефициаров (в том числе конечных)»</w:t>
      </w:r>
      <w:bookmarkEnd w:id="344"/>
      <w:r/>
      <w:bookmarkEnd w:id="345"/>
      <w:r/>
      <w:r/>
    </w:p>
    <w:p>
      <w:pPr>
        <w:pStyle w:val="1176"/>
        <w:contextualSpacing w:val="0"/>
        <w:jc w:val="both"/>
        <w:keepNext w:val="0"/>
        <w:widowControl w:val="off"/>
        <w:suppressLineNumbers w:val="0"/>
      </w:pPr>
      <w:r>
        <w:t xml:space="preserve">Справка «Сведения о цепочке собственников, включая бенефициаров (в том числе конечных)» предоставляется Победителем закупки (поставщиком).</w:t>
      </w:r>
      <w:r/>
    </w:p>
    <w:p>
      <w:pPr>
        <w:pStyle w:val="1176"/>
        <w:contextualSpacing w:val="0"/>
        <w:jc w:val="both"/>
        <w:keepNext w:val="0"/>
        <w:widowControl w:val="off"/>
        <w:suppressLineNumbers w:val="0"/>
      </w:pPr>
      <w:r>
        <w:t xml:space="preserve">Форма справки «Сведения о цепочке собственников, включая бенефициаров (в том числе конечных)» </w:t>
      </w:r>
      <w:r>
        <w:rPr>
          <w:lang w:val="en-US"/>
        </w:rPr>
        <w:t xml:space="preserve">c</w:t>
      </w:r>
      <w:r>
        <w:t xml:space="preserve"> </w:t>
      </w:r>
      <w:r>
        <w:t xml:space="preserve">приложением 1 «</w:t>
      </w:r>
      <w:r>
        <w:t xml:space="preserve">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 xml:space="preserve">Microsoft</w:t>
      </w:r>
      <w:r>
        <w:t xml:space="preserve"> </w:t>
      </w:r>
      <w:r>
        <w:rPr>
          <w:lang w:val="en-US"/>
        </w:rPr>
        <w:t xml:space="preserve">Word</w:t>
      </w:r>
      <w:r>
        <w:t xml:space="preserve">:</w:t>
      </w:r>
      <w:r/>
    </w:p>
    <w:p>
      <w:pPr>
        <w:pStyle w:val="1180"/>
        <w:contextualSpacing w:val="0"/>
        <w:jc w:val="center"/>
        <w:keepNext w:val="0"/>
        <w:widowControl w:val="off"/>
        <w:suppressLineNumbers w:val="0"/>
      </w:pPr>
      <w:r/>
      <w:bookmarkStart w:id="346" w:name="_MON_1741074142"/>
      <w:r/>
      <w:bookmarkEnd w:id="346"/>
      <w:r>
        <mc:AlternateContent>
          <mc:Choice Requires="wpg">
            <w:drawing>
              <wp:inline xmlns:wp="http://schemas.openxmlformats.org/drawingml/2006/wordprocessingDrawing" distT="0" distB="0" distL="0" distR="0">
                <wp:extent cx="859450" cy="476000"/>
                <wp:effectExtent l="6350" t="6350" r="6350" b="6350"/>
                <wp:docPr id="2" name="_x0000_i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8">
                          <a:extLst>
                            <a:ext uri="{96DAC541-7B7A-43D3-8B79-37D633B846F1}">
                              <asvg:svgBlip xmlns:asvg="http://schemas.microsoft.com/office/drawing/2016/SVG/main" r:embed="rId19"/>
                            </a:ext>
                          </a:extLst>
                        </a:blip>
                        <a:stretch/>
                      </pic:blipFill>
                      <pic:spPr bwMode="auto">
                        <a:xfrm flipH="0" flipV="0">
                          <a:off x="0" y="0"/>
                          <a:ext cx="859449" cy="475999"/>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67.67pt;height:37.48pt;mso-wrap-distance-left:0.00pt;mso-wrap-distance-top:0.00pt;mso-wrap-distance-right:0.00pt;mso-wrap-distance-bottom:0.00pt;" stroked="f">
                <v:path textboxrect="0,0,0,0"/>
                <v:imagedata r:id="rId18" o:title=""/>
              </v:shape>
            </w:pict>
          </mc:Fallback>
        </mc:AlternateContent>
      </w:r>
      <w:r/>
    </w:p>
    <w:p>
      <w:pPr>
        <w:pStyle w:val="1175"/>
        <w:contextualSpacing w:val="0"/>
        <w:jc w:val="both"/>
        <w:keepNext w:val="0"/>
        <w:widowControl w:val="off"/>
        <w:suppressLineNumbers w:val="0"/>
      </w:pPr>
      <w:r/>
      <w:bookmarkStart w:id="347" w:name="_Ref130395475"/>
      <w:r/>
      <w:bookmarkStart w:id="348" w:name="_Toc232579465"/>
      <w:r>
        <w:t xml:space="preserve">Форма «Заверение об обстоятельствах»</w:t>
      </w:r>
      <w:bookmarkEnd w:id="347"/>
      <w:r/>
      <w:bookmarkEnd w:id="348"/>
      <w:r/>
      <w:r/>
    </w:p>
    <w:p>
      <w:pPr>
        <w:pStyle w:val="1176"/>
        <w:contextualSpacing w:val="0"/>
        <w:jc w:val="both"/>
        <w:keepNext w:val="0"/>
        <w:spacing w:before="0" w:after="0" w:line="240" w:lineRule="auto"/>
        <w:widowControl w:val="off"/>
        <w:suppressLineNumbers w:val="0"/>
      </w:pPr>
      <w:r>
        <w:t xml:space="preserve">Форма Заверени</w:t>
      </w:r>
      <w:r>
        <w:t xml:space="preserve">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xml:space="preserve"> </w:t>
      </w:r>
      <w:r>
        <w:t xml:space="preserve">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xml:space="preserve"> </w:t>
      </w:r>
      <w:r>
        <w:t xml:space="preserve">(трех) рабочих дней с даты официального размещения Организатором итогового протокола по результатам закупки.</w:t>
      </w:r>
      <w:r/>
    </w:p>
    <w:p>
      <w:pPr>
        <w:pStyle w:val="1176"/>
        <w:contextualSpacing w:val="0"/>
        <w:jc w:val="both"/>
        <w:keepNext w:val="0"/>
        <w:spacing w:before="0" w:after="0" w:line="240" w:lineRule="auto"/>
        <w:widowControl w:val="off"/>
        <w:suppressLineNumbers w:val="0"/>
      </w:pPr>
      <w:r>
        <w:t xml:space="preserve">Победител</w:t>
      </w:r>
      <w:r>
        <w:t xml:space="preserve">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t xml:space="preserve">у</w:t>
      </w:r>
      <w:r>
        <w:t xml:space="preserve">ставом, внутренними документами и отдельными решениями органов управления Поставщика, для</w:t>
      </w:r>
      <w:r>
        <w:t xml:space="preserve"> </w:t>
      </w:r>
      <w:r>
        <w:t xml:space="preserve">последующего заключения Договора по предмету настоящей закупки.</w:t>
      </w:r>
      <w:r/>
    </w:p>
    <w:p>
      <w:pPr>
        <w:pStyle w:val="1176"/>
        <w:contextualSpacing w:val="0"/>
        <w:jc w:val="both"/>
        <w:keepNext w:val="0"/>
        <w:spacing w:before="0" w:after="0" w:line="240" w:lineRule="auto"/>
        <w:widowControl w:val="off"/>
        <w:suppressLineNumbers w:val="0"/>
      </w:pPr>
      <w:r>
        <w:t xml:space="preserve">Заверение об обстоятельствах следует оформить на официальном бланке Победителя закупки (поставщика) (с указанием даты и</w:t>
      </w:r>
      <w:r>
        <w:t xml:space="preserve">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r/>
    </w:p>
    <w:p>
      <w:pPr>
        <w:pStyle w:val="1176"/>
        <w:contextualSpacing w:val="0"/>
        <w:jc w:val="both"/>
        <w:keepNext w:val="0"/>
        <w:spacing w:before="0" w:after="0" w:line="240" w:lineRule="auto"/>
        <w:widowControl w:val="off"/>
        <w:suppressLineNumbers w:val="0"/>
      </w:pPr>
      <w:r>
        <w:t xml:space="preserve">Форма «Заверение об обстоятельствах» приведена в отдельном файле в формате </w:t>
      </w:r>
      <w:r>
        <w:rPr>
          <w:lang w:val="en-US"/>
        </w:rPr>
        <w:t xml:space="preserve">Microsoft</w:t>
      </w:r>
      <w:r>
        <w:t xml:space="preserve"> </w:t>
      </w:r>
      <w:r>
        <w:rPr>
          <w:lang w:val="en-US"/>
        </w:rPr>
        <w:t xml:space="preserve">Word</w:t>
      </w:r>
      <w:r>
        <w:t xml:space="preserve">:</w:t>
      </w:r>
      <w:r/>
    </w:p>
    <w:p>
      <w:pPr>
        <w:pStyle w:val="1180"/>
        <w:jc w:val="center"/>
        <w:spacing w:after="120"/>
      </w:pPr>
      <w:r/>
      <w:bookmarkStart w:id="349" w:name="_MON_1741074184"/>
      <w:r/>
      <w:bookmarkEnd w:id="349"/>
      <w:r>
        <mc:AlternateContent>
          <mc:Choice Requires="wpg">
            <w:drawing>
              <wp:inline xmlns:wp="http://schemas.openxmlformats.org/drawingml/2006/wordprocessingDrawing" distT="0" distB="0" distL="0" distR="0">
                <wp:extent cx="931250" cy="464931"/>
                <wp:effectExtent l="6350" t="6350" r="6350" b="6350"/>
                <wp:docPr id="3" name="_x0000_i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
                          <a:extLst>
                            <a:ext uri="{96DAC541-7B7A-43D3-8B79-37D633B846F1}">
                              <asvg:svgBlip xmlns:asvg="http://schemas.microsoft.com/office/drawing/2016/SVG/main" r:embed="rId21"/>
                            </a:ext>
                          </a:extLst>
                        </a:blip>
                        <a:stretch/>
                      </pic:blipFill>
                      <pic:spPr bwMode="auto">
                        <a:xfrm flipH="0" flipV="0">
                          <a:off x="0" y="0"/>
                          <a:ext cx="931248" cy="464931"/>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73.33pt;height:36.61pt;mso-wrap-distance-left:0.00pt;mso-wrap-distance-top:0.00pt;mso-wrap-distance-right:0.00pt;mso-wrap-distance-bottom:0.00pt;" stroked="f">
                <v:path textboxrect="0,0,0,0"/>
                <v:imagedata r:id="rId20" o:title=""/>
              </v:shape>
            </w:pict>
          </mc:Fallback>
        </mc:AlternateContent>
      </w:r>
      <w:r/>
    </w:p>
    <w:p>
      <w:pPr>
        <w:pStyle w:val="1174"/>
      </w:pPr>
      <w:r/>
      <w:bookmarkStart w:id="350" w:name="Прил06_СоставЗаявки"/>
      <w:r/>
      <w:bookmarkStart w:id="351" w:name="_Toc232579466"/>
      <w:r/>
      <w:bookmarkEnd w:id="350"/>
      <w:r>
        <w:t xml:space="preserve">Приложение № </w:t>
      </w:r>
      <w:r>
        <w:t xml:space="preserve">6</w:t>
      </w:r>
      <w:r>
        <w:t xml:space="preserve"> – Состав заявки</w:t>
      </w:r>
      <w:bookmarkEnd w:id="337"/>
      <w:r/>
      <w:bookmarkEnd w:id="338"/>
      <w:r/>
      <w:bookmarkEnd w:id="351"/>
      <w:r/>
      <w:r/>
    </w:p>
    <w:p>
      <w:pPr>
        <w:pStyle w:val="1175"/>
      </w:pPr>
      <w:r/>
      <w:bookmarkStart w:id="352" w:name="_Toc232579467"/>
      <w:r>
        <w:t xml:space="preserve">Состав заявки</w:t>
      </w:r>
      <w:bookmarkEnd w:id="352"/>
      <w:r/>
      <w:r/>
    </w:p>
    <w:p>
      <w:pPr>
        <w:pStyle w:val="1176"/>
        <w:spacing w:after="120"/>
      </w:pPr>
      <w:r>
        <w:t xml:space="preserve">Заявка на участие в закупке должна содержать следующий комплект документов</w:t>
      </w:r>
      <w:r>
        <w:t xml:space="preserve"> (</w:t>
      </w:r>
      <w:r>
        <w:t xml:space="preserve">по установленным формам и в соответствии с инструкциями, приведенными </w:t>
      </w:r>
      <w:r>
        <w:t xml:space="preserve">в </w:t>
      </w:r>
      <w:hyperlink w:tooltip="#Прил04_ФормыЗаявки" w:anchor="Прил04_ФормыЗаявки" w:history="1">
        <w:r>
          <w:rPr>
            <w:rStyle w:val="1204"/>
          </w:rPr>
          <w:t xml:space="preserve">Приложени</w:t>
        </w:r>
        <w:r>
          <w:rPr>
            <w:rStyle w:val="1204"/>
          </w:rPr>
          <w:t xml:space="preserve">и</w:t>
        </w:r>
        <w:r>
          <w:rPr>
            <w:rStyle w:val="1204"/>
          </w:rPr>
          <w:t xml:space="preserve"> № </w:t>
        </w:r>
        <w:r>
          <w:rPr>
            <w:rStyle w:val="1204"/>
          </w:rPr>
          <w:t xml:space="preserve">4</w:t>
        </w:r>
      </w:hyperlink>
      <w:r>
        <w:t xml:space="preserve">)</w:t>
      </w:r>
      <w:r>
        <w:t xml:space="preserve">:</w:t>
      </w:r>
      <w:r/>
    </w:p>
    <w:tbl>
      <w:tblPr>
        <w:tblStyle w:val="1201"/>
        <w:tblW w:w="0" w:type="auto"/>
        <w:tblInd w:w="1129" w:type="dxa"/>
        <w:tblLook w:val="04A0" w:firstRow="1" w:lastRow="0" w:firstColumn="1" w:lastColumn="0" w:noHBand="0" w:noVBand="1"/>
      </w:tblPr>
      <w:tblGrid>
        <w:gridCol w:w="709"/>
        <w:gridCol w:w="8074"/>
      </w:tblGrid>
      <w:tr>
        <w:tblPrEx/>
        <w:trPr/>
        <w:tc>
          <w:tcPr>
            <w:tcW w:w="709" w:type="dxa"/>
            <w:textDirection w:val="lrTb"/>
            <w:noWrap w:val="false"/>
          </w:tcPr>
          <w:p>
            <w:pPr>
              <w:pStyle w:val="1180"/>
              <w:jc w:val="center"/>
            </w:pPr>
            <w:r>
              <w:t xml:space="preserve">№</w:t>
            </w:r>
            <w:r>
              <w:br/>
              <w:t xml:space="preserve">п/п</w:t>
            </w:r>
            <w:r/>
          </w:p>
        </w:tc>
        <w:tc>
          <w:tcPr>
            <w:tcW w:w="8074" w:type="dxa"/>
            <w:textDirection w:val="lrTb"/>
            <w:noWrap w:val="false"/>
          </w:tcPr>
          <w:p>
            <w:pPr>
              <w:pStyle w:val="1180"/>
              <w:jc w:val="center"/>
            </w:pPr>
            <w:r>
              <w:t xml:space="preserve">Наименование документа</w:t>
            </w:r>
            <w:r/>
          </w:p>
        </w:tc>
      </w:tr>
      <w:tr>
        <w:tblPrEx/>
        <w:trPr/>
        <w:tc>
          <w:tcPr>
            <w:tcW w:w="709" w:type="dxa"/>
            <w:textDirection w:val="lrTb"/>
            <w:noWrap w:val="false"/>
          </w:tcPr>
          <w:p>
            <w:pPr>
              <w:pStyle w:val="1180"/>
              <w:numPr>
                <w:ilvl w:val="0"/>
                <w:numId w:val="6"/>
              </w:numPr>
              <w:ind w:left="170" w:firstLine="0"/>
              <w:jc w:val="center"/>
            </w:pPr>
            <w:r/>
            <w:r/>
          </w:p>
        </w:tc>
        <w:tc>
          <w:tcPr>
            <w:tcW w:w="8074" w:type="dxa"/>
            <w:textDirection w:val="lrTb"/>
            <w:noWrap w:val="false"/>
          </w:tcPr>
          <w:p>
            <w:pPr>
              <w:pStyle w:val="1180"/>
            </w:pPr>
            <w:r>
              <w:t xml:space="preserve">Опись документов (форма 1) – носит рекомендательный характер и не обязательна к предоставлению в составе заявки;</w:t>
            </w:r>
            <w:r/>
          </w:p>
        </w:tc>
      </w:tr>
      <w:tr>
        <w:tblPrEx/>
        <w:trPr/>
        <w:tc>
          <w:tcPr>
            <w:tcW w:w="709" w:type="dxa"/>
            <w:textDirection w:val="lrTb"/>
            <w:noWrap w:val="false"/>
          </w:tcPr>
          <w:p>
            <w:pPr>
              <w:pStyle w:val="1180"/>
              <w:numPr>
                <w:ilvl w:val="0"/>
                <w:numId w:val="6"/>
              </w:numPr>
              <w:ind w:left="170" w:firstLine="0"/>
              <w:jc w:val="center"/>
            </w:pPr>
            <w:r/>
            <w:r/>
          </w:p>
        </w:tc>
        <w:tc>
          <w:tcPr>
            <w:tcW w:w="8074" w:type="dxa"/>
            <w:textDirection w:val="lrTb"/>
            <w:noWrap w:val="false"/>
          </w:tcPr>
          <w:p>
            <w:pPr>
              <w:pStyle w:val="1180"/>
            </w:pPr>
            <w:r>
              <w:t xml:space="preserve">Письмо о подаче оферты (форма 2);</w:t>
            </w:r>
            <w:r/>
          </w:p>
        </w:tc>
      </w:tr>
      <w:tr>
        <w:tblPrEx/>
        <w:trPr/>
        <w:tc>
          <w:tcPr>
            <w:tcW w:w="709" w:type="dxa"/>
            <w:textDirection w:val="lrTb"/>
            <w:noWrap w:val="false"/>
          </w:tcPr>
          <w:p>
            <w:pPr>
              <w:pStyle w:val="1180"/>
              <w:numPr>
                <w:ilvl w:val="0"/>
                <w:numId w:val="6"/>
              </w:numPr>
              <w:ind w:left="170" w:firstLine="0"/>
              <w:jc w:val="center"/>
            </w:pPr>
            <w:r/>
            <w:r/>
          </w:p>
        </w:tc>
        <w:tc>
          <w:tcPr>
            <w:tcW w:w="8074" w:type="dxa"/>
            <w:textDirection w:val="lrTb"/>
            <w:noWrap w:val="false"/>
          </w:tcPr>
          <w:p>
            <w:pPr>
              <w:pStyle w:val="1180"/>
            </w:pPr>
            <w:r>
              <w:t xml:space="preserve">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r>
              <w:rPr>
                <w:highlight w:val="darkGray"/>
              </w:rPr>
              <w:t xml:space="preserve"> (</w:t>
            </w:r>
            <w:r>
              <w:rPr>
                <w:i/>
                <w:highlight w:val="darkGray"/>
              </w:rPr>
              <w:t xml:space="preserve">не требуется в данной закупке</w:t>
            </w:r>
            <w:r>
              <w:rPr>
                <w:highlight w:val="darkGray"/>
              </w:rPr>
              <w:t xml:space="preserve">);</w:t>
            </w:r>
            <w:r/>
          </w:p>
        </w:tc>
      </w:tr>
      <w:tr>
        <w:tblPrEx/>
        <w:trPr/>
        <w:tc>
          <w:tcPr>
            <w:tcW w:w="709" w:type="dxa"/>
            <w:textDirection w:val="lrTb"/>
            <w:noWrap w:val="false"/>
          </w:tcPr>
          <w:p>
            <w:pPr>
              <w:pStyle w:val="1180"/>
              <w:numPr>
                <w:ilvl w:val="0"/>
                <w:numId w:val="6"/>
              </w:numPr>
              <w:ind w:left="170" w:firstLine="0"/>
              <w:jc w:val="center"/>
            </w:pPr>
            <w:r/>
            <w:r/>
          </w:p>
        </w:tc>
        <w:tc>
          <w:tcPr>
            <w:tcW w:w="8074" w:type="dxa"/>
            <w:textDirection w:val="lrTb"/>
            <w:noWrap w:val="false"/>
          </w:tcPr>
          <w:p>
            <w:pPr>
              <w:pStyle w:val="1180"/>
            </w:pPr>
            <w:r>
              <w:t xml:space="preserve">Коммерческое предложение</w:t>
            </w:r>
            <w:r>
              <w:t xml:space="preserve"> (включая Структуру НМЦ)</w:t>
            </w:r>
            <w:r>
              <w:t xml:space="preserve"> (форма 3)</w:t>
            </w:r>
            <w:r>
              <w:t xml:space="preserve">;</w:t>
            </w:r>
            <w:r>
              <w:t xml:space="preserve"> также дополнительно предоставля</w:t>
            </w:r>
            <w:r>
              <w:t xml:space="preserve">е</w:t>
            </w:r>
            <w:r>
              <w:t xml:space="preserve">тся</w:t>
            </w:r>
            <w:r>
              <w:t xml:space="preserve"> </w:t>
            </w:r>
            <w:r>
              <w:t xml:space="preserve">подтверждающая документация, составленная в</w:t>
            </w:r>
            <w:r>
              <w:t xml:space="preserve"> </w:t>
            </w:r>
            <w:r>
              <w:t xml:space="preserve">соответствии с</w:t>
            </w:r>
            <w:r>
              <w:t xml:space="preserve"> </w:t>
            </w:r>
            <w:hyperlink w:tooltip="#Прил01_ТехТребования" w:anchor="Прил01_ТехТребования" w:history="1">
              <w:r>
                <w:rPr>
                  <w:rStyle w:val="1204"/>
                </w:rPr>
                <w:t xml:space="preserve">Технически</w:t>
              </w:r>
              <w:r>
                <w:rPr>
                  <w:rStyle w:val="1204"/>
                </w:rPr>
                <w:t xml:space="preserve">ми</w:t>
              </w:r>
              <w:r>
                <w:rPr>
                  <w:rStyle w:val="1204"/>
                </w:rPr>
                <w:t xml:space="preserve"> требования</w:t>
              </w:r>
              <w:r>
                <w:rPr>
                  <w:rStyle w:val="1204"/>
                </w:rPr>
                <w:t xml:space="preserve">ми (Приложение № 1)</w:t>
              </w:r>
            </w:hyperlink>
            <w:r>
              <w:t xml:space="preserve"> – </w:t>
            </w:r>
            <w:r>
              <w:t xml:space="preserve">только</w:t>
            </w:r>
            <w:r>
              <w:t xml:space="preserve"> если в</w:t>
            </w:r>
            <w:r>
              <w:t xml:space="preserve"> </w:t>
            </w:r>
            <w:r>
              <w:t xml:space="preserve">Технических требованиях установлены требования к</w:t>
            </w:r>
            <w:r>
              <w:t xml:space="preserve"> </w:t>
            </w:r>
            <w:r>
              <w:t xml:space="preserve">документации по</w:t>
            </w:r>
            <w:r>
              <w:t xml:space="preserve"> </w:t>
            </w:r>
            <w:r>
              <w:t xml:space="preserve">ценообразованию</w:t>
            </w:r>
            <w:r>
              <w:t xml:space="preserve"> (подраздел «</w:t>
            </w:r>
            <w:r>
              <w:t xml:space="preserve">Требования к</w:t>
            </w:r>
            <w:r>
              <w:t xml:space="preserve"> </w:t>
            </w:r>
            <w:r>
              <w:t xml:space="preserve">документации по</w:t>
            </w:r>
            <w:r>
              <w:t xml:space="preserve"> </w:t>
            </w:r>
            <w:r>
              <w:t xml:space="preserve">ценообразованию на этапе закупки</w:t>
            </w:r>
            <w:r>
              <w:t xml:space="preserve">»)</w:t>
            </w:r>
            <w:r>
              <w:t xml:space="preserve"> либо аналогичн</w:t>
            </w:r>
            <w:r>
              <w:t xml:space="preserve">ые</w:t>
            </w:r>
            <w:r>
              <w:t xml:space="preserve"> по смыслу</w:t>
            </w:r>
            <w:r>
              <w:t xml:space="preserve">;</w:t>
            </w:r>
            <w:r/>
          </w:p>
        </w:tc>
      </w:tr>
      <w:tr>
        <w:tblPrEx/>
        <w:trPr/>
        <w:tc>
          <w:tcPr>
            <w:tcW w:w="709" w:type="dxa"/>
            <w:textDirection w:val="lrTb"/>
            <w:noWrap w:val="false"/>
          </w:tcPr>
          <w:p>
            <w:pPr>
              <w:pStyle w:val="1180"/>
              <w:numPr>
                <w:ilvl w:val="0"/>
                <w:numId w:val="6"/>
              </w:numPr>
              <w:ind w:left="170" w:firstLine="0"/>
              <w:jc w:val="center"/>
            </w:pPr>
            <w:r/>
            <w:r/>
          </w:p>
        </w:tc>
        <w:tc>
          <w:tcPr>
            <w:tcW w:w="8074" w:type="dxa"/>
            <w:textDirection w:val="lrTb"/>
            <w:noWrap w:val="false"/>
          </w:tcPr>
          <w:p>
            <w:pPr>
              <w:pStyle w:val="1180"/>
            </w:pPr>
            <w:r>
              <w:t xml:space="preserve">Техническое предложение (форма 4);</w:t>
            </w:r>
            <w:r/>
          </w:p>
        </w:tc>
      </w:tr>
      <w:tr>
        <w:tblPrEx/>
        <w:trPr/>
        <w:tc>
          <w:tcPr>
            <w:tcW w:w="709" w:type="dxa"/>
            <w:textDirection w:val="lrTb"/>
            <w:noWrap w:val="false"/>
          </w:tcPr>
          <w:p>
            <w:pPr>
              <w:pStyle w:val="1180"/>
              <w:numPr>
                <w:ilvl w:val="0"/>
                <w:numId w:val="6"/>
              </w:numPr>
              <w:ind w:left="170" w:firstLine="0"/>
              <w:jc w:val="center"/>
            </w:pPr>
            <w:r/>
            <w:r/>
          </w:p>
        </w:tc>
        <w:tc>
          <w:tcPr>
            <w:tcW w:w="8074" w:type="dxa"/>
            <w:textDirection w:val="lrTb"/>
            <w:noWrap w:val="false"/>
          </w:tcPr>
          <w:p>
            <w:pPr>
              <w:pStyle w:val="1180"/>
              <w:rPr>
                <w:highlight w:val="darkGray"/>
              </w:rPr>
            </w:pPr>
            <w:r>
              <w:t xml:space="preserve">Календарный график (форма 5)</w:t>
            </w:r>
            <w:r>
              <w:rPr>
                <w:highlight w:val="darkGray"/>
              </w:rPr>
              <w:t xml:space="preserve"> (</w:t>
            </w:r>
            <w:r>
              <w:rPr>
                <w:i/>
                <w:highlight w:val="darkGray"/>
              </w:rPr>
              <w:t xml:space="preserve">не требуется в данной закупке</w:t>
            </w:r>
            <w:r>
              <w:rPr>
                <w:highlight w:val="darkGray"/>
              </w:rPr>
              <w:t xml:space="preserve">);</w:t>
            </w:r>
            <w:r>
              <w:rPr>
                <w:highlight w:val="darkGray"/>
              </w:rPr>
            </w:r>
            <w:r>
              <w:rPr>
                <w:highlight w:val="darkGray"/>
              </w:rPr>
            </w:r>
          </w:p>
        </w:tc>
      </w:tr>
      <w:tr>
        <w:tblPrEx/>
        <w:trPr/>
        <w:tc>
          <w:tcPr>
            <w:tcW w:w="709" w:type="dxa"/>
            <w:textDirection w:val="lrTb"/>
            <w:noWrap w:val="false"/>
          </w:tcPr>
          <w:p>
            <w:pPr>
              <w:pStyle w:val="1180"/>
              <w:numPr>
                <w:ilvl w:val="0"/>
                <w:numId w:val="6"/>
              </w:numPr>
              <w:ind w:left="170" w:firstLine="0"/>
              <w:jc w:val="center"/>
            </w:pPr>
            <w:r/>
            <w:r/>
          </w:p>
        </w:tc>
        <w:tc>
          <w:tcPr>
            <w:tcW w:w="8074" w:type="dxa"/>
            <w:textDirection w:val="lrTb"/>
            <w:noWrap w:val="false"/>
          </w:tcPr>
          <w:p>
            <w:pPr>
              <w:pStyle w:val="1180"/>
            </w:pPr>
            <w:r>
              <w:t xml:space="preserve">Анкета Участника (форма 6);</w:t>
            </w:r>
            <w:r/>
          </w:p>
        </w:tc>
      </w:tr>
      <w:tr>
        <w:tblPrEx/>
        <w:trPr/>
        <w:tc>
          <w:tcPr>
            <w:tcW w:w="709" w:type="dxa"/>
            <w:textDirection w:val="lrTb"/>
            <w:noWrap w:val="false"/>
          </w:tcPr>
          <w:p>
            <w:pPr>
              <w:pStyle w:val="1180"/>
              <w:numPr>
                <w:ilvl w:val="0"/>
                <w:numId w:val="6"/>
              </w:numPr>
              <w:ind w:left="170" w:firstLine="0"/>
              <w:jc w:val="center"/>
            </w:pPr>
            <w:r/>
            <w:bookmarkStart w:id="353" w:name="_Ref130389408"/>
            <w:r/>
            <w:bookmarkEnd w:id="353"/>
            <w:r/>
            <w:r/>
          </w:p>
        </w:tc>
        <w:tc>
          <w:tcPr>
            <w:tcW w:w="8074" w:type="dxa"/>
            <w:textDirection w:val="lrTb"/>
            <w:noWrap w:val="false"/>
          </w:tcPr>
          <w:p>
            <w:pPr>
              <w:pStyle w:val="1180"/>
            </w:pPr>
            <w:r>
              <w:t xml:space="preserve">Справка об опыте Участника (форма</w:t>
            </w:r>
            <w:r>
              <w:t xml:space="preserve"> </w:t>
            </w:r>
            <w:r>
              <w:t xml:space="preserve">7</w:t>
            </w:r>
            <w:r>
              <w:t xml:space="preserve">)</w:t>
            </w:r>
            <w:r>
              <w:t xml:space="preserve">, с необходимыми приложениями к</w:t>
            </w:r>
            <w:r>
              <w:t xml:space="preserve"> </w:t>
            </w:r>
            <w:r>
              <w:t xml:space="preserve">ней,</w:t>
            </w:r>
            <w:r>
              <w:t xml:space="preserve"> – предоставляется</w:t>
            </w:r>
            <w:r>
              <w:t xml:space="preserve">,</w:t>
            </w:r>
            <w:r>
              <w:t xml:space="preserve"> если установлено соответствующ</w:t>
            </w:r>
            <w:r>
              <w:t xml:space="preserve">е</w:t>
            </w:r>
            <w:r>
              <w:t xml:space="preserve">е </w:t>
            </w:r>
            <w:r>
              <w:t xml:space="preserve">квалификационное </w:t>
            </w:r>
            <w:r>
              <w:t xml:space="preserve">требовани</w:t>
            </w:r>
            <w:r>
              <w:t xml:space="preserve">е</w:t>
            </w:r>
            <w:r>
              <w:t xml:space="preserve"> к</w:t>
            </w:r>
            <w:r>
              <w:t xml:space="preserve"> </w:t>
            </w:r>
            <w:r>
              <w:t xml:space="preserve">опыту</w:t>
            </w:r>
            <w:r>
              <w:t xml:space="preserve"> </w:t>
            </w:r>
            <w:r>
              <w:t xml:space="preserve">(подраздел </w:t>
            </w:r>
            <w:r>
              <w:fldChar w:fldCharType="begin"/>
            </w:r>
            <w:r>
              <w:instrText xml:space="preserve"> REF _Ref125709154 \r \h  \* MERGEFORMAT </w:instrText>
            </w:r>
            <w:r>
              <w:fldChar w:fldCharType="separate"/>
            </w:r>
            <w:r>
              <w:t xml:space="preserve">8.4</w:t>
            </w:r>
            <w:r>
              <w:fldChar w:fldCharType="end"/>
            </w:r>
            <w:r>
              <w:t xml:space="preserve"> </w:t>
            </w:r>
            <w:hyperlink w:tooltip="#Прил03_ТребованияУчастникам" w:anchor="Прил03_ТребованияУчастникам" w:history="1">
              <w:r>
                <w:rPr>
                  <w:rStyle w:val="1204"/>
                </w:rPr>
                <w:t xml:space="preserve">Приложения № 3</w:t>
              </w:r>
            </w:hyperlink>
            <w:r>
              <w:t xml:space="preserve">)</w:t>
            </w:r>
            <w:r>
              <w:t xml:space="preserve"> </w:t>
            </w:r>
            <w:r>
              <w:t xml:space="preserve">и</w:t>
            </w:r>
            <w:r>
              <w:t xml:space="preserve"> (</w:t>
            </w:r>
            <w:r>
              <w:t xml:space="preserve">или</w:t>
            </w:r>
            <w:r>
              <w:t xml:space="preserve">)</w:t>
            </w:r>
            <w:r>
              <w:t xml:space="preserve"> если </w:t>
            </w:r>
            <w:r>
              <w:t xml:space="preserve">в </w:t>
            </w:r>
            <w:hyperlink w:tooltip="#Прил08_ПорядокОценки" w:anchor="Прил08_ПорядокОценки" w:history="1">
              <w:r>
                <w:rPr>
                  <w:rStyle w:val="1204"/>
                </w:rPr>
                <w:t xml:space="preserve">Порядк</w:t>
              </w:r>
              <w:r>
                <w:rPr>
                  <w:rStyle w:val="1204"/>
                </w:rPr>
                <w:t xml:space="preserve">е</w:t>
              </w:r>
              <w:r>
                <w:rPr>
                  <w:rStyle w:val="1204"/>
                </w:rPr>
                <w:t xml:space="preserve"> и критери</w:t>
              </w:r>
              <w:r>
                <w:rPr>
                  <w:rStyle w:val="1204"/>
                </w:rPr>
                <w:t xml:space="preserve">ях</w:t>
              </w:r>
              <w:r>
                <w:rPr>
                  <w:rStyle w:val="1204"/>
                </w:rPr>
                <w:t xml:space="preserve"> оценки и сопоставления заявок</w:t>
              </w:r>
              <w:r>
                <w:rPr>
                  <w:rStyle w:val="1204"/>
                </w:rPr>
                <w:t xml:space="preserve"> (Приложение № </w:t>
              </w:r>
              <w:r>
                <w:rPr>
                  <w:rStyle w:val="1204"/>
                </w:rPr>
                <w:t xml:space="preserve">8</w:t>
              </w:r>
              <w:r>
                <w:rPr>
                  <w:rStyle w:val="1204"/>
                </w:rPr>
                <w:t xml:space="preserve">)</w:t>
              </w:r>
            </w:hyperlink>
            <w:r>
              <w:t xml:space="preserve"> </w:t>
            </w:r>
            <w:r>
              <w:t xml:space="preserve">установлен соответствующий критерий оценки в</w:t>
            </w:r>
            <w:r>
              <w:t xml:space="preserve"> </w:t>
            </w:r>
            <w:r>
              <w:t xml:space="preserve">части опыта;</w:t>
            </w:r>
            <w:r/>
          </w:p>
        </w:tc>
      </w:tr>
      <w:tr>
        <w:tblPrEx/>
        <w:trPr/>
        <w:tc>
          <w:tcPr>
            <w:tcW w:w="709" w:type="dxa"/>
            <w:textDirection w:val="lrTb"/>
            <w:noWrap w:val="false"/>
          </w:tcPr>
          <w:p>
            <w:pPr>
              <w:pStyle w:val="1180"/>
              <w:numPr>
                <w:ilvl w:val="0"/>
                <w:numId w:val="6"/>
              </w:numPr>
              <w:ind w:left="170" w:firstLine="0"/>
              <w:jc w:val="center"/>
            </w:pPr>
            <w:r/>
            <w:bookmarkStart w:id="354" w:name="_Ref130389413"/>
            <w:r/>
            <w:bookmarkEnd w:id="354"/>
            <w:r/>
            <w:r/>
          </w:p>
        </w:tc>
        <w:tc>
          <w:tcPr>
            <w:tcW w:w="8074" w:type="dxa"/>
            <w:textDirection w:val="lrTb"/>
            <w:noWrap w:val="false"/>
          </w:tcPr>
          <w:p>
            <w:pPr>
              <w:pStyle w:val="1180"/>
            </w:pPr>
            <w:r>
              <w:t xml:space="preserve">Справка о материально-технических ресурсах (форма</w:t>
            </w:r>
            <w:r>
              <w:t xml:space="preserve"> </w:t>
            </w:r>
            <w:r>
              <w:t xml:space="preserve">8</w:t>
            </w:r>
            <w:r>
              <w:t xml:space="preserve">)</w:t>
            </w:r>
            <w:r>
              <w:t xml:space="preserve">, с</w:t>
            </w:r>
            <w:r>
              <w:t xml:space="preserve"> </w:t>
            </w:r>
            <w:r>
              <w:t xml:space="preserve">необходимыми приложениями к</w:t>
            </w:r>
            <w:r>
              <w:t xml:space="preserve"> </w:t>
            </w:r>
            <w:r>
              <w:t xml:space="preserve">ней</w:t>
            </w:r>
            <w:r>
              <w:t xml:space="preserve"> – предоставляется</w:t>
            </w:r>
            <w:r>
              <w:t xml:space="preserve">, </w:t>
            </w:r>
            <w:r>
              <w:t xml:space="preserve">если </w:t>
            </w:r>
            <w:r>
              <w:t xml:space="preserve">установлено соответствующ</w:t>
            </w:r>
            <w:r>
              <w:t xml:space="preserve">е</w:t>
            </w:r>
            <w:r>
              <w:t xml:space="preserve">е </w:t>
            </w:r>
            <w:r>
              <w:t xml:space="preserve">квалификационное</w:t>
            </w:r>
            <w:r>
              <w:t xml:space="preserve"> </w:t>
            </w:r>
            <w:r>
              <w:t xml:space="preserve">требовани</w:t>
            </w:r>
            <w:r>
              <w:t xml:space="preserve">е</w:t>
            </w:r>
            <w:r>
              <w:t xml:space="preserve"> к</w:t>
            </w:r>
            <w:r>
              <w:t xml:space="preserve"> </w:t>
            </w:r>
            <w:r>
              <w:t xml:space="preserve">наличию (привлечени</w:t>
            </w:r>
            <w:r>
              <w:t xml:space="preserve">ю</w:t>
            </w:r>
            <w:r>
              <w:t xml:space="preserve">) материально-технических ресурсов</w:t>
            </w:r>
            <w:r>
              <w:t xml:space="preserve"> </w:t>
            </w:r>
            <w:r>
              <w:t xml:space="preserve">(подраздел </w:t>
            </w:r>
            <w:r>
              <w:fldChar w:fldCharType="begin"/>
            </w:r>
            <w:r>
              <w:instrText xml:space="preserve"> REF _Ref125709154 \r \h  \* MERGEFORMAT </w:instrText>
            </w:r>
            <w:r>
              <w:fldChar w:fldCharType="separate"/>
            </w:r>
            <w:r>
              <w:t xml:space="preserve">8.4</w:t>
            </w:r>
            <w:r>
              <w:fldChar w:fldCharType="end"/>
            </w:r>
            <w:r>
              <w:t xml:space="preserve"> </w:t>
            </w:r>
            <w:hyperlink w:tooltip="#Прил03_ТребованияУчастникам" w:anchor="Прил03_ТребованияУчастникам" w:history="1">
              <w:r>
                <w:rPr>
                  <w:rStyle w:val="1204"/>
                </w:rPr>
                <w:t xml:space="preserve">Приложения № 3</w:t>
              </w:r>
            </w:hyperlink>
            <w:r>
              <w:t xml:space="preserve">)</w:t>
            </w:r>
            <w:r>
              <w:t xml:space="preserve"> </w:t>
            </w:r>
            <w:r>
              <w:t xml:space="preserve">и</w:t>
            </w:r>
            <w:r>
              <w:t xml:space="preserve"> (</w:t>
            </w:r>
            <w:r>
              <w:t xml:space="preserve">или</w:t>
            </w:r>
            <w:r>
              <w:t xml:space="preserve">)</w:t>
            </w:r>
            <w:r>
              <w:t xml:space="preserve"> </w:t>
            </w:r>
            <w:r>
              <w:t xml:space="preserve">если </w:t>
            </w:r>
            <w:r>
              <w:t xml:space="preserve">в </w:t>
            </w:r>
            <w:hyperlink w:tooltip="#Прил08_ПорядокОценки" w:anchor="Прил08_ПорядокОценки" w:history="1">
              <w:r>
                <w:rPr>
                  <w:rStyle w:val="1204"/>
                </w:rPr>
                <w:t xml:space="preserve">Порядке и критериях оценки и сопоставления заявок (Приложение № 8)</w:t>
              </w:r>
            </w:hyperlink>
            <w:r>
              <w:t xml:space="preserve"> </w:t>
            </w:r>
            <w:r>
              <w:t xml:space="preserve">установлен </w:t>
            </w:r>
            <w:r>
              <w:t xml:space="preserve">соответствующий критерий оценки в</w:t>
            </w:r>
            <w:r>
              <w:t xml:space="preserve"> </w:t>
            </w:r>
            <w:r>
              <w:t xml:space="preserve">части наличия (привлечения) материально-технических ресурсов;</w:t>
            </w:r>
            <w:r/>
          </w:p>
        </w:tc>
      </w:tr>
      <w:tr>
        <w:tblPrEx/>
        <w:trPr/>
        <w:tc>
          <w:tcPr>
            <w:tcW w:w="709" w:type="dxa"/>
            <w:textDirection w:val="lrTb"/>
            <w:noWrap w:val="false"/>
          </w:tcPr>
          <w:p>
            <w:pPr>
              <w:pStyle w:val="1180"/>
              <w:numPr>
                <w:ilvl w:val="0"/>
                <w:numId w:val="6"/>
              </w:numPr>
              <w:ind w:left="170" w:firstLine="0"/>
              <w:jc w:val="center"/>
            </w:pPr>
            <w:r/>
            <w:bookmarkStart w:id="355" w:name="_Ref130389419"/>
            <w:r/>
            <w:bookmarkEnd w:id="355"/>
            <w:r/>
            <w:r/>
          </w:p>
        </w:tc>
        <w:tc>
          <w:tcPr>
            <w:tcW w:w="8074" w:type="dxa"/>
            <w:textDirection w:val="lrTb"/>
            <w:noWrap w:val="false"/>
          </w:tcPr>
          <w:p>
            <w:pPr>
              <w:pStyle w:val="1180"/>
            </w:pPr>
            <w:r>
              <w:t xml:space="preserve">Справка о кадровых ресурсах (форма</w:t>
            </w:r>
            <w:r>
              <w:t xml:space="preserve"> </w:t>
            </w:r>
            <w:r>
              <w:t xml:space="preserve">9</w:t>
            </w:r>
            <w:r>
              <w:t xml:space="preserve">)</w:t>
            </w:r>
            <w:r>
              <w:t xml:space="preserve">, с необходимыми приложениями к</w:t>
            </w:r>
            <w:r>
              <w:t xml:space="preserve"> </w:t>
            </w:r>
            <w:r>
              <w:t xml:space="preserve">ней</w:t>
            </w:r>
            <w:r>
              <w:t xml:space="preserve"> – предоставляется</w:t>
            </w:r>
            <w:r>
              <w:t xml:space="preserve">, </w:t>
            </w:r>
            <w:r>
              <w:t xml:space="preserve">если</w:t>
            </w:r>
            <w:r>
              <w:t xml:space="preserve"> установлено соответствующ</w:t>
            </w:r>
            <w:r>
              <w:t xml:space="preserve">е</w:t>
            </w:r>
            <w:r>
              <w:t xml:space="preserve">е </w:t>
            </w:r>
            <w:r>
              <w:t xml:space="preserve">квалификационное</w:t>
            </w:r>
            <w:r>
              <w:t xml:space="preserve"> </w:t>
            </w:r>
            <w:r>
              <w:t xml:space="preserve">требовани</w:t>
            </w:r>
            <w:r>
              <w:t xml:space="preserve">е</w:t>
            </w:r>
            <w:r>
              <w:t xml:space="preserve"> к</w:t>
            </w:r>
            <w:r>
              <w:t xml:space="preserve"> </w:t>
            </w:r>
            <w:r>
              <w:t xml:space="preserve">наличию (привлечения) кадровых ресурсов</w:t>
            </w:r>
            <w:r>
              <w:t xml:space="preserve"> </w:t>
            </w:r>
            <w:r>
              <w:t xml:space="preserve">(подраздел </w:t>
            </w:r>
            <w:r>
              <w:fldChar w:fldCharType="begin"/>
            </w:r>
            <w:r>
              <w:instrText xml:space="preserve"> REF _Ref125709154 \r \h  \* MERGEFORMAT </w:instrText>
            </w:r>
            <w:r>
              <w:fldChar w:fldCharType="separate"/>
            </w:r>
            <w:r>
              <w:t xml:space="preserve">8.4</w:t>
            </w:r>
            <w:r>
              <w:fldChar w:fldCharType="end"/>
            </w:r>
            <w:r>
              <w:t xml:space="preserve"> </w:t>
            </w:r>
            <w:hyperlink w:tooltip="#Прил03_ТребованияУчастникам" w:anchor="Прил03_ТребованияУчастникам" w:history="1">
              <w:r>
                <w:rPr>
                  <w:rStyle w:val="1204"/>
                </w:rPr>
                <w:t xml:space="preserve">Приложения № 3</w:t>
              </w:r>
            </w:hyperlink>
            <w:r>
              <w:t xml:space="preserve">)</w:t>
            </w:r>
            <w:r>
              <w:t xml:space="preserve"> </w:t>
            </w:r>
            <w:r>
              <w:t xml:space="preserve">и</w:t>
            </w:r>
            <w:r>
              <w:t xml:space="preserve"> (</w:t>
            </w:r>
            <w:r>
              <w:t xml:space="preserve">или</w:t>
            </w:r>
            <w:r>
              <w:t xml:space="preserve">)</w:t>
            </w:r>
            <w:r>
              <w:t xml:space="preserve"> </w:t>
            </w:r>
            <w:r>
              <w:t xml:space="preserve">если </w:t>
            </w:r>
            <w:r>
              <w:t xml:space="preserve">в</w:t>
            </w:r>
            <w:r>
              <w:t xml:space="preserve"> </w:t>
            </w:r>
            <w:hyperlink w:tooltip="#Прил08_ПорядокОценки" w:anchor="Прил08_ПорядокОценки" w:history="1">
              <w:r>
                <w:rPr>
                  <w:rStyle w:val="1204"/>
                </w:rPr>
                <w:t xml:space="preserve">Порядке и критериях оценки и сопоставления заявок </w:t>
              </w:r>
              <w:r>
                <w:rPr>
                  <w:rStyle w:val="1204"/>
                </w:rPr>
                <w:t xml:space="preserve">(Приложение № 8)</w:t>
              </w:r>
            </w:hyperlink>
            <w:r>
              <w:t xml:space="preserve"> </w:t>
            </w:r>
            <w:r>
              <w:t xml:space="preserve">установлен </w:t>
            </w:r>
            <w:r>
              <w:t xml:space="preserve">соответствующий критерий оценки в</w:t>
            </w:r>
            <w:r>
              <w:t xml:space="preserve"> </w:t>
            </w:r>
            <w:r>
              <w:t xml:space="preserve">части наличия (привлечения) кадровых ресурсов;</w:t>
            </w:r>
            <w:r/>
          </w:p>
        </w:tc>
      </w:tr>
      <w:tr>
        <w:tblPrEx/>
        <w:trPr/>
        <w:tc>
          <w:tcPr>
            <w:tcW w:w="709" w:type="dxa"/>
            <w:textDirection w:val="lrTb"/>
            <w:noWrap w:val="false"/>
          </w:tcPr>
          <w:p>
            <w:pPr>
              <w:pStyle w:val="1180"/>
              <w:numPr>
                <w:ilvl w:val="0"/>
                <w:numId w:val="6"/>
              </w:numPr>
              <w:ind w:left="170" w:firstLine="0"/>
              <w:jc w:val="center"/>
            </w:pPr>
            <w:r/>
            <w:r/>
          </w:p>
        </w:tc>
        <w:tc>
          <w:tcPr>
            <w:tcW w:w="8074" w:type="dxa"/>
            <w:textDirection w:val="lrTb"/>
            <w:noWrap w:val="false"/>
          </w:tcPr>
          <w:p>
            <w:pPr>
              <w:pStyle w:val="1180"/>
            </w:pPr>
            <w:r>
              <w:t xml:space="preserve">Справка об </w:t>
            </w:r>
            <w:r>
              <w:t xml:space="preserve">аффилированности</w:t>
            </w:r>
            <w:r>
              <w:t xml:space="preserve"> Участника с изготовителем (производителем) предлагаемого товара</w:t>
            </w:r>
            <w:r>
              <w:t xml:space="preserve"> (форма</w:t>
            </w:r>
            <w:r>
              <w:t xml:space="preserve"> </w:t>
            </w:r>
            <w:r>
              <w:t xml:space="preserve">1</w:t>
            </w:r>
            <w:r>
              <w:t xml:space="preserve">0</w:t>
            </w:r>
            <w:r>
              <w:t xml:space="preserve">) – предоставляется</w:t>
            </w:r>
            <w:r>
              <w:t xml:space="preserve">, </w:t>
            </w:r>
            <w:r>
              <w:t xml:space="preserve">если Участник имеет признаки </w:t>
            </w:r>
            <w:r>
              <w:t xml:space="preserve">аффилированности</w:t>
            </w:r>
            <w:r>
              <w:t xml:space="preserve"> согласно критериям, установленным в инструкции к указанной справке (дополнительно предоставляются документы, подтверждающие </w:t>
            </w:r>
            <w:r>
              <w:t xml:space="preserve">аффилированность</w:t>
            </w:r>
            <w:r>
              <w:t xml:space="preserve"> по</w:t>
            </w:r>
            <w:r>
              <w:t xml:space="preserve"> </w:t>
            </w:r>
            <w:r>
              <w:t xml:space="preserve">тому или иному критерию)</w:t>
            </w:r>
            <w:r>
              <w:t xml:space="preserve"> и </w:t>
            </w:r>
            <w:r>
              <w:t xml:space="preserve">если </w:t>
            </w:r>
            <w:r>
              <w:t xml:space="preserve">в</w:t>
            </w:r>
            <w:r>
              <w:t xml:space="preserve"> </w:t>
            </w:r>
            <w:hyperlink w:tooltip="#Прил08_ПорядокОценки" w:anchor="Прил08_ПорядокОценки" w:history="1">
              <w:r>
                <w:rPr>
                  <w:rStyle w:val="1204"/>
                </w:rPr>
                <w:t xml:space="preserve">Порядке и критериях оценки и сопоставления заявок (Приложение № 8)</w:t>
              </w:r>
            </w:hyperlink>
            <w:r>
              <w:t xml:space="preserve"> </w:t>
            </w:r>
            <w:r>
              <w:t xml:space="preserve">установлен соответствующий критерий оценки в</w:t>
            </w:r>
            <w:r>
              <w:t xml:space="preserve"> </w:t>
            </w:r>
            <w:r>
              <w:t xml:space="preserve">части </w:t>
            </w:r>
            <w:r>
              <w:t xml:space="preserve">наличия </w:t>
            </w:r>
            <w:r>
              <w:t xml:space="preserve">аффилированности</w:t>
            </w:r>
            <w:r>
              <w:t xml:space="preserve">;</w:t>
            </w:r>
            <w:r/>
          </w:p>
        </w:tc>
      </w:tr>
      <w:tr>
        <w:tblPrEx/>
        <w:trPr/>
        <w:tc>
          <w:tcPr>
            <w:tcW w:w="709" w:type="dxa"/>
            <w:textDirection w:val="lrTb"/>
            <w:noWrap w:val="false"/>
          </w:tcPr>
          <w:p>
            <w:pPr>
              <w:pStyle w:val="1180"/>
              <w:numPr>
                <w:ilvl w:val="0"/>
                <w:numId w:val="6"/>
              </w:numPr>
              <w:ind w:left="170" w:firstLine="0"/>
              <w:jc w:val="center"/>
            </w:pPr>
            <w:r/>
            <w:r/>
          </w:p>
        </w:tc>
        <w:tc>
          <w:tcPr>
            <w:tcW w:w="8074" w:type="dxa"/>
            <w:textDirection w:val="lrTb"/>
            <w:noWrap w:val="false"/>
          </w:tcPr>
          <w:p>
            <w:pPr>
              <w:jc w:val="both"/>
              <w:spacing w:before="120" w:after="0"/>
            </w:pPr>
            <w:r>
              <w:t xml:space="preserve">Документы, подтверждающие соответствие Участника обязательным требованиям Документации о закупке</w:t>
            </w:r>
            <w:r>
              <w:t xml:space="preserve"> (</w:t>
            </w: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t xml:space="preserve"> </w:t>
            </w:r>
            <w:hyperlink w:tooltip="#Прил03_ТребованияУчастникам" w:anchor="Прил03_ТребованияУчастникам" w:history="1">
              <w:r>
                <w:rPr>
                  <w:rStyle w:val="1204"/>
                </w:rPr>
                <w:t xml:space="preserve">Приложения № 3</w:t>
              </w:r>
            </w:hyperlink>
            <w:r>
              <w:t xml:space="preserve">)</w:t>
            </w:r>
            <w:r>
              <w:t xml:space="preserve">, а также необходимые документы для прохождения (при необходимости) процедуры аккредитации</w:t>
            </w:r>
            <w:r>
              <w:t xml:space="preserve"> </w:t>
            </w:r>
            <w:r>
              <w:t xml:space="preserve">– требования к</w:t>
            </w:r>
            <w:r>
              <w:t xml:space="preserve"> </w:t>
            </w:r>
            <w:r>
              <w:t xml:space="preserve">подтверждающим документам приведены в указанном подразделе</w:t>
            </w:r>
            <w:r>
              <w:t xml:space="preserve">;</w:t>
            </w:r>
            <w:r/>
          </w:p>
        </w:tc>
      </w:tr>
      <w:tr>
        <w:tblPrEx/>
        <w:trPr/>
        <w:tc>
          <w:tcPr>
            <w:tcW w:w="709" w:type="dxa"/>
            <w:textDirection w:val="lrTb"/>
            <w:noWrap w:val="false"/>
          </w:tcPr>
          <w:p>
            <w:pPr>
              <w:pStyle w:val="1180"/>
              <w:numPr>
                <w:ilvl w:val="0"/>
                <w:numId w:val="6"/>
              </w:numPr>
              <w:ind w:left="170" w:firstLine="0"/>
              <w:jc w:val="center"/>
            </w:pPr>
            <w:r/>
            <w:r/>
          </w:p>
        </w:tc>
        <w:tc>
          <w:tcPr>
            <w:tcW w:w="8074" w:type="dxa"/>
            <w:textDirection w:val="lrTb"/>
            <w:noWrap w:val="false"/>
          </w:tcPr>
          <w:p>
            <w:pPr>
              <w:pStyle w:val="1180"/>
            </w:pPr>
            <w:r>
              <w:t xml:space="preserve">Документы, подтверждающие соответствие Участника специальным требованиям</w:t>
            </w:r>
            <w:r>
              <w:t xml:space="preserve"> – предоставляются</w:t>
            </w:r>
            <w:r>
              <w:t xml:space="preserve">,</w:t>
            </w:r>
            <w:r>
              <w:t xml:space="preserve"> если соответствующие требования установлены в</w:t>
            </w:r>
            <w:r>
              <w:t xml:space="preserve"> Документации о закупке (подраздел </w:t>
            </w:r>
            <w:r>
              <w:fldChar w:fldCharType="begin"/>
            </w:r>
            <w:r>
              <w:instrText xml:space="preserve"> REF _Ref125709153 \r \h </w:instrText>
            </w:r>
            <w:r>
              <w:instrText xml:space="preserve"> \* MERGEFORMAT </w:instrText>
            </w:r>
            <w:r>
              <w:fldChar w:fldCharType="separate"/>
            </w:r>
            <w:r>
              <w:t xml:space="preserve">8.3</w:t>
            </w:r>
            <w:r>
              <w:fldChar w:fldCharType="end"/>
            </w:r>
            <w:r>
              <w:t xml:space="preserve"> </w:t>
            </w:r>
            <w:hyperlink w:tooltip="#Прил03_ТребованияУчастникам" w:anchor="Прил03_ТребованияУчастникам" w:history="1">
              <w:r>
                <w:rPr>
                  <w:rStyle w:val="1204"/>
                </w:rPr>
                <w:t xml:space="preserve">Приложения № 3</w:t>
              </w:r>
            </w:hyperlink>
            <w:r>
              <w:t xml:space="preserve">)</w:t>
            </w:r>
            <w:r>
              <w:t xml:space="preserve">;</w:t>
            </w:r>
            <w:r/>
          </w:p>
        </w:tc>
      </w:tr>
      <w:tr>
        <w:tblPrEx/>
        <w:trPr/>
        <w:tc>
          <w:tcPr>
            <w:tcW w:w="709" w:type="dxa"/>
            <w:textDirection w:val="lrTb"/>
            <w:noWrap w:val="false"/>
          </w:tcPr>
          <w:p>
            <w:pPr>
              <w:pStyle w:val="1180"/>
              <w:numPr>
                <w:ilvl w:val="0"/>
                <w:numId w:val="6"/>
              </w:numPr>
              <w:ind w:left="170" w:firstLine="0"/>
              <w:jc w:val="center"/>
            </w:pPr>
            <w:r/>
            <w:r/>
          </w:p>
        </w:tc>
        <w:tc>
          <w:tcPr>
            <w:tcW w:w="8074" w:type="dxa"/>
            <w:textDirection w:val="lrTb"/>
            <w:noWrap w:val="false"/>
          </w:tcPr>
          <w:p>
            <w:pPr>
              <w:pStyle w:val="1180"/>
            </w:pPr>
            <w:r>
              <w:t xml:space="preserve">Документы, подтверждающие соответствие Коллективного участника требованиям Документации о закупке (подраздел </w:t>
            </w:r>
            <w:r>
              <w:fldChar w:fldCharType="begin"/>
            </w:r>
            <w:r>
              <w:instrText xml:space="preserve"> REF _Ref125709228 \r \h </w:instrText>
            </w:r>
            <w:r>
              <w:instrText xml:space="preserve"> \* MERGEFORMAT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rStyle w:val="1204"/>
                </w:rPr>
                <w:t xml:space="preserve">Приложения № 3</w:t>
              </w:r>
            </w:hyperlink>
            <w:r>
              <w:t xml:space="preserve">)</w:t>
            </w:r>
            <w:r>
              <w:t xml:space="preserve"> </w:t>
            </w:r>
            <w:r>
              <w:t xml:space="preserve">– </w:t>
            </w:r>
            <w:r>
              <w:t xml:space="preserve">предоставля</w:t>
            </w:r>
            <w:r>
              <w:t xml:space="preserve">ю</w:t>
            </w:r>
            <w:r>
              <w:t xml:space="preserve">тся</w:t>
            </w:r>
            <w:r>
              <w:t xml:space="preserve">, </w:t>
            </w:r>
            <w:r>
              <w:t xml:space="preserve">если Участник подает заявку от лица Коллективного участника (подраздел </w:t>
            </w:r>
            <w:r>
              <w:fldChar w:fldCharType="begin"/>
            </w:r>
            <w:r>
              <w:instrText xml:space="preserve"> REF _Ref130305355 \r \h </w:instrText>
            </w:r>
            <w:r>
              <w:instrText xml:space="preserve"> \* MERGEFORMAT </w:instrText>
            </w:r>
            <w:r>
              <w:fldChar w:fldCharType="separate"/>
            </w:r>
            <w:r>
              <w:t xml:space="preserve">3.2</w:t>
            </w:r>
            <w:r>
              <w:fldChar w:fldCharType="end"/>
            </w:r>
            <w:r>
              <w:t xml:space="preserve">)</w:t>
            </w:r>
            <w:r>
              <w:t xml:space="preserve">, а именно:</w:t>
            </w:r>
            <w:r/>
          </w:p>
          <w:p>
            <w:pPr>
              <w:pStyle w:val="1180"/>
              <w:numPr>
                <w:ilvl w:val="0"/>
                <w:numId w:val="9"/>
              </w:numPr>
              <w:ind w:left="284" w:hanging="284"/>
            </w:pPr>
            <w:r>
              <w:t xml:space="preserve">План распределения объемов поставки продукции (форма</w:t>
            </w:r>
            <w:r>
              <w:t xml:space="preserve"> </w:t>
            </w:r>
            <w:r>
              <w:t xml:space="preserve">1</w:t>
            </w:r>
            <w:r>
              <w:t xml:space="preserve">1</w:t>
            </w:r>
            <w:r>
              <w:t xml:space="preserve">)</w:t>
            </w:r>
            <w:r>
              <w:t xml:space="preserve">;</w:t>
            </w:r>
            <w:r/>
          </w:p>
          <w:p>
            <w:pPr>
              <w:pStyle w:val="1180"/>
              <w:numPr>
                <w:ilvl w:val="0"/>
                <w:numId w:val="9"/>
              </w:numPr>
              <w:ind w:left="284" w:hanging="284"/>
            </w:pPr>
            <w:r>
              <w:t xml:space="preserve">Копия </w:t>
            </w:r>
            <w:r>
              <w:t xml:space="preserve">Соглашения между членами </w:t>
            </w:r>
            <w:r>
              <w:t xml:space="preserve">Коллективного участника</w:t>
            </w:r>
            <w:r>
              <w:t xml:space="preserve">, подготовленно</w:t>
            </w:r>
            <w:r>
              <w:t xml:space="preserve">го</w:t>
            </w:r>
            <w:r>
              <w:t xml:space="preserve"> в соответствии с требованиями пункта </w:t>
            </w:r>
            <w:r>
              <w:fldChar w:fldCharType="begin"/>
            </w:r>
            <w:r>
              <w:instrText xml:space="preserve"> REF _Ref125366972 \r \h </w:instrText>
            </w:r>
            <w:r>
              <w:instrText xml:space="preserve"> \* MERGEFORMAT </w:instrText>
            </w:r>
            <w:r>
              <w:fldChar w:fldCharType="separate"/>
            </w:r>
            <w:r>
              <w:t xml:space="preserve">3.2.3</w:t>
            </w:r>
            <w:r>
              <w:fldChar w:fldCharType="end"/>
            </w:r>
            <w:r>
              <w:t xml:space="preserve"> Документации о закупке;</w:t>
            </w:r>
            <w:r/>
          </w:p>
          <w:p>
            <w:pPr>
              <w:pStyle w:val="1180"/>
              <w:numPr>
                <w:ilvl w:val="0"/>
                <w:numId w:val="9"/>
              </w:numPr>
              <w:ind w:left="284" w:hanging="284"/>
            </w:pPr>
            <w:r>
              <w:t xml:space="preserve">прочие документы, определенные в </w:t>
            </w:r>
            <w:r>
              <w:t xml:space="preserve">подраздел</w:t>
            </w:r>
            <w:r>
              <w:t xml:space="preserve">е</w:t>
            </w:r>
            <w:r>
              <w:t xml:space="preserve"> </w:t>
            </w:r>
            <w:r>
              <w:fldChar w:fldCharType="begin"/>
            </w:r>
            <w:r>
              <w:instrText xml:space="preserve"> REF _Ref125709228 \r \h </w:instrText>
            </w:r>
            <w:r>
              <w:instrText xml:space="preserve"> \* MERGEFORMAT </w:instrText>
            </w:r>
            <w:r>
              <w:fldChar w:fldCharType="separate"/>
            </w:r>
            <w:r>
              <w:t xml:space="preserve">8.5</w:t>
            </w:r>
            <w:r>
              <w:fldChar w:fldCharType="end"/>
            </w:r>
            <w:r>
              <w:t xml:space="preserve"> </w:t>
            </w:r>
            <w:hyperlink w:tooltip="#Прил03_ТребованияУчастникам" w:anchor="Прил03_ТребованияУчастникам" w:history="1">
              <w:r>
                <w:rPr>
                  <w:rStyle w:val="1204"/>
                </w:rPr>
                <w:t xml:space="preserve">Приложения № 3</w:t>
              </w:r>
            </w:hyperlink>
            <w:r>
              <w:rPr>
                <w:rStyle w:val="1204"/>
              </w:rPr>
              <w:t xml:space="preserve">;</w:t>
            </w:r>
            <w:r/>
          </w:p>
        </w:tc>
      </w:tr>
      <w:tr>
        <w:tblPrEx/>
        <w:trPr/>
        <w:tc>
          <w:tcPr>
            <w:tcW w:w="709" w:type="dxa"/>
            <w:textDirection w:val="lrTb"/>
            <w:noWrap w:val="false"/>
          </w:tcPr>
          <w:p>
            <w:pPr>
              <w:pStyle w:val="1180"/>
              <w:numPr>
                <w:ilvl w:val="0"/>
                <w:numId w:val="6"/>
              </w:numPr>
              <w:ind w:left="170" w:firstLine="0"/>
              <w:jc w:val="center"/>
            </w:pPr>
            <w:r/>
            <w:r/>
          </w:p>
        </w:tc>
        <w:tc>
          <w:tcPr>
            <w:tcW w:w="8074" w:type="dxa"/>
            <w:textDirection w:val="lrTb"/>
            <w:noWrap w:val="false"/>
          </w:tcPr>
          <w:p>
            <w:pPr>
              <w:pStyle w:val="1180"/>
            </w:pPr>
            <w:r>
              <w:t xml:space="preserve">Документы, подтверждающие соответствие Генерального подрядчика требованиям Документации о закупке (подраздел </w:t>
            </w:r>
            <w:r>
              <w:fldChar w:fldCharType="begin"/>
            </w:r>
            <w:r>
              <w:instrText xml:space="preserve"> REF _Ref125709777 \r \h </w:instrText>
            </w:r>
            <w:r>
              <w:instrText xml:space="preserve"> \* MERGEFORMAT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04"/>
                </w:rPr>
                <w:t xml:space="preserve">Приложения № 3</w:t>
              </w:r>
            </w:hyperlink>
            <w:r>
              <w:t xml:space="preserve">)</w:t>
            </w:r>
            <w:r>
              <w:t xml:space="preserve"> – </w:t>
            </w:r>
            <w:r>
              <w:t xml:space="preserve">предоставля</w:t>
            </w:r>
            <w:r>
              <w:t xml:space="preserve">ю</w:t>
            </w:r>
            <w:r>
              <w:t xml:space="preserve">тся</w:t>
            </w:r>
            <w:r>
              <w:t xml:space="preserve">, </w:t>
            </w:r>
            <w:r>
              <w:t xml:space="preserve">если условиями проводимой закупки (подраздел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w:t>
            </w:r>
            <w:r>
              <w:t xml:space="preserve">рассмотрение, оценка и сопоставление заявок Участников осуществляется с учетом привлекаемых субподрядчиков</w:t>
            </w:r>
            <w:r>
              <w:t xml:space="preserve">, и Участник подает заявку от лица</w:t>
            </w:r>
            <w:r>
              <w:t xml:space="preserve"> Генерального подрядчика (подраздел </w:t>
            </w:r>
            <w:r>
              <w:fldChar w:fldCharType="begin"/>
            </w:r>
            <w:r>
              <w:instrText xml:space="preserve"> REF _Ref125361702 \r \h  \* MERGEFORMAT </w:instrText>
            </w:r>
            <w:r>
              <w:fldChar w:fldCharType="separate"/>
            </w:r>
            <w:r>
              <w:t xml:space="preserve">3.3</w:t>
            </w:r>
            <w:r>
              <w:fldChar w:fldCharType="end"/>
            </w:r>
            <w:r>
              <w:t xml:space="preserve">)</w:t>
            </w:r>
            <w:r>
              <w:t xml:space="preserve">, а</w:t>
            </w:r>
            <w:r>
              <w:t xml:space="preserve"> </w:t>
            </w:r>
            <w:r>
              <w:t xml:space="preserve">именно:</w:t>
            </w:r>
            <w:r/>
          </w:p>
          <w:p>
            <w:pPr>
              <w:pStyle w:val="1180"/>
              <w:numPr>
                <w:ilvl w:val="0"/>
                <w:numId w:val="9"/>
              </w:numPr>
              <w:ind w:left="284" w:hanging="284"/>
            </w:pPr>
            <w:r>
              <w:t xml:space="preserve">План распределения объемов поставки продукции (форма</w:t>
            </w:r>
            <w:r>
              <w:t xml:space="preserve"> </w:t>
            </w:r>
            <w:r>
              <w:t xml:space="preserve">1</w:t>
            </w:r>
            <w:r>
              <w:t xml:space="preserve">1</w:t>
            </w:r>
            <w:r>
              <w:t xml:space="preserve">)</w:t>
            </w:r>
            <w:r>
              <w:t xml:space="preserve">;</w:t>
            </w:r>
            <w:r/>
          </w:p>
          <w:p>
            <w:pPr>
              <w:pStyle w:val="1180"/>
              <w:numPr>
                <w:ilvl w:val="0"/>
                <w:numId w:val="9"/>
              </w:numPr>
              <w:ind w:left="284" w:hanging="284"/>
            </w:pPr>
            <w:r>
              <w:t xml:space="preserve">прочие документы, определенные в </w:t>
            </w:r>
            <w:r>
              <w:t xml:space="preserve">подраздел</w:t>
            </w:r>
            <w:r>
              <w:t xml:space="preserve">е</w:t>
            </w:r>
            <w:r>
              <w:t xml:space="preserve"> </w:t>
            </w:r>
            <w:r>
              <w:fldChar w:fldCharType="begin"/>
            </w:r>
            <w:r>
              <w:instrText xml:space="preserve"> REF _Ref125709777 \r \h </w:instrText>
            </w:r>
            <w:r>
              <w:instrText xml:space="preserve"> \* MERGEFORMAT </w:instrText>
            </w:r>
            <w:r>
              <w:fldChar w:fldCharType="separate"/>
            </w:r>
            <w:r>
              <w:t xml:space="preserve">8.6</w:t>
            </w:r>
            <w:r>
              <w:fldChar w:fldCharType="end"/>
            </w:r>
            <w:r>
              <w:t xml:space="preserve"> </w:t>
            </w:r>
            <w:hyperlink w:tooltip="#Прил03_ТребованияУчастникам" w:anchor="Прил03_ТребованияУчастникам" w:history="1">
              <w:r>
                <w:rPr>
                  <w:rStyle w:val="1204"/>
                </w:rPr>
                <w:t xml:space="preserve">Приложения № 3</w:t>
              </w:r>
            </w:hyperlink>
            <w:r>
              <w:rPr>
                <w:rStyle w:val="1204"/>
              </w:rPr>
              <w:t xml:space="preserve">;</w:t>
            </w:r>
            <w:r/>
          </w:p>
        </w:tc>
      </w:tr>
      <w:tr>
        <w:tblPrEx/>
        <w:trPr/>
        <w:tc>
          <w:tcPr>
            <w:tcW w:w="709" w:type="dxa"/>
            <w:textDirection w:val="lrTb"/>
            <w:noWrap w:val="false"/>
          </w:tcPr>
          <w:p>
            <w:pPr>
              <w:pStyle w:val="1180"/>
              <w:numPr>
                <w:ilvl w:val="0"/>
                <w:numId w:val="6"/>
              </w:numPr>
              <w:ind w:left="170" w:firstLine="0"/>
              <w:jc w:val="center"/>
            </w:pPr>
            <w:r/>
            <w:r/>
          </w:p>
        </w:tc>
        <w:tc>
          <w:tcPr>
            <w:tcW w:w="8074" w:type="dxa"/>
            <w:textDirection w:val="lrTb"/>
            <w:noWrap w:val="false"/>
          </w:tcPr>
          <w:p>
            <w:pPr>
              <w:pStyle w:val="1180"/>
            </w:pPr>
            <w:r>
              <w:t xml:space="preserve">Документы, подтверждающие соответствие Генерального подрядчика с</w:t>
            </w:r>
            <w:r>
              <w:t xml:space="preserve"> </w:t>
            </w:r>
            <w:r>
              <w:t xml:space="preserve">обязательным привлечением субподрядчиков (соисполнителей) из</w:t>
            </w:r>
            <w:r>
              <w:t xml:space="preserve"> </w:t>
            </w:r>
            <w:r>
              <w:t xml:space="preserve">числа субъектов МСП требованиям Документации о закупке (подраздел </w:t>
            </w:r>
            <w:r>
              <w:fldChar w:fldCharType="begin"/>
            </w:r>
            <w:r>
              <w:instrText xml:space="preserve"> REF _Ref125710459 \r \h </w:instrText>
            </w:r>
            <w:r>
              <w:instrText xml:space="preserve"> \* MERGEFORMAT </w:instrText>
            </w:r>
            <w:r>
              <w:fldChar w:fldCharType="separate"/>
            </w:r>
            <w:r>
              <w:t xml:space="preserve">8.7</w:t>
            </w:r>
            <w:r>
              <w:fldChar w:fldCharType="end"/>
            </w:r>
            <w:r>
              <w:t xml:space="preserve"> </w:t>
            </w:r>
            <w:hyperlink w:tooltip="#Прил03_ТребованияУчастникам" w:anchor="Прил03_ТребованияУчастникам" w:history="1">
              <w:r>
                <w:rPr>
                  <w:rStyle w:val="1204"/>
                </w:rPr>
                <w:t xml:space="preserve">Приложения № 3</w:t>
              </w:r>
            </w:hyperlink>
            <w:r>
              <w:t xml:space="preserve">)</w:t>
            </w:r>
            <w:r>
              <w:t xml:space="preserve"> – </w:t>
            </w:r>
            <w:r>
              <w:t xml:space="preserve">предоставля</w:t>
            </w:r>
            <w:r>
              <w:t xml:space="preserve">ю</w:t>
            </w:r>
            <w:r>
              <w:t xml:space="preserve">тся</w:t>
            </w:r>
            <w:r>
              <w:t xml:space="preserve">, </w:t>
            </w:r>
            <w:r>
              <w:t xml:space="preserve">если условиями проводимой закупки (подраздел </w:t>
            </w:r>
            <w:r>
              <w:fldChar w:fldCharType="begin"/>
            </w:r>
            <w:r>
              <w:instrText xml:space="preserve"> REF _Ref125359973 \r \h </w:instrText>
            </w:r>
            <w:r>
              <w:instrText xml:space="preserve"> \* MERGEFORMAT </w:instrText>
            </w:r>
            <w:r>
              <w:fldChar w:fldCharType="separate"/>
            </w:r>
            <w:r>
              <w:t xml:space="preserve">1.2</w:t>
            </w:r>
            <w:r>
              <w:fldChar w:fldCharType="end"/>
            </w:r>
            <w:r>
              <w:t xml:space="preserve">) предусмотрено участи</w:t>
            </w:r>
            <w:r>
              <w:t xml:space="preserve">е</w:t>
            </w:r>
            <w:r>
              <w:t xml:space="preserve"> в</w:t>
            </w:r>
            <w:r>
              <w:t xml:space="preserve"> </w:t>
            </w:r>
            <w:r>
              <w:t xml:space="preserve">закупке Участников, которые должны привлечь к исполнению Договора субподрядчиков (соисполнителей) из</w:t>
            </w:r>
            <w:r>
              <w:t xml:space="preserve"> </w:t>
            </w:r>
            <w:r>
              <w:t xml:space="preserve">числа субъектов МСП </w:t>
            </w:r>
            <w:r>
              <w:t xml:space="preserve">(подраздел </w:t>
            </w:r>
            <w:r>
              <w:fldChar w:fldCharType="begin"/>
            </w:r>
            <w:r>
              <w:instrText xml:space="preserve"> REF _Ref127524203 \r \h </w:instrText>
            </w:r>
            <w:r>
              <w:instrText xml:space="preserve"> \* MERGEFORMAT </w:instrText>
            </w:r>
            <w:r>
              <w:fldChar w:fldCharType="separate"/>
            </w:r>
            <w:r>
              <w:t xml:space="preserve">3.4</w:t>
            </w:r>
            <w:r>
              <w:fldChar w:fldCharType="end"/>
            </w:r>
            <w:r>
              <w:t xml:space="preserve">), а именно</w:t>
            </w:r>
            <w:r>
              <w:t xml:space="preserve"> </w:t>
            </w:r>
            <w:r>
              <w:t xml:space="preserve">План распределения объемов поставки продукции (форма</w:t>
            </w:r>
            <w:r>
              <w:t xml:space="preserve"> </w:t>
            </w:r>
            <w:r>
              <w:t xml:space="preserve">1</w:t>
            </w:r>
            <w:r>
              <w:t xml:space="preserve">1</w:t>
            </w:r>
            <w:r>
              <w:t xml:space="preserve">)</w:t>
            </w:r>
            <w:r>
              <w:t xml:space="preserve">;</w:t>
            </w:r>
            <w:r/>
          </w:p>
        </w:tc>
      </w:tr>
      <w:tr>
        <w:tblPrEx/>
        <w:trPr/>
        <w:tc>
          <w:tcPr>
            <w:tcW w:w="709" w:type="dxa"/>
            <w:textDirection w:val="lrTb"/>
            <w:noWrap w:val="false"/>
          </w:tcPr>
          <w:p>
            <w:pPr>
              <w:pStyle w:val="1180"/>
              <w:numPr>
                <w:ilvl w:val="0"/>
                <w:numId w:val="6"/>
              </w:numPr>
              <w:ind w:left="170" w:firstLine="0"/>
              <w:jc w:val="center"/>
            </w:pPr>
            <w:r/>
            <w:r/>
          </w:p>
        </w:tc>
        <w:tc>
          <w:tcPr>
            <w:tcW w:w="8074" w:type="dxa"/>
            <w:textDirection w:val="lrTb"/>
            <w:noWrap w:val="false"/>
          </w:tcPr>
          <w:p>
            <w:pPr>
              <w:pStyle w:val="1180"/>
            </w:pPr>
            <w:r>
              <w:t xml:space="preserve">Д</w:t>
            </w:r>
            <w:r>
              <w:t xml:space="preserve">окумент</w:t>
            </w:r>
            <w:r>
              <w:t xml:space="preserve">ы</w:t>
            </w:r>
            <w:r>
              <w:t xml:space="preserve"> (или их копии)</w:t>
            </w:r>
            <w:r>
              <w:t xml:space="preserve">, подтверждающи</w:t>
            </w:r>
            <w:r>
              <w:t xml:space="preserve">е</w:t>
            </w:r>
            <w:r>
              <w:t xml:space="preserve"> соответствие предлагаемой к</w:t>
            </w:r>
            <w:r>
              <w:t xml:space="preserve"> </w:t>
            </w:r>
            <w:r>
              <w:t xml:space="preserve">поставке продукции требованиям, установленным </w:t>
            </w:r>
            <w:r>
              <w:t xml:space="preserve">в</w:t>
            </w:r>
            <w:r>
              <w:t xml:space="preserve"> </w:t>
            </w:r>
            <w:hyperlink w:tooltip="#Прил01_ТехТребования" w:anchor="Прил01_ТехТребования" w:history="1">
              <w:r>
                <w:rPr>
                  <w:rStyle w:val="1204"/>
                </w:rPr>
                <w:t xml:space="preserve">Технических требованиях (Приложение № 1)</w:t>
              </w:r>
            </w:hyperlink>
            <w:r>
              <w:t xml:space="preserve"> – </w:t>
            </w:r>
            <w:r>
              <w:t xml:space="preserve">предоставля</w:t>
            </w:r>
            <w:r>
              <w:t xml:space="preserve">ю</w:t>
            </w:r>
            <w:r>
              <w:t xml:space="preserve">тся</w:t>
            </w:r>
            <w:r>
              <w:t xml:space="preserve">,</w:t>
            </w:r>
            <w:r>
              <w:t xml:space="preserve"> </w:t>
            </w:r>
            <w:r>
              <w:t xml:space="preserve">если в</w:t>
            </w:r>
            <w:r>
              <w:t xml:space="preserve"> </w:t>
            </w:r>
            <w:hyperlink w:tooltip="#Прил01_ТехТребования" w:anchor="Прил01_ТехТребования" w:history="1">
              <w:r>
                <w:rPr>
                  <w:rStyle w:val="1204"/>
                </w:rPr>
                <w:t xml:space="preserve">Технических требованиях (Приложение № 1)</w:t>
              </w:r>
            </w:hyperlink>
            <w:r>
              <w:t xml:space="preserve"> было установлено соответствующ</w:t>
            </w:r>
            <w:r>
              <w:t xml:space="preserve">е</w:t>
            </w:r>
            <w:r>
              <w:t xml:space="preserve">е требование</w:t>
            </w:r>
            <w:r>
              <w:t xml:space="preserve">;</w:t>
            </w:r>
            <w:r/>
          </w:p>
        </w:tc>
      </w:tr>
      <w:tr>
        <w:tblPrEx/>
        <w:trPr/>
        <w:tc>
          <w:tcPr>
            <w:tcW w:w="709" w:type="dxa"/>
            <w:vMerge w:val="restart"/>
            <w:textDirection w:val="lrTb"/>
            <w:noWrap w:val="false"/>
          </w:tcPr>
          <w:p>
            <w:pPr>
              <w:pStyle w:val="1180"/>
              <w:numPr>
                <w:ilvl w:val="0"/>
                <w:numId w:val="6"/>
              </w:numPr>
              <w:ind w:left="170" w:firstLine="0"/>
              <w:jc w:val="center"/>
            </w:pPr>
            <w:r/>
            <w:r/>
          </w:p>
        </w:tc>
        <w:tc>
          <w:tcPr>
            <w:tcW w:w="8074" w:type="dxa"/>
            <w:vMerge w:val="restart"/>
            <w:textDirection w:val="lrTb"/>
            <w:noWrap w:val="false"/>
          </w:tcPr>
          <w:p>
            <w:pPr>
              <w:pStyle w:val="1180"/>
            </w:pPr>
            <w:r>
              <w:t xml:space="preserve">Э</w:t>
            </w:r>
            <w:r>
              <w:t xml:space="preserve">лектронн</w:t>
            </w:r>
            <w:r>
              <w:t xml:space="preserve">ая</w:t>
            </w:r>
            <w:r>
              <w:t xml:space="preserve"> копи</w:t>
            </w:r>
            <w:r>
              <w:t xml:space="preserve">я</w:t>
            </w:r>
            <w:r>
              <w:t xml:space="preserve"> бухгалтерского баланса (ОКУД 0710001) и отчета о</w:t>
            </w:r>
            <w:r>
              <w:t xml:space="preserve"> </w:t>
            </w:r>
            <w:r>
              <w:t xml:space="preserve">финансовых результатах (ОКУД 0710002) за последний завершенный финансовый год</w:t>
            </w:r>
            <w:r>
              <w:t xml:space="preserve"> – </w:t>
            </w:r>
            <w:r>
              <w:t xml:space="preserve">предоставляется</w:t>
            </w:r>
            <w:r>
              <w:t xml:space="preserve">, </w:t>
            </w:r>
            <w:r>
              <w:t xml:space="preserve">если</w:t>
            </w:r>
            <w:r>
              <w:t xml:space="preserve"> </w:t>
            </w:r>
            <w:r>
              <w:t xml:space="preserve">на основании ПП</w:t>
            </w:r>
            <w:r>
              <w:t xml:space="preserve"> </w:t>
            </w:r>
            <w:r>
              <w:t xml:space="preserve">395 в</w:t>
            </w:r>
            <w:r>
              <w:t xml:space="preserve"> </w:t>
            </w:r>
            <w:r>
              <w:t xml:space="preserve">государственном информационном ресурсе</w:t>
            </w:r>
            <w:r>
              <w:t xml:space="preserve"> </w:t>
            </w:r>
            <w:r>
              <w:t xml:space="preserve">https://bo.nalog.ru</w:t>
            </w:r>
            <w:r>
              <w:t xml:space="preserve"> </w:t>
            </w:r>
            <w:r>
              <w:t xml:space="preserve">не</w:t>
            </w:r>
            <w:r>
              <w:t xml:space="preserve"> </w:t>
            </w:r>
            <w:r>
              <w:t xml:space="preserve">размеща</w:t>
            </w:r>
            <w:r>
              <w:t xml:space="preserve">ю</w:t>
            </w:r>
            <w:r>
              <w:t xml:space="preserve">т</w:t>
            </w:r>
            <w:r>
              <w:t xml:space="preserve">ся</w:t>
            </w:r>
            <w:r>
              <w:t xml:space="preserve"> сведения </w:t>
            </w:r>
            <w:r>
              <w:t xml:space="preserve">о</w:t>
            </w:r>
            <w:r>
              <w:t xml:space="preserve"> бухгалтерской (финансовой) отчетности</w:t>
            </w:r>
            <w:r>
              <w:t xml:space="preserve"> Участника</w:t>
            </w:r>
            <w:r>
              <w:t xml:space="preserve"> </w:t>
            </w:r>
            <w:r>
              <w:t xml:space="preserve">и </w:t>
            </w:r>
            <w:r>
              <w:t xml:space="preserve">если </w:t>
            </w:r>
            <w:r>
              <w:t xml:space="preserve">в</w:t>
            </w:r>
            <w:r>
              <w:t xml:space="preserve"> </w:t>
            </w:r>
            <w:hyperlink w:tooltip="#Прил08_ПорядокОценки" w:anchor="Прил08_ПорядокОценки" w:history="1">
              <w:r>
                <w:rPr>
                  <w:rStyle w:val="1204"/>
                </w:rPr>
                <w:t xml:space="preserve">Порядке и критериях оценки и сопоставления заявок (Приложение № 8)</w:t>
              </w:r>
            </w:hyperlink>
            <w:r>
              <w:t xml:space="preserve"> </w:t>
            </w:r>
            <w:r>
              <w:t xml:space="preserve">установлен соответствующий критерий оценки в</w:t>
            </w:r>
            <w:r>
              <w:t xml:space="preserve"> </w:t>
            </w:r>
            <w:r>
              <w:t xml:space="preserve">части </w:t>
            </w:r>
            <w:r>
              <w:t xml:space="preserve">оценк</w:t>
            </w:r>
            <w:r>
              <w:t xml:space="preserve">и</w:t>
            </w:r>
            <w:r>
              <w:t xml:space="preserve"> финансового состояния (устойчивости) Участника</w:t>
            </w:r>
            <w:r>
              <w:t xml:space="preserve">.</w:t>
            </w:r>
            <w:r/>
          </w:p>
        </w:tc>
      </w:tr>
    </w:tbl>
    <w:p>
      <w:pPr>
        <w:pStyle w:val="1176"/>
        <w:rPr>
          <w:rStyle w:val="1185"/>
          <w:i w:val="0"/>
          <w:iCs w:val="0"/>
          <w:shd w:val="clear" w:color="auto" w:fill="auto"/>
        </w:rPr>
      </w:pPr>
      <w:r>
        <w:rPr>
          <w:rStyle w:val="1185"/>
          <w:i w:val="0"/>
          <w:iCs w:val="0"/>
          <w:shd w:val="clear" w:color="auto" w:fill="auto"/>
        </w:rPr>
        <w:t xml:space="preserve">Е</w:t>
      </w:r>
      <w:r>
        <w:rPr>
          <w:rStyle w:val="1185"/>
          <w:i w:val="0"/>
          <w:iCs w:val="0"/>
          <w:shd w:val="clear" w:color="auto" w:fill="auto"/>
        </w:rPr>
        <w:t xml:space="preserve">сли </w:t>
      </w:r>
      <w:r>
        <w:rPr>
          <w:rStyle w:val="1185"/>
          <w:i w:val="0"/>
          <w:iCs w:val="0"/>
          <w:shd w:val="clear" w:color="auto" w:fill="auto"/>
        </w:rPr>
        <w:t xml:space="preserve">по каким-либо причинам Участник не может предоставить какой-либо из</w:t>
      </w:r>
      <w:r>
        <w:rPr>
          <w:rStyle w:val="1185"/>
          <w:i w:val="0"/>
          <w:iCs w:val="0"/>
          <w:shd w:val="clear" w:color="auto" w:fill="auto"/>
        </w:rPr>
        <w:t xml:space="preserve"> </w:t>
      </w:r>
      <w:r>
        <w:rPr>
          <w:rStyle w:val="1185"/>
          <w:i w:val="0"/>
          <w:iCs w:val="0"/>
          <w:shd w:val="clear" w:color="auto" w:fill="auto"/>
        </w:rPr>
        <w:t xml:space="preserve">требуемых документов, он может в составе заявки приложить составленную в</w:t>
      </w:r>
      <w:r>
        <w:rPr>
          <w:rStyle w:val="1185"/>
          <w:i w:val="0"/>
          <w:iCs w:val="0"/>
          <w:shd w:val="clear" w:color="auto" w:fill="auto"/>
        </w:rPr>
        <w:t xml:space="preserve"> </w:t>
      </w:r>
      <w:r>
        <w:rPr>
          <w:rStyle w:val="1185"/>
          <w:i w:val="0"/>
          <w:iCs w:val="0"/>
          <w:shd w:val="clear" w:color="auto" w:fill="auto"/>
        </w:rPr>
        <w:t xml:space="preserve">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Pr>
          <w:rStyle w:val="1185"/>
          <w:i w:val="0"/>
          <w:iCs w:val="0"/>
          <w:shd w:val="clear" w:color="auto" w:fill="auto"/>
        </w:rPr>
        <w:t xml:space="preserve"> </w:t>
      </w:r>
      <w:r>
        <w:rPr>
          <w:rStyle w:val="1185"/>
          <w:i w:val="0"/>
          <w:iCs w:val="0"/>
          <w:shd w:val="clear" w:color="auto" w:fill="auto"/>
        </w:rPr>
        <w:t xml:space="preserve">Участника обязанности по предоставлению требуемого документа).</w:t>
      </w:r>
      <w:r>
        <w:rPr>
          <w:rStyle w:val="1185"/>
          <w:i w:val="0"/>
          <w:iCs w:val="0"/>
          <w:shd w:val="clear" w:color="auto" w:fill="auto"/>
        </w:rPr>
      </w:r>
      <w:r>
        <w:rPr>
          <w:rStyle w:val="1185"/>
          <w:i w:val="0"/>
          <w:iCs w:val="0"/>
          <w:shd w:val="clear" w:color="auto" w:fill="auto"/>
        </w:rPr>
      </w:r>
    </w:p>
    <w:p>
      <w:pPr>
        <w:pStyle w:val="1180"/>
        <w:rPr>
          <w:rStyle w:val="1185"/>
          <w:i w:val="0"/>
          <w:iCs w:val="0"/>
          <w:shd w:val="clear" w:color="auto" w:fill="auto"/>
        </w:rPr>
        <w:sectPr>
          <w:footnotePr/>
          <w:endnotePr/>
          <w:type w:val="nextPage"/>
          <w:pgSz w:w="11906" w:h="16838" w:orient="portrait"/>
          <w:pgMar w:top="851" w:right="850" w:bottom="851" w:left="1134" w:header="567" w:footer="567" w:gutter="0"/>
          <w:cols w:num="1" w:sep="0" w:space="708" w:equalWidth="1"/>
          <w:docGrid w:linePitch="360"/>
        </w:sectPr>
      </w:pPr>
      <w:r>
        <w:rPr>
          <w:i w:val="0"/>
          <w:iCs w:val="0"/>
          <w:shd w:val="clear" w:color="auto" w:fill="auto"/>
        </w:rPr>
      </w:r>
      <w:r>
        <w:rPr>
          <w:rStyle w:val="1185"/>
          <w:i w:val="0"/>
          <w:iCs w:val="0"/>
          <w:shd w:val="clear" w:color="auto" w:fill="auto"/>
        </w:rPr>
      </w:r>
      <w:r>
        <w:rPr>
          <w:rStyle w:val="1185"/>
          <w:i w:val="0"/>
          <w:iCs w:val="0"/>
          <w:shd w:val="clear" w:color="auto" w:fill="auto"/>
        </w:rPr>
      </w:r>
    </w:p>
    <w:p>
      <w:pPr>
        <w:pStyle w:val="1174"/>
      </w:pPr>
      <w:r/>
      <w:bookmarkStart w:id="356" w:name="Прил07_ОтборочныеКритерии"/>
      <w:r/>
      <w:bookmarkStart w:id="357" w:name="_Ref125365264"/>
      <w:r/>
      <w:bookmarkStart w:id="358" w:name="_Toc232579468"/>
      <w:r/>
      <w:bookmarkEnd w:id="356"/>
      <w:r>
        <w:t xml:space="preserve">Приложение № </w:t>
      </w:r>
      <w:r>
        <w:t xml:space="preserve">7</w:t>
      </w:r>
      <w:r>
        <w:t xml:space="preserve"> – Отборочные критерии рассмотрения заявок</w:t>
      </w:r>
      <w:bookmarkEnd w:id="357"/>
      <w:r/>
      <w:bookmarkEnd w:id="358"/>
      <w:r/>
      <w:r/>
    </w:p>
    <w:p>
      <w:pPr>
        <w:pStyle w:val="1175"/>
        <w:spacing w:after="120"/>
        <w:rPr>
          <w:rStyle w:val="1185"/>
          <w:i w:val="0"/>
          <w:iCs w:val="0"/>
          <w:shd w:val="clear" w:color="auto" w:fill="auto"/>
        </w:rPr>
      </w:pPr>
      <w:r/>
      <w:bookmarkStart w:id="359" w:name="_Toc232579469"/>
      <w:r>
        <w:rPr>
          <w:rStyle w:val="1185"/>
          <w:i w:val="0"/>
          <w:iCs w:val="0"/>
          <w:shd w:val="clear" w:color="auto" w:fill="auto"/>
        </w:rPr>
        <w:t xml:space="preserve">Отборочные критерии рассмотрения заявок</w:t>
      </w:r>
      <w:bookmarkEnd w:id="359"/>
      <w:r>
        <w:rPr>
          <w:rStyle w:val="1185"/>
          <w:i w:val="0"/>
          <w:iCs w:val="0"/>
          <w:shd w:val="clear" w:color="auto" w:fill="auto"/>
        </w:rPr>
      </w:r>
      <w:r>
        <w:rPr>
          <w:rStyle w:val="1185"/>
          <w:i w:val="0"/>
          <w:iCs w:val="0"/>
          <w:shd w:val="clear" w:color="auto" w:fill="auto"/>
        </w:rPr>
      </w:r>
    </w:p>
    <w:tbl>
      <w:tblPr>
        <w:tblStyle w:val="1201"/>
        <w:tblW w:w="0" w:type="auto"/>
        <w:tblLook w:val="04A0" w:firstRow="1" w:lastRow="0" w:firstColumn="1" w:lastColumn="0" w:noHBand="0" w:noVBand="1"/>
      </w:tblPr>
      <w:tblGrid>
        <w:gridCol w:w="1413"/>
        <w:gridCol w:w="8505"/>
        <w:gridCol w:w="3118"/>
        <w:gridCol w:w="2090"/>
      </w:tblGrid>
      <w:tr>
        <w:tblPrEx/>
        <w:trPr/>
        <w:tc>
          <w:tcPr>
            <w:tcW w:w="1413" w:type="dxa"/>
            <w:textDirection w:val="lrTb"/>
            <w:noWrap w:val="false"/>
          </w:tcPr>
          <w:p>
            <w:pPr>
              <w:pStyle w:val="1180"/>
              <w:jc w:val="center"/>
            </w:pPr>
            <w:r>
              <w:t xml:space="preserve">Номер</w:t>
            </w:r>
            <w:r>
              <w:br/>
              <w:t xml:space="preserve">критерия</w:t>
            </w:r>
            <w:r/>
          </w:p>
        </w:tc>
        <w:tc>
          <w:tcPr>
            <w:tcW w:w="8505" w:type="dxa"/>
            <w:textDirection w:val="lrTb"/>
            <w:noWrap w:val="false"/>
          </w:tcPr>
          <w:p>
            <w:pPr>
              <w:pStyle w:val="1180"/>
              <w:jc w:val="center"/>
            </w:pPr>
            <w:r>
              <w:t xml:space="preserve">Наименование</w:t>
            </w:r>
            <w:r>
              <w:br/>
            </w:r>
            <w:r>
              <w:t xml:space="preserve">отборочного критерия</w:t>
            </w:r>
            <w:r/>
          </w:p>
        </w:tc>
        <w:tc>
          <w:tcPr>
            <w:tcW w:w="3118" w:type="dxa"/>
            <w:textDirection w:val="lrTb"/>
            <w:noWrap w:val="false"/>
          </w:tcPr>
          <w:p>
            <w:pPr>
              <w:pStyle w:val="1180"/>
              <w:jc w:val="center"/>
            </w:pPr>
            <w:r>
              <w:t xml:space="preserve">Номер пункта</w:t>
            </w:r>
            <w:r>
              <w:br/>
            </w:r>
            <w:r>
              <w:t xml:space="preserve">Документации о закупке</w:t>
            </w:r>
            <w:r/>
          </w:p>
        </w:tc>
        <w:tc>
          <w:tcPr>
            <w:tcW w:w="2090" w:type="dxa"/>
            <w:textDirection w:val="lrTb"/>
            <w:noWrap w:val="false"/>
          </w:tcPr>
          <w:p>
            <w:pPr>
              <w:pStyle w:val="1180"/>
              <w:jc w:val="center"/>
            </w:pPr>
            <w:r>
              <w:t xml:space="preserve">Направления</w:t>
            </w:r>
            <w:r>
              <w:br/>
            </w:r>
            <w:r>
              <w:t xml:space="preserve">оценки заявок</w:t>
            </w:r>
            <w:r>
              <w:t xml:space="preserve">*</w:t>
            </w:r>
            <w:r/>
          </w:p>
        </w:tc>
      </w:tr>
      <w:tr>
        <w:tblPrEx/>
        <w:trPr/>
        <w:tc>
          <w:tcPr>
            <w:gridSpan w:val="2"/>
            <w:tcW w:w="9918" w:type="dxa"/>
            <w:textDirection w:val="lrTb"/>
            <w:noWrap w:val="false"/>
          </w:tcPr>
          <w:p>
            <w:pPr>
              <w:pStyle w:val="1180"/>
              <w:keepNext/>
              <w:rPr>
                <w:b/>
                <w:bCs/>
              </w:rPr>
            </w:pPr>
            <w:r>
              <w:rPr>
                <w:b/>
                <w:bCs/>
              </w:rPr>
              <w:t xml:space="preserve">Состав</w:t>
            </w:r>
            <w:r>
              <w:rPr>
                <w:b/>
                <w:bCs/>
              </w:rPr>
              <w:t xml:space="preserve"> заявки</w:t>
            </w:r>
            <w:r>
              <w:rPr>
                <w:b/>
                <w:bCs/>
              </w:rPr>
              <w:t xml:space="preserve"> и правильность </w:t>
            </w:r>
            <w:r>
              <w:rPr>
                <w:b/>
                <w:bCs/>
              </w:rPr>
              <w:t xml:space="preserve">ее </w:t>
            </w:r>
            <w:r>
              <w:rPr>
                <w:b/>
                <w:bCs/>
              </w:rPr>
              <w:t xml:space="preserve">оформления, в том числе</w:t>
            </w:r>
            <w:r>
              <w:rPr>
                <w:b/>
                <w:bCs/>
              </w:rPr>
              <w:t xml:space="preserve">:</w:t>
            </w:r>
            <w:r>
              <w:rPr>
                <w:b/>
                <w:bCs/>
              </w:rPr>
            </w:r>
            <w:r>
              <w:rPr>
                <w:b/>
                <w:bCs/>
              </w:rPr>
            </w:r>
          </w:p>
        </w:tc>
        <w:tc>
          <w:tcPr>
            <w:tcW w:w="3118" w:type="dxa"/>
            <w:textDirection w:val="lrTb"/>
            <w:noWrap w:val="false"/>
          </w:tcPr>
          <w:p>
            <w:pPr>
              <w:pStyle w:val="1180"/>
              <w:jc w:val="center"/>
              <w:rPr>
                <w:b/>
                <w:bCs/>
              </w:rPr>
            </w:pPr>
            <w:r>
              <w:rPr>
                <w:b/>
                <w:bCs/>
              </w:rPr>
              <w:t xml:space="preserve">–</w:t>
            </w:r>
            <w:r>
              <w:rPr>
                <w:b/>
                <w:bCs/>
              </w:rPr>
            </w:r>
            <w:r>
              <w:rPr>
                <w:b/>
                <w:bCs/>
              </w:rPr>
            </w:r>
          </w:p>
        </w:tc>
        <w:tc>
          <w:tcPr>
            <w:tcW w:w="2090" w:type="dxa"/>
            <w:textDirection w:val="lrTb"/>
            <w:noWrap w:val="false"/>
          </w:tcPr>
          <w:p>
            <w:pPr>
              <w:pStyle w:val="1180"/>
              <w:jc w:val="center"/>
              <w:rPr>
                <w:b/>
                <w:bCs/>
              </w:rPr>
            </w:pPr>
            <w:r>
              <w:rPr>
                <w:b/>
                <w:bCs/>
              </w:rPr>
              <w:t xml:space="preserve">–</w:t>
            </w:r>
            <w:r>
              <w:rPr>
                <w:b/>
                <w:bCs/>
              </w:rPr>
            </w:r>
            <w:r>
              <w:rPr>
                <w:b/>
                <w:bCs/>
              </w:rP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Наличие в составе заявки обязательных к</w:t>
            </w:r>
            <w:r>
              <w:t xml:space="preserve"> </w:t>
            </w:r>
            <w:r>
              <w:t xml:space="preserve">предоставлению (для</w:t>
            </w:r>
            <w:r>
              <w:t xml:space="preserve"> </w:t>
            </w:r>
            <w:r>
              <w:t xml:space="preserve">целей рассмотрения заявок в рамках отборочной стадии) документов в</w:t>
            </w:r>
            <w:r>
              <w:t xml:space="preserve"> </w:t>
            </w:r>
            <w:r>
              <w:t xml:space="preserve">соответствии с требованиями </w:t>
            </w:r>
            <w:hyperlink w:tooltip="#Прил06_СоставЗаявки" w:anchor="Прил06_СоставЗаявки" w:history="1">
              <w:r>
                <w:rPr>
                  <w:rStyle w:val="1204"/>
                </w:rPr>
                <w:t xml:space="preserve">Приложения № 6 «Состав заявки»</w:t>
              </w:r>
            </w:hyperlink>
            <w:r>
              <w:t xml:space="preserve">, а также правильность их оформления (в </w:t>
            </w:r>
            <w:r>
              <w:t xml:space="preserve">т.ч</w:t>
            </w:r>
            <w:r>
              <w:t xml:space="preserve">. в части наличия должных печатей, подписей, формы заверения, языка и валюты заявки)</w:t>
            </w:r>
            <w:r/>
          </w:p>
        </w:tc>
        <w:tc>
          <w:tcPr>
            <w:tcW w:w="3118" w:type="dxa"/>
            <w:textDirection w:val="lrTb"/>
            <w:noWrap w:val="false"/>
          </w:tcPr>
          <w:p>
            <w:pPr>
              <w:pStyle w:val="1180"/>
              <w:jc w:val="center"/>
              <w:rPr>
                <w:rStyle w:val="1204"/>
              </w:rP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_Ref125362119 \r \h </w:instrText>
            </w:r>
            <w:r>
              <w:fldChar w:fldCharType="separate"/>
            </w:r>
            <w:r>
              <w:t xml:space="preserve">4.6</w:t>
            </w:r>
            <w:r>
              <w:fldChar w:fldCharType="end"/>
            </w:r>
            <w:r>
              <w:t xml:space="preserve">,</w:t>
            </w:r>
            <w:r>
              <w:br/>
            </w:r>
            <w:hyperlink w:tooltip="#Прил06_СоставЗаявки" w:anchor="Прил06_СоставЗаявки" w:history="1">
              <w:r>
                <w:rPr>
                  <w:rStyle w:val="1204"/>
                </w:rPr>
                <w:t xml:space="preserve">Приложение № 6</w:t>
              </w:r>
            </w:hyperlink>
            <w:r>
              <w:rPr>
                <w:rStyle w:val="1204"/>
              </w:rPr>
            </w:r>
            <w:r>
              <w:rPr>
                <w:rStyle w:val="1204"/>
              </w:rPr>
            </w:r>
          </w:p>
        </w:tc>
        <w:tc>
          <w:tcPr>
            <w:tcW w:w="2090" w:type="dxa"/>
            <w:textDirection w:val="lrTb"/>
            <w:noWrap w:val="false"/>
          </w:tcPr>
          <w:p>
            <w:pPr>
              <w:pStyle w:val="1180"/>
              <w:jc w:val="center"/>
            </w:pPr>
            <w:r>
              <w:t xml:space="preserve">Орг</w:t>
            </w:r>
            <w:r>
              <w:t xml:space="preserve">, Тех,</w:t>
            </w:r>
            <w:r>
              <w:br/>
            </w:r>
            <w:r>
              <w:t xml:space="preserve">Цена</w:t>
            </w:r>
            <w:r>
              <w:t xml:space="preserve">, Юр</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Отсутствие в материалах </w:t>
            </w:r>
            <w:r>
              <w:t xml:space="preserve">(документах) </w:t>
            </w:r>
            <w:r>
              <w:t xml:space="preserve">заявки недостоверных сведений или намеренно искаженной информации </w:t>
            </w:r>
            <w:r>
              <w:t xml:space="preserve">и</w:t>
            </w:r>
            <w:r>
              <w:t xml:space="preserve"> (</w:t>
            </w:r>
            <w:r>
              <w:t xml:space="preserve">или</w:t>
            </w:r>
            <w:r>
              <w:t xml:space="preserve">)</w:t>
            </w:r>
            <w:r>
              <w:t xml:space="preserve"> документов, внутренних противоречий между различными частями </w:t>
            </w:r>
            <w:r>
              <w:t xml:space="preserve">и</w:t>
            </w:r>
            <w:r>
              <w:t xml:space="preserve"> (</w:t>
            </w:r>
            <w:r>
              <w:t xml:space="preserve">или</w:t>
            </w:r>
            <w:r>
              <w:t xml:space="preserve">)</w:t>
            </w:r>
            <w:r>
              <w:t xml:space="preserve"> документами заявки, в</w:t>
            </w:r>
            <w:r>
              <w:t xml:space="preserve"> </w:t>
            </w:r>
            <w:r>
              <w:t xml:space="preserve">том числе по тексту внутри одного документа</w:t>
            </w:r>
            <w:r>
              <w:t xml:space="preserve">, а</w:t>
            </w:r>
            <w:r>
              <w:t xml:space="preserve"> </w:t>
            </w:r>
            <w:r>
              <w:t xml:space="preserve">также </w:t>
            </w:r>
            <w:r>
              <w:t xml:space="preserve">противоречий между документами заявки и сведениями, указанными Участником в</w:t>
            </w:r>
            <w:r>
              <w:t xml:space="preserve"> </w:t>
            </w:r>
            <w:r>
              <w:t xml:space="preserve">структурированных </w:t>
            </w:r>
            <w:r>
              <w:t xml:space="preserve">формах на ЭП</w:t>
            </w:r>
            <w:r/>
          </w:p>
        </w:tc>
        <w:tc>
          <w:tcPr>
            <w:tcW w:w="3118" w:type="dxa"/>
            <w:textDirection w:val="lrTb"/>
            <w:noWrap w:val="false"/>
          </w:tcPr>
          <w:p>
            <w:pPr>
              <w:pStyle w:val="1180"/>
              <w:jc w:val="center"/>
            </w:pPr>
            <w:r>
              <w:t xml:space="preserve">подраздел </w:t>
            </w:r>
            <w:r>
              <w:fldChar w:fldCharType="begin"/>
            </w:r>
            <w:r>
              <w:instrText xml:space="preserve"> REF _Ref130394681 \r \h </w:instrText>
            </w:r>
            <w:r>
              <w:fldChar w:fldCharType="separate"/>
            </w:r>
            <w:r>
              <w:t xml:space="preserve">4.3</w:t>
            </w:r>
            <w:r>
              <w:fldChar w:fldCharType="end"/>
            </w:r>
            <w:r/>
          </w:p>
        </w:tc>
        <w:tc>
          <w:tcPr>
            <w:tcW w:w="2090" w:type="dxa"/>
            <w:textDirection w:val="lrTb"/>
            <w:noWrap w:val="false"/>
          </w:tcPr>
          <w:p>
            <w:pPr>
              <w:pStyle w:val="1180"/>
              <w:jc w:val="center"/>
            </w:pPr>
            <w:r>
              <w:t xml:space="preserve">Орг</w:t>
            </w:r>
            <w:r>
              <w:t xml:space="preserve">, Тех,</w:t>
            </w:r>
            <w:r>
              <w:br/>
            </w:r>
            <w:r>
              <w:t xml:space="preserve">Цена</w:t>
            </w:r>
            <w:r>
              <w:t xml:space="preserve">, Юр</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fldChar w:fldCharType="begin"/>
            </w:r>
            <w:r>
              <w:instrText xml:space="preserve"> REF _Ref125359973 \r \h </w:instrText>
            </w:r>
            <w:r>
              <w:fldChar w:fldCharType="separate"/>
            </w:r>
            <w:r>
              <w:t xml:space="preserve">1.2</w:t>
            </w:r>
            <w:r>
              <w:fldChar w:fldCharType="end"/>
            </w:r>
            <w: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r/>
          </w:p>
        </w:tc>
        <w:tc>
          <w:tcPr>
            <w:tcW w:w="3118" w:type="dxa"/>
            <w:textDirection w:val="lrTb"/>
            <w:noWrap w:val="false"/>
          </w:tcPr>
          <w:p>
            <w:pPr>
              <w:pStyle w:val="1180"/>
              <w:jc w:val="center"/>
            </w:pPr>
            <w:r>
              <w:t xml:space="preserve">п</w:t>
            </w:r>
            <w:r>
              <w:t xml:space="preserve">одраздел</w:t>
            </w:r>
            <w:r>
              <w:rPr>
                <w:lang w:val="en-US"/>
              </w:rPr>
              <w:t xml:space="preserve"> </w:t>
            </w:r>
            <w:r>
              <w:rPr>
                <w:lang w:val="en-US"/>
              </w:rPr>
              <w:fldChar w:fldCharType="begin"/>
            </w:r>
            <w:r>
              <w:rPr>
                <w:lang w:val="en-US"/>
              </w:rPr>
              <w:instrText xml:space="preserve"> REF _Ref130455226 \r \h </w:instrText>
            </w:r>
            <w:r>
              <w:rPr>
                <w:lang w:val="en-US"/>
              </w:rPr>
              <w:fldChar w:fldCharType="separate"/>
            </w:r>
            <w:r>
              <w:rPr>
                <w:lang w:val="en-US"/>
              </w:rPr>
              <w:t xml:space="preserve">4.17</w:t>
            </w:r>
            <w:r>
              <w:rPr>
                <w:lang w:val="en-US"/>
              </w:rPr>
              <w:fldChar w:fldCharType="end"/>
            </w:r>
            <w:r/>
          </w:p>
        </w:tc>
        <w:tc>
          <w:tcPr>
            <w:tcW w:w="2090" w:type="dxa"/>
            <w:textDirection w:val="lrTb"/>
            <w:noWrap w:val="false"/>
          </w:tcPr>
          <w:p>
            <w:pPr>
              <w:pStyle w:val="1180"/>
              <w:jc w:val="center"/>
            </w:pPr>
            <w:r>
              <w:t xml:space="preserve">Орг</w:t>
            </w:r>
            <w:r>
              <w:t xml:space="preserve"> – в части наличия сведений в реестре,</w:t>
            </w:r>
            <w:r/>
          </w:p>
          <w:p>
            <w:pPr>
              <w:pStyle w:val="1180"/>
              <w:jc w:val="center"/>
            </w:pPr>
            <w:r>
              <w:t xml:space="preserve">Фин</w:t>
            </w:r>
            <w:r>
              <w:t xml:space="preserve"> – в части соответствия</w:t>
            </w:r>
            <w:r/>
          </w:p>
        </w:tc>
      </w:tr>
      <w:tr>
        <w:tblPrEx/>
        <w:trPr/>
        <w:tc>
          <w:tcPr>
            <w:gridSpan w:val="2"/>
            <w:tcW w:w="9918" w:type="dxa"/>
            <w:textDirection w:val="lrTb"/>
            <w:noWrap w:val="false"/>
          </w:tcPr>
          <w:p>
            <w:pPr>
              <w:pStyle w:val="1180"/>
              <w:keepNext/>
              <w:rPr>
                <w:b/>
                <w:bCs/>
              </w:rPr>
            </w:pPr>
            <w:r>
              <w:rPr>
                <w:b/>
                <w:bCs/>
              </w:rPr>
              <w:t xml:space="preserve">Соответствие Письм</w:t>
            </w:r>
            <w:r>
              <w:rPr>
                <w:b/>
                <w:bCs/>
              </w:rPr>
              <w:t xml:space="preserve">а</w:t>
            </w:r>
            <w:r>
              <w:rPr>
                <w:b/>
                <w:bCs/>
              </w:rPr>
              <w:t xml:space="preserve"> о подаче оферты:</w:t>
            </w:r>
            <w:r>
              <w:rPr>
                <w:b/>
                <w:bCs/>
              </w:rPr>
            </w:r>
            <w:r>
              <w:rPr>
                <w:b/>
                <w:bCs/>
              </w:rPr>
            </w:r>
          </w:p>
        </w:tc>
        <w:tc>
          <w:tcPr>
            <w:tcW w:w="3118" w:type="dxa"/>
            <w:textDirection w:val="lrTb"/>
            <w:noWrap w:val="false"/>
          </w:tcPr>
          <w:p>
            <w:pPr>
              <w:pStyle w:val="1180"/>
              <w:jc w:val="center"/>
              <w:keepNext/>
            </w:pPr>
            <w:r>
              <w:rPr>
                <w:b/>
                <w:bCs/>
              </w:rPr>
              <w:t xml:space="preserve">–</w:t>
            </w:r>
            <w:r/>
          </w:p>
        </w:tc>
        <w:tc>
          <w:tcPr>
            <w:tcW w:w="2090" w:type="dxa"/>
            <w:textDirection w:val="lrTb"/>
            <w:noWrap w:val="false"/>
          </w:tcPr>
          <w:p>
            <w:pPr>
              <w:pStyle w:val="1180"/>
              <w:jc w:val="center"/>
              <w:keepNext/>
            </w:pPr>
            <w:r>
              <w:rPr>
                <w:b/>
                <w:bCs/>
              </w:rPr>
              <w:t xml:space="preserve">–</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w:t>
            </w:r>
            <w:r>
              <w:t xml:space="preserve">оответствие</w:t>
            </w:r>
            <w:r>
              <w:t xml:space="preserve"> (в том числе содержание)</w:t>
            </w:r>
            <w:r>
              <w:t xml:space="preserve"> Письма о подаче оферты</w:t>
            </w:r>
            <w:r>
              <w:t xml:space="preserve"> </w:t>
            </w:r>
            <w:r>
              <w:t xml:space="preserve">установленной форме и иным требованиям Документации о закупке, в </w:t>
            </w:r>
            <w:r>
              <w:t xml:space="preserve">т.ч</w:t>
            </w:r>
            <w:r>
              <w:t xml:space="preserve">. в части </w:t>
            </w:r>
            <w:r>
              <w:t xml:space="preserve">наличия должных печатей, подписей, формы заверения, языка</w:t>
            </w:r>
            <w:r>
              <w:t xml:space="preserve">,</w:t>
            </w:r>
            <w:r>
              <w:t xml:space="preserve"> валюты </w:t>
            </w:r>
            <w:r>
              <w:t xml:space="preserve">и</w:t>
            </w:r>
            <w:r>
              <w:t xml:space="preserve"> </w:t>
            </w:r>
            <w:r>
              <w:t xml:space="preserve">срока действия заявки</w:t>
            </w:r>
            <w:r/>
          </w:p>
        </w:tc>
        <w:tc>
          <w:tcPr>
            <w:tcW w:w="3118" w:type="dxa"/>
            <w:textDirection w:val="lrTb"/>
            <w:noWrap w:val="false"/>
          </w:tcPr>
          <w:p>
            <w:pPr>
              <w:pStyle w:val="1180"/>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_Ref125362119 \r \h </w:instrText>
            </w:r>
            <w:r>
              <w:fldChar w:fldCharType="separate"/>
            </w:r>
            <w:r>
              <w:t xml:space="preserve">4.6</w:t>
            </w:r>
            <w:r>
              <w:fldChar w:fldCharType="end"/>
            </w:r>
            <w:r>
              <w:br/>
            </w:r>
            <w:hyperlink w:tooltip="#Прил04_ФормыЗаявки" w:anchor="Прил04_ФормыЗаявки" w:history="1">
              <w:r>
                <w:rPr>
                  <w:rStyle w:val="1204"/>
                </w:rPr>
                <w:t xml:space="preserve">Приложение № 4</w:t>
              </w:r>
            </w:hyperlink>
            <w:r/>
            <w:r/>
          </w:p>
        </w:tc>
        <w:tc>
          <w:tcPr>
            <w:tcW w:w="2090" w:type="dxa"/>
            <w:textDirection w:val="lrTb"/>
            <w:noWrap w:val="false"/>
          </w:tcPr>
          <w:p>
            <w:pPr>
              <w:pStyle w:val="1180"/>
              <w:jc w:val="center"/>
            </w:pPr>
            <w:r>
              <w:t xml:space="preserve">Орг</w:t>
            </w:r>
            <w:r/>
          </w:p>
        </w:tc>
      </w:tr>
      <w:tr>
        <w:tblPrEx/>
        <w:trPr/>
        <w:tc>
          <w:tcPr>
            <w:gridSpan w:val="2"/>
            <w:tcW w:w="9918" w:type="dxa"/>
            <w:textDirection w:val="lrTb"/>
            <w:noWrap w:val="false"/>
          </w:tcPr>
          <w:p>
            <w:pPr>
              <w:pStyle w:val="1180"/>
              <w:keepNext/>
              <w:rPr>
                <w:b/>
                <w:bCs/>
              </w:rPr>
            </w:pPr>
            <w:r>
              <w:rPr>
                <w:b/>
                <w:bCs/>
              </w:rPr>
              <w:t xml:space="preserve">Соответствие Участника установленным требованиям Документации о закупке, в</w:t>
            </w:r>
            <w:r>
              <w:rPr>
                <w:b/>
                <w:bCs/>
              </w:rPr>
              <w:t xml:space="preserve"> </w:t>
            </w:r>
            <w:r>
              <w:rPr>
                <w:b/>
                <w:bCs/>
              </w:rPr>
              <w:t xml:space="preserve">том числе</w:t>
            </w:r>
            <w:r>
              <w:rPr>
                <w:b/>
                <w:bCs/>
              </w:rPr>
              <w:t xml:space="preserve">:</w:t>
            </w:r>
            <w:r>
              <w:rPr>
                <w:b/>
                <w:bCs/>
              </w:rPr>
            </w:r>
            <w:r>
              <w:rPr>
                <w:b/>
                <w:bCs/>
              </w:rPr>
            </w:r>
          </w:p>
        </w:tc>
        <w:tc>
          <w:tcPr>
            <w:tcW w:w="3118" w:type="dxa"/>
            <w:textDirection w:val="lrTb"/>
            <w:noWrap w:val="false"/>
          </w:tcPr>
          <w:p>
            <w:pPr>
              <w:pStyle w:val="1180"/>
              <w:jc w:val="center"/>
              <w:rPr>
                <w:b/>
                <w:bCs/>
              </w:rPr>
            </w:pPr>
            <w:r>
              <w:rPr>
                <w:b/>
                <w:bCs/>
              </w:rPr>
              <w:t xml:space="preserve">–</w:t>
            </w:r>
            <w:r>
              <w:rPr>
                <w:b/>
                <w:bCs/>
              </w:rPr>
            </w:r>
            <w:r>
              <w:rPr>
                <w:b/>
                <w:bCs/>
              </w:rPr>
            </w:r>
          </w:p>
        </w:tc>
        <w:tc>
          <w:tcPr>
            <w:tcW w:w="2090" w:type="dxa"/>
            <w:textDirection w:val="lrTb"/>
            <w:noWrap w:val="false"/>
          </w:tcPr>
          <w:p>
            <w:pPr>
              <w:pStyle w:val="1180"/>
              <w:jc w:val="center"/>
              <w:rPr>
                <w:b/>
                <w:bCs/>
              </w:rPr>
            </w:pPr>
            <w:r>
              <w:rPr>
                <w:b/>
                <w:bCs/>
              </w:rPr>
              <w:t xml:space="preserve">–</w:t>
            </w:r>
            <w:r>
              <w:rPr>
                <w:b/>
                <w:bCs/>
              </w:rPr>
            </w:r>
            <w:r>
              <w:rPr>
                <w:b/>
                <w:bCs/>
              </w:rP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w:t>
            </w:r>
            <w:r>
              <w:t xml:space="preserve">Участника пункту </w:t>
            </w:r>
            <w:r>
              <w:fldChar w:fldCharType="begin"/>
            </w:r>
            <w:r>
              <w:instrText xml:space="preserve"> REF _Ref125552433 \w \h </w:instrText>
            </w:r>
            <w:r>
              <w:instrText xml:space="preserve"> \* MERGEFORMAT </w:instrText>
            </w:r>
            <w:r>
              <w:fldChar w:fldCharType="separate"/>
            </w:r>
            <w:r>
              <w:t xml:space="preserve">1</w:t>
            </w:r>
            <w:r>
              <w:fldChar w:fldCharType="end"/>
            </w:r>
            <w:r>
              <w:t xml:space="preserve"> обязательных требований</w:t>
            </w:r>
            <w:r>
              <w:t xml:space="preserve"> к</w:t>
            </w:r>
            <w:r>
              <w:t xml:space="preserve"> </w:t>
            </w:r>
            <w:r>
              <w:t xml:space="preserve">Участникам</w:t>
            </w:r>
            <w:r/>
          </w:p>
          <w:p>
            <w:pPr>
              <w:pStyle w:val="1180"/>
              <w:rPr>
                <w:i/>
                <w:iCs/>
              </w:rPr>
            </w:pPr>
            <w:r>
              <w:rPr>
                <w:i/>
                <w:iCs/>
              </w:rPr>
              <w:t xml:space="preserve">(</w:t>
            </w:r>
            <w:r>
              <w:rPr>
                <w:i/>
                <w:iCs/>
              </w:rPr>
              <w:t xml:space="preserve">в</w:t>
            </w:r>
            <w:r>
              <w:rPr>
                <w:i/>
                <w:iCs/>
              </w:rPr>
              <w:t xml:space="preserve">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w:t>
            </w:r>
            <w:r>
              <w:rPr>
                <w:i/>
                <w:iCs/>
              </w:rPr>
              <w:t xml:space="preserve">его </w:t>
            </w:r>
            <w:r>
              <w:rPr>
                <w:i/>
                <w:iCs/>
              </w:rPr>
              <w:t xml:space="preserve">аккредитации (при</w:t>
            </w:r>
            <w:r>
              <w:rPr>
                <w:i/>
                <w:iCs/>
                <w:lang w:val="en-US"/>
              </w:rPr>
              <w:t xml:space="preserve"> </w:t>
            </w:r>
            <w:r>
              <w:rPr>
                <w:i/>
                <w:iCs/>
              </w:rPr>
              <w:t xml:space="preserve">необходимости). В рамках заключения Договора Победитель </w:t>
            </w:r>
            <w:r>
              <w:rPr>
                <w:i/>
                <w:iCs/>
              </w:rPr>
              <w:t xml:space="preserve">в целях подтверждения своего соответствия </w:t>
            </w:r>
            <w:r>
              <w:rPr>
                <w:i/>
                <w:iCs/>
              </w:rPr>
              <w:t xml:space="preserve">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fldChar w:fldCharType="separate"/>
            </w:r>
            <w:r>
              <w:rPr>
                <w:i/>
                <w:iCs/>
              </w:rPr>
              <w:t xml:space="preserve">5.2</w:t>
            </w:r>
            <w:r>
              <w:rPr>
                <w:i/>
                <w:iCs/>
              </w:rPr>
              <w:fldChar w:fldCharType="end"/>
            </w:r>
            <w:r>
              <w:rPr>
                <w:i/>
                <w:iCs/>
              </w:rPr>
              <w:t xml:space="preserve">)</w:t>
            </w:r>
            <w:r>
              <w:rPr>
                <w:i/>
                <w:iCs/>
              </w:rPr>
            </w:r>
            <w:r>
              <w:rPr>
                <w:i/>
                <w:iCs/>
              </w:rPr>
            </w:r>
          </w:p>
        </w:tc>
        <w:tc>
          <w:tcPr>
            <w:tcW w:w="3118" w:type="dxa"/>
            <w:textDirection w:val="lrTb"/>
            <w:noWrap w:val="false"/>
          </w:tcPr>
          <w:p>
            <w:pPr>
              <w:pStyle w:val="1180"/>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04"/>
                </w:rPr>
                <w:t xml:space="preserve">Приложение № 3</w:t>
              </w:r>
            </w:hyperlink>
            <w:r>
              <w:t xml:space="preserve">)</w:t>
            </w:r>
            <w:r/>
          </w:p>
        </w:tc>
        <w:tc>
          <w:tcPr>
            <w:tcW w:w="2090" w:type="dxa"/>
            <w:textDirection w:val="lrTb"/>
            <w:noWrap w:val="false"/>
          </w:tcPr>
          <w:p>
            <w:pPr>
              <w:pStyle w:val="1180"/>
              <w:jc w:val="center"/>
            </w:pPr>
            <w:r>
              <w:t xml:space="preserve">Орг</w:t>
            </w:r>
            <w:r>
              <w:t xml:space="preserve">, Юр</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Участника пункт</w:t>
            </w:r>
            <w:r>
              <w:t xml:space="preserve">у </w:t>
            </w:r>
            <w:r>
              <w:fldChar w:fldCharType="begin"/>
            </w:r>
            <w:r>
              <w:instrText xml:space="preserve"> REF _Ref139028406 \r \h </w:instrText>
            </w:r>
            <w:r>
              <w:fldChar w:fldCharType="separate"/>
            </w:r>
            <w:r>
              <w:t xml:space="preserve">2</w:t>
            </w:r>
            <w:r>
              <w:fldChar w:fldCharType="end"/>
            </w:r>
            <w:r>
              <w:t xml:space="preserve"> </w:t>
            </w:r>
            <w:r>
              <w:t xml:space="preserve">обязательных требований</w:t>
            </w:r>
            <w:r>
              <w:t xml:space="preserve"> к</w:t>
            </w:r>
            <w:r>
              <w:t xml:space="preserve"> </w:t>
            </w:r>
            <w:r>
              <w:t xml:space="preserve">Участникам</w:t>
            </w:r>
            <w:r/>
          </w:p>
        </w:tc>
        <w:tc>
          <w:tcPr>
            <w:tcW w:w="3118" w:type="dxa"/>
            <w:textDirection w:val="lrTb"/>
            <w:noWrap w:val="false"/>
          </w:tcPr>
          <w:p>
            <w:pPr>
              <w:pStyle w:val="1180"/>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04"/>
                </w:rPr>
                <w:t xml:space="preserve">Приложение № 3</w:t>
              </w:r>
            </w:hyperlink>
            <w:r>
              <w:t xml:space="preserve">)</w:t>
            </w:r>
            <w:r/>
          </w:p>
        </w:tc>
        <w:tc>
          <w:tcPr>
            <w:tcW w:w="2090" w:type="dxa"/>
            <w:textDirection w:val="lrTb"/>
            <w:noWrap w:val="false"/>
          </w:tcPr>
          <w:p>
            <w:pPr>
              <w:pStyle w:val="1180"/>
              <w:jc w:val="center"/>
            </w:pPr>
            <w:r>
              <w:t xml:space="preserve">Орг</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Участника пункту </w:t>
            </w:r>
            <w:r>
              <w:fldChar w:fldCharType="begin"/>
            </w:r>
            <w:r>
              <w:instrText xml:space="preserve"> REF _Ref186213321 \r \h </w:instrText>
            </w:r>
            <w:r>
              <w:fldChar w:fldCharType="separate"/>
            </w:r>
            <w:r>
              <w:t xml:space="preserve">3</w:t>
            </w:r>
            <w:r>
              <w:fldChar w:fldCharType="end"/>
            </w:r>
            <w:r>
              <w:t xml:space="preserve"> обязательных требований к Участникам</w:t>
            </w:r>
            <w:r/>
          </w:p>
          <w:p>
            <w:pPr>
              <w:pStyle w:val="1180"/>
              <w:rPr>
                <w:i/>
                <w:iCs/>
              </w:rPr>
            </w:pPr>
            <w:r>
              <w:rPr>
                <w:i/>
                <w:iCs/>
              </w:rPr>
              <w:t xml:space="preserve">(пункт применяется только в случае установления режима запрета закупки иностранной продукции (подраздел</w:t>
            </w:r>
            <w:r>
              <w:rPr>
                <w:i/>
                <w:iCs/>
              </w:rPr>
              <w:t xml:space="preserve"> </w:t>
            </w:r>
            <w:r>
              <w:rPr>
                <w:i/>
                <w:iCs/>
              </w:rPr>
              <w:fldChar w:fldCharType="begin"/>
            </w:r>
            <w:r>
              <w:rPr>
                <w:i/>
                <w:iCs/>
              </w:rPr>
              <w:instrText xml:space="preserve"> REF _Ref130985951 \r \h </w:instrText>
            </w:r>
            <w:r>
              <w:rPr>
                <w:i/>
                <w:iCs/>
              </w:rPr>
              <w:fldChar w:fldCharType="separate"/>
            </w:r>
            <w:r>
              <w:rPr>
                <w:i/>
                <w:iCs/>
              </w:rPr>
              <w:t xml:space="preserve">4.13</w:t>
            </w:r>
            <w:r>
              <w:rPr>
                <w:i/>
                <w:iCs/>
              </w:rPr>
              <w:fldChar w:fldCharType="end"/>
            </w:r>
            <w:r>
              <w:rPr>
                <w:i/>
                <w:iCs/>
              </w:rPr>
              <w:t xml:space="preserve">))</w:t>
            </w:r>
            <w:r>
              <w:rPr>
                <w:i/>
                <w:iCs/>
              </w:rPr>
            </w:r>
            <w:r>
              <w:rPr>
                <w:i/>
                <w:iCs/>
              </w:rPr>
            </w:r>
          </w:p>
        </w:tc>
        <w:tc>
          <w:tcPr>
            <w:tcW w:w="3118" w:type="dxa"/>
            <w:textDirection w:val="lrTb"/>
            <w:noWrap w:val="false"/>
          </w:tcPr>
          <w:p>
            <w:pPr>
              <w:pStyle w:val="1180"/>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04"/>
                </w:rPr>
                <w:t xml:space="preserve">Приложение № 3</w:t>
              </w:r>
            </w:hyperlink>
            <w:r>
              <w:t xml:space="preserve">)</w:t>
            </w:r>
            <w:r/>
          </w:p>
        </w:tc>
        <w:tc>
          <w:tcPr>
            <w:tcW w:w="2090" w:type="dxa"/>
            <w:textDirection w:val="lrTb"/>
            <w:noWrap w:val="false"/>
          </w:tcPr>
          <w:p>
            <w:pPr>
              <w:pStyle w:val="1180"/>
              <w:jc w:val="center"/>
            </w:pPr>
            <w:r>
              <w:t xml:space="preserve">Орг</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Участника пункту </w:t>
            </w:r>
            <w:r>
              <w:fldChar w:fldCharType="begin"/>
            </w:r>
            <w:r>
              <w:instrText xml:space="preserve"> REF _Ref186213327 \r \h </w:instrText>
            </w:r>
            <w:r>
              <w:fldChar w:fldCharType="separate"/>
            </w:r>
            <w:r>
              <w:t xml:space="preserve">4</w:t>
            </w:r>
            <w:r>
              <w:fldChar w:fldCharType="end"/>
            </w:r>
            <w:r>
              <w:t xml:space="preserve"> обязательных требований к Участникам</w:t>
            </w:r>
            <w:r/>
          </w:p>
          <w:p>
            <w:pPr>
              <w:pStyle w:val="1180"/>
              <w:rPr>
                <w:i/>
                <w:iCs/>
                <w:u w:val="single"/>
              </w:rPr>
            </w:pPr>
            <w:r>
              <w:rPr>
                <w:i/>
                <w:iCs/>
                <w:u w:val="single"/>
              </w:rPr>
              <w:t xml:space="preserve">(пункт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i/>
                <w:iCs/>
                <w:u w:val="single"/>
              </w:rPr>
              <w:fldChar w:fldCharType="begin"/>
            </w:r>
            <w:r>
              <w:rPr>
                <w:i/>
                <w:iCs/>
                <w:u w:val="single"/>
              </w:rPr>
              <w:instrText xml:space="preserve"> REF _Ref130985951 \r \h </w:instrText>
            </w:r>
            <w:r>
              <w:rPr>
                <w:i/>
                <w:iCs/>
                <w:u w:val="single"/>
              </w:rPr>
              <w:instrText xml:space="preserve"> \* MERGEFORMAT </w:instrText>
            </w:r>
            <w:r>
              <w:rPr>
                <w:i/>
                <w:iCs/>
                <w:u w:val="single"/>
              </w:rPr>
              <w:fldChar w:fldCharType="separate"/>
            </w:r>
            <w:r>
              <w:rPr>
                <w:i/>
                <w:iCs/>
                <w:u w:val="single"/>
              </w:rPr>
              <w:t xml:space="preserve">4.13</w:t>
            </w:r>
            <w:r>
              <w:rPr>
                <w:i/>
                <w:iCs/>
                <w:u w:val="single"/>
              </w:rPr>
              <w:fldChar w:fldCharType="end"/>
            </w:r>
            <w:r>
              <w:rPr>
                <w:i/>
                <w:iCs/>
                <w:u w:val="single"/>
              </w:rPr>
              <w:t xml:space="preserve">))</w:t>
            </w:r>
            <w:r>
              <w:rPr>
                <w:i/>
                <w:iCs/>
                <w:u w:val="single"/>
              </w:rPr>
            </w:r>
            <w:r>
              <w:rPr>
                <w:i/>
                <w:iCs/>
                <w:u w:val="single"/>
              </w:rPr>
            </w:r>
          </w:p>
        </w:tc>
        <w:tc>
          <w:tcPr>
            <w:tcW w:w="3118" w:type="dxa"/>
            <w:textDirection w:val="lrTb"/>
            <w:noWrap w:val="false"/>
          </w:tcPr>
          <w:p>
            <w:pPr>
              <w:pStyle w:val="1180"/>
              <w:jc w:val="center"/>
            </w:pPr>
            <w:r>
              <w:t xml:space="preserve">подраздел </w:t>
            </w:r>
            <w:r>
              <w:fldChar w:fldCharType="begin"/>
            </w:r>
            <w:r>
              <w:instrText xml:space="preserve"> REF _Ref125361435 \w \h </w:instrText>
            </w:r>
            <w:r>
              <w:instrText xml:space="preserve"> \* MERGEFORMAT </w:instrText>
            </w:r>
            <w:r>
              <w:fldChar w:fldCharType="separate"/>
            </w:r>
            <w:r>
              <w:t xml:space="preserve">8.2</w:t>
            </w:r>
            <w:r>
              <w:fldChar w:fldCharType="end"/>
            </w:r>
            <w:r>
              <w:br/>
              <w:t xml:space="preserve">(</w:t>
            </w:r>
            <w:hyperlink w:tooltip="#Прил03_ТребованияУчастникам" w:anchor="Прил03_ТребованияУчастникам" w:history="1">
              <w:r>
                <w:rPr>
                  <w:rStyle w:val="1204"/>
                </w:rPr>
                <w:t xml:space="preserve">Приложение № 3</w:t>
              </w:r>
            </w:hyperlink>
            <w:r>
              <w:t xml:space="preserve">)</w:t>
            </w:r>
            <w:r/>
          </w:p>
        </w:tc>
        <w:tc>
          <w:tcPr>
            <w:tcW w:w="2090" w:type="dxa"/>
            <w:textDirection w:val="lrTb"/>
            <w:noWrap w:val="false"/>
          </w:tcPr>
          <w:p>
            <w:pPr>
              <w:pStyle w:val="1180"/>
              <w:jc w:val="center"/>
            </w:pPr>
            <w:r>
              <w:t xml:space="preserve">Орг</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Участника специальным требованиям</w:t>
            </w:r>
            <w:r>
              <w:t xml:space="preserve"> к Участникам</w:t>
            </w:r>
            <w:r/>
          </w:p>
          <w:p>
            <w:pPr>
              <w:pStyle w:val="1180"/>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80"/>
              <w:jc w:val="center"/>
            </w:pPr>
            <w:r>
              <w:t xml:space="preserve">подраздел </w:t>
            </w:r>
            <w:r>
              <w:fldChar w:fldCharType="begin"/>
            </w:r>
            <w:r>
              <w:instrText xml:space="preserve"> REF _Ref125361442 \r \h </w:instrText>
            </w:r>
            <w:r>
              <w:fldChar w:fldCharType="separate"/>
            </w:r>
            <w:r>
              <w:t xml:space="preserve">8.3</w:t>
            </w:r>
            <w:r>
              <w:fldChar w:fldCharType="end"/>
            </w:r>
            <w:r>
              <w:br/>
              <w:t xml:space="preserve">(</w:t>
            </w:r>
            <w:hyperlink w:tooltip="#Прил03_ТребованияУчастникам" w:anchor="Прил03_ТребованияУчастникам" w:history="1">
              <w:r>
                <w:rPr>
                  <w:rStyle w:val="1204"/>
                </w:rPr>
                <w:t xml:space="preserve">Приложение № 3</w:t>
              </w:r>
            </w:hyperlink>
            <w:r>
              <w:t xml:space="preserve">)</w:t>
            </w:r>
            <w:r/>
          </w:p>
        </w:tc>
        <w:tc>
          <w:tcPr>
            <w:tcW w:w="2090" w:type="dxa"/>
            <w:textDirection w:val="lrTb"/>
            <w:noWrap w:val="false"/>
          </w:tcPr>
          <w:p>
            <w:pPr>
              <w:pStyle w:val="1180"/>
              <w:jc w:val="center"/>
            </w:pPr>
            <w:r>
              <w:t xml:space="preserve">Тех</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Участника квалификационным требованиям</w:t>
            </w:r>
            <w:r>
              <w:t xml:space="preserve"> к</w:t>
            </w:r>
            <w:r>
              <w:t xml:space="preserve"> </w:t>
            </w:r>
            <w:r>
              <w:t xml:space="preserve">Участникам</w:t>
            </w:r>
            <w:r/>
          </w:p>
          <w:p>
            <w:pPr>
              <w:pStyle w:val="1180"/>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80"/>
              <w:jc w:val="center"/>
            </w:pPr>
            <w:r>
              <w:t xml:space="preserve">подраздел </w:t>
            </w:r>
            <w:r>
              <w:fldChar w:fldCharType="begin"/>
            </w:r>
            <w:r>
              <w:instrText xml:space="preserve"> REF _Ref125550270 \r \h </w:instrText>
            </w:r>
            <w:r>
              <w:fldChar w:fldCharType="separate"/>
            </w:r>
            <w:r>
              <w:t xml:space="preserve">8.4</w:t>
            </w:r>
            <w:r>
              <w:fldChar w:fldCharType="end"/>
            </w:r>
            <w:r>
              <w:br/>
              <w:t xml:space="preserve">(</w:t>
            </w:r>
            <w:hyperlink w:tooltip="#Прил03_ТребованияУчастникам" w:anchor="Прил03_ТребованияУчастникам" w:history="1">
              <w:r>
                <w:rPr>
                  <w:rStyle w:val="1204"/>
                </w:rPr>
                <w:t xml:space="preserve">Приложение № 3</w:t>
              </w:r>
            </w:hyperlink>
            <w:r>
              <w:t xml:space="preserve">)</w:t>
            </w:r>
            <w:r/>
          </w:p>
        </w:tc>
        <w:tc>
          <w:tcPr>
            <w:tcW w:w="2090" w:type="dxa"/>
            <w:textDirection w:val="lrTb"/>
            <w:noWrap w:val="false"/>
          </w:tcPr>
          <w:p>
            <w:pPr>
              <w:pStyle w:val="1180"/>
              <w:jc w:val="center"/>
            </w:pPr>
            <w:r>
              <w:t xml:space="preserve">Тех</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Коллективного участника установленным </w:t>
            </w:r>
            <w:r>
              <w:t xml:space="preserve">в отношении его </w:t>
            </w:r>
            <w:r>
              <w:t xml:space="preserve">требованиям</w:t>
            </w:r>
            <w:r>
              <w:t xml:space="preserve">:</w:t>
            </w:r>
            <w:r/>
          </w:p>
          <w:p>
            <w:pPr>
              <w:pStyle w:val="1180"/>
            </w:pPr>
            <w:r>
              <w:rPr>
                <w:i/>
                <w:iCs/>
              </w:rPr>
              <w:t xml:space="preserve">(</w:t>
            </w:r>
            <w:r>
              <w:rPr>
                <w:i/>
                <w:iCs/>
              </w:rPr>
              <w:t xml:space="preserve">п</w:t>
            </w:r>
            <w:r>
              <w:rPr>
                <w:i/>
                <w:iCs/>
              </w:rPr>
              <w:t xml:space="preserve">ункт применяется только </w:t>
            </w:r>
            <w:r>
              <w:rPr>
                <w:i/>
                <w:iCs/>
              </w:rPr>
              <w:t xml:space="preserve">в случае </w:t>
            </w:r>
            <w:r>
              <w:rPr>
                <w:i/>
                <w:iCs/>
              </w:rPr>
              <w:t xml:space="preserve">рассмотрения заявки, поданной Коллективным участник</w:t>
            </w:r>
            <w:r>
              <w:rPr>
                <w:i/>
                <w:iCs/>
              </w:rPr>
              <w:t xml:space="preserve">о</w:t>
            </w:r>
            <w:r>
              <w:rPr>
                <w:i/>
                <w:iCs/>
              </w:rPr>
              <w:t xml:space="preserve">м</w:t>
            </w:r>
            <w:r>
              <w:rPr>
                <w:i/>
                <w:iCs/>
              </w:rPr>
              <w:t xml:space="preserve"> </w:t>
            </w:r>
            <w:r>
              <w:rPr>
                <w:i/>
                <w:iCs/>
              </w:rPr>
              <w:t xml:space="preserve">(подраздел </w:t>
            </w:r>
            <w:r>
              <w:rPr>
                <w:i/>
                <w:iCs/>
              </w:rPr>
              <w:fldChar w:fldCharType="begin"/>
            </w:r>
            <w:r>
              <w:rPr>
                <w:i/>
                <w:iCs/>
              </w:rPr>
              <w:instrText xml:space="preserve"> REF _Ref130305355 \r \h </w:instrText>
            </w:r>
            <w:r>
              <w:rPr>
                <w:i/>
                <w:iCs/>
              </w:rPr>
              <w:fldChar w:fldCharType="separate"/>
            </w:r>
            <w:r>
              <w:rPr>
                <w:i/>
                <w:iCs/>
              </w:rPr>
              <w:t xml:space="preserve">3.2</w:t>
            </w:r>
            <w:r>
              <w:rPr>
                <w:i/>
                <w:iCs/>
              </w:rPr>
              <w:fldChar w:fldCharType="end"/>
            </w:r>
            <w:r>
              <w:rPr>
                <w:i/>
                <w:iCs/>
              </w:rPr>
              <w:t xml:space="preserve">)</w:t>
            </w:r>
            <w:r>
              <w:rPr>
                <w:i/>
                <w:iCs/>
              </w:rPr>
              <w:t xml:space="preserve">)</w:t>
            </w:r>
            <w:r/>
          </w:p>
        </w:tc>
        <w:tc>
          <w:tcPr>
            <w:tcW w:w="3118" w:type="dxa"/>
            <w:textDirection w:val="lrTb"/>
            <w:noWrap w:val="false"/>
          </w:tcPr>
          <w:p>
            <w:pPr>
              <w:pStyle w:val="1180"/>
              <w:jc w:val="center"/>
            </w:pPr>
            <w:r>
              <w:rPr>
                <w:b/>
                <w:bCs/>
              </w:rPr>
              <w:t xml:space="preserve">–</w:t>
            </w:r>
            <w:r/>
          </w:p>
        </w:tc>
        <w:tc>
          <w:tcPr>
            <w:tcW w:w="2090" w:type="dxa"/>
            <w:textDirection w:val="lrTb"/>
            <w:noWrap w:val="false"/>
          </w:tcPr>
          <w:p>
            <w:pPr>
              <w:pStyle w:val="1180"/>
              <w:jc w:val="center"/>
            </w:pPr>
            <w:r>
              <w:rPr>
                <w:b/>
                <w:bCs/>
              </w:rPr>
              <w:t xml:space="preserve">–</w:t>
            </w:r>
            <w:r/>
          </w:p>
        </w:tc>
      </w:tr>
      <w:tr>
        <w:tblPrEx/>
        <w:trPr/>
        <w:tc>
          <w:tcPr>
            <w:tcW w:w="1413" w:type="dxa"/>
            <w:textDirection w:val="lrTb"/>
            <w:noWrap w:val="false"/>
          </w:tcPr>
          <w:p>
            <w:pPr>
              <w:pStyle w:val="1180"/>
              <w:numPr>
                <w:ilvl w:val="1"/>
                <w:numId w:val="7"/>
              </w:numPr>
              <w:ind w:left="170" w:firstLine="0"/>
              <w:jc w:val="center"/>
            </w:pPr>
            <w:r/>
            <w:r/>
          </w:p>
        </w:tc>
        <w:tc>
          <w:tcPr>
            <w:tcW w:w="8505" w:type="dxa"/>
            <w:textDirection w:val="lrTb"/>
            <w:noWrap w:val="false"/>
          </w:tcPr>
          <w:p>
            <w:pPr>
              <w:pStyle w:val="1180"/>
              <w:numPr>
                <w:ilvl w:val="0"/>
                <w:numId w:val="9"/>
              </w:numPr>
              <w:ind w:left="284" w:hanging="284"/>
            </w:pPr>
            <w:r>
              <w:t xml:space="preserve">в части</w:t>
            </w:r>
            <w:r>
              <w:t xml:space="preserve"> требований</w:t>
            </w:r>
            <w:r>
              <w:t xml:space="preserve"> пункта </w:t>
            </w:r>
            <w:r>
              <w:fldChar w:fldCharType="begin"/>
            </w:r>
            <w:r>
              <w:instrText xml:space="preserve"> REF _Ref125370156 \w \h </w:instrText>
            </w:r>
            <w:r>
              <w:instrText xml:space="preserve"> \* MERGEFORMAT </w:instrText>
            </w:r>
            <w:r>
              <w:fldChar w:fldCharType="separate"/>
            </w:r>
            <w:r>
              <w:t xml:space="preserve">1</w:t>
            </w:r>
            <w:r>
              <w:fldChar w:fldCharType="end"/>
            </w:r>
            <w:r/>
          </w:p>
          <w:p>
            <w:pPr>
              <w:pStyle w:val="1180"/>
              <w:ind w:left="219"/>
            </w:pPr>
            <w:r>
              <w:rPr>
                <w:i/>
                <w:iCs/>
              </w:rPr>
              <w:t xml:space="preserve">(</w:t>
            </w:r>
            <w:r>
              <w:rPr>
                <w:i/>
                <w:iCs/>
              </w:rPr>
              <w:t xml:space="preserve">в</w:t>
            </w:r>
            <w:r>
              <w:rPr>
                <w:i/>
                <w:iCs/>
              </w:rPr>
              <w:t xml:space="preserve"> рамках заключения Договора Победитель </w:t>
            </w:r>
            <w:r>
              <w:rPr>
                <w:i/>
                <w:iCs/>
              </w:rPr>
              <w:t xml:space="preserve">в целях подтверждения своего соответствия </w:t>
            </w:r>
            <w:r>
              <w:rPr>
                <w:i/>
                <w:iCs/>
              </w:rPr>
              <w:t xml:space="preserve">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fldChar w:fldCharType="separate"/>
            </w:r>
            <w:r>
              <w:rPr>
                <w:i/>
                <w:iCs/>
              </w:rPr>
              <w:t xml:space="preserve">5.2</w:t>
            </w:r>
            <w:r>
              <w:rPr>
                <w:i/>
                <w:iCs/>
              </w:rPr>
              <w:fldChar w:fldCharType="end"/>
            </w:r>
            <w:r>
              <w:rPr>
                <w:i/>
                <w:iCs/>
              </w:rPr>
              <w:t xml:space="preserve">)</w:t>
            </w:r>
            <w:r/>
          </w:p>
        </w:tc>
        <w:tc>
          <w:tcPr>
            <w:tcW w:w="3118" w:type="dxa"/>
            <w:textDirection w:val="lrTb"/>
            <w:noWrap w:val="false"/>
          </w:tcPr>
          <w:p>
            <w:pPr>
              <w:pStyle w:val="1180"/>
              <w:jc w:val="center"/>
            </w:pPr>
            <w:r>
              <w:t xml:space="preserve">подраздел </w:t>
            </w:r>
            <w:r>
              <w:fldChar w:fldCharType="begin"/>
            </w:r>
            <w:r>
              <w:instrText xml:space="preserve"> REF _Ref125552455 \r \h </w:instrText>
            </w:r>
            <w:r>
              <w:fldChar w:fldCharType="separate"/>
            </w:r>
            <w:r>
              <w:t xml:space="preserve">8.5</w:t>
            </w:r>
            <w:r>
              <w:fldChar w:fldCharType="end"/>
            </w:r>
            <w:r>
              <w:br/>
              <w:t xml:space="preserve">(</w:t>
            </w:r>
            <w:hyperlink w:tooltip="#Прил03_ТребованияУчастникам" w:anchor="Прил03_ТребованияУчастникам" w:history="1">
              <w:r>
                <w:rPr>
                  <w:rStyle w:val="1204"/>
                </w:rPr>
                <w:t xml:space="preserve">Приложение № 3</w:t>
              </w:r>
            </w:hyperlink>
            <w:r>
              <w:t xml:space="preserve">)</w:t>
            </w:r>
            <w:r/>
          </w:p>
        </w:tc>
        <w:tc>
          <w:tcPr>
            <w:tcW w:w="2090" w:type="dxa"/>
            <w:textDirection w:val="lrTb"/>
            <w:noWrap w:val="false"/>
          </w:tcPr>
          <w:p>
            <w:pPr>
              <w:pStyle w:val="1180"/>
              <w:jc w:val="center"/>
            </w:pPr>
            <w:r>
              <w:t xml:space="preserve">Юр</w:t>
            </w:r>
            <w:r/>
          </w:p>
        </w:tc>
      </w:tr>
      <w:tr>
        <w:tblPrEx/>
        <w:trPr/>
        <w:tc>
          <w:tcPr>
            <w:tcW w:w="1413" w:type="dxa"/>
            <w:textDirection w:val="lrTb"/>
            <w:noWrap w:val="false"/>
          </w:tcPr>
          <w:p>
            <w:pPr>
              <w:pStyle w:val="1180"/>
              <w:numPr>
                <w:ilvl w:val="1"/>
                <w:numId w:val="7"/>
              </w:numPr>
              <w:ind w:left="170" w:firstLine="0"/>
              <w:jc w:val="center"/>
            </w:pPr>
            <w:r/>
            <w:r/>
          </w:p>
        </w:tc>
        <w:tc>
          <w:tcPr>
            <w:tcW w:w="8505" w:type="dxa"/>
            <w:textDirection w:val="lrTb"/>
            <w:noWrap w:val="false"/>
          </w:tcPr>
          <w:p>
            <w:pPr>
              <w:pStyle w:val="1180"/>
              <w:numPr>
                <w:ilvl w:val="0"/>
                <w:numId w:val="9"/>
              </w:numPr>
              <w:ind w:left="284" w:hanging="284"/>
            </w:pPr>
            <w:r>
              <w:t xml:space="preserve">в части </w:t>
            </w:r>
            <w:r>
              <w:t xml:space="preserve">требований </w:t>
            </w:r>
            <w:r>
              <w:t xml:space="preserve">пункта </w:t>
            </w:r>
            <w:r>
              <w:fldChar w:fldCharType="begin"/>
            </w:r>
            <w:r>
              <w:instrText xml:space="preserve"> REF _Ref125553738 \w \h </w:instrText>
            </w:r>
            <w:r>
              <w:fldChar w:fldCharType="separate"/>
            </w:r>
            <w:r>
              <w:t xml:space="preserve">2</w:t>
            </w:r>
            <w:r>
              <w:fldChar w:fldCharType="end"/>
            </w:r>
            <w:r/>
          </w:p>
        </w:tc>
        <w:tc>
          <w:tcPr>
            <w:tcW w:w="3118" w:type="dxa"/>
            <w:textDirection w:val="lrTb"/>
            <w:noWrap w:val="false"/>
          </w:tcPr>
          <w:p>
            <w:pPr>
              <w:pStyle w:val="1180"/>
              <w:jc w:val="center"/>
            </w:pPr>
            <w:r>
              <w:t xml:space="preserve">подраздел </w:t>
            </w:r>
            <w:r>
              <w:fldChar w:fldCharType="begin"/>
            </w:r>
            <w:r>
              <w:instrText xml:space="preserve"> REF _Ref125552455 \r \h </w:instrText>
            </w:r>
            <w:r>
              <w:fldChar w:fldCharType="separate"/>
            </w:r>
            <w:r>
              <w:t xml:space="preserve">8.5</w:t>
            </w:r>
            <w:r>
              <w:fldChar w:fldCharType="end"/>
            </w:r>
            <w:r>
              <w:br/>
              <w:t xml:space="preserve">(</w:t>
            </w:r>
            <w:hyperlink w:tooltip="#Прил03_ТребованияУчастникам" w:anchor="Прил03_ТребованияУчастникам" w:history="1">
              <w:r>
                <w:rPr>
                  <w:rStyle w:val="1204"/>
                </w:rPr>
                <w:t xml:space="preserve">Приложение № 3</w:t>
              </w:r>
            </w:hyperlink>
            <w:r>
              <w:t xml:space="preserve">)</w:t>
            </w:r>
            <w:r/>
          </w:p>
        </w:tc>
        <w:tc>
          <w:tcPr>
            <w:tcW w:w="2090" w:type="dxa"/>
            <w:textDirection w:val="lrTb"/>
            <w:noWrap w:val="false"/>
          </w:tcPr>
          <w:p>
            <w:pPr>
              <w:pStyle w:val="1180"/>
              <w:jc w:val="center"/>
            </w:pPr>
            <w:r>
              <w:t xml:space="preserve">Тех</w:t>
            </w:r>
            <w:r/>
          </w:p>
        </w:tc>
      </w:tr>
      <w:tr>
        <w:tblPrEx/>
        <w:trPr/>
        <w:tc>
          <w:tcPr>
            <w:tcW w:w="1413" w:type="dxa"/>
            <w:textDirection w:val="lrTb"/>
            <w:noWrap w:val="false"/>
          </w:tcPr>
          <w:p>
            <w:pPr>
              <w:pStyle w:val="1180"/>
              <w:numPr>
                <w:ilvl w:val="1"/>
                <w:numId w:val="7"/>
              </w:numPr>
              <w:ind w:left="170" w:firstLine="0"/>
              <w:jc w:val="center"/>
            </w:pPr>
            <w:r/>
            <w:r/>
          </w:p>
        </w:tc>
        <w:tc>
          <w:tcPr>
            <w:tcW w:w="8505" w:type="dxa"/>
            <w:textDirection w:val="lrTb"/>
            <w:noWrap w:val="false"/>
          </w:tcPr>
          <w:p>
            <w:pPr>
              <w:pStyle w:val="1180"/>
              <w:numPr>
                <w:ilvl w:val="0"/>
                <w:numId w:val="9"/>
              </w:numPr>
              <w:ind w:left="284" w:hanging="284"/>
            </w:pPr>
            <w:r>
              <w:t xml:space="preserve">в части </w:t>
            </w:r>
            <w:r>
              <w:t xml:space="preserve">требований </w:t>
            </w:r>
            <w:r>
              <w:t xml:space="preserve">пункта </w:t>
            </w:r>
            <w:r>
              <w:fldChar w:fldCharType="begin"/>
            </w:r>
            <w:r>
              <w:instrText xml:space="preserve"> REF _Ref125370162 \w \h </w:instrText>
            </w:r>
            <w:r>
              <w:instrText xml:space="preserve"> \* MERGEFORMAT </w:instrText>
            </w:r>
            <w:r>
              <w:fldChar w:fldCharType="separate"/>
            </w:r>
            <w:r>
              <w:t xml:space="preserve">3</w:t>
            </w:r>
            <w:r>
              <w:fldChar w:fldCharType="end"/>
            </w:r>
            <w:r/>
          </w:p>
          <w:p>
            <w:pPr>
              <w:pStyle w:val="1180"/>
              <w:ind w:left="219"/>
            </w:pPr>
            <w:r>
              <w:rPr>
                <w:i/>
                <w:iCs/>
              </w:rPr>
              <w:t xml:space="preserve">(</w:t>
            </w:r>
            <w:r>
              <w:rPr>
                <w:i/>
                <w:iCs/>
              </w:rPr>
              <w:t xml:space="preserve">в</w:t>
            </w:r>
            <w:r>
              <w:rPr>
                <w:i/>
                <w:iCs/>
              </w:rPr>
              <w:t xml:space="preserve">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w:t>
            </w:r>
            <w:r>
              <w:rPr>
                <w:i/>
                <w:iCs/>
              </w:rPr>
              <w:t xml:space="preserve"> его</w:t>
            </w:r>
            <w:r>
              <w:rPr>
                <w:i/>
                <w:iCs/>
              </w:rPr>
              <w:t xml:space="preserve"> аккредитации (при</w:t>
            </w:r>
            <w:r>
              <w:rPr>
                <w:i/>
                <w:iCs/>
              </w:rPr>
              <w:t xml:space="preserve"> </w:t>
            </w:r>
            <w:r>
              <w:rPr>
                <w:i/>
                <w:iCs/>
              </w:rPr>
              <w:t xml:space="preserve">необходимости). В</w:t>
            </w:r>
            <w:r>
              <w:rPr>
                <w:i/>
                <w:iCs/>
              </w:rPr>
              <w:t xml:space="preserve"> </w:t>
            </w:r>
            <w:r>
              <w:rPr>
                <w:i/>
                <w:iCs/>
              </w:rPr>
              <w:t xml:space="preserve">рамках заключения Договора Победитель </w:t>
            </w:r>
            <w:r>
              <w:rPr>
                <w:i/>
                <w:iCs/>
              </w:rPr>
              <w:t xml:space="preserve">в целях подтверждения своего соответствия </w:t>
            </w:r>
            <w:r>
              <w:rPr>
                <w:i/>
                <w:iCs/>
              </w:rPr>
              <w:t xml:space="preserve">предоставляет документы в</w:t>
            </w:r>
            <w:r>
              <w:rPr>
                <w:i/>
                <w:iCs/>
              </w:rPr>
              <w:t xml:space="preserve"> </w:t>
            </w:r>
            <w:r>
              <w:rPr>
                <w:i/>
                <w:iCs/>
              </w:rPr>
              <w:t xml:space="preserve">порядке, предусмотренном подразделом </w:t>
            </w:r>
            <w:r>
              <w:rPr>
                <w:i/>
                <w:iCs/>
              </w:rPr>
              <w:fldChar w:fldCharType="begin"/>
            </w:r>
            <w:r>
              <w:rPr>
                <w:i/>
                <w:iCs/>
              </w:rPr>
              <w:instrText xml:space="preserve"> REF _Ref138232981 \r \h </w:instrText>
            </w:r>
            <w:r>
              <w:rPr>
                <w:i/>
                <w:iCs/>
              </w:rPr>
              <w:fldChar w:fldCharType="separate"/>
            </w:r>
            <w:r>
              <w:rPr>
                <w:i/>
                <w:iCs/>
              </w:rPr>
              <w:t xml:space="preserve">5.2</w:t>
            </w:r>
            <w:r>
              <w:rPr>
                <w:i/>
                <w:iCs/>
              </w:rPr>
              <w:fldChar w:fldCharType="end"/>
            </w:r>
            <w:r>
              <w:rPr>
                <w:i/>
                <w:iCs/>
              </w:rPr>
              <w:t xml:space="preserve">)</w:t>
            </w:r>
            <w:r/>
          </w:p>
        </w:tc>
        <w:tc>
          <w:tcPr>
            <w:tcW w:w="3118" w:type="dxa"/>
            <w:textDirection w:val="lrTb"/>
            <w:noWrap w:val="false"/>
          </w:tcPr>
          <w:p>
            <w:pPr>
              <w:pStyle w:val="1180"/>
              <w:jc w:val="center"/>
            </w:pPr>
            <w:r>
              <w:t xml:space="preserve">подраздел </w:t>
            </w:r>
            <w:r>
              <w:fldChar w:fldCharType="begin"/>
            </w:r>
            <w:r>
              <w:instrText xml:space="preserve"> REF _Ref125552455 \r \h </w:instrText>
            </w:r>
            <w:r>
              <w:fldChar w:fldCharType="separate"/>
            </w:r>
            <w:r>
              <w:t xml:space="preserve">8.5</w:t>
            </w:r>
            <w:r>
              <w:fldChar w:fldCharType="end"/>
            </w:r>
            <w:r>
              <w:br/>
              <w:t xml:space="preserve">(</w:t>
            </w:r>
            <w:hyperlink w:tooltip="#Прил03_ТребованияУчастникам" w:anchor="Прил03_ТребованияУчастникам" w:history="1">
              <w:r>
                <w:rPr>
                  <w:rStyle w:val="1204"/>
                </w:rPr>
                <w:t xml:space="preserve">Приложение № 3</w:t>
              </w:r>
            </w:hyperlink>
            <w:r>
              <w:t xml:space="preserve">)</w:t>
            </w:r>
            <w:r/>
          </w:p>
        </w:tc>
        <w:tc>
          <w:tcPr>
            <w:tcW w:w="2090" w:type="dxa"/>
            <w:textDirection w:val="lrTb"/>
            <w:noWrap w:val="false"/>
          </w:tcPr>
          <w:p>
            <w:pPr>
              <w:pStyle w:val="1180"/>
              <w:jc w:val="center"/>
            </w:pPr>
            <w:r>
              <w:t xml:space="preserve">Орг</w:t>
            </w:r>
            <w:r>
              <w:t xml:space="preserve">,</w:t>
            </w:r>
            <w:r>
              <w:t xml:space="preserve"> Тех,</w:t>
            </w:r>
            <w:r>
              <w:br/>
            </w:r>
            <w:r>
              <w:t xml:space="preserve">Юр</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w:t>
            </w:r>
            <w:r>
              <w:t xml:space="preserve">Генерального подрядчика</w:t>
            </w:r>
            <w:r>
              <w:t xml:space="preserve"> установленным </w:t>
            </w:r>
            <w:r>
              <w:t xml:space="preserve">в отношении его </w:t>
            </w:r>
            <w:r>
              <w:t xml:space="preserve">требованиям</w:t>
            </w:r>
            <w:r>
              <w:t xml:space="preserve">:</w:t>
            </w:r>
            <w:r/>
          </w:p>
          <w:p>
            <w:pPr>
              <w:pStyle w:val="1180"/>
              <w:rPr>
                <w:i/>
                <w:iCs/>
              </w:rPr>
            </w:pPr>
            <w:r>
              <w:rPr>
                <w:i/>
                <w:iCs/>
              </w:rPr>
              <w:t xml:space="preserve">(</w:t>
            </w:r>
            <w:r>
              <w:rPr>
                <w:i/>
                <w:iCs/>
              </w:rPr>
              <w:t xml:space="preserve">п</w:t>
            </w:r>
            <w:r>
              <w:rPr>
                <w:i/>
                <w:iCs/>
              </w:rPr>
              <w:t xml:space="preserve">ункт применяется только </w:t>
            </w:r>
            <w:r>
              <w:rPr>
                <w:i/>
                <w:iCs/>
              </w:rPr>
              <w:t xml:space="preserve">в случае проведения закупк</w:t>
            </w:r>
            <w:r>
              <w:rPr>
                <w:i/>
                <w:iCs/>
              </w:rPr>
              <w:t xml:space="preserve">и, </w:t>
            </w:r>
            <w:r>
              <w:rPr>
                <w:i/>
                <w:iCs/>
              </w:rPr>
              <w:t xml:space="preserve">в которой предусмотрена возможность р</w:t>
            </w:r>
            <w:r>
              <w:rPr>
                <w:i/>
                <w:iCs/>
              </w:rPr>
              <w:t xml:space="preserve">ассмотрени</w:t>
            </w:r>
            <w:r>
              <w:rPr>
                <w:i/>
                <w:iCs/>
              </w:rPr>
              <w:t xml:space="preserve">я,</w:t>
            </w:r>
            <w:r>
              <w:rPr>
                <w:i/>
                <w:iCs/>
              </w:rPr>
              <w:t xml:space="preserve"> оценк</w:t>
            </w:r>
            <w:r>
              <w:rPr>
                <w:i/>
                <w:iCs/>
              </w:rPr>
              <w:t xml:space="preserve">и и сопоставления</w:t>
            </w:r>
            <w:r>
              <w:rPr>
                <w:i/>
                <w:iCs/>
              </w:rPr>
              <w:t xml:space="preserve"> заявок Участников с учетом привлекаемых субподрядчиков</w:t>
            </w:r>
            <w:r>
              <w:rPr>
                <w:i/>
                <w:iCs/>
              </w:rPr>
              <w:t xml:space="preserve"> </w:t>
            </w:r>
            <w:r>
              <w:rPr>
                <w:i/>
                <w:iCs/>
              </w:rPr>
              <w:t xml:space="preserve">(подраздел </w:t>
            </w:r>
            <w:r>
              <w:rPr>
                <w:i/>
                <w:iCs/>
              </w:rPr>
              <w:fldChar w:fldCharType="begin"/>
            </w:r>
            <w:r>
              <w:rPr>
                <w:i/>
                <w:iCs/>
              </w:rPr>
              <w:instrText xml:space="preserve"> REF _Ref125359973 \r \h </w:instrText>
            </w:r>
            <w:r>
              <w:rPr>
                <w:i/>
                <w:iCs/>
              </w:rPr>
              <w:fldChar w:fldCharType="separate"/>
            </w:r>
            <w:r>
              <w:rPr>
                <w:i/>
                <w:iCs/>
              </w:rPr>
              <w:t xml:space="preserve">1.2</w:t>
            </w:r>
            <w:r>
              <w:rPr>
                <w:i/>
                <w:iCs/>
              </w:rPr>
              <w:fldChar w:fldCharType="end"/>
            </w:r>
            <w:r>
              <w:rPr>
                <w:i/>
                <w:iCs/>
              </w:rPr>
              <w:t xml:space="preserve">, подраздел </w:t>
            </w:r>
            <w:r>
              <w:rPr>
                <w:i/>
                <w:iCs/>
              </w:rPr>
              <w:fldChar w:fldCharType="begin"/>
            </w:r>
            <w:r>
              <w:rPr>
                <w:i/>
                <w:iCs/>
              </w:rPr>
              <w:instrText xml:space="preserve"> REF _Ref125361702 \r \h </w:instrText>
            </w:r>
            <w:r>
              <w:rPr>
                <w:i/>
                <w:iCs/>
              </w:rPr>
              <w:fldChar w:fldCharType="separate"/>
            </w:r>
            <w:r>
              <w:rPr>
                <w:i/>
                <w:iCs/>
              </w:rPr>
              <w:t xml:space="preserve">3.3</w:t>
            </w:r>
            <w:r>
              <w:rPr>
                <w:i/>
                <w:iCs/>
              </w:rPr>
              <w:fldChar w:fldCharType="end"/>
            </w:r>
            <w:r>
              <w:rPr>
                <w:i/>
                <w:iCs/>
              </w:rPr>
              <w:t xml:space="preserve">)</w:t>
            </w:r>
            <w:r>
              <w:rPr>
                <w:i/>
                <w:iCs/>
              </w:rPr>
              <w:t xml:space="preserve">)</w:t>
            </w:r>
            <w:r>
              <w:rPr>
                <w:i/>
                <w:iCs/>
              </w:rPr>
            </w:r>
            <w:r>
              <w:rPr>
                <w:i/>
                <w:iCs/>
              </w:rPr>
            </w:r>
          </w:p>
        </w:tc>
        <w:tc>
          <w:tcPr>
            <w:tcW w:w="3118" w:type="dxa"/>
            <w:textDirection w:val="lrTb"/>
            <w:noWrap w:val="false"/>
          </w:tcPr>
          <w:p>
            <w:pPr>
              <w:pStyle w:val="1180"/>
              <w:jc w:val="center"/>
            </w:pPr>
            <w:r>
              <w:rPr>
                <w:b/>
                <w:bCs/>
              </w:rPr>
              <w:t xml:space="preserve">–</w:t>
            </w:r>
            <w:r/>
          </w:p>
        </w:tc>
        <w:tc>
          <w:tcPr>
            <w:tcW w:w="2090" w:type="dxa"/>
            <w:textDirection w:val="lrTb"/>
            <w:noWrap w:val="false"/>
          </w:tcPr>
          <w:p>
            <w:pPr>
              <w:pStyle w:val="1180"/>
              <w:jc w:val="center"/>
            </w:pPr>
            <w:r>
              <w:rPr>
                <w:b/>
                <w:bCs/>
              </w:rPr>
              <w:t xml:space="preserve">–</w:t>
            </w:r>
            <w:r/>
          </w:p>
        </w:tc>
      </w:tr>
      <w:tr>
        <w:tblPrEx/>
        <w:trPr/>
        <w:tc>
          <w:tcPr>
            <w:tcW w:w="1413" w:type="dxa"/>
            <w:textDirection w:val="lrTb"/>
            <w:noWrap w:val="false"/>
          </w:tcPr>
          <w:p>
            <w:pPr>
              <w:pStyle w:val="1180"/>
              <w:numPr>
                <w:ilvl w:val="1"/>
                <w:numId w:val="7"/>
              </w:numPr>
              <w:ind w:left="170" w:firstLine="0"/>
              <w:jc w:val="center"/>
            </w:pPr>
            <w:r/>
            <w:r/>
          </w:p>
        </w:tc>
        <w:tc>
          <w:tcPr>
            <w:tcW w:w="8505" w:type="dxa"/>
            <w:textDirection w:val="lrTb"/>
            <w:noWrap w:val="false"/>
          </w:tcPr>
          <w:p>
            <w:pPr>
              <w:pStyle w:val="1180"/>
              <w:numPr>
                <w:ilvl w:val="0"/>
                <w:numId w:val="9"/>
              </w:numPr>
              <w:ind w:left="284" w:hanging="284"/>
            </w:pPr>
            <w:r>
              <w:t xml:space="preserve">в части </w:t>
            </w:r>
            <w:r>
              <w:t xml:space="preserve">требований </w:t>
            </w:r>
            <w:r>
              <w:t xml:space="preserve">пунктов </w:t>
            </w:r>
            <w:r>
              <w:fldChar w:fldCharType="begin"/>
            </w:r>
            <w:r>
              <w:instrText xml:space="preserve"> REF _Ref125370187 \w \h </w:instrText>
            </w:r>
            <w:r>
              <w:fldChar w:fldCharType="separate"/>
            </w:r>
            <w:r>
              <w:t xml:space="preserve">1</w:t>
            </w:r>
            <w:r>
              <w:fldChar w:fldCharType="end"/>
            </w:r>
            <w:r>
              <w:t xml:space="preserve">, </w:t>
            </w:r>
            <w:r>
              <w:fldChar w:fldCharType="begin"/>
            </w:r>
            <w:r>
              <w:instrText xml:space="preserve"> REF _Ref125370199 \w \h </w:instrText>
            </w:r>
            <w:r>
              <w:fldChar w:fldCharType="separate"/>
            </w:r>
            <w:r>
              <w:t xml:space="preserve">2</w:t>
            </w:r>
            <w:r>
              <w:fldChar w:fldCharType="end"/>
            </w:r>
            <w:r>
              <w:t xml:space="preserve">, </w:t>
            </w:r>
            <w:r>
              <w:fldChar w:fldCharType="begin"/>
            </w:r>
            <w:r>
              <w:instrText xml:space="preserve"> REF _Ref125553847 \w \h </w:instrText>
            </w:r>
            <w:r>
              <w:fldChar w:fldCharType="separate"/>
            </w:r>
            <w:r>
              <w:t xml:space="preserve">4</w:t>
            </w:r>
            <w:r>
              <w:fldChar w:fldCharType="end"/>
            </w:r>
            <w:r/>
          </w:p>
        </w:tc>
        <w:tc>
          <w:tcPr>
            <w:tcW w:w="3118" w:type="dxa"/>
            <w:textDirection w:val="lrTb"/>
            <w:noWrap w:val="false"/>
          </w:tcPr>
          <w:p>
            <w:pPr>
              <w:pStyle w:val="1180"/>
              <w:jc w:val="center"/>
            </w:pPr>
            <w:r>
              <w:t xml:space="preserve">подраздел</w:t>
            </w:r>
            <w:r>
              <w:t xml:space="preserve"> </w:t>
            </w:r>
            <w:r>
              <w:fldChar w:fldCharType="begin"/>
            </w:r>
            <w:r>
              <w:instrText xml:space="preserve"> REF _Ref125709777 \r \h </w:instrText>
            </w:r>
            <w:r>
              <w:fldChar w:fldCharType="separate"/>
            </w:r>
            <w:r>
              <w:t xml:space="preserve">8.6</w:t>
            </w:r>
            <w:r>
              <w:fldChar w:fldCharType="end"/>
            </w:r>
            <w:r>
              <w:br/>
              <w:t xml:space="preserve">(</w:t>
            </w:r>
            <w:hyperlink w:tooltip="#Прил03_ТребованияУчастникам" w:anchor="Прил03_ТребованияУчастникам" w:history="1">
              <w:r>
                <w:rPr>
                  <w:rStyle w:val="1204"/>
                </w:rPr>
                <w:t xml:space="preserve">Приложение № 3</w:t>
              </w:r>
            </w:hyperlink>
            <w:r>
              <w:t xml:space="preserve">)</w:t>
            </w:r>
            <w:r/>
          </w:p>
        </w:tc>
        <w:tc>
          <w:tcPr>
            <w:tcW w:w="2090" w:type="dxa"/>
            <w:textDirection w:val="lrTb"/>
            <w:noWrap w:val="false"/>
          </w:tcPr>
          <w:p>
            <w:pPr>
              <w:pStyle w:val="1180"/>
              <w:jc w:val="center"/>
            </w:pPr>
            <w:r>
              <w:t xml:space="preserve">Тех</w:t>
            </w:r>
            <w:r/>
          </w:p>
        </w:tc>
      </w:tr>
      <w:tr>
        <w:tblPrEx/>
        <w:trPr/>
        <w:tc>
          <w:tcPr>
            <w:tcW w:w="1413" w:type="dxa"/>
            <w:textDirection w:val="lrTb"/>
            <w:noWrap w:val="false"/>
          </w:tcPr>
          <w:p>
            <w:pPr>
              <w:pStyle w:val="1180"/>
              <w:numPr>
                <w:ilvl w:val="1"/>
                <w:numId w:val="7"/>
              </w:numPr>
              <w:ind w:left="170" w:firstLine="0"/>
              <w:jc w:val="center"/>
            </w:pPr>
            <w:r/>
            <w:r/>
          </w:p>
        </w:tc>
        <w:tc>
          <w:tcPr>
            <w:tcW w:w="8505" w:type="dxa"/>
            <w:textDirection w:val="lrTb"/>
            <w:noWrap w:val="false"/>
          </w:tcPr>
          <w:p>
            <w:pPr>
              <w:pStyle w:val="1180"/>
              <w:numPr>
                <w:ilvl w:val="0"/>
                <w:numId w:val="9"/>
              </w:numPr>
              <w:ind w:left="284" w:hanging="284"/>
            </w:pPr>
            <w:r>
              <w:t xml:space="preserve">в части </w:t>
            </w:r>
            <w:r>
              <w:t xml:space="preserve">требований </w:t>
            </w:r>
            <w:r>
              <w:t xml:space="preserve">пункта </w:t>
            </w:r>
            <w:r>
              <w:fldChar w:fldCharType="begin"/>
            </w:r>
            <w:r>
              <w:instrText xml:space="preserve"> REF _Ref125370193 \w \h </w:instrText>
            </w:r>
            <w:r>
              <w:instrText xml:space="preserve"> \* MERGEFORMAT </w:instrText>
            </w:r>
            <w:r>
              <w:fldChar w:fldCharType="separate"/>
            </w:r>
            <w:r>
              <w:t xml:space="preserve">3</w:t>
            </w:r>
            <w:r>
              <w:fldChar w:fldCharType="end"/>
            </w:r>
            <w:r/>
          </w:p>
        </w:tc>
        <w:tc>
          <w:tcPr>
            <w:tcW w:w="3118" w:type="dxa"/>
            <w:textDirection w:val="lrTb"/>
            <w:noWrap w:val="false"/>
          </w:tcPr>
          <w:p>
            <w:pPr>
              <w:pStyle w:val="1180"/>
              <w:jc w:val="center"/>
            </w:pPr>
            <w:r>
              <w:t xml:space="preserve">подраздел </w:t>
            </w:r>
            <w:r>
              <w:fldChar w:fldCharType="begin"/>
            </w:r>
            <w:r>
              <w:instrText xml:space="preserve"> REF _Ref125709777 \r \h </w:instrText>
            </w:r>
            <w:r>
              <w:fldChar w:fldCharType="separate"/>
            </w:r>
            <w:r>
              <w:t xml:space="preserve">8.6</w:t>
            </w:r>
            <w:r>
              <w:fldChar w:fldCharType="end"/>
            </w:r>
            <w:r>
              <w:br/>
              <w:t xml:space="preserve">(</w:t>
            </w:r>
            <w:hyperlink w:tooltip="#Прил03_ТребованияУчастникам" w:anchor="Прил03_ТребованияУчастникам" w:history="1">
              <w:r>
                <w:rPr>
                  <w:rStyle w:val="1204"/>
                </w:rPr>
                <w:t xml:space="preserve">Приложение № 3</w:t>
              </w:r>
            </w:hyperlink>
            <w:r>
              <w:t xml:space="preserve">)</w:t>
            </w:r>
            <w:r/>
          </w:p>
        </w:tc>
        <w:tc>
          <w:tcPr>
            <w:tcW w:w="2090" w:type="dxa"/>
            <w:textDirection w:val="lrTb"/>
            <w:noWrap w:val="false"/>
          </w:tcPr>
          <w:p>
            <w:pPr>
              <w:pStyle w:val="1180"/>
              <w:jc w:val="center"/>
            </w:pPr>
            <w:r>
              <w:t xml:space="preserve">Орг</w:t>
            </w:r>
            <w:r>
              <w:t xml:space="preserve">,</w:t>
            </w:r>
            <w:r>
              <w:t xml:space="preserve"> </w:t>
            </w:r>
            <w:r>
              <w:t xml:space="preserve">Тех</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Генерального подрядчика с обязательным привлечением субподрядчиков (соисполнителей) из числа субъектов МСП</w:t>
            </w:r>
            <w:r>
              <w:t xml:space="preserve"> </w:t>
            </w:r>
            <w:r>
              <w:t xml:space="preserve">установленным </w:t>
            </w:r>
            <w:r>
              <w:t xml:space="preserve">в отношении его </w:t>
            </w:r>
            <w:r>
              <w:t xml:space="preserve">требованиям</w:t>
            </w:r>
            <w:r/>
          </w:p>
          <w:p>
            <w:pPr>
              <w:pStyle w:val="1180"/>
              <w:rPr>
                <w:i/>
                <w:iCs/>
              </w:rPr>
            </w:pPr>
            <w:r>
              <w:rPr>
                <w:i/>
                <w:iCs/>
              </w:rPr>
              <w:t xml:space="preserve">(</w:t>
            </w:r>
            <w:r>
              <w:rPr>
                <w:i/>
                <w:iCs/>
              </w:rPr>
              <w:t xml:space="preserve">п</w:t>
            </w:r>
            <w:r>
              <w:rPr>
                <w:i/>
                <w:iCs/>
              </w:rPr>
              <w:t xml:space="preserve">ункт применяется только </w:t>
            </w:r>
            <w:r>
              <w:rPr>
                <w:i/>
                <w:iCs/>
              </w:rPr>
              <w:t xml:space="preserve">в случае проведения закупк</w:t>
            </w:r>
            <w:r>
              <w:rPr>
                <w:i/>
                <w:iCs/>
              </w:rPr>
              <w:t xml:space="preserve">и, </w:t>
            </w:r>
            <w:r>
              <w:rPr>
                <w:i/>
                <w:iCs/>
              </w:rPr>
              <w:t xml:space="preserve">участвовать в</w:t>
            </w:r>
            <w:r>
              <w:rPr>
                <w:i/>
                <w:iCs/>
              </w:rPr>
              <w:t xml:space="preserve"> </w:t>
            </w:r>
            <w:r>
              <w:rPr>
                <w:i/>
                <w:iCs/>
              </w:rPr>
              <w:t xml:space="preserve">которой могут только </w:t>
            </w:r>
            <w:r>
              <w:rPr>
                <w:i/>
                <w:iCs/>
              </w:rPr>
              <w:t xml:space="preserve">лица, обязанные</w:t>
            </w:r>
            <w:r>
              <w:rPr>
                <w:i/>
                <w:iCs/>
              </w:rPr>
              <w:t xml:space="preserve"> привлечь к</w:t>
            </w:r>
            <w:r>
              <w:rPr>
                <w:i/>
                <w:iCs/>
              </w:rPr>
              <w:t xml:space="preserve"> </w:t>
            </w:r>
            <w:r>
              <w:rPr>
                <w:i/>
                <w:iCs/>
              </w:rPr>
              <w:t xml:space="preserve">исполнению Договора субподрядчиков (соисполнителей) из</w:t>
            </w:r>
            <w:r>
              <w:rPr>
                <w:i/>
                <w:iCs/>
              </w:rPr>
              <w:t xml:space="preserve"> </w:t>
            </w:r>
            <w:r>
              <w:rPr>
                <w:i/>
                <w:iCs/>
              </w:rPr>
              <w:t xml:space="preserve">числа субъектов МСП</w:t>
            </w:r>
            <w:r>
              <w:rPr>
                <w:i/>
                <w:iCs/>
              </w:rPr>
              <w:t xml:space="preserve"> </w:t>
            </w:r>
            <w:r>
              <w:rPr>
                <w:i/>
                <w:iCs/>
              </w:rPr>
              <w:t xml:space="preserve">(подраздел </w:t>
            </w:r>
            <w:r>
              <w:rPr>
                <w:i/>
                <w:iCs/>
              </w:rPr>
              <w:fldChar w:fldCharType="begin"/>
            </w:r>
            <w:r>
              <w:rPr>
                <w:i/>
                <w:iCs/>
              </w:rPr>
              <w:instrText xml:space="preserve"> REF _Ref125359973 \r \h </w:instrText>
            </w:r>
            <w:r>
              <w:rPr>
                <w:i/>
                <w:iCs/>
              </w:rPr>
              <w:instrText xml:space="preserve"> \* MERGEFORMAT </w:instrText>
            </w:r>
            <w:r>
              <w:rPr>
                <w:i/>
                <w:iCs/>
              </w:rPr>
              <w:fldChar w:fldCharType="separate"/>
            </w:r>
            <w:r>
              <w:rPr>
                <w:i/>
                <w:iCs/>
              </w:rPr>
              <w:t xml:space="preserve">1.2</w:t>
            </w:r>
            <w:r>
              <w:rPr>
                <w:i/>
                <w:iCs/>
              </w:rPr>
              <w:fldChar w:fldCharType="end"/>
            </w:r>
            <w:r>
              <w:rPr>
                <w:i/>
                <w:iCs/>
              </w:rPr>
              <w:t xml:space="preserve">, подраздел </w:t>
            </w:r>
            <w:r>
              <w:rPr>
                <w:i/>
                <w:iCs/>
              </w:rPr>
              <w:fldChar w:fldCharType="begin"/>
            </w:r>
            <w:r>
              <w:rPr>
                <w:i/>
                <w:iCs/>
              </w:rPr>
              <w:instrText xml:space="preserve"> REF _Ref127524203 \r \h </w:instrText>
            </w:r>
            <w:r>
              <w:rPr>
                <w:i/>
                <w:iCs/>
              </w:rPr>
              <w:fldChar w:fldCharType="separate"/>
            </w:r>
            <w:r>
              <w:rPr>
                <w:i/>
                <w:iCs/>
              </w:rPr>
              <w:t xml:space="preserve">3.4</w:t>
            </w:r>
            <w:r>
              <w:rPr>
                <w:i/>
                <w:iCs/>
              </w:rPr>
              <w:fldChar w:fldCharType="end"/>
            </w:r>
            <w:r>
              <w:rPr>
                <w:i/>
                <w:iCs/>
              </w:rPr>
              <w:t xml:space="preserve">)</w:t>
            </w:r>
            <w:r>
              <w:rPr>
                <w:i/>
                <w:iCs/>
              </w:rPr>
              <w:t xml:space="preserve">)</w:t>
            </w:r>
            <w:r>
              <w:rPr>
                <w:i/>
                <w:iCs/>
              </w:rPr>
            </w:r>
            <w:r>
              <w:rPr>
                <w:i/>
                <w:iCs/>
              </w:rPr>
            </w:r>
          </w:p>
        </w:tc>
        <w:tc>
          <w:tcPr>
            <w:tcW w:w="3118" w:type="dxa"/>
            <w:textDirection w:val="lrTb"/>
            <w:noWrap w:val="false"/>
          </w:tcPr>
          <w:p>
            <w:pPr>
              <w:pStyle w:val="1180"/>
              <w:jc w:val="center"/>
            </w:pPr>
            <w:r>
              <w:t xml:space="preserve">подраздел </w:t>
            </w:r>
            <w:r>
              <w:fldChar w:fldCharType="begin"/>
            </w:r>
            <w:r>
              <w:instrText xml:space="preserve"> REF _Ref125550523 \r \h </w:instrText>
            </w:r>
            <w:r>
              <w:fldChar w:fldCharType="separate"/>
            </w:r>
            <w:r>
              <w:t xml:space="preserve">8.7</w:t>
            </w:r>
            <w:r>
              <w:fldChar w:fldCharType="end"/>
            </w:r>
            <w:r>
              <w:br/>
              <w:t xml:space="preserve">(</w:t>
            </w:r>
            <w:hyperlink w:tooltip="#Прил03_ТребованияУчастникам" w:anchor="Прил03_ТребованияУчастникам" w:history="1">
              <w:r>
                <w:rPr>
                  <w:rStyle w:val="1204"/>
                </w:rPr>
                <w:t xml:space="preserve">Приложение № 3</w:t>
              </w:r>
            </w:hyperlink>
            <w:r>
              <w:t xml:space="preserve">)</w:t>
            </w:r>
            <w:r/>
          </w:p>
        </w:tc>
        <w:tc>
          <w:tcPr>
            <w:tcW w:w="2090" w:type="dxa"/>
            <w:textDirection w:val="lrTb"/>
            <w:noWrap w:val="false"/>
          </w:tcPr>
          <w:p>
            <w:pPr>
              <w:pStyle w:val="1180"/>
              <w:jc w:val="center"/>
            </w:pPr>
            <w:r>
              <w:t xml:space="preserve">Орг</w:t>
            </w:r>
            <w:r/>
          </w:p>
        </w:tc>
      </w:tr>
      <w:tr>
        <w:tblPrEx/>
        <w:trPr/>
        <w:tc>
          <w:tcPr>
            <w:gridSpan w:val="2"/>
            <w:tcW w:w="9918" w:type="dxa"/>
            <w:textDirection w:val="lrTb"/>
            <w:noWrap w:val="false"/>
          </w:tcPr>
          <w:p>
            <w:pPr>
              <w:pStyle w:val="1180"/>
              <w:keepNext/>
              <w:rPr>
                <w:b/>
                <w:bCs/>
              </w:rPr>
            </w:pPr>
            <w:r>
              <w:rPr>
                <w:b/>
                <w:bCs/>
              </w:rPr>
              <w:t xml:space="preserve">Соответствие </w:t>
            </w:r>
            <w:r>
              <w:rPr>
                <w:b/>
                <w:bCs/>
              </w:rPr>
              <w:t xml:space="preserve">Т</w:t>
            </w:r>
            <w:r>
              <w:rPr>
                <w:b/>
                <w:bCs/>
              </w:rPr>
              <w:t xml:space="preserve">ехническ</w:t>
            </w:r>
            <w:r>
              <w:rPr>
                <w:b/>
                <w:bCs/>
              </w:rPr>
              <w:t xml:space="preserve">ого</w:t>
            </w:r>
            <w:r>
              <w:rPr>
                <w:b/>
                <w:bCs/>
              </w:rPr>
              <w:t xml:space="preserve"> предложени</w:t>
            </w:r>
            <w:r>
              <w:rPr>
                <w:b/>
                <w:bCs/>
              </w:rPr>
              <w:t xml:space="preserve">я</w:t>
            </w:r>
            <w:r>
              <w:rPr>
                <w:b/>
                <w:bCs/>
              </w:rPr>
              <w:t xml:space="preserve"> </w:t>
            </w:r>
            <w:r>
              <w:rPr>
                <w:b/>
                <w:bCs/>
              </w:rPr>
              <w:t xml:space="preserve">Участника </w:t>
            </w:r>
            <w:hyperlink w:tooltip="#Прил01_ТехТребования" w:anchor="Прил01_ТехТребования" w:history="1">
              <w:r>
                <w:rPr>
                  <w:rStyle w:val="1204"/>
                  <w:b/>
                  <w:bCs/>
                </w:rPr>
                <w:t xml:space="preserve">Техническим </w:t>
              </w:r>
              <w:r>
                <w:rPr>
                  <w:rStyle w:val="1204"/>
                  <w:b/>
                  <w:bCs/>
                </w:rPr>
                <w:t xml:space="preserve">требованиям </w:t>
              </w:r>
              <w:r>
                <w:rPr>
                  <w:rStyle w:val="1204"/>
                  <w:b/>
                  <w:bCs/>
                </w:rPr>
                <w:t xml:space="preserve">(Приложение № 1)</w:t>
              </w:r>
            </w:hyperlink>
            <w:r>
              <w:rPr>
                <w:b/>
                <w:bCs/>
              </w:rPr>
              <w:t xml:space="preserve">, в том числе:</w:t>
            </w:r>
            <w:r>
              <w:rPr>
                <w:b/>
                <w:bCs/>
              </w:rPr>
            </w:r>
            <w:r>
              <w:rPr>
                <w:b/>
                <w:bCs/>
              </w:rPr>
            </w:r>
          </w:p>
        </w:tc>
        <w:tc>
          <w:tcPr>
            <w:tcW w:w="3118" w:type="dxa"/>
            <w:textDirection w:val="lrTb"/>
            <w:noWrap w:val="false"/>
          </w:tcPr>
          <w:p>
            <w:pPr>
              <w:pStyle w:val="1180"/>
              <w:jc w:val="center"/>
              <w:keepNext/>
              <w:rPr>
                <w:b/>
                <w:bCs/>
              </w:rPr>
            </w:pPr>
            <w:r>
              <w:rPr>
                <w:b/>
                <w:bCs/>
              </w:rPr>
              <w:t xml:space="preserve">–</w:t>
            </w:r>
            <w:r>
              <w:rPr>
                <w:b/>
                <w:bCs/>
              </w:rPr>
            </w:r>
            <w:r>
              <w:rPr>
                <w:b/>
                <w:bCs/>
              </w:rPr>
            </w:r>
          </w:p>
        </w:tc>
        <w:tc>
          <w:tcPr>
            <w:tcW w:w="2090" w:type="dxa"/>
            <w:textDirection w:val="lrTb"/>
            <w:noWrap w:val="false"/>
          </w:tcPr>
          <w:p>
            <w:pPr>
              <w:pStyle w:val="1180"/>
              <w:jc w:val="center"/>
              <w:keepNext/>
              <w:rPr>
                <w:b/>
                <w:bCs/>
              </w:rPr>
            </w:pPr>
            <w:r>
              <w:rPr>
                <w:b/>
                <w:bCs/>
              </w:rPr>
              <w:t xml:space="preserve">–</w:t>
            </w:r>
            <w:r>
              <w:rPr>
                <w:b/>
                <w:bCs/>
              </w:rPr>
            </w:r>
            <w:r>
              <w:rPr>
                <w:b/>
                <w:bCs/>
              </w:rP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tooltip="#Прил01_ТехТребования" w:anchor="Прил01_ТехТребования" w:history="1">
              <w:r>
                <w:rPr>
                  <w:rStyle w:val="1204"/>
                </w:rPr>
                <w:t xml:space="preserve">Технических требованиях (Приложение № 1)</w:t>
              </w:r>
            </w:hyperlink>
            <w:r/>
            <w:r/>
          </w:p>
          <w:p>
            <w:pPr>
              <w:pStyle w:val="1180"/>
              <w:rPr>
                <w:i/>
                <w:iCs/>
              </w:rPr>
            </w:pPr>
            <w:r>
              <w:rPr>
                <w:i/>
                <w:iCs/>
              </w:rPr>
              <w:t xml:space="preserve">(пункт применяется только в случае установления режима запрета закупки иностранной продукции (подраздел </w:t>
            </w:r>
            <w:r>
              <w:rPr>
                <w:i/>
                <w:iCs/>
              </w:rPr>
              <w:fldChar w:fldCharType="begin"/>
            </w:r>
            <w:r>
              <w:rPr>
                <w:i/>
                <w:iCs/>
              </w:rPr>
              <w:instrText xml:space="preserve"> REF _Ref130985951 \r \h </w:instrText>
            </w:r>
            <w:r>
              <w:rPr>
                <w:i/>
                <w:iCs/>
              </w:rPr>
              <w:instrText xml:space="preserve"> \* MERGEFORMAT </w:instrText>
            </w:r>
            <w:r>
              <w:rPr>
                <w:i/>
                <w:iCs/>
              </w:rPr>
              <w:fldChar w:fldCharType="separate"/>
            </w:r>
            <w:r>
              <w:rPr>
                <w:i/>
                <w:iCs/>
              </w:rPr>
              <w:t xml:space="preserve">4.13</w:t>
            </w:r>
            <w:r>
              <w:rPr>
                <w:i/>
                <w:iCs/>
              </w:rPr>
              <w:fldChar w:fldCharType="end"/>
            </w:r>
            <w:r>
              <w:rPr>
                <w:i/>
                <w:iCs/>
              </w:rPr>
              <w:t xml:space="preserve">))</w:t>
            </w:r>
            <w:r>
              <w:rPr>
                <w:i/>
                <w:iCs/>
              </w:rPr>
            </w:r>
            <w:r>
              <w:rPr>
                <w:i/>
                <w:iCs/>
              </w:rPr>
            </w:r>
          </w:p>
        </w:tc>
        <w:tc>
          <w:tcPr>
            <w:tcW w:w="3118" w:type="dxa"/>
            <w:textDirection w:val="lrTb"/>
            <w:noWrap w:val="false"/>
          </w:tcPr>
          <w:p>
            <w:pPr>
              <w:pStyle w:val="1180"/>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_Ref130985951 \r \h </w:instrText>
            </w:r>
            <w:r>
              <w:fldChar w:fldCharType="separate"/>
            </w:r>
            <w:r>
              <w:t xml:space="preserve">4.13</w:t>
            </w:r>
            <w:r>
              <w:fldChar w:fldCharType="end"/>
            </w:r>
            <w:r>
              <w:br/>
            </w:r>
            <w:hyperlink w:tooltip="#Прил01_ТехТребования" w:anchor="Прил01_ТехТребования" w:history="1">
              <w:r>
                <w:rPr>
                  <w:rStyle w:val="1204"/>
                </w:rPr>
                <w:t xml:space="preserve">Приложение № 1</w:t>
              </w:r>
            </w:hyperlink>
            <w:r/>
            <w:r/>
          </w:p>
        </w:tc>
        <w:tc>
          <w:tcPr>
            <w:tcW w:w="2090" w:type="dxa"/>
            <w:textDirection w:val="lrTb"/>
            <w:noWrap w:val="false"/>
          </w:tcPr>
          <w:p>
            <w:pPr>
              <w:pStyle w:val="1180"/>
              <w:jc w:val="center"/>
            </w:pPr>
            <w:r>
              <w:t xml:space="preserve">Тех</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tooltip="#Прил01_ТехТребования" w:anchor="Прил01_ТехТребования" w:history="1">
              <w:r>
                <w:rPr>
                  <w:rStyle w:val="1204"/>
                </w:rPr>
                <w:t xml:space="preserve">Технических требованиях (Приложение № 1)</w:t>
              </w:r>
            </w:hyperlink>
            <w:r/>
            <w:r/>
          </w:p>
          <w:p>
            <w:pPr>
              <w:pStyle w:val="1180"/>
              <w:rPr>
                <w:i/>
                <w:iCs/>
              </w:rPr>
            </w:pPr>
            <w:r>
              <w:rPr>
                <w:i/>
                <w:iCs/>
              </w:rPr>
              <w:t xml:space="preserve">(пункт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i/>
                <w:iCs/>
              </w:rPr>
              <w:fldChar w:fldCharType="begin"/>
            </w:r>
            <w:r>
              <w:rPr>
                <w:i/>
                <w:iCs/>
              </w:rPr>
              <w:instrText xml:space="preserve"> REF _Ref130985951 \r \h </w:instrText>
            </w:r>
            <w:r>
              <w:rPr>
                <w:i/>
                <w:iCs/>
              </w:rPr>
              <w:instrText xml:space="preserve"> \* MERGEFORMAT </w:instrText>
            </w:r>
            <w:r>
              <w:rPr>
                <w:i/>
                <w:iCs/>
              </w:rPr>
              <w:fldChar w:fldCharType="separate"/>
            </w:r>
            <w:r>
              <w:rPr>
                <w:i/>
                <w:iCs/>
              </w:rPr>
              <w:t xml:space="preserve">4.13</w:t>
            </w:r>
            <w:r>
              <w:rPr>
                <w:i/>
                <w:iCs/>
              </w:rPr>
              <w:fldChar w:fldCharType="end"/>
            </w:r>
            <w:r>
              <w:rPr>
                <w:i/>
                <w:iCs/>
              </w:rPr>
              <w:t xml:space="preserve">))</w:t>
            </w:r>
            <w:r>
              <w:rPr>
                <w:i/>
                <w:iCs/>
              </w:rPr>
            </w:r>
            <w:r>
              <w:rPr>
                <w:i/>
                <w:iCs/>
              </w:rPr>
            </w:r>
          </w:p>
        </w:tc>
        <w:tc>
          <w:tcPr>
            <w:tcW w:w="3118" w:type="dxa"/>
            <w:textDirection w:val="lrTb"/>
            <w:noWrap w:val="false"/>
          </w:tcPr>
          <w:p>
            <w:pPr>
              <w:pStyle w:val="1180"/>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 </w:t>
            </w:r>
            <w:r>
              <w:fldChar w:fldCharType="begin"/>
            </w:r>
            <w:r>
              <w:instrText xml:space="preserve"> REF _Ref130985951 \r \h </w:instrText>
            </w:r>
            <w:r>
              <w:fldChar w:fldCharType="separate"/>
            </w:r>
            <w:r>
              <w:t xml:space="preserve">4.13</w:t>
            </w:r>
            <w:r>
              <w:fldChar w:fldCharType="end"/>
            </w:r>
            <w:r>
              <w:br/>
            </w:r>
            <w:hyperlink w:tooltip="#Прил01_ТехТребования" w:anchor="Прил01_ТехТребования" w:history="1">
              <w:r>
                <w:rPr>
                  <w:rStyle w:val="1204"/>
                </w:rPr>
                <w:t xml:space="preserve">Приложение № 1</w:t>
              </w:r>
            </w:hyperlink>
            <w:r/>
            <w:r/>
          </w:p>
        </w:tc>
        <w:tc>
          <w:tcPr>
            <w:tcW w:w="2090" w:type="dxa"/>
            <w:textDirection w:val="lrTb"/>
            <w:noWrap w:val="false"/>
          </w:tcPr>
          <w:p>
            <w:pPr>
              <w:pStyle w:val="1180"/>
              <w:jc w:val="center"/>
            </w:pPr>
            <w:r>
              <w:t xml:space="preserve">Тех</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объ</w:t>
            </w:r>
            <w:r>
              <w:t xml:space="preserve">е</w:t>
            </w:r>
            <w:r>
              <w:t xml:space="preserve">мов и состава работ / услуг, технологии производства работ, предложенных Участником в </w:t>
            </w:r>
            <w:r>
              <w:t xml:space="preserve">Т</w:t>
            </w:r>
            <w:r>
              <w:t xml:space="preserve">ехническом предложении</w:t>
            </w:r>
            <w:r>
              <w:t xml:space="preserve">, Коммерческом предложении и (или) прилагаемой к нему подтверждающей документации</w:t>
            </w:r>
            <w:r>
              <w:t xml:space="preserve">, требованиям, </w:t>
            </w:r>
            <w:r>
              <w:t xml:space="preserve">указанным в</w:t>
            </w:r>
            <w:r>
              <w:t xml:space="preserve"> </w:t>
            </w:r>
            <w:hyperlink w:tooltip="#Прил01_ТехТребования" w:anchor="Прил01_ТехТребования" w:history="1">
              <w:r>
                <w:rPr>
                  <w:rStyle w:val="1204"/>
                </w:rPr>
                <w:t xml:space="preserve">Технический требованиях (Приложение № 1)</w:t>
              </w:r>
            </w:hyperlink>
            <w:r/>
            <w:r/>
          </w:p>
        </w:tc>
        <w:tc>
          <w:tcPr>
            <w:tcW w:w="3118" w:type="dxa"/>
            <w:textDirection w:val="lrTb"/>
            <w:noWrap w:val="false"/>
          </w:tcPr>
          <w:p>
            <w:pPr>
              <w:pStyle w:val="1180"/>
              <w:jc w:val="center"/>
            </w:pPr>
            <w:r>
              <w:t xml:space="preserve">подраздел </w:t>
            </w:r>
            <w:r>
              <w:fldChar w:fldCharType="begin"/>
            </w:r>
            <w:r>
              <w:instrText xml:space="preserve"> REF _Ref130394681 \r \h </w:instrText>
            </w:r>
            <w:r>
              <w:fldChar w:fldCharType="separate"/>
            </w:r>
            <w:r>
              <w:t xml:space="preserve">4.3</w:t>
            </w:r>
            <w:r>
              <w:fldChar w:fldCharType="end"/>
            </w:r>
            <w:r>
              <w:br/>
            </w:r>
            <w:hyperlink w:tooltip="#Прил01_ТехТребования" w:anchor="Прил01_ТехТребования" w:history="1">
              <w:r>
                <w:rPr>
                  <w:rStyle w:val="1204"/>
                </w:rPr>
                <w:t xml:space="preserve">Приложение № 1</w:t>
              </w:r>
            </w:hyperlink>
            <w:r/>
            <w:r/>
          </w:p>
        </w:tc>
        <w:tc>
          <w:tcPr>
            <w:tcW w:w="2090" w:type="dxa"/>
            <w:textDirection w:val="lrTb"/>
            <w:noWrap w:val="false"/>
          </w:tcPr>
          <w:p>
            <w:pPr>
              <w:pStyle w:val="1180"/>
              <w:jc w:val="center"/>
            </w:pPr>
            <w:r>
              <w:t xml:space="preserve">Тех</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номенклатуры, количества и характеристик материалов / оборудования, предложенных Участником в </w:t>
            </w:r>
            <w:r>
              <w:t xml:space="preserve">Т</w:t>
            </w:r>
            <w:r>
              <w:t xml:space="preserve">ехническом предложении</w:t>
            </w:r>
            <w:r>
              <w:t xml:space="preserve">, Коммерческом предложении и (или) прилагаемой к нему подтверждающей </w:t>
            </w:r>
            <w:r>
              <w:t xml:space="preserve">документации</w:t>
            </w:r>
            <w:r>
              <w:t xml:space="preserve">, </w:t>
            </w:r>
            <w:r>
              <w:t xml:space="preserve">требованиям, указанным в</w:t>
            </w:r>
            <w:r>
              <w:t xml:space="preserve"> </w:t>
            </w:r>
            <w:hyperlink w:tooltip="#Прил01_ТехТребования" w:anchor="Прил01_ТехТребования" w:history="1">
              <w:r>
                <w:rPr>
                  <w:rStyle w:val="1204"/>
                </w:rPr>
                <w:t xml:space="preserve">Технический требованиях (Приложение № 1)</w:t>
              </w:r>
            </w:hyperlink>
            <w:r/>
            <w:r/>
          </w:p>
        </w:tc>
        <w:tc>
          <w:tcPr>
            <w:tcW w:w="3118" w:type="dxa"/>
            <w:textDirection w:val="lrTb"/>
            <w:noWrap w:val="false"/>
          </w:tcPr>
          <w:p>
            <w:pPr>
              <w:pStyle w:val="1180"/>
              <w:jc w:val="center"/>
            </w:pPr>
            <w:r>
              <w:t xml:space="preserve">подраздел </w:t>
            </w:r>
            <w:r>
              <w:fldChar w:fldCharType="begin"/>
            </w:r>
            <w:r>
              <w:instrText xml:space="preserve"> REF _Ref130394681 \r \h </w:instrText>
            </w:r>
            <w:r>
              <w:fldChar w:fldCharType="separate"/>
            </w:r>
            <w:r>
              <w:t xml:space="preserve">4.3</w:t>
            </w:r>
            <w:r>
              <w:fldChar w:fldCharType="end"/>
            </w:r>
            <w:r>
              <w:br/>
            </w:r>
            <w:hyperlink w:tooltip="#Прил01_ТехТребования" w:anchor="Прил01_ТехТребования" w:history="1">
              <w:r>
                <w:rPr>
                  <w:rStyle w:val="1204"/>
                </w:rPr>
                <w:t xml:space="preserve">Приложение № 1</w:t>
              </w:r>
            </w:hyperlink>
            <w:r/>
            <w:r/>
          </w:p>
        </w:tc>
        <w:tc>
          <w:tcPr>
            <w:tcW w:w="2090" w:type="dxa"/>
            <w:textDirection w:val="lrTb"/>
            <w:noWrap w:val="false"/>
          </w:tcPr>
          <w:p>
            <w:pPr>
              <w:pStyle w:val="1180"/>
              <w:jc w:val="center"/>
            </w:pPr>
            <w:r>
              <w:t xml:space="preserve">Тех</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Календарного графика</w:t>
            </w:r>
            <w:r>
              <w:t xml:space="preserve"> </w:t>
            </w:r>
            <w:r>
              <w:rPr>
                <w:i/>
              </w:rPr>
              <w:t xml:space="preserve">(не требуется в данной закупке)</w:t>
            </w:r>
            <w:r>
              <w:t xml:space="preserve"> </w:t>
            </w:r>
            <w:r>
              <w:t xml:space="preserve"> требованиям к срокам и этапам реализации Договора</w:t>
            </w:r>
            <w:r>
              <w:t xml:space="preserve">, указанным в </w:t>
            </w:r>
            <w:hyperlink w:tooltip="#Прил01_ТехТребования" w:anchor="Прил01_ТехТребования" w:history="1">
              <w:r>
                <w:rPr>
                  <w:rStyle w:val="1204"/>
                </w:rPr>
                <w:t xml:space="preserve">Технический требованиях (Приложение № 1)</w:t>
              </w:r>
            </w:hyperlink>
            <w:r>
              <w:t xml:space="preserve"> </w:t>
            </w:r>
            <w:r>
              <w:t xml:space="preserve">и</w:t>
            </w:r>
            <w:r>
              <w:t xml:space="preserve"> (</w:t>
            </w:r>
            <w:r>
              <w:t xml:space="preserve">или</w:t>
            </w:r>
            <w:r>
              <w:t xml:space="preserve">) в </w:t>
            </w:r>
            <w:hyperlink w:tooltip="#Прил02_ПроектДоговора" w:anchor="Прил02_ПроектДоговора" w:history="1">
              <w:r>
                <w:rPr>
                  <w:rStyle w:val="1204"/>
                </w:rPr>
                <w:t xml:space="preserve">Проекте договора (Приложение № 2)</w:t>
              </w:r>
            </w:hyperlink>
            <w:r/>
            <w:r/>
          </w:p>
        </w:tc>
        <w:tc>
          <w:tcPr>
            <w:tcW w:w="3118" w:type="dxa"/>
            <w:textDirection w:val="lrTb"/>
            <w:noWrap w:val="false"/>
          </w:tcPr>
          <w:p>
            <w:pPr>
              <w:pStyle w:val="1180"/>
              <w:jc w:val="center"/>
            </w:pPr>
            <w:r/>
            <w:hyperlink w:tooltip="#Прил01_ТехТребования" w:anchor="Прил01_ТехТребования" w:history="1">
              <w:r>
                <w:rPr>
                  <w:rStyle w:val="1204"/>
                </w:rPr>
                <w:t xml:space="preserve">Приложение № 1</w:t>
              </w:r>
            </w:hyperlink>
            <w:r>
              <w:t xml:space="preserve">,</w:t>
            </w:r>
            <w:r>
              <w:br/>
            </w:r>
            <w:hyperlink w:tooltip="#Прил02_ПроектДоговора" w:anchor="Прил02_ПроектДоговора" w:history="1">
              <w:r>
                <w:rPr>
                  <w:rStyle w:val="1204"/>
                </w:rPr>
                <w:t xml:space="preserve">Приложение № 2</w:t>
              </w:r>
            </w:hyperlink>
            <w:r/>
            <w:r/>
          </w:p>
        </w:tc>
        <w:tc>
          <w:tcPr>
            <w:tcW w:w="2090" w:type="dxa"/>
            <w:textDirection w:val="lrTb"/>
            <w:noWrap w:val="false"/>
          </w:tcPr>
          <w:p>
            <w:pPr>
              <w:pStyle w:val="1180"/>
              <w:jc w:val="center"/>
            </w:pPr>
            <w:r>
              <w:t xml:space="preserve">Тех</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требованиям к гарантии на поставляемые материалы / оборудование и результаты выполненных работ</w:t>
            </w:r>
            <w:r>
              <w:t xml:space="preserve">, указанным в </w:t>
            </w:r>
            <w:hyperlink w:tooltip="#Прил01_ТехТребования" w:anchor="Прил01_ТехТребования" w:history="1">
              <w:r>
                <w:rPr>
                  <w:rStyle w:val="1204"/>
                </w:rPr>
                <w:t xml:space="preserve">Технический требованиях (Приложение № 1)</w:t>
              </w:r>
            </w:hyperlink>
            <w:r>
              <w:t xml:space="preserve"> </w:t>
            </w:r>
            <w:r>
              <w:t xml:space="preserve">и</w:t>
            </w:r>
            <w:r>
              <w:t xml:space="preserve"> (</w:t>
            </w:r>
            <w:r>
              <w:t xml:space="preserve">или</w:t>
            </w:r>
            <w:r>
              <w:t xml:space="preserve">) в </w:t>
            </w:r>
            <w:hyperlink w:tooltip="#Прил02_ПроектДоговора" w:anchor="Прил02_ПроектДоговора" w:history="1">
              <w:r>
                <w:rPr>
                  <w:rStyle w:val="1204"/>
                </w:rPr>
                <w:t xml:space="preserve">Проекте договора (Приложение № 2)</w:t>
              </w:r>
            </w:hyperlink>
            <w:r/>
            <w:r/>
          </w:p>
          <w:p>
            <w:pPr>
              <w:pStyle w:val="1180"/>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80"/>
              <w:jc w:val="center"/>
            </w:pPr>
            <w:r/>
            <w:hyperlink w:tooltip="#Прил01_ТехТребования" w:anchor="Прил01_ТехТребования" w:history="1">
              <w:r>
                <w:rPr>
                  <w:rStyle w:val="1204"/>
                </w:rPr>
                <w:t xml:space="preserve">Приложение № 1</w:t>
              </w:r>
            </w:hyperlink>
            <w:r>
              <w:t xml:space="preserve">,</w:t>
            </w:r>
            <w:r>
              <w:br/>
            </w:r>
            <w:hyperlink w:tooltip="#Прил02_ПроектДоговора" w:anchor="Прил02_ПроектДоговора" w:history="1">
              <w:r>
                <w:rPr>
                  <w:rStyle w:val="1204"/>
                </w:rPr>
                <w:t xml:space="preserve">Приложение № 2</w:t>
              </w:r>
            </w:hyperlink>
            <w:r/>
            <w:r/>
          </w:p>
        </w:tc>
        <w:tc>
          <w:tcPr>
            <w:tcW w:w="2090" w:type="dxa"/>
            <w:textDirection w:val="lrTb"/>
            <w:noWrap w:val="false"/>
          </w:tcPr>
          <w:p>
            <w:pPr>
              <w:pStyle w:val="1180"/>
              <w:jc w:val="center"/>
            </w:pPr>
            <w:r>
              <w:t xml:space="preserve">Тех</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предлагаемой к поставке продукции </w:t>
            </w:r>
            <w:r>
              <w:t xml:space="preserve">иным</w:t>
            </w:r>
            <w:r>
              <w:t xml:space="preserve"> требованиям, </w:t>
            </w:r>
            <w:r>
              <w:t xml:space="preserve">установленным </w:t>
            </w:r>
            <w:r>
              <w:t xml:space="preserve">в </w:t>
            </w:r>
            <w:hyperlink w:tooltip="#Прил01_ТехТребования" w:anchor="Прил01_ТехТребования" w:history="1">
              <w:r>
                <w:rPr>
                  <w:rStyle w:val="1204"/>
                </w:rPr>
                <w:t xml:space="preserve">Технически</w:t>
              </w:r>
              <w:r>
                <w:rPr>
                  <w:rStyle w:val="1204"/>
                </w:rPr>
                <w:t xml:space="preserve">х</w:t>
              </w:r>
              <w:r>
                <w:rPr>
                  <w:rStyle w:val="1204"/>
                </w:rPr>
                <w:t xml:space="preserve"> требованиях (Приложение № 1)</w:t>
              </w:r>
            </w:hyperlink>
            <w:r>
              <w:t xml:space="preserve">, с</w:t>
            </w:r>
            <w:r>
              <w:t xml:space="preserve"> </w:t>
            </w:r>
            <w:r>
              <w:t xml:space="preserve">предоставлением требуемых</w:t>
            </w:r>
            <w:r>
              <w:t xml:space="preserve"> подтверждающих документов</w:t>
            </w:r>
            <w:r/>
          </w:p>
          <w:p>
            <w:pPr>
              <w:pStyle w:val="1180"/>
            </w:pPr>
            <w:r>
              <w:rPr>
                <w:i/>
                <w:iCs/>
              </w:rPr>
              <w:t xml:space="preserve">(</w:t>
            </w:r>
            <w:r>
              <w:rPr>
                <w:i/>
                <w:iCs/>
              </w:rPr>
              <w:t xml:space="preserve">п</w:t>
            </w:r>
            <w:r>
              <w:rPr>
                <w:i/>
                <w:iCs/>
              </w:rPr>
              <w:t xml:space="preserve">ункт применяется только в случае установления соответствующих требований)</w:t>
            </w:r>
            <w:r/>
          </w:p>
        </w:tc>
        <w:tc>
          <w:tcPr>
            <w:tcW w:w="3118" w:type="dxa"/>
            <w:textDirection w:val="lrTb"/>
            <w:noWrap w:val="false"/>
          </w:tcPr>
          <w:p>
            <w:pPr>
              <w:pStyle w:val="1180"/>
              <w:jc w:val="center"/>
            </w:pPr>
            <w:r/>
            <w:hyperlink w:tooltip="#Прил01_ТехТребования" w:anchor="Прил01_ТехТребования" w:history="1">
              <w:r>
                <w:rPr>
                  <w:rStyle w:val="1204"/>
                </w:rPr>
                <w:t xml:space="preserve">Приложение № 1</w:t>
              </w:r>
            </w:hyperlink>
            <w:r/>
            <w:r/>
          </w:p>
        </w:tc>
        <w:tc>
          <w:tcPr>
            <w:tcW w:w="2090" w:type="dxa"/>
            <w:textDirection w:val="lrTb"/>
            <w:noWrap w:val="false"/>
          </w:tcPr>
          <w:p>
            <w:pPr>
              <w:pStyle w:val="1180"/>
              <w:jc w:val="center"/>
            </w:pPr>
            <w:r>
              <w:t xml:space="preserve">Тех</w:t>
            </w:r>
            <w:r/>
          </w:p>
        </w:tc>
      </w:tr>
      <w:tr>
        <w:tblPrEx/>
        <w:trPr/>
        <w:tc>
          <w:tcPr>
            <w:gridSpan w:val="2"/>
            <w:tcW w:w="9918" w:type="dxa"/>
            <w:textDirection w:val="lrTb"/>
            <w:noWrap w:val="false"/>
          </w:tcPr>
          <w:p>
            <w:pPr>
              <w:pStyle w:val="1180"/>
              <w:keepNext/>
            </w:pPr>
            <w:r>
              <w:rPr>
                <w:b/>
                <w:bCs/>
              </w:rPr>
              <w:t xml:space="preserve">Соответствие </w:t>
            </w:r>
            <w:r>
              <w:rPr>
                <w:b/>
                <w:bCs/>
              </w:rPr>
              <w:t xml:space="preserve">Коммерческого предложения Участника</w:t>
            </w:r>
            <w:r>
              <w:rPr>
                <w:b/>
                <w:bCs/>
              </w:rPr>
              <w:t xml:space="preserve"> требованиям Документации о закупке, в том числе:</w:t>
            </w:r>
            <w:r/>
          </w:p>
        </w:tc>
        <w:tc>
          <w:tcPr>
            <w:tcW w:w="3118" w:type="dxa"/>
            <w:textDirection w:val="lrTb"/>
            <w:noWrap w:val="false"/>
          </w:tcPr>
          <w:p>
            <w:pPr>
              <w:pStyle w:val="1180"/>
              <w:jc w:val="center"/>
            </w:pPr>
            <w:r>
              <w:rPr>
                <w:b/>
                <w:bCs/>
              </w:rPr>
              <w:t xml:space="preserve">–</w:t>
            </w:r>
            <w:r/>
          </w:p>
        </w:tc>
        <w:tc>
          <w:tcPr>
            <w:tcW w:w="2090" w:type="dxa"/>
            <w:textDirection w:val="lrTb"/>
            <w:noWrap w:val="false"/>
          </w:tcPr>
          <w:p>
            <w:pPr>
              <w:pStyle w:val="1180"/>
              <w:jc w:val="center"/>
            </w:pPr>
            <w:r>
              <w:rPr>
                <w:b/>
                <w:bCs/>
              </w:rPr>
              <w:t xml:space="preserve">–</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 Коммерческого предложения</w:t>
            </w:r>
            <w:r/>
          </w:p>
        </w:tc>
        <w:tc>
          <w:tcPr>
            <w:tcW w:w="3118" w:type="dxa"/>
            <w:textDirection w:val="lrTb"/>
            <w:noWrap w:val="false"/>
          </w:tcPr>
          <w:p>
            <w:pPr>
              <w:pStyle w:val="1180"/>
              <w:jc w:val="center"/>
            </w:pPr>
            <w:r>
              <w:t xml:space="preserve">подразделы </w:t>
            </w:r>
            <w:r>
              <w:fldChar w:fldCharType="begin"/>
            </w:r>
            <w:r>
              <w:instrText xml:space="preserve"> REF _Ref130394681 \r \h </w:instrText>
            </w:r>
            <w:r>
              <w:fldChar w:fldCharType="separate"/>
            </w:r>
            <w:r>
              <w:t xml:space="preserve">4.3</w:t>
            </w:r>
            <w:r>
              <w:fldChar w:fldCharType="end"/>
            </w:r>
            <w:r>
              <w:t xml:space="preserve">,</w:t>
            </w:r>
            <w:r>
              <w:br/>
            </w:r>
            <w:hyperlink w:tooltip="#Прил04_ФормыЗаявки" w:anchor="Прил04_ФормыЗаявки" w:history="1">
              <w:r>
                <w:rPr>
                  <w:rStyle w:val="1204"/>
                </w:rPr>
                <w:t xml:space="preserve">Приложение № 4</w:t>
              </w:r>
            </w:hyperlink>
            <w:r/>
            <w:r/>
          </w:p>
        </w:tc>
        <w:tc>
          <w:tcPr>
            <w:tcW w:w="2090" w:type="dxa"/>
            <w:textDirection w:val="lrTb"/>
            <w:noWrap w:val="false"/>
          </w:tcPr>
          <w:p>
            <w:pPr>
              <w:pStyle w:val="1180"/>
              <w:jc w:val="center"/>
            </w:pPr>
            <w:r>
              <w:t xml:space="preserve">Цена</w:t>
            </w:r>
            <w:r/>
          </w:p>
        </w:tc>
      </w:tr>
      <w:tr>
        <w:tblPrEx/>
        <w:trPr/>
        <w:tc>
          <w:tcPr>
            <w:tcW w:w="1413" w:type="dxa"/>
            <w:textDirection w:val="lrTb"/>
            <w:noWrap w:val="false"/>
          </w:tcPr>
          <w:p>
            <w:pPr>
              <w:pStyle w:val="1180"/>
              <w:numPr>
                <w:ilvl w:val="0"/>
                <w:numId w:val="7"/>
              </w:numPr>
              <w:ind w:left="170" w:firstLine="0"/>
              <w:jc w:val="center"/>
            </w:pPr>
            <w:r/>
            <w:r/>
          </w:p>
        </w:tc>
        <w:tc>
          <w:tcPr>
            <w:tcW w:w="8505" w:type="dxa"/>
            <w:textDirection w:val="lrTb"/>
            <w:noWrap w:val="false"/>
          </w:tcPr>
          <w:p>
            <w:pPr>
              <w:pStyle w:val="1180"/>
            </w:pPr>
            <w:r>
              <w:t xml:space="preserve">Соответствие</w:t>
            </w:r>
            <w:r>
              <w:t xml:space="preserve"> </w:t>
            </w:r>
            <w:r>
              <w:t xml:space="preserve">подтверждающей документации, прилагаемой к</w:t>
            </w:r>
            <w:r>
              <w:rPr>
                <w:lang w:val="en-US"/>
              </w:rPr>
              <w:t xml:space="preserve"> </w:t>
            </w:r>
            <w:r>
              <w:t xml:space="preserve">Коммерческому приложению, требованиям,</w:t>
            </w:r>
            <w:r>
              <w:t xml:space="preserve"> указанным в</w:t>
            </w:r>
            <w:r>
              <w:t xml:space="preserve"> </w:t>
            </w:r>
            <w:hyperlink w:tooltip="#Прил01_ТехТребования" w:anchor="Прил01_ТехТребования" w:history="1">
              <w:r>
                <w:rPr>
                  <w:rStyle w:val="1204"/>
                </w:rPr>
                <w:t xml:space="preserve">Технически</w:t>
              </w:r>
              <w:r>
                <w:rPr>
                  <w:rStyle w:val="1204"/>
                </w:rPr>
                <w:t xml:space="preserve">х</w:t>
              </w:r>
              <w:r>
                <w:rPr>
                  <w:rStyle w:val="1204"/>
                </w:rPr>
                <w:t xml:space="preserve"> требованиях (Приложение № 1)</w:t>
              </w:r>
            </w:hyperlink>
            <w:r/>
            <w:r/>
          </w:p>
          <w:p>
            <w:pPr>
              <w:pStyle w:val="1180"/>
            </w:pPr>
            <w:r>
              <w:rPr>
                <w:i/>
                <w:iCs/>
              </w:rPr>
              <w:t xml:space="preserve">(</w:t>
            </w:r>
            <w:r>
              <w:rPr>
                <w:i/>
                <w:iCs/>
              </w:rPr>
              <w:t xml:space="preserve">п</w:t>
            </w:r>
            <w:r>
              <w:rPr>
                <w:i/>
                <w:iCs/>
              </w:rPr>
              <w:t xml:space="preserve">ункт применяется только в случае установления соответствующих </w:t>
            </w:r>
            <w:r>
              <w:rPr>
                <w:i/>
                <w:iCs/>
              </w:rPr>
              <w:t xml:space="preserve">требований в </w:t>
            </w:r>
            <w:hyperlink w:tooltip="#Прил01_ТехТребования" w:anchor="Прил01_ТехТребования" w:history="1">
              <w:r>
                <w:rPr>
                  <w:rStyle w:val="1204"/>
                  <w:i/>
                  <w:iCs/>
                </w:rPr>
                <w:t xml:space="preserve">Технических требованиях (Приложение № 1)</w:t>
              </w:r>
            </w:hyperlink>
            <w:r>
              <w:rPr>
                <w:i/>
                <w:iCs/>
              </w:rPr>
              <w:t xml:space="preserve">)</w:t>
            </w:r>
            <w:r/>
          </w:p>
        </w:tc>
        <w:tc>
          <w:tcPr>
            <w:tcW w:w="3118" w:type="dxa"/>
            <w:textDirection w:val="lrTb"/>
            <w:noWrap w:val="false"/>
          </w:tcPr>
          <w:p>
            <w:pPr>
              <w:pStyle w:val="1180"/>
              <w:jc w:val="center"/>
            </w:pPr>
            <w:r/>
            <w:hyperlink w:tooltip="#Прил01_ТехТребования" w:anchor="Прил01_ТехТребования" w:history="1">
              <w:r>
                <w:rPr>
                  <w:rStyle w:val="1204"/>
                </w:rPr>
                <w:t xml:space="preserve">Приложение № 1</w:t>
              </w:r>
            </w:hyperlink>
            <w:r/>
            <w:r/>
          </w:p>
        </w:tc>
        <w:tc>
          <w:tcPr>
            <w:tcW w:w="2090" w:type="dxa"/>
            <w:textDirection w:val="lrTb"/>
            <w:noWrap w:val="false"/>
          </w:tcPr>
          <w:p>
            <w:pPr>
              <w:pStyle w:val="1180"/>
              <w:jc w:val="center"/>
            </w:pPr>
            <w:r>
              <w:t xml:space="preserve">Цена</w:t>
            </w:r>
            <w:r/>
          </w:p>
        </w:tc>
      </w:tr>
    </w:tbl>
    <w:p>
      <w:pPr>
        <w:pStyle w:val="1175"/>
        <w:rPr>
          <w:rStyle w:val="1185"/>
          <w:i w:val="0"/>
          <w:iCs w:val="0"/>
          <w:shd w:val="clear" w:color="auto" w:fill="auto"/>
        </w:rPr>
      </w:pPr>
      <w:r/>
      <w:bookmarkStart w:id="360" w:name="_Toc232579470"/>
      <w:r>
        <w:rPr>
          <w:rStyle w:val="1185"/>
          <w:i w:val="0"/>
          <w:iCs w:val="0"/>
          <w:shd w:val="clear" w:color="auto" w:fill="auto"/>
        </w:rPr>
        <w:t xml:space="preserve">Дополнительные</w:t>
      </w:r>
      <w:r>
        <w:rPr>
          <w:rStyle w:val="1185"/>
          <w:i w:val="0"/>
          <w:iCs w:val="0"/>
          <w:shd w:val="clear" w:color="auto" w:fill="auto"/>
        </w:rPr>
        <w:t xml:space="preserve"> критерии проверки заяв</w:t>
      </w:r>
      <w:r>
        <w:rPr>
          <w:rStyle w:val="1185"/>
          <w:i w:val="0"/>
          <w:iCs w:val="0"/>
          <w:shd w:val="clear" w:color="auto" w:fill="auto"/>
        </w:rPr>
        <w:t xml:space="preserve">ок</w:t>
      </w:r>
      <w:r>
        <w:rPr>
          <w:rStyle w:val="1185"/>
          <w:i w:val="0"/>
          <w:iCs w:val="0"/>
          <w:shd w:val="clear" w:color="auto" w:fill="auto"/>
        </w:rPr>
        <w:t xml:space="preserve"> на соответстви</w:t>
      </w:r>
      <w:r>
        <w:rPr>
          <w:rStyle w:val="1185"/>
          <w:i w:val="0"/>
          <w:iCs w:val="0"/>
          <w:shd w:val="clear" w:color="auto" w:fill="auto"/>
        </w:rPr>
        <w:t xml:space="preserve">е</w:t>
      </w:r>
      <w:r>
        <w:rPr>
          <w:rStyle w:val="1185"/>
          <w:i w:val="0"/>
          <w:iCs w:val="0"/>
          <w:shd w:val="clear" w:color="auto" w:fill="auto"/>
        </w:rPr>
        <w:t xml:space="preserve"> условиям Документации о закупке</w:t>
      </w:r>
      <w:bookmarkEnd w:id="360"/>
      <w:r>
        <w:rPr>
          <w:rStyle w:val="1185"/>
          <w:i w:val="0"/>
          <w:iCs w:val="0"/>
          <w:shd w:val="clear" w:color="auto" w:fill="auto"/>
        </w:rPr>
      </w:r>
      <w:r>
        <w:rPr>
          <w:rStyle w:val="1185"/>
          <w:i w:val="0"/>
          <w:iCs w:val="0"/>
          <w:shd w:val="clear" w:color="auto" w:fill="auto"/>
        </w:rPr>
      </w:r>
    </w:p>
    <w:p>
      <w:pPr>
        <w:pStyle w:val="1180"/>
        <w:keepNext/>
        <w:spacing w:after="120"/>
        <w:rPr>
          <w:highlight w:val="none"/>
        </w:rPr>
      </w:pPr>
      <w:r>
        <w:rPr>
          <w:highlight w:val="none"/>
        </w:rPr>
      </w:r>
      <w:r>
        <w:rPr>
          <w:highlight w:val="none"/>
        </w:rPr>
      </w:r>
      <w:r>
        <w:rPr>
          <w:highlight w:val="none"/>
        </w:rPr>
      </w:r>
    </w:p>
    <w:p>
      <w:pPr>
        <w:pStyle w:val="1180"/>
        <w:keepNext/>
        <w:spacing w:after="120"/>
        <w:rPr>
          <w:highlight w:val="none"/>
        </w:rPr>
      </w:pPr>
      <w:r>
        <w:t xml:space="preserve">Несоответстви</w:t>
      </w:r>
      <w:r>
        <w:t xml:space="preserve">е</w:t>
      </w:r>
      <w:r>
        <w:t xml:space="preserve"> </w:t>
      </w:r>
      <w:r>
        <w:t xml:space="preserve">одному или всем </w:t>
      </w:r>
      <w:r>
        <w:t xml:space="preserve">дополнительн</w:t>
      </w:r>
      <w:r>
        <w:t xml:space="preserve">ым</w:t>
      </w:r>
      <w:r>
        <w:t xml:space="preserve"> критери</w:t>
      </w:r>
      <w:r>
        <w:t xml:space="preserve">ям</w:t>
      </w:r>
      <w:r>
        <w:t xml:space="preserve"> </w:t>
      </w:r>
      <w:r>
        <w:t xml:space="preserve">не являет</w:t>
      </w:r>
      <w:r>
        <w:t xml:space="preserve">ся</w:t>
      </w:r>
      <w:r>
        <w:t xml:space="preserve"> основанием для </w:t>
      </w:r>
      <w:r>
        <w:t xml:space="preserve">отклонения</w:t>
      </w:r>
      <w:r>
        <w:t xml:space="preserve"> заявки.</w:t>
      </w:r>
      <w:r>
        <w:rPr>
          <w:highlight w:val="none"/>
        </w:rPr>
      </w:r>
    </w:p>
    <w:p>
      <w:pPr>
        <w:pStyle w:val="1180"/>
        <w:keepNext/>
        <w:spacing w:after="120"/>
      </w:pPr>
      <w:r>
        <w:rPr>
          <w:highlight w:val="none"/>
        </w:rPr>
      </w:r>
      <w:r>
        <w:rPr>
          <w:highlight w:val="none"/>
        </w:rPr>
      </w:r>
      <w:r/>
    </w:p>
    <w:tbl>
      <w:tblPr>
        <w:tblStyle w:val="1201"/>
        <w:tblW w:w="0" w:type="auto"/>
        <w:tblLook w:val="04A0" w:firstRow="1" w:lastRow="0" w:firstColumn="1" w:lastColumn="0" w:noHBand="0" w:noVBand="1"/>
      </w:tblPr>
      <w:tblGrid>
        <w:gridCol w:w="1413"/>
        <w:gridCol w:w="8505"/>
        <w:gridCol w:w="3118"/>
        <w:gridCol w:w="2090"/>
      </w:tblGrid>
      <w:tr>
        <w:tblPrEx/>
        <w:trPr/>
        <w:tc>
          <w:tcPr>
            <w:tcW w:w="1413" w:type="dxa"/>
            <w:textDirection w:val="lrTb"/>
            <w:noWrap w:val="false"/>
          </w:tcPr>
          <w:p>
            <w:pPr>
              <w:pStyle w:val="1180"/>
              <w:jc w:val="center"/>
            </w:pPr>
            <w:r>
              <w:t xml:space="preserve">Номер</w:t>
            </w:r>
            <w:r>
              <w:br/>
              <w:t xml:space="preserve">критерия</w:t>
            </w:r>
            <w:r/>
          </w:p>
        </w:tc>
        <w:tc>
          <w:tcPr>
            <w:tcW w:w="8505" w:type="dxa"/>
            <w:textDirection w:val="lrTb"/>
            <w:noWrap w:val="false"/>
          </w:tcPr>
          <w:p>
            <w:pPr>
              <w:pStyle w:val="1180"/>
              <w:jc w:val="center"/>
            </w:pPr>
            <w:r>
              <w:t xml:space="preserve">Наименование</w:t>
            </w:r>
            <w:r>
              <w:br/>
            </w:r>
            <w:r>
              <w:t xml:space="preserve">критерия</w:t>
            </w:r>
            <w:r>
              <w:t xml:space="preserve"> проверки</w:t>
            </w:r>
            <w:r/>
          </w:p>
        </w:tc>
        <w:tc>
          <w:tcPr>
            <w:tcW w:w="3118" w:type="dxa"/>
            <w:textDirection w:val="lrTb"/>
            <w:noWrap w:val="false"/>
          </w:tcPr>
          <w:p>
            <w:pPr>
              <w:pStyle w:val="1180"/>
              <w:jc w:val="center"/>
            </w:pPr>
            <w:r>
              <w:t xml:space="preserve">Номер пункта</w:t>
            </w:r>
            <w:r>
              <w:br/>
            </w:r>
            <w:r>
              <w:t xml:space="preserve">Документации о закупке</w:t>
            </w:r>
            <w:r/>
          </w:p>
        </w:tc>
        <w:tc>
          <w:tcPr>
            <w:tcW w:w="2090" w:type="dxa"/>
            <w:textDirection w:val="lrTb"/>
            <w:noWrap w:val="false"/>
          </w:tcPr>
          <w:p>
            <w:pPr>
              <w:pStyle w:val="1180"/>
              <w:jc w:val="center"/>
            </w:pPr>
            <w:r>
              <w:t xml:space="preserve">Направления</w:t>
            </w:r>
            <w:r>
              <w:br/>
            </w:r>
            <w:r>
              <w:t xml:space="preserve">оценки заявок</w:t>
            </w:r>
            <w:r>
              <w:t xml:space="preserve">*</w:t>
            </w:r>
            <w:r/>
          </w:p>
        </w:tc>
      </w:tr>
      <w:tr>
        <w:tblPrEx/>
        <w:trPr/>
        <w:tc>
          <w:tcPr>
            <w:tcW w:w="1413" w:type="dxa"/>
            <w:textDirection w:val="lrTb"/>
            <w:noWrap w:val="false"/>
          </w:tcPr>
          <w:p>
            <w:pPr>
              <w:pStyle w:val="1180"/>
              <w:numPr>
                <w:ilvl w:val="0"/>
                <w:numId w:val="13"/>
              </w:numPr>
              <w:ind w:left="170" w:firstLine="0"/>
              <w:jc w:val="center"/>
            </w:pPr>
            <w:r/>
            <w:r/>
          </w:p>
        </w:tc>
        <w:tc>
          <w:tcPr>
            <w:tcW w:w="8505" w:type="dxa"/>
            <w:textDirection w:val="lrTb"/>
            <w:noWrap w:val="false"/>
          </w:tcPr>
          <w:p>
            <w:pPr>
              <w:pStyle w:val="1180"/>
            </w:pPr>
            <w:r>
              <w:t xml:space="preserve">Наличие в заявке</w:t>
            </w:r>
            <w:r>
              <w:t xml:space="preserve"> в форме Коммерческого предложения</w:t>
            </w:r>
            <w:r>
              <w:t xml:space="preserve"> информации о</w:t>
            </w:r>
            <w:r>
              <w:t xml:space="preserve"> </w:t>
            </w:r>
            <w:r>
              <w:t xml:space="preserve">стране происхождения товара</w:t>
            </w:r>
            <w:r/>
          </w:p>
        </w:tc>
        <w:tc>
          <w:tcPr>
            <w:tcW w:w="3118" w:type="dxa"/>
            <w:textDirection w:val="lrTb"/>
            <w:noWrap w:val="false"/>
          </w:tcPr>
          <w:p>
            <w:pPr>
              <w:pStyle w:val="1180"/>
              <w:jc w:val="center"/>
            </w:pPr>
            <w:r>
              <w:t xml:space="preserve">подраздел </w:t>
            </w:r>
            <w:r>
              <w:fldChar w:fldCharType="begin"/>
            </w:r>
            <w:r>
              <w:instrText xml:space="preserve"> REF _Ref132894106 \r \h </w:instrText>
            </w:r>
            <w:r>
              <w:fldChar w:fldCharType="separate"/>
            </w:r>
            <w:r>
              <w:t xml:space="preserve">4.13</w:t>
            </w:r>
            <w:r>
              <w:fldChar w:fldCharType="end"/>
            </w:r>
            <w:r>
              <w:t xml:space="preserve">,</w:t>
            </w:r>
            <w:r>
              <w:br/>
            </w:r>
            <w:hyperlink w:tooltip="#Прил04_ФормыЗаявки" w:anchor="Прил04_ФормыЗаявки" w:history="1">
              <w:r>
                <w:rPr>
                  <w:rStyle w:val="1204"/>
                </w:rPr>
                <w:t xml:space="preserve">Приложение № 4</w:t>
              </w:r>
            </w:hyperlink>
            <w:r/>
            <w:r/>
          </w:p>
        </w:tc>
        <w:tc>
          <w:tcPr>
            <w:tcW w:w="2090" w:type="dxa"/>
            <w:textDirection w:val="lrTb"/>
            <w:noWrap w:val="false"/>
          </w:tcPr>
          <w:p>
            <w:pPr>
              <w:pStyle w:val="1180"/>
              <w:jc w:val="center"/>
            </w:pPr>
            <w:r>
              <w:t xml:space="preserve">Цена</w:t>
            </w:r>
            <w:r/>
          </w:p>
        </w:tc>
      </w:tr>
    </w:tbl>
    <w:p>
      <w:pPr>
        <w:pStyle w:val="1180"/>
        <w:keepNext/>
        <w:spacing w:before="240"/>
        <w:tabs>
          <w:tab w:val="left" w:pos="851" w:leader="none"/>
        </w:tabs>
        <w:rPr>
          <w:b/>
          <w:bCs/>
        </w:rPr>
      </w:pPr>
      <w:r>
        <w:rPr>
          <w:b/>
          <w:bCs/>
        </w:rPr>
        <w:t xml:space="preserve">* </w:t>
      </w:r>
      <w:r>
        <w:rPr>
          <w:b/>
          <w:bCs/>
        </w:rPr>
        <w:t xml:space="preserve">Направления оценки заявок:</w:t>
      </w:r>
      <w:r>
        <w:rPr>
          <w:b/>
          <w:bCs/>
        </w:rPr>
      </w:r>
      <w:r>
        <w:rPr>
          <w:b/>
          <w:bCs/>
        </w:rPr>
      </w:r>
    </w:p>
    <w:p>
      <w:pPr>
        <w:pStyle w:val="1180"/>
        <w:ind w:left="1701" w:hanging="1701"/>
        <w:tabs>
          <w:tab w:val="left" w:pos="1134" w:leader="none"/>
        </w:tabs>
      </w:pPr>
      <w:r>
        <w:rPr>
          <w:b/>
          <w:bCs/>
        </w:rPr>
        <w:t xml:space="preserve">Орг</w:t>
      </w:r>
      <w:r>
        <w:tab/>
        <w:t xml:space="preserve">–</w:t>
      </w:r>
      <w:r>
        <w:tab/>
      </w:r>
      <w:bookmarkStart w:id="361" w:name="_Hlk138342484"/>
      <w:r>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w:t>
      </w:r>
      <w:bookmarkEnd w:id="361"/>
      <w:r>
        <w:t xml:space="preserve">; </w:t>
      </w:r>
      <w:bookmarkStart w:id="362" w:name="_Hlk138342546"/>
      <w:r>
        <w:t xml:space="preserve">наличия обеспечения обязательств Участника, связанного с подач</w:t>
      </w:r>
      <w:r>
        <w:t xml:space="preserve">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 xml:space="preserve">(последние применяется только в случае установления соответствующих требований)</w:t>
      </w:r>
      <w:r>
        <w:t xml:space="preserve">; наличие у Участника статуса «аккредитован», либо статуса «аккредитация не требуется» (или наличие заявки на аккредитацию (при необходимости))</w:t>
      </w:r>
      <w:bookmarkEnd w:id="362"/>
      <w:r>
        <w:t xml:space="preserve">, участвует в процедуре актуализ</w:t>
      </w:r>
      <w:r>
        <w:t xml:space="preserve">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w:t>
      </w:r>
      <w:r>
        <w:t xml:space="preserve"> № 851; при установлении требования об обязательном привлечении к исполнению Договора субподрядчиков (соисполнителей) из числа субъектов МСП – проверка субподрядчиков (соисполнителей), указанных Участником в Плане распределения поставки продукции, на налич</w:t>
      </w:r>
      <w:r>
        <w:t xml:space="preserve">ие информации о таком субподрядчике (соисполнителе)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w:t>
      </w:r>
      <w:bookmarkStart w:id="363" w:name="_Hlk138342572"/>
      <w:r>
        <w:t xml:space="preserve">–</w:t>
      </w:r>
      <w:bookmarkEnd w:id="363"/>
      <w:r>
        <w:t xml:space="preserve">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r/>
    </w:p>
    <w:p>
      <w:pPr>
        <w:pStyle w:val="1180"/>
        <w:ind w:left="1701" w:hanging="1701"/>
        <w:tabs>
          <w:tab w:val="left" w:pos="1134" w:leader="none"/>
        </w:tabs>
      </w:pPr>
      <w:r>
        <w:rPr>
          <w:b/>
          <w:bCs/>
        </w:rPr>
        <w:t xml:space="preserve">Тех</w:t>
      </w:r>
      <w:r>
        <w:tab/>
        <w:t xml:space="preserve">–</w:t>
      </w:r>
      <w:r>
        <w:tab/>
      </w:r>
      <w:r>
        <w:t xml:space="preserve">проверка наличия в составе заявки всех необходимых документов для рассмотрения экспертом по </w:t>
      </w:r>
      <w:r>
        <w:t xml:space="preserve">св</w:t>
      </w:r>
      <w:r>
        <w:t xml:space="preserve">о</w:t>
      </w:r>
      <w:r>
        <w:t xml:space="preserve">ему</w:t>
      </w:r>
      <w:r>
        <w:t xml:space="preserve"> </w:t>
      </w:r>
      <w:r>
        <w:t xml:space="preserve">направлению</w:t>
      </w:r>
      <w:r>
        <w:t xml:space="preserve">,</w:t>
      </w:r>
      <w:r>
        <w:t xml:space="preserve"> а также правильности их оформления; оценка </w:t>
      </w:r>
      <w:r>
        <w:t xml:space="preserve">Т</w:t>
      </w:r>
      <w:r>
        <w:t xml:space="preserve">ехнических предложений</w:t>
      </w:r>
      <w:r>
        <w:t xml:space="preserve"> и</w:t>
      </w:r>
      <w:r>
        <w:t xml:space="preserve"> </w:t>
      </w:r>
      <w:r>
        <w:t xml:space="preserve">сведений, подтверждающих соответствия</w:t>
      </w:r>
      <w:r>
        <w:t xml:space="preserve"> </w:t>
      </w:r>
      <w:r>
        <w:t xml:space="preserve">Участника </w:t>
      </w:r>
      <w:r>
        <w:t xml:space="preserve">квалификационны</w:t>
      </w:r>
      <w:r>
        <w:t xml:space="preserve">м и специальным требованиям</w:t>
      </w:r>
      <w:r>
        <w:t xml:space="preserve">; </w:t>
      </w:r>
      <w:bookmarkStart w:id="364" w:name="_Hlk138342998"/>
      <w:r>
        <w:t xml:space="preserve">проверка</w:t>
      </w:r>
      <w:r>
        <w:t xml:space="preserve"> технической части подтверждающей документации, прилагаемой к</w:t>
      </w:r>
      <w:r>
        <w:t xml:space="preserve"> </w:t>
      </w:r>
      <w:r>
        <w:t xml:space="preserve">Коммерческому предложению (при наличии), а также, при необходимости, технических условий исполнения Договора</w:t>
      </w:r>
      <w:bookmarkEnd w:id="364"/>
      <w:r>
        <w:t xml:space="preserve">;</w:t>
      </w:r>
      <w:r/>
    </w:p>
    <w:p>
      <w:pPr>
        <w:pStyle w:val="1180"/>
        <w:ind w:left="1701" w:hanging="1701"/>
        <w:tabs>
          <w:tab w:val="left" w:pos="1134" w:leader="none"/>
        </w:tabs>
      </w:pPr>
      <w:r>
        <w:rPr>
          <w:b/>
          <w:bCs/>
        </w:rPr>
        <w:t xml:space="preserve">Юр</w:t>
      </w:r>
      <w:r>
        <w:tab/>
        <w:t xml:space="preserve">–</w:t>
      </w:r>
      <w:r>
        <w:tab/>
      </w:r>
      <w: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w:t>
      </w:r>
      <w:r>
        <w:t xml:space="preserve">т.ч</w:t>
      </w:r>
      <w:r>
        <w:t xml:space="preserve">.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w:t>
      </w:r>
      <w:r>
        <w:t xml:space="preserve"> </w:t>
      </w:r>
      <w:r>
        <w:t xml:space="preserve">необходимости) на основании выписки из ЕГРЮЛ (выписка из ЕГРЮЛ доступна на официальном сервисе ФНС России https://egrul.nalog.ru/index.html)</w:t>
      </w:r>
      <w:r>
        <w:t xml:space="preserve">;</w:t>
      </w:r>
      <w:r/>
    </w:p>
    <w:p>
      <w:pPr>
        <w:pStyle w:val="1180"/>
        <w:ind w:left="1701" w:hanging="1701"/>
        <w:keepNext/>
        <w:tabs>
          <w:tab w:val="left" w:pos="1134" w:leader="none"/>
        </w:tabs>
      </w:pPr>
      <w:r>
        <w:rPr>
          <w:b/>
          <w:bCs/>
        </w:rPr>
        <w:t xml:space="preserve">Цена</w:t>
      </w:r>
      <w:r>
        <w:tab/>
        <w:t xml:space="preserve">–</w:t>
      </w:r>
      <w:r>
        <w:tab/>
      </w:r>
      <w:r>
        <w:t xml:space="preserve">проверка наличия в составе заявки всех необходимых документов для рассмотрения экспертом по </w:t>
      </w:r>
      <w:r>
        <w:t xml:space="preserve">своему</w:t>
      </w:r>
      <w:r>
        <w:t xml:space="preserve"> направлению, а также оценка правильности их оформления (в </w:t>
      </w:r>
      <w:r>
        <w:t xml:space="preserve">т.ч</w:t>
      </w:r>
      <w:r>
        <w:t xml:space="preserve">. в части наличия должных печатей, подписей формы заверения, языка и валюты заявки); </w:t>
      </w:r>
      <w:r>
        <w:t xml:space="preserve">проверка отсутствия противоречий (в части стоимости заявки (цены Договора)) между Письмом о</w:t>
      </w:r>
      <w:r>
        <w:t xml:space="preserve"> </w:t>
      </w:r>
      <w:r>
        <w:t xml:space="preserve">подаче оферты и сведениями, указанными Участником в структурированных формах на ЭП</w:t>
      </w:r>
      <w:r>
        <w:t xml:space="preserve">;</w:t>
      </w:r>
      <w:r>
        <w:t xml:space="preserve"> </w:t>
      </w:r>
      <w:r>
        <w:t xml:space="preserve">оценка Коммерческого предложения Участника, а также (при наличии) прилагаемой к нему подтверждающей документации (включая спецификацию) на предмет</w:t>
      </w:r>
      <w:r>
        <w:t xml:space="preserve"> </w:t>
      </w:r>
      <w:r>
        <w:t xml:space="preserve">непревышения</w:t>
      </w:r>
      <w:r>
        <w:t xml:space="preserve"> ценового предложения участника установленного размера НМЦ</w:t>
      </w:r>
      <w:r>
        <w:t xml:space="preserve">.</w:t>
      </w:r>
      <w:r/>
    </w:p>
    <w:p>
      <w:pPr>
        <w:pStyle w:val="1180"/>
        <w:ind w:left="1701" w:hanging="1701"/>
        <w:keepNext/>
        <w:tabs>
          <w:tab w:val="left" w:pos="1134" w:leader="none"/>
        </w:tabs>
      </w:pPr>
      <w:r>
        <w:rPr>
          <w:b/>
        </w:rPr>
        <w:t xml:space="preserve">Фин</w:t>
      </w:r>
      <w:r>
        <w:tab/>
        <w:t xml:space="preserve">–</w:t>
      </w:r>
      <w:r>
        <w:tab/>
        <w:t xml:space="preserve">оценка банковской гарантии, в том числе правильность оформления рассматриваемых документов (в </w:t>
      </w:r>
      <w:r>
        <w:t xml:space="preserve">т.ч</w:t>
      </w:r>
      <w:r>
        <w:t xml:space="preserve">. в части наличия должных печатей, подписей, формы заверения, языка и валюты заявки) (финансовая экспертиза проводится по инициативе эксперта по направлениям </w:t>
      </w:r>
      <w:r>
        <w:t xml:space="preserve">Орг</w:t>
      </w:r>
      <w:r>
        <w:t xml:space="preserve">, в случае наличия в заявке банковской гарантии).</w:t>
      </w:r>
      <w:r/>
    </w:p>
    <w:p>
      <w:pPr>
        <w:pStyle w:val="1180"/>
      </w:pPr>
      <w:r>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t xml:space="preserve">материалов (документов)</w:t>
      </w:r>
      <w:r>
        <w:t xml:space="preserve">, являющихся предметом его экспертизы)</w:t>
      </w:r>
      <w:r>
        <w:t xml:space="preserve">.</w:t>
      </w:r>
      <w:r/>
    </w:p>
    <w:p>
      <w:pPr>
        <w:pStyle w:val="1180"/>
      </w:pPr>
      <w:r/>
      <w:r/>
    </w:p>
    <w:p>
      <w:pPr>
        <w:pStyle w:val="1180"/>
        <w:sectPr>
          <w:footnotePr/>
          <w:endnotePr/>
          <w:type w:val="nextPage"/>
          <w:pgSz w:w="16838" w:h="11906" w:orient="landscape"/>
          <w:pgMar w:top="1134" w:right="851" w:bottom="850" w:left="851" w:header="567" w:footer="567" w:gutter="0"/>
          <w:cols w:num="1" w:sep="0" w:space="708" w:equalWidth="1"/>
          <w:docGrid w:linePitch="360"/>
        </w:sectPr>
      </w:pPr>
      <w:r/>
      <w:r/>
    </w:p>
    <w:p>
      <w:pPr>
        <w:pStyle w:val="1174"/>
      </w:pPr>
      <w:r/>
      <w:bookmarkStart w:id="365" w:name="Прил08_ПорядокОценки"/>
      <w:r/>
      <w:bookmarkStart w:id="366" w:name="_Ref125361648"/>
      <w:r/>
      <w:bookmarkStart w:id="367" w:name="_Ref125361951"/>
      <w:r/>
      <w:bookmarkStart w:id="368" w:name="_Ref125366013"/>
      <w:r/>
      <w:bookmarkStart w:id="369" w:name="_Ref125366280"/>
      <w:r/>
      <w:bookmarkStart w:id="370" w:name="_Ref125366285"/>
      <w:r/>
      <w:bookmarkStart w:id="371" w:name="_Ref125368140"/>
      <w:r/>
      <w:bookmarkStart w:id="372" w:name="_Ref125368150"/>
      <w:r/>
      <w:bookmarkStart w:id="373" w:name="_Ref125368165"/>
      <w:r/>
      <w:bookmarkStart w:id="374" w:name="_Ref125368172"/>
      <w:r/>
      <w:bookmarkStart w:id="375" w:name="_Ref125368184"/>
      <w:r/>
      <w:bookmarkStart w:id="376" w:name="_Ref125368283"/>
      <w:r/>
      <w:bookmarkStart w:id="377" w:name="_Ref125368291"/>
      <w:r/>
      <w:bookmarkStart w:id="378" w:name="_Ref125368302"/>
      <w:r/>
      <w:bookmarkStart w:id="379" w:name="_Ref125368313"/>
      <w:r/>
      <w:bookmarkStart w:id="380" w:name="_Ref125368331"/>
      <w:r/>
      <w:bookmarkStart w:id="381" w:name="_Ref125369021"/>
      <w:r/>
      <w:bookmarkStart w:id="382" w:name="_Ref125369438"/>
      <w:r/>
      <w:bookmarkStart w:id="383" w:name="_Toc232579471"/>
      <w:r/>
      <w:bookmarkEnd w:id="365"/>
      <w:r>
        <w:t xml:space="preserve">Приложение №</w:t>
      </w:r>
      <w:r>
        <w:t xml:space="preserve"> </w:t>
      </w:r>
      <w:r>
        <w:t xml:space="preserve">8</w:t>
      </w:r>
      <w:r>
        <w:t xml:space="preserve"> – Порядок и критерии оценки и сопоставления заявок</w:t>
      </w:r>
      <w:bookmarkEnd w:id="366"/>
      <w:r/>
      <w:bookmarkEnd w:id="367"/>
      <w:r/>
      <w:bookmarkEnd w:id="368"/>
      <w:r/>
      <w:bookmarkEnd w:id="369"/>
      <w:r/>
      <w:bookmarkEnd w:id="370"/>
      <w:r/>
      <w:bookmarkEnd w:id="371"/>
      <w:r/>
      <w:bookmarkEnd w:id="372"/>
      <w:r/>
      <w:bookmarkEnd w:id="373"/>
      <w:r/>
      <w:bookmarkEnd w:id="374"/>
      <w:r/>
      <w:bookmarkEnd w:id="375"/>
      <w:r/>
      <w:bookmarkEnd w:id="376"/>
      <w:r/>
      <w:bookmarkEnd w:id="377"/>
      <w:r/>
      <w:bookmarkEnd w:id="378"/>
      <w:r/>
      <w:bookmarkEnd w:id="379"/>
      <w:r/>
      <w:bookmarkEnd w:id="380"/>
      <w:r/>
      <w:bookmarkEnd w:id="381"/>
      <w:r/>
      <w:bookmarkEnd w:id="382"/>
      <w:r/>
      <w:bookmarkEnd w:id="383"/>
      <w:r/>
      <w:r/>
    </w:p>
    <w:p>
      <w:pPr>
        <w:pStyle w:val="1175"/>
      </w:pPr>
      <w:r/>
      <w:bookmarkStart w:id="384" w:name="_Toc232579472"/>
      <w:r>
        <w:t xml:space="preserve">Порядок и критерии оценки и сопоставления заявок</w:t>
      </w:r>
      <w:bookmarkEnd w:id="384"/>
      <w:r/>
      <w:r/>
    </w:p>
    <w:p>
      <w:pPr>
        <w:pStyle w:val="1176"/>
      </w:pPr>
      <w:r>
        <w:t xml:space="preserve">Расчет итоговой оценки предпочтительности каждой заявки, успешно прошедшей отборочную </w:t>
      </w:r>
      <w:r>
        <w:t xml:space="preserve">стадию (подраздел</w:t>
      </w:r>
      <w:r>
        <w:t xml:space="preserve"> </w:t>
      </w:r>
      <w:r>
        <w:fldChar w:fldCharType="begin"/>
      </w:r>
      <w:r>
        <w:instrText xml:space="preserve"> REF _Ref125362364 \w \h </w:instrText>
      </w:r>
      <w:r>
        <w:instrText xml:space="preserve"> \* MERGEFORMAT </w:instrText>
      </w:r>
      <w:r>
        <w:fldChar w:fldCharType="separate"/>
      </w:r>
      <w:r>
        <w:t xml:space="preserve">4.9</w:t>
      </w:r>
      <w:r>
        <w:fldChar w:fldCharType="end"/>
      </w:r>
      <w:r>
        <w:t xml:space="preserve">),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r/>
    </w:p>
    <w:tbl>
      <w:tblPr>
        <w:tblW w:w="15308" w:type="dxa"/>
        <w:tblInd w:w="109" w:type="dxa"/>
        <w:tblLayout w:type="fixed"/>
        <w:tblLook w:val="04A0" w:firstRow="1" w:lastRow="0" w:firstColumn="1" w:lastColumn="0" w:noHBand="0" w:noVBand="1"/>
      </w:tblPr>
      <w:tblGrid>
        <w:gridCol w:w="1133"/>
        <w:gridCol w:w="1560"/>
        <w:gridCol w:w="1701"/>
        <w:gridCol w:w="1702"/>
        <w:gridCol w:w="1274"/>
        <w:gridCol w:w="1985"/>
        <w:gridCol w:w="5953"/>
      </w:tblGrid>
      <w:tr>
        <w:tblPrEx/>
        <w:trPr>
          <w:cantSplit/>
        </w:trPr>
        <w:tc>
          <w:tcPr>
            <w:shd w:val="clear" w:color="auto" w:fill="d5dce4"/>
            <w:tcBorders>
              <w:top w:val="single" w:color="00000A" w:sz="4" w:space="0"/>
              <w:left w:val="single" w:color="00000A" w:sz="4" w:space="0"/>
              <w:bottom w:val="single" w:color="00000A" w:sz="4" w:space="0"/>
              <w:right w:val="single" w:color="00000A" w:sz="4" w:space="0"/>
            </w:tcBorders>
            <w:tcW w:w="1133" w:type="dxa"/>
            <w:vAlign w:val="center"/>
            <w:vMerge w:val="restart"/>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Номер критерия оценки в структуре</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560" w:type="dxa"/>
            <w:vAlign w:val="center"/>
            <w:vMerge w:val="restart"/>
            <w:textDirection w:val="lrTb"/>
            <w:noWrap w:val="false"/>
          </w:tcPr>
          <w:p>
            <w:pPr>
              <w:jc w:val="center"/>
              <w:keepNext/>
              <w:spacing w:before="40" w:after="40"/>
              <w:widowControl w:val="off"/>
              <w:rPr>
                <w:rFonts w:cs="Times New Roman"/>
                <w:sz w:val="20"/>
                <w:szCs w:val="20"/>
              </w:rPr>
            </w:pPr>
            <w:r>
              <w:rPr>
                <w:rFonts w:cs="Times New Roman"/>
                <w:bCs/>
                <w:sz w:val="20"/>
                <w:szCs w:val="20"/>
              </w:rPr>
              <w:t xml:space="preserve">Вид критерия оценки / направление оценки заявок</w:t>
            </w:r>
            <w:r>
              <w:rPr>
                <w:rFonts w:cs="Times New Roman"/>
                <w:sz w:val="20"/>
                <w:szCs w:val="20"/>
              </w:rPr>
            </w:r>
            <w:r>
              <w:rPr>
                <w:rFonts w:cs="Times New Roman"/>
                <w:sz w:val="20"/>
                <w:szCs w:val="20"/>
              </w:rPr>
            </w:r>
          </w:p>
        </w:tc>
        <w:tc>
          <w:tcPr>
            <w:gridSpan w:val="2"/>
            <w:shd w:val="clear" w:color="auto" w:fill="d5dce4"/>
            <w:tcBorders>
              <w:top w:val="single" w:color="00000A" w:sz="4" w:space="0"/>
              <w:left w:val="single" w:color="00000A" w:sz="4" w:space="0"/>
              <w:bottom w:val="single" w:color="00000A" w:sz="4" w:space="0"/>
              <w:right w:val="single" w:color="00000A" w:sz="4" w:space="0"/>
            </w:tcBorders>
            <w:tcW w:w="3403"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Наименование критерия оценки</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274"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Значимость критерия оценки</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985"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Содержание частного критерия оценки</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5953"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Расчет оценки предпочтительности заявки</w:t>
            </w:r>
            <w:r>
              <w:rPr>
                <w:rFonts w:cs="Times New Roman"/>
                <w:sz w:val="20"/>
                <w:szCs w:val="20"/>
              </w:rPr>
            </w:r>
            <w:r>
              <w:rPr>
                <w:rFonts w:cs="Times New Roman"/>
                <w:sz w:val="20"/>
                <w:szCs w:val="20"/>
              </w:rPr>
            </w:r>
          </w:p>
        </w:tc>
      </w:tr>
      <w:tr>
        <w:tblPrEx/>
        <w:trPr>
          <w:cantSplit/>
        </w:trPr>
        <w:tc>
          <w:tcPr>
            <w:shd w:val="clear" w:color="auto" w:fill="d5dce4"/>
            <w:tcBorders>
              <w:top w:val="single" w:color="00000A" w:sz="4" w:space="0"/>
              <w:left w:val="single" w:color="00000A" w:sz="4" w:space="0"/>
              <w:bottom w:val="single" w:color="00000A" w:sz="4" w:space="0"/>
              <w:right w:val="single" w:color="00000A" w:sz="4" w:space="0"/>
            </w:tcBorders>
            <w:tcW w:w="1133" w:type="dxa"/>
            <w:vAlign w:val="center"/>
            <w:vMerge w:val="continue"/>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560" w:type="dxa"/>
            <w:vAlign w:val="center"/>
            <w:vMerge w:val="continue"/>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701"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критерий оценки первого уровня</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702"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t xml:space="preserve">критерий оценки второго уровня</w:t>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274"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1985"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c>
          <w:tcPr>
            <w:shd w:val="clear" w:color="auto" w:fill="d5dce4"/>
            <w:tcBorders>
              <w:top w:val="single" w:color="00000A" w:sz="4" w:space="0"/>
              <w:left w:val="single" w:color="00000A" w:sz="4" w:space="0"/>
              <w:bottom w:val="single" w:color="00000A" w:sz="4" w:space="0"/>
              <w:right w:val="single" w:color="00000A" w:sz="4" w:space="0"/>
            </w:tcBorders>
            <w:tcW w:w="5953" w:type="dxa"/>
            <w:vAlign w:val="center"/>
            <w:textDirection w:val="lrTb"/>
            <w:noWrap w:val="false"/>
          </w:tcPr>
          <w:p>
            <w:pPr>
              <w:jc w:val="center"/>
              <w:keepNext/>
              <w:spacing w:before="40" w:after="4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tc>
      </w:tr>
      <w:tr>
        <w:tblPrEx/>
        <w:trPr/>
        <w:tc>
          <w:tcPr>
            <w:shd w:val="clear" w:color="auto" w:fill="auto"/>
            <w:tcBorders>
              <w:top w:val="single" w:color="00000A" w:sz="4" w:space="0"/>
              <w:left w:val="single" w:color="00000A" w:sz="4" w:space="0"/>
              <w:bottom w:val="single" w:color="00000A" w:sz="4" w:space="0"/>
              <w:right w:val="single" w:color="00000A" w:sz="4" w:space="0"/>
            </w:tcBorders>
            <w:tcW w:w="1133" w:type="dxa"/>
            <w:textDirection w:val="lrTb"/>
            <w:noWrap w:val="false"/>
          </w:tcPr>
          <w:p>
            <w:pPr>
              <w:jc w:val="center"/>
              <w:spacing w:before="40" w:after="40"/>
              <w:widowControl w:val="off"/>
              <w:rPr>
                <w:rFonts w:cs="Times New Roman"/>
                <w:sz w:val="20"/>
                <w:szCs w:val="20"/>
              </w:rPr>
            </w:pPr>
            <w:r>
              <w:rPr>
                <w:rFonts w:cs="Times New Roman"/>
                <w:sz w:val="20"/>
                <w:szCs w:val="20"/>
              </w:rPr>
              <w:t xml:space="preserve">1.</w:t>
            </w:r>
            <w:r>
              <w:rPr>
                <w:rFonts w:cs="Times New Roman"/>
                <w:sz w:val="20"/>
                <w:szCs w:val="20"/>
              </w:rPr>
            </w:r>
            <w:r>
              <w:rPr>
                <w:rFonts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560" w:type="dxa"/>
            <w:textDirection w:val="lrTb"/>
            <w:noWrap w:val="false"/>
          </w:tcPr>
          <w:p>
            <w:pPr>
              <w:pStyle w:val="1223"/>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Ценовой (стоимостный) частный критерий оценки первого уровня / ЦЕНА</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1" w:type="dxa"/>
            <w:textDirection w:val="lrTb"/>
            <w:noWrap w:val="false"/>
          </w:tcPr>
          <w:p>
            <w:pPr>
              <w:pStyle w:val="1223"/>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Цена договора (стоимость заявки)</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2" w:type="dxa"/>
            <w:textDirection w:val="lrTb"/>
            <w:noWrap w:val="false"/>
          </w:tcPr>
          <w:p>
            <w:pPr>
              <w:pStyle w:val="1223"/>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i/>
                <w:sz w:val="20"/>
                <w:szCs w:val="20"/>
              </w:rPr>
            </w:pPr>
            <w:r>
              <w:rPr>
                <w:rFonts w:ascii="Times New Roman" w:hAnsi="Times New Roman"/>
                <w:i/>
                <w:sz w:val="20"/>
                <w:szCs w:val="20"/>
              </w:rPr>
              <w:t xml:space="preserve">отсутствует</w:t>
            </w:r>
            <w:r>
              <w:rPr>
                <w:rFonts w:ascii="Times New Roman" w:hAnsi="Times New Roman"/>
                <w:i/>
                <w:sz w:val="20"/>
                <w:szCs w:val="20"/>
              </w:rPr>
            </w:r>
            <w:r>
              <w:rPr>
                <w:rFonts w:ascii="Times New Roman" w:hAnsi="Times New Roman"/>
                <w:i/>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274" w:type="dxa"/>
            <w:textDirection w:val="lrTb"/>
            <w:noWrap w:val="false"/>
          </w:tcPr>
          <w:p>
            <w:pPr>
              <w:pStyle w:val="1223"/>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90%</w:t>
            </w:r>
            <w:r>
              <w:rPr>
                <w:rFonts w:ascii="Times New Roman" w:hAnsi="Times New Roman"/>
                <w:sz w:val="20"/>
                <w:szCs w:val="20"/>
              </w:rPr>
              <w:br/>
              <w:t xml:space="preserve">(В</w:t>
            </w:r>
            <w:r>
              <w:rPr>
                <w:rFonts w:ascii="Times New Roman" w:hAnsi="Times New Roman"/>
                <w:sz w:val="20"/>
                <w:szCs w:val="20"/>
                <w:vertAlign w:val="subscript"/>
              </w:rPr>
              <w:t xml:space="preserve">1</w:t>
            </w:r>
            <w:r>
              <w:rPr>
                <w:rFonts w:ascii="Times New Roman" w:hAnsi="Times New Roman"/>
                <w:sz w:val="20"/>
                <w:szCs w:val="20"/>
              </w:rPr>
              <w:t xml:space="preserve"> = 0,90)</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985" w:type="dxa"/>
            <w:textDirection w:val="lrTb"/>
            <w:noWrap w:val="false"/>
          </w:tcPr>
          <w:p>
            <w:pPr>
              <w:pStyle w:val="1223"/>
              <w:numPr>
                <w:ilvl w:val="7"/>
                <w:numId w:val="22"/>
              </w:numPr>
              <w:contextualSpacing/>
              <w:ind w:left="0" w:firstLine="0"/>
              <w:jc w:val="center"/>
              <w:spacing w:before="0"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Чем меньше стоимость заявки Участника, тем выше предпочтительность</w:t>
            </w:r>
            <w:r>
              <w:rPr>
                <w:rFonts w:ascii="Times New Roman" w:hAnsi="Times New Roman"/>
                <w:sz w:val="20"/>
                <w:szCs w:val="20"/>
              </w:rPr>
            </w:r>
            <w:r>
              <w:rPr>
                <w:rFonts w:ascii="Times New Roman" w:hAnsi="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5953" w:type="dxa"/>
            <w:textDirection w:val="lrTb"/>
            <w:noWrap w:val="false"/>
          </w:tcPr>
          <w:p>
            <w:pPr>
              <w:pStyle w:val="1223"/>
              <w:numPr>
                <w:ilvl w:val="7"/>
                <w:numId w:val="22"/>
              </w:numPr>
              <w:contextualSpacing/>
              <w:ind w:left="0" w:firstLine="0"/>
              <w:spacing w:before="96" w:after="96" w:line="240" w:lineRule="auto"/>
              <w:widowControl w:val="off"/>
              <w:tabs>
                <w:tab w:val="left" w:pos="1440" w:leader="none"/>
                <w:tab w:val="left" w:pos="2880" w:leader="none"/>
              </w:tabs>
              <w:rPr>
                <w:rFonts w:ascii="Times New Roman" w:hAnsi="Times New Roman"/>
                <w:sz w:val="20"/>
                <w:szCs w:val="20"/>
              </w:rPr>
            </w:pPr>
            <w:r>
              <w:rPr>
                <w:rFonts w:ascii="Times New Roman" w:hAnsi="Times New Roman"/>
                <w:sz w:val="20"/>
                <w:szCs w:val="20"/>
              </w:rPr>
              <w:t xml:space="preserve">Расчет оценки предпочтительности по частному критерию по методу «Математическая формула, задающая «функцию ценности»»:</w:t>
            </w:r>
            <w:r>
              <w:rPr>
                <w:rFonts w:ascii="Times New Roman" w:hAnsi="Times New Roman"/>
                <w:sz w:val="20"/>
                <w:szCs w:val="20"/>
              </w:rPr>
            </w:r>
            <w:r>
              <w:rPr>
                <w:rFonts w:ascii="Times New Roman" w:hAnsi="Times New Roman"/>
                <w:sz w:val="20"/>
                <w:szCs w:val="20"/>
              </w:rPr>
            </w:r>
          </w:p>
          <w:p>
            <w:pPr>
              <w:pStyle w:val="1222"/>
              <w:numPr>
                <w:ilvl w:val="6"/>
                <w:numId w:val="22"/>
              </w:numPr>
              <w:contextualSpacing/>
              <w:ind w:left="0" w:firstLine="0"/>
              <w:jc w:val="center"/>
              <w:spacing w:before="96" w:line="240" w:lineRule="auto"/>
              <w:widowControl w:val="off"/>
              <w:tabs>
                <w:tab w:val="left" w:pos="360" w:leader="none"/>
                <w:tab w:val="left" w:pos="1440" w:leader="none"/>
                <w:tab w:val="left" w:pos="2736" w:leader="none"/>
              </w:tabs>
              <w:rPr>
                <w:rFonts w:ascii="Times New Roman" w:hAnsi="Times New Roman" w:cs="Times New Roman"/>
                <w:sz w:val="20"/>
                <w:szCs w:val="20"/>
                <w:lang w:eastAsia="ru-RU"/>
              </w:rPr>
            </w:pPr>
            <w:r/>
            <m:oMath>
              <m:sSub>
                <m:sSubPr>
                  <m:ctrlPr>
                    <w:rPr>
                      <w:rFonts w:ascii="Cambria Math" w:hAnsi="Cambria Math" w:eastAsia="Cambria Math" w:cs="Cambria Math"/>
                      <w:sz w:val="20"/>
                      <w:szCs w:val="20"/>
                    </w:rPr>
                  </m:ctrlPr>
                </m:sSubPr>
                <m:e>
                  <m:r>
                    <w:rPr>
                      <w:rFonts w:ascii="Cambria Math" w:hAnsi="Cambria Math"/>
                      <w:sz w:val="20"/>
                      <w:szCs w:val="20"/>
                    </w:rPr>
                    <m:rPr/>
                    <m:t>Б</m:t>
                  </m:r>
                </m:e>
                <m:sub>
                  <m:r>
                    <w:rPr>
                      <w:rFonts w:ascii="Cambria Math" w:hAnsi="Cambria Math"/>
                      <w:sz w:val="20"/>
                      <w:szCs w:val="20"/>
                    </w:rPr>
                    <m:rPr/>
                    <m:t>1</m:t>
                  </m:r>
                </m:sub>
              </m:sSub>
              <m:r>
                <w:rPr>
                  <w:rFonts w:ascii="Cambria Math" w:hAnsi="Cambria Math"/>
                  <w:sz w:val="20"/>
                  <w:szCs w:val="20"/>
                </w:rPr>
                <m:rPr/>
                <m:t>=</m:t>
              </m:r>
              <m:f>
                <m:fPr>
                  <m:ctrlPr>
                    <w:rPr>
                      <w:rFonts w:ascii="Cambria Math" w:hAnsi="Cambria Math" w:eastAsia="Cambria Math" w:cs="Cambria Math"/>
                      <w:sz w:val="20"/>
                      <w:szCs w:val="20"/>
                    </w:rPr>
                  </m:ctrlPr>
                </m:fPr>
                <m:num>
                  <m:sSub>
                    <m:sSubPr>
                      <m:ctrlPr>
                        <w:rPr>
                          <w:rFonts w:ascii="Cambria Math" w:hAnsi="Cambria Math" w:eastAsia="Cambria Math" w:cs="Cambria Math"/>
                          <w:sz w:val="20"/>
                          <w:szCs w:val="20"/>
                        </w:rPr>
                      </m:ctrlPr>
                    </m:sSubPr>
                    <m:e>
                      <m:r>
                        <w:rPr>
                          <w:rFonts w:ascii="Cambria Math" w:hAnsi="Cambria Math"/>
                          <w:sz w:val="20"/>
                          <w:szCs w:val="20"/>
                        </w:rPr>
                        <m:rPr/>
                        <m:t>ЦЕНА</m:t>
                      </m:r>
                    </m:e>
                    <m:sub>
                      <m:r>
                        <w:rPr>
                          <w:rFonts w:ascii="Cambria Math" w:hAnsi="Cambria Math"/>
                          <w:sz w:val="20"/>
                          <w:szCs w:val="20"/>
                        </w:rPr>
                        <m:rPr/>
                        <m:t>min</m:t>
                      </m:r>
                    </m:sub>
                  </m:sSub>
                </m:num>
                <m:den>
                  <m:sSub>
                    <m:sSubPr>
                      <m:ctrlPr>
                        <w:rPr>
                          <w:rFonts w:ascii="Cambria Math" w:hAnsi="Cambria Math" w:eastAsia="Cambria Math" w:cs="Cambria Math"/>
                          <w:sz w:val="20"/>
                          <w:szCs w:val="20"/>
                        </w:rPr>
                      </m:ctrlPr>
                    </m:sSubPr>
                    <m:e>
                      <m:r>
                        <w:rPr>
                          <w:rFonts w:ascii="Cambria Math" w:hAnsi="Cambria Math"/>
                          <w:sz w:val="20"/>
                          <w:szCs w:val="20"/>
                        </w:rPr>
                        <m:rPr/>
                        <m:t>ЦЕНА</m:t>
                      </m:r>
                    </m:e>
                    <m:sub>
                      <m:r>
                        <w:rPr>
                          <w:rFonts w:ascii="Cambria Math" w:hAnsi="Cambria Math"/>
                          <w:sz w:val="20"/>
                          <w:szCs w:val="20"/>
                        </w:rPr>
                        <m:rPr/>
                        <m:t>i</m:t>
                      </m:r>
                    </m:sub>
                  </m:sSub>
                </m:den>
              </m:f>
              <m:r>
                <w:rPr>
                  <w:rFonts w:ascii="Cambria Math" w:hAnsi="Cambria Math"/>
                  <w:sz w:val="20"/>
                  <w:szCs w:val="20"/>
                </w:rPr>
                <m:rPr/>
                <m:t>×Ш </m:t>
              </m:r>
            </m:oMath>
            <w:r>
              <w:rPr>
                <w:rFonts w:ascii="Times New Roman" w:hAnsi="Times New Roman" w:cs="Times New Roman"/>
                <w:sz w:val="20"/>
                <w:szCs w:val="20"/>
                <w:lang w:eastAsia="ru-RU"/>
              </w:rPr>
              <w:t xml:space="preserve">где:</w:t>
            </w:r>
            <w:r>
              <w:rPr>
                <w:rFonts w:ascii="Times New Roman" w:hAnsi="Times New Roman" w:cs="Times New Roman"/>
                <w:sz w:val="20"/>
                <w:szCs w:val="20"/>
                <w:lang w:eastAsia="ru-RU"/>
              </w:rPr>
            </w:r>
            <w:r>
              <w:rPr>
                <w:rFonts w:ascii="Times New Roman" w:hAnsi="Times New Roman" w:cs="Times New Roman"/>
                <w:sz w:val="20"/>
                <w:szCs w:val="20"/>
                <w:lang w:eastAsia="ru-RU"/>
              </w:rPr>
            </w:r>
          </w:p>
          <w:p>
            <w:pPr>
              <w:pStyle w:val="1222"/>
              <w:numPr>
                <w:ilvl w:val="6"/>
                <w:numId w:val="22"/>
              </w:numPr>
              <w:contextualSpacing/>
              <w:ind w:left="0" w:firstLine="0"/>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cs="Times New Roman"/>
                <w:sz w:val="20"/>
                <w:szCs w:val="20"/>
                <w:lang w:eastAsia="ru-RU"/>
              </w:rPr>
            </w:pPr>
            <w:r>
              <w:rPr>
                <w:rFonts w:ascii="Times New Roman" w:hAnsi="Times New Roman" w:cs="Times New Roman"/>
                <w:sz w:val="20"/>
                <w:szCs w:val="20"/>
                <w:lang w:eastAsia="ru-RU"/>
              </w:rPr>
              <w:t xml:space="preserve">Б</w:t>
            </w:r>
            <w:r>
              <w:rPr>
                <w:rFonts w:ascii="Times New Roman" w:hAnsi="Times New Roman" w:cs="Times New Roman"/>
                <w:sz w:val="20"/>
                <w:szCs w:val="20"/>
                <w:vertAlign w:val="subscript"/>
                <w:lang w:eastAsia="ru-RU"/>
              </w:rPr>
              <w:t xml:space="preserve">1</w:t>
            </w:r>
            <w:r>
              <w:rPr>
                <w:rFonts w:ascii="Times New Roman" w:hAnsi="Times New Roman" w:cs="Times New Roman"/>
                <w:sz w:val="20"/>
                <w:szCs w:val="20"/>
                <w:lang w:eastAsia="ru-RU"/>
              </w:rPr>
              <w:tab/>
              <w:t xml:space="preserve">–</w:t>
            </w:r>
            <w:r>
              <w:rPr>
                <w:rFonts w:ascii="Times New Roman" w:hAnsi="Times New Roman" w:cs="Times New Roman"/>
                <w:sz w:val="20"/>
                <w:szCs w:val="20"/>
                <w:lang w:eastAsia="ru-RU"/>
              </w:rPr>
              <w:tab/>
            </w:r>
            <w:r>
              <w:rPr>
                <w:rFonts w:ascii="Times New Roman" w:hAnsi="Times New Roman" w:cs="Times New Roman"/>
                <w:sz w:val="20"/>
                <w:szCs w:val="20"/>
                <w:lang w:eastAsia="ru-RU"/>
              </w:rPr>
              <w:t xml:space="preserve">рассчитанная оценка предпочтительности по данному частному критерию оценки в баллах</w:t>
            </w:r>
            <w:r>
              <w:rPr>
                <w:rFonts w:ascii="Times New Roman" w:hAnsi="Times New Roman" w:cs="Times New Roman"/>
                <w:sz w:val="20"/>
                <w:szCs w:val="20"/>
                <w:lang w:eastAsia="ru-RU"/>
              </w:rPr>
              <w:t xml:space="preserve">;</w:t>
            </w:r>
            <w:r>
              <w:rPr>
                <w:rFonts w:ascii="Times New Roman" w:hAnsi="Times New Roman" w:cs="Times New Roman"/>
                <w:sz w:val="20"/>
                <w:szCs w:val="20"/>
                <w:lang w:eastAsia="ru-RU"/>
              </w:rPr>
            </w:r>
            <w:r>
              <w:rPr>
                <w:rFonts w:ascii="Times New Roman" w:hAnsi="Times New Roman" w:cs="Times New Roman"/>
                <w:sz w:val="20"/>
                <w:szCs w:val="20"/>
                <w:lang w:eastAsia="ru-RU"/>
              </w:rPr>
            </w:r>
          </w:p>
          <w:p>
            <w:pPr>
              <w:jc w:val="both"/>
              <w:spacing w:before="0"/>
              <w:widowControl w:val="off"/>
              <w:rPr>
                <w:sz w:val="20"/>
                <w:szCs w:val="20"/>
              </w:rPr>
            </w:pPr>
            <w:r>
              <w:rPr>
                <w:sz w:val="20"/>
                <w:szCs w:val="20"/>
              </w:rPr>
              <w:t xml:space="preserve">ЦЕНА</w:t>
            </w:r>
            <w:r>
              <w:rPr>
                <w:i/>
                <w:iCs/>
                <w:sz w:val="20"/>
                <w:szCs w:val="20"/>
                <w:vertAlign w:val="subscript"/>
                <w:lang w:val="en-US"/>
              </w:rPr>
              <w:t xml:space="preserve">i</w:t>
            </w:r>
            <w:r>
              <w:rPr>
                <w:sz w:val="20"/>
                <w:szCs w:val="20"/>
              </w:rPr>
              <w:t xml:space="preserve">  – цена договора (стоимость заявки), указанная в </w:t>
            </w:r>
            <w:r>
              <w:rPr>
                <w:sz w:val="20"/>
                <w:szCs w:val="20"/>
                <w:lang w:val="en-US"/>
              </w:rPr>
              <w:t xml:space="preserve">i</w:t>
            </w:r>
            <w:r>
              <w:rPr>
                <w:sz w:val="20"/>
                <w:szCs w:val="20"/>
              </w:rPr>
              <w:t xml:space="preserve">-той заявке (в Коммерческом предложении по установленной в Документации о закупке форме) допущенного Участника, руб. без учета НДС;</w:t>
            </w:r>
            <w:r>
              <w:rPr>
                <w:sz w:val="20"/>
                <w:szCs w:val="20"/>
              </w:rPr>
            </w:r>
            <w:r>
              <w:rPr>
                <w:sz w:val="20"/>
                <w:szCs w:val="20"/>
              </w:rPr>
            </w:r>
          </w:p>
          <w:p>
            <w:pPr>
              <w:jc w:val="both"/>
              <w:spacing w:before="0"/>
              <w:widowControl w:val="off"/>
              <w:rPr>
                <w:sz w:val="20"/>
                <w:szCs w:val="20"/>
              </w:rPr>
            </w:pPr>
            <w:r>
              <w:rPr>
                <w:sz w:val="20"/>
                <w:szCs w:val="20"/>
              </w:rPr>
              <w:t xml:space="preserve">ЦЕНА</w:t>
            </w:r>
            <w:r>
              <w:rPr>
                <w:sz w:val="20"/>
                <w:szCs w:val="20"/>
                <w:vertAlign w:val="subscript"/>
                <w:lang w:val="en-US"/>
              </w:rPr>
              <w:t xml:space="preserve">min</w:t>
            </w:r>
            <w:r>
              <w:rPr>
                <w:sz w:val="20"/>
                <w:szCs w:val="20"/>
                <w:vertAlign w:val="subscript"/>
              </w:rPr>
              <w:t xml:space="preserve"> </w:t>
            </w:r>
            <w:r>
              <w:rPr>
                <w:sz w:val="20"/>
                <w:szCs w:val="20"/>
              </w:rPr>
              <w:t xml:space="preserve">– минимальная цена договора (стоимость заявки) среди всех допущенных заявок Участников, руб. без учета НДС;</w:t>
            </w:r>
            <w:r>
              <w:rPr>
                <w:sz w:val="20"/>
                <w:szCs w:val="20"/>
              </w:rPr>
            </w:r>
            <w:r>
              <w:rPr>
                <w:sz w:val="20"/>
                <w:szCs w:val="20"/>
              </w:rPr>
            </w:r>
          </w:p>
          <w:p>
            <w:pPr>
              <w:pStyle w:val="1222"/>
              <w:numPr>
                <w:ilvl w:val="6"/>
                <w:numId w:val="32"/>
              </w:numPr>
              <w:ind w:left="0" w:right="0" w:firstLine="0"/>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Ш</w:t>
            </w:r>
            <w:r>
              <w:rPr>
                <w:rFonts w:ascii="Times New Roman" w:hAnsi="Times New Roman" w:eastAsia="Times New Roman" w:cs="Times New Roman"/>
                <w:sz w:val="20"/>
                <w:szCs w:val="20"/>
                <w:lang w:eastAsia="ru-RU"/>
              </w:rPr>
              <w:tab/>
              <w:t xml:space="preserve">–</w:t>
            </w:r>
            <w:r>
              <w:rPr>
                <w:rFonts w:ascii="Times New Roman" w:hAnsi="Times New Roman" w:eastAsia="Times New Roman" w:cs="Times New Roman"/>
                <w:sz w:val="20"/>
                <w:szCs w:val="20"/>
                <w:lang w:eastAsia="ru-RU"/>
              </w:rPr>
              <w:tab/>
              <w:t xml:space="preserve">максимально возможный балл (максимальная возможная оценка предпочтительности) по шкале оценок (Ш = 5).</w:t>
            </w:r>
            <w:r>
              <w:rPr>
                <w:rFonts w:ascii="Times New Roman" w:hAnsi="Times New Roman" w:cs="Times New Roman"/>
                <w:sz w:val="20"/>
                <w:szCs w:val="20"/>
              </w:rPr>
            </w:r>
            <w:r>
              <w:rPr>
                <w:rFonts w:ascii="Times New Roman" w:hAnsi="Times New Roman" w:cs="Times New Roman"/>
                <w:sz w:val="20"/>
                <w:szCs w:val="20"/>
              </w:rPr>
            </w:r>
          </w:p>
          <w:p>
            <w:pPr>
              <w:numPr>
                <w:ilvl w:val="7"/>
                <w:numId w:val="32"/>
              </w:numPr>
              <w:jc w:val="both"/>
              <w:spacing w:before="0"/>
              <w:widowControl w:val="off"/>
              <w:rPr>
                <w:sz w:val="20"/>
                <w:szCs w:val="20"/>
              </w:rPr>
            </w:pPr>
            <w:r>
              <w:rPr>
                <w:sz w:val="20"/>
                <w:szCs w:val="20"/>
              </w:rPr>
              <w:t xml:space="preserve">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color w:val="000000"/>
                <w:sz w:val="20"/>
                <w:szCs w:val="20"/>
              </w:rPr>
              <w:t xml:space="preserve">.</w:t>
            </w:r>
            <w:r>
              <w:rPr>
                <w:sz w:val="20"/>
                <w:szCs w:val="20"/>
              </w:rPr>
            </w:r>
            <w:r>
              <w:rPr>
                <w:sz w:val="20"/>
                <w:szCs w:val="20"/>
              </w:rPr>
            </w:r>
          </w:p>
          <w:p>
            <w:pPr>
              <w:jc w:val="both"/>
              <w:spacing w:before="96" w:after="96"/>
              <w:widowControl w:val="off"/>
              <w:rPr>
                <w:rFonts w:cs="Times New Roman"/>
                <w:b/>
                <w:sz w:val="20"/>
                <w:szCs w:val="20"/>
              </w:rPr>
            </w:pPr>
            <w:r>
              <w:rPr>
                <w:b/>
                <w:sz w:val="20"/>
                <w:szCs w:val="20"/>
              </w:rPr>
              <w:t xml:space="preserve">Шкала оценок от 0 до 5 баллов</w:t>
            </w:r>
            <w:r>
              <w:rPr>
                <w:rFonts w:cs="Times New Roman"/>
                <w:b/>
                <w:sz w:val="20"/>
                <w:szCs w:val="20"/>
              </w:rPr>
            </w:r>
            <w:r>
              <w:rPr>
                <w:rFonts w:cs="Times New Roman"/>
                <w:b/>
                <w:sz w:val="20"/>
                <w:szCs w:val="20"/>
              </w:rPr>
            </w:r>
          </w:p>
        </w:tc>
      </w:tr>
      <w:tr>
        <w:tblPrEx/>
        <w:trPr>
          <w:trHeight w:val="1134"/>
        </w:trPr>
        <w:tc>
          <w:tcPr>
            <w:shd w:val="clear" w:color="auto" w:fill="auto"/>
            <w:tcBorders>
              <w:top w:val="single" w:color="00000A" w:sz="4" w:space="0"/>
              <w:left w:val="single" w:color="00000A" w:sz="4" w:space="0"/>
              <w:bottom w:val="single" w:color="00000A" w:sz="4" w:space="0"/>
              <w:right w:val="single" w:color="00000A" w:sz="4" w:space="0"/>
            </w:tcBorders>
            <w:tcW w:w="1133" w:type="dxa"/>
            <w:textDirection w:val="lrTb"/>
            <w:noWrap w:val="false"/>
          </w:tcPr>
          <w:p>
            <w:pPr>
              <w:jc w:val="center"/>
              <w:spacing w:before="40" w:after="40"/>
              <w:widowControl w:val="off"/>
              <w:rPr>
                <w:rFonts w:cs="Times New Roman"/>
                <w:sz w:val="20"/>
                <w:szCs w:val="20"/>
              </w:rPr>
            </w:pPr>
            <w:r>
              <w:rPr>
                <w:rFonts w:cs="Times New Roman"/>
                <w:sz w:val="20"/>
                <w:szCs w:val="20"/>
              </w:rPr>
              <w:t xml:space="preserve">2.</w:t>
            </w:r>
            <w:r>
              <w:rPr>
                <w:rFonts w:cs="Times New Roman"/>
                <w:sz w:val="20"/>
                <w:szCs w:val="20"/>
              </w:rPr>
            </w:r>
            <w:r>
              <w:rPr>
                <w:rFonts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560" w:type="dxa"/>
            <w:textDirection w:val="lrTb"/>
            <w:noWrap w:val="false"/>
          </w:tcPr>
          <w:p>
            <w:pPr>
              <w:jc w:val="center"/>
              <w:spacing w:before="0"/>
              <w:widowControl w:val="off"/>
              <w:rPr>
                <w:rFonts w:eastAsia="Calibri" w:cs="Times New Roman"/>
                <w:sz w:val="20"/>
                <w:szCs w:val="20"/>
              </w:rPr>
            </w:pPr>
            <w:r>
              <w:rPr>
                <w:sz w:val="20"/>
                <w:szCs w:val="20"/>
              </w:rPr>
              <w:t xml:space="preserve">Неценовой критерий оценки первого уровня / ТЕХ</w:t>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1" w:type="dxa"/>
            <w:textDirection w:val="lrTb"/>
            <w:noWrap w:val="false"/>
          </w:tcPr>
          <w:p>
            <w:pPr>
              <w:jc w:val="center"/>
              <w:spacing w:before="0" w:after="40"/>
              <w:widowControl w:val="off"/>
              <w:rPr>
                <w:rFonts w:eastAsia="Calibri" w:cs="Times New Roman"/>
                <w:sz w:val="20"/>
                <w:szCs w:val="20"/>
              </w:rPr>
            </w:pPr>
            <w:r>
              <w:rPr>
                <w:sz w:val="20"/>
                <w:szCs w:val="20"/>
              </w:rPr>
              <w:t xml:space="preserve">Квалификация (предпочтительность) участника</w:t>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2" w:type="dxa"/>
            <w:textDirection w:val="lrTb"/>
            <w:noWrap w:val="false"/>
          </w:tcPr>
          <w:p>
            <w:pPr>
              <w:jc w:val="center"/>
              <w:spacing w:before="0"/>
              <w:widowControl w:val="off"/>
              <w:rPr>
                <w:rFonts w:eastAsia="Calibri" w:cs="Times New Roman"/>
                <w:sz w:val="20"/>
                <w:szCs w:val="20"/>
              </w:rPr>
            </w:pPr>
            <w:r>
              <w:rPr>
                <w:rFonts w:eastAsia="Calibri" w:cs="Times New Roman"/>
                <w:i/>
                <w:sz w:val="20"/>
                <w:szCs w:val="20"/>
              </w:rPr>
              <w:t xml:space="preserve">отсутствует</w:t>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274" w:type="dxa"/>
            <w:textDirection w:val="lrTb"/>
            <w:noWrap w:val="false"/>
          </w:tcPr>
          <w:p>
            <w:pPr>
              <w:numPr>
                <w:ilvl w:val="7"/>
                <w:numId w:val="33"/>
              </w:numPr>
              <w:jc w:val="center"/>
              <w:spacing w:before="0"/>
              <w:widowControl w:val="off"/>
              <w:rPr>
                <w:sz w:val="20"/>
                <w:szCs w:val="20"/>
              </w:rPr>
            </w:pPr>
            <w:r>
              <w:rPr>
                <w:sz w:val="20"/>
                <w:szCs w:val="20"/>
              </w:rPr>
              <w:t xml:space="preserve">5%</w:t>
            </w:r>
            <w:r>
              <w:rPr>
                <w:sz w:val="20"/>
                <w:szCs w:val="20"/>
              </w:rPr>
              <w:br/>
              <w:t xml:space="preserve">(В</w:t>
            </w:r>
            <w:r>
              <w:rPr>
                <w:sz w:val="20"/>
                <w:szCs w:val="20"/>
                <w:vertAlign w:val="subscript"/>
              </w:rPr>
              <w:t xml:space="preserve">2</w:t>
            </w:r>
            <w:r>
              <w:rPr>
                <w:sz w:val="20"/>
                <w:szCs w:val="20"/>
              </w:rPr>
              <w:t xml:space="preserve"> = 0,05)</w:t>
            </w:r>
            <w:r>
              <w:rPr>
                <w:sz w:val="20"/>
                <w:szCs w:val="20"/>
              </w:rPr>
            </w:r>
            <w:r>
              <w:rPr>
                <w:sz w:val="20"/>
                <w:szCs w:val="20"/>
              </w:rPr>
            </w:r>
          </w:p>
          <w:p>
            <w:pPr>
              <w:jc w:val="center"/>
              <w:spacing w:before="0" w:after="40"/>
              <w:widowControl w:val="off"/>
              <w:rPr>
                <w:rFonts w:eastAsia="Calibri" w:cs="Times New Roman"/>
                <w:sz w:val="20"/>
                <w:szCs w:val="20"/>
              </w:rPr>
            </w:pPr>
            <w:r>
              <w:rPr>
                <w:rFonts w:eastAsia="Calibri" w:cs="Times New Roman"/>
                <w:sz w:val="20"/>
                <w:szCs w:val="20"/>
              </w:rPr>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985" w:type="dxa"/>
            <w:textDirection w:val="lrTb"/>
            <w:noWrap w:val="false"/>
          </w:tcPr>
          <w:p>
            <w:pPr>
              <w:numPr>
                <w:ilvl w:val="7"/>
                <w:numId w:val="34"/>
              </w:numPr>
              <w:jc w:val="center"/>
              <w:spacing w:before="0"/>
              <w:widowControl w:val="off"/>
              <w:rPr>
                <w:color w:val="000000" w:themeColor="text1"/>
                <w:sz w:val="20"/>
                <w:szCs w:val="20"/>
              </w:rPr>
            </w:pPr>
            <w:r>
              <w:rPr>
                <w:color w:val="000000" w:themeColor="text1"/>
                <w:sz w:val="20"/>
                <w:szCs w:val="20"/>
              </w:rPr>
              <w:t xml:space="preserve">Чем больше опыт </w:t>
            </w:r>
            <w:r>
              <w:rPr>
                <w:sz w:val="20"/>
                <w:szCs w:val="20"/>
              </w:rPr>
              <w:t xml:space="preserve">выполнения  работ/оказание услуг</w:t>
            </w:r>
            <w:r>
              <w:rPr>
                <w:rFonts w:ascii="Times New Roman" w:hAnsi="Times New Roman" w:eastAsia="Times New Roman" w:cs="Times New Roman"/>
                <w:b/>
                <w:bCs/>
                <w:sz w:val="20"/>
                <w:szCs w:val="20"/>
              </w:rPr>
              <w:t xml:space="preserve"> </w:t>
            </w:r>
            <w:r>
              <w:rPr>
                <w:rFonts w:ascii="Times New Roman" w:hAnsi="Times New Roman" w:eastAsia="Times New Roman" w:cs="Times New Roman"/>
                <w:b/>
                <w:bCs/>
                <w:sz w:val="20"/>
                <w:szCs w:val="20"/>
              </w:rPr>
              <w:t xml:space="preserve">«</w:t>
            </w:r>
            <w:r>
              <w:rPr>
                <w:rFonts w:ascii="Times New Roman" w:hAnsi="Times New Roman" w:eastAsia="Times New Roman" w:cs="Times New Roman"/>
                <w:b/>
                <w:bCs/>
                <w:sz w:val="20"/>
                <w:szCs w:val="20"/>
              </w:rPr>
              <w:t xml:space="preserve">по вывозу и утилизации опасных отходов III-IV классов опасности</w:t>
            </w:r>
            <w:r>
              <w:rPr>
                <w:rFonts w:ascii="Times New Roman" w:hAnsi="Times New Roman" w:eastAsia="Times New Roman" w:cs="Times New Roman"/>
                <w:b/>
                <w:bCs/>
                <w:sz w:val="20"/>
                <w:szCs w:val="20"/>
              </w:rPr>
              <w:t xml:space="preserve">»</w:t>
            </w:r>
            <w:r>
              <w:rPr>
                <w:rFonts w:ascii="Times New Roman" w:hAnsi="Times New Roman" w:eastAsia="Times New Roman" w:cs="Times New Roman"/>
                <w:b/>
                <w:bCs/>
                <w:sz w:val="20"/>
                <w:szCs w:val="20"/>
              </w:rPr>
              <w:t xml:space="preserve"> </w:t>
            </w:r>
            <w:r>
              <w:rPr>
                <w:rFonts w:ascii="Times New Roman" w:hAnsi="Times New Roman" w:eastAsia="Times New Roman" w:cs="Times New Roman"/>
                <w:sz w:val="20"/>
                <w:szCs w:val="20"/>
              </w:rPr>
              <w:t xml:space="preserve">за 5</w:t>
            </w:r>
            <w:r>
              <w:rPr>
                <w:rFonts w:ascii="Times New Roman" w:hAnsi="Times New Roman" w:eastAsia="Times New Roman" w:cs="Times New Roman"/>
                <w:sz w:val="20"/>
                <w:szCs w:val="20"/>
              </w:rPr>
              <w:t xml:space="preserve"> лет предшествующих дате подачи заявки, </w:t>
            </w:r>
            <w:r>
              <w:rPr>
                <w:color w:val="000000" w:themeColor="text1"/>
                <w:sz w:val="20"/>
                <w:szCs w:val="20"/>
              </w:rPr>
              <w:t xml:space="preserve"> тем выше предпочтительность</w:t>
            </w:r>
            <w:r>
              <w:rPr>
                <w:color w:val="000000" w:themeColor="text1"/>
                <w:sz w:val="20"/>
                <w:szCs w:val="20"/>
              </w:rPr>
            </w:r>
            <w:r>
              <w:rPr>
                <w:color w:val="000000" w:themeColor="text1"/>
                <w:sz w:val="20"/>
                <w:szCs w:val="20"/>
              </w:rPr>
            </w:r>
          </w:p>
          <w:p>
            <w:pPr>
              <w:jc w:val="center"/>
              <w:widowControl w:val="off"/>
              <w:rPr>
                <w:rFonts w:eastAsia="Calibri" w:cs="Times New Roman"/>
                <w:sz w:val="20"/>
                <w:szCs w:val="20"/>
              </w:rPr>
            </w:pPr>
            <w:r>
              <w:rPr>
                <w:rFonts w:eastAsia="Calibri" w:cs="Times New Roman"/>
                <w:sz w:val="20"/>
                <w:szCs w:val="20"/>
              </w:rPr>
            </w:r>
            <w:r>
              <w:rPr>
                <w:rFonts w:eastAsia="Calibri" w:cs="Times New Roman"/>
                <w:sz w:val="20"/>
                <w:szCs w:val="20"/>
              </w:rPr>
            </w:r>
            <w:r>
              <w:rPr>
                <w:rFonts w:eastAsia="Calibri" w:cs="Times New Roman"/>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5953" w:type="dxa"/>
            <w:vAlign w:val="center"/>
            <w:textDirection w:val="lrTb"/>
            <w:noWrap w:val="false"/>
          </w:tcPr>
          <w:p>
            <w:pPr>
              <w:jc w:val="both"/>
              <w:spacing w:before="0"/>
              <w:widowControl w:val="off"/>
              <w:rPr>
                <w:rFonts w:cs="Times New Roman"/>
                <w:color w:val="000000" w:themeColor="text1"/>
                <w:sz w:val="20"/>
                <w:szCs w:val="20"/>
              </w:rPr>
            </w:pPr>
            <w:r>
              <w:rPr>
                <w:rFonts w:cs="Times New Roman"/>
                <w:color w:val="000000" w:themeColor="text1"/>
                <w:sz w:val="20"/>
                <w:szCs w:val="20"/>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w:t>
            </w:r>
            <w:r>
              <w:rPr>
                <w:rFonts w:cs="Times New Roman"/>
                <w:color w:val="000000" w:themeColor="text1"/>
                <w:sz w:val="20"/>
                <w:szCs w:val="20"/>
              </w:rPr>
            </w:r>
            <w:r>
              <w:rPr>
                <w:rFonts w:cs="Times New Roman"/>
                <w:color w:val="000000" w:themeColor="text1"/>
                <w:sz w:val="20"/>
                <w:szCs w:val="20"/>
              </w:rPr>
            </w:r>
          </w:p>
          <w:p>
            <w:pPr>
              <w:jc w:val="both"/>
              <w:spacing w:before="0"/>
              <w:widowControl w:val="off"/>
              <w:rPr>
                <w:rFonts w:cs="Times New Roman"/>
                <w:color w:val="000000" w:themeColor="text1"/>
                <w:sz w:val="20"/>
                <w:szCs w:val="20"/>
              </w:rPr>
            </w:pPr>
            <w:r>
              <w:rPr>
                <w:rFonts w:cs="Times New Roman"/>
                <w:color w:val="000000" w:themeColor="text1"/>
                <w:sz w:val="20"/>
                <w:szCs w:val="20"/>
              </w:rPr>
              <w:t xml:space="preserve">Для целей проведения оценки по</w:t>
            </w:r>
            <w:r>
              <w:rPr>
                <w:rFonts w:cs="Times New Roman"/>
                <w:color w:val="000000" w:themeColor="text1"/>
                <w:sz w:val="20"/>
                <w:szCs w:val="20"/>
              </w:rPr>
              <w:t xml:space="preserve"> данному критерию Участник должен предоставить в составе заявки (в Справке об опыте Участника по установленной в Документации о закупке форме) сведения о ранее исполненных договорах, подтверждающих наличие совокупного опыта (в рамках одного или нескольких </w:t>
            </w:r>
            <w:r>
              <w:rPr>
                <w:rFonts w:cs="Times New Roman"/>
                <w:color w:val="000000" w:themeColor="text1"/>
                <w:sz w:val="20"/>
                <w:szCs w:val="20"/>
              </w:rPr>
              <w:t xml:space="preserve">договоров) </w:t>
            </w:r>
            <w:r>
              <w:rPr>
                <w:rFonts w:ascii="Times New Roman" w:hAnsi="Times New Roman" w:eastAsia="Times New Roman" w:cs="Times New Roman"/>
                <w:b/>
                <w:bCs/>
                <w:sz w:val="20"/>
                <w:szCs w:val="20"/>
              </w:rPr>
              <w:t xml:space="preserve">«</w:t>
            </w:r>
            <w:r>
              <w:rPr>
                <w:rFonts w:ascii="Times New Roman" w:hAnsi="Times New Roman" w:eastAsia="Times New Roman" w:cs="Times New Roman"/>
                <w:b/>
                <w:bCs/>
                <w:sz w:val="20"/>
                <w:szCs w:val="20"/>
              </w:rPr>
              <w:t xml:space="preserve">по вывозу и утилизации опасных отходов III-IV классов опасности</w:t>
            </w:r>
            <w:r>
              <w:rPr>
                <w:rFonts w:ascii="Times New Roman" w:hAnsi="Times New Roman" w:eastAsia="Times New Roman" w:cs="Times New Roman"/>
                <w:b/>
                <w:bCs/>
                <w:sz w:val="20"/>
                <w:szCs w:val="20"/>
              </w:rPr>
              <w:t xml:space="preserve">»</w:t>
            </w:r>
            <w:r>
              <w:rPr>
                <w:rFonts w:cs="Times New Roman"/>
                <w:color w:val="000000" w:themeColor="text1"/>
                <w:sz w:val="20"/>
                <w:szCs w:val="20"/>
              </w:rPr>
              <w:t xml:space="preserve">за последние 5 (пять) лет, предшествующих дате подачи заявки, с учетом правопреемства,  с приложением следующих подтверждающих документов:</w:t>
            </w:r>
            <w:r>
              <w:rPr>
                <w:rFonts w:cs="Times New Roman"/>
                <w:color w:val="000000" w:themeColor="text1"/>
                <w:sz w:val="20"/>
                <w:szCs w:val="20"/>
              </w:rPr>
            </w:r>
            <w:r>
              <w:rPr>
                <w:rFonts w:cs="Times New Roman"/>
                <w:color w:val="000000" w:themeColor="text1"/>
                <w:sz w:val="20"/>
                <w:szCs w:val="20"/>
              </w:rPr>
            </w:r>
          </w:p>
          <w:p>
            <w:pPr>
              <w:numPr>
                <w:ilvl w:val="7"/>
                <w:numId w:val="35"/>
              </w:numPr>
              <w:ind w:left="0" w:right="0" w:firstLine="283"/>
              <w:jc w:val="both"/>
              <w:spacing w:before="0"/>
              <w:widowControl w:val="off"/>
              <w:rPr>
                <w:rFonts w:cs="Times New Roman"/>
                <w:sz w:val="20"/>
                <w:szCs w:val="20"/>
              </w:rPr>
            </w:pPr>
            <w:r>
              <w:rPr>
                <w:rFonts w:cs="Times New Roman"/>
                <w:color w:val="000000" w:themeColor="text1"/>
                <w:sz w:val="20"/>
                <w:szCs w:val="20"/>
              </w:rPr>
              <w:t xml:space="preserve">копии договоров, подписанных с обеих сторон;</w:t>
            </w:r>
            <w:r>
              <w:rPr>
                <w:rFonts w:cs="Times New Roman"/>
                <w:sz w:val="20"/>
                <w:szCs w:val="20"/>
              </w:rPr>
            </w:r>
            <w:r>
              <w:rPr>
                <w:rFonts w:cs="Times New Roman"/>
                <w:sz w:val="20"/>
                <w:szCs w:val="20"/>
              </w:rPr>
            </w:r>
          </w:p>
          <w:p>
            <w:pPr>
              <w:numPr>
                <w:ilvl w:val="7"/>
                <w:numId w:val="36"/>
              </w:numPr>
              <w:ind w:left="0" w:right="0" w:firstLine="283"/>
              <w:jc w:val="both"/>
              <w:spacing w:before="0"/>
              <w:widowControl w:val="off"/>
              <w:rPr>
                <w:rFonts w:cs="Times New Roman"/>
                <w:sz w:val="20"/>
                <w:szCs w:val="20"/>
              </w:rPr>
            </w:pPr>
            <w:r>
              <w:rPr>
                <w:rFonts w:cs="Times New Roman"/>
                <w:sz w:val="20"/>
                <w:szCs w:val="20"/>
              </w:rPr>
              <w:t xml:space="preserve">копии актов приемки выполненных работ КС-2, подписанных с обеих сторон и скрепленных печатями каждой из сторон договора;</w:t>
            </w:r>
            <w:r>
              <w:rPr>
                <w:rFonts w:cs="Times New Roman"/>
                <w:sz w:val="20"/>
                <w:szCs w:val="20"/>
              </w:rPr>
            </w:r>
            <w:r>
              <w:rPr>
                <w:rFonts w:cs="Times New Roman"/>
                <w:sz w:val="20"/>
                <w:szCs w:val="20"/>
              </w:rPr>
            </w:r>
          </w:p>
          <w:p>
            <w:pPr>
              <w:numPr>
                <w:ilvl w:val="7"/>
                <w:numId w:val="36"/>
              </w:numPr>
              <w:ind w:left="0" w:right="0" w:firstLine="283"/>
              <w:jc w:val="both"/>
              <w:spacing w:before="0"/>
              <w:widowControl w:val="off"/>
              <w:rPr>
                <w:rFonts w:cs="Times New Roman"/>
                <w:sz w:val="20"/>
                <w:szCs w:val="20"/>
              </w:rPr>
            </w:pPr>
            <w:r>
              <w:rPr>
                <w:rFonts w:cs="Times New Roman"/>
                <w:sz w:val="20"/>
                <w:szCs w:val="20"/>
              </w:rPr>
              <w:t xml:space="preserve">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 и скрепленных печатями каждой из сторон договора.</w:t>
            </w:r>
            <w:r>
              <w:rPr>
                <w:rFonts w:cs="Times New Roman"/>
                <w:sz w:val="20"/>
                <w:szCs w:val="20"/>
              </w:rPr>
            </w:r>
            <w:r>
              <w:rPr>
                <w:rFonts w:cs="Times New Roman"/>
                <w:sz w:val="20"/>
                <w:szCs w:val="20"/>
              </w:rPr>
            </w:r>
          </w:p>
          <w:p>
            <w:pPr>
              <w:pStyle w:val="1223"/>
              <w:numPr>
                <w:ilvl w:val="7"/>
                <w:numId w:val="27"/>
              </w:numPr>
              <w:spacing w:before="40" w:after="40" w:line="240" w:lineRule="auto"/>
              <w:widowControl w:val="off"/>
              <w:rPr>
                <w:rFonts w:ascii="Times New Roman" w:hAnsi="Times New Roman"/>
                <w:color w:val="000000"/>
                <w:sz w:val="20"/>
                <w:szCs w:val="20"/>
              </w:rPr>
            </w:pPr>
            <w:r>
              <w:rPr>
                <w:rFonts w:ascii="Times New Roman" w:hAnsi="Times New Roman"/>
                <w:color w:val="000000" w:themeColor="text1"/>
                <w:sz w:val="20"/>
                <w:szCs w:val="20"/>
              </w:rPr>
              <w:t xml:space="preserve">Порядок осуществления оценки (значение оцениваемого параметра), в зависимости от предоставленных в </w:t>
            </w:r>
            <w:r>
              <w:rPr>
                <w:rFonts w:ascii="Times New Roman" w:hAnsi="Times New Roman"/>
                <w:i/>
                <w:color w:val="000000" w:themeColor="text1"/>
                <w:sz w:val="20"/>
                <w:szCs w:val="20"/>
                <w:lang w:val="en-US"/>
              </w:rPr>
              <w:t xml:space="preserve">i</w:t>
            </w:r>
            <w:r>
              <w:rPr>
                <w:rFonts w:ascii="Times New Roman" w:hAnsi="Times New Roman"/>
                <w:color w:val="000000" w:themeColor="text1"/>
                <w:sz w:val="20"/>
                <w:szCs w:val="20"/>
              </w:rPr>
              <w:t xml:space="preserve">-ой заявке сведений  о наличие у Участника совокупного опыта </w:t>
            </w:r>
            <w:r>
              <w:rPr>
                <w:rFonts w:ascii="Times New Roman" w:hAnsi="Times New Roman"/>
                <w:color w:val="000000" w:themeColor="text1"/>
                <w:sz w:val="20"/>
                <w:szCs w:val="20"/>
              </w:rPr>
              <w:t xml:space="preserve">за последние 5 (пять) лет, предшествующих дате подачи заявки, с учетом правопреемства,  в совокупном (суммарном) объеме:</w:t>
            </w:r>
            <w:r>
              <w:rPr>
                <w:rFonts w:ascii="Times New Roman" w:hAnsi="Times New Roman"/>
                <w:color w:val="000000"/>
                <w:sz w:val="20"/>
                <w:szCs w:val="20"/>
              </w:rPr>
              <w:t xml:space="preserve"> </w:t>
            </w:r>
            <w:r>
              <w:rPr>
                <w:rFonts w:ascii="Times New Roman" w:hAnsi="Times New Roman"/>
                <w:color w:val="000000"/>
                <w:sz w:val="20"/>
                <w:szCs w:val="20"/>
              </w:rPr>
            </w:r>
            <w:r>
              <w:rPr>
                <w:rFonts w:ascii="Times New Roman" w:hAnsi="Times New Roman"/>
                <w:color w:val="000000"/>
                <w:sz w:val="20"/>
                <w:szCs w:val="20"/>
              </w:rPr>
            </w:r>
          </w:p>
          <w:tbl>
            <w:tblPr>
              <w:tblW w:w="5659" w:type="dxa"/>
              <w:tblLayout w:type="fixed"/>
              <w:tblLook w:val="04A0" w:firstRow="1" w:lastRow="0" w:firstColumn="1" w:lastColumn="0" w:noHBand="0" w:noVBand="1"/>
            </w:tblPr>
            <w:tblGrid>
              <w:gridCol w:w="1590"/>
              <w:gridCol w:w="4069"/>
            </w:tblGrid>
            <w:tr>
              <w:tblPrEx/>
              <w:trPr>
                <w:cantSplit/>
                <w:trHeight w:val="450"/>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numPr>
                      <w:ilvl w:val="7"/>
                      <w:numId w:val="26"/>
                    </w:numPr>
                    <w:jc w:val="center"/>
                    <w:spacing w:before="40" w:after="40"/>
                    <w:widowControl w:val="off"/>
                    <w:rPr>
                      <w:rFonts w:cs="Times New Roman"/>
                      <w:color w:val="000000"/>
                      <w:sz w:val="20"/>
                      <w:szCs w:val="20"/>
                    </w:rPr>
                  </w:pPr>
                  <w:r>
                    <w:rPr>
                      <w:rFonts w:cs="Times New Roman"/>
                      <w:color w:val="000000" w:themeColor="text1"/>
                      <w:sz w:val="20"/>
                      <w:szCs w:val="20"/>
                    </w:rPr>
                    <w:t xml:space="preserve">Б</w:t>
                  </w:r>
                  <w:r>
                    <w:rPr>
                      <w:rFonts w:cs="Times New Roman"/>
                      <w:sz w:val="20"/>
                      <w:szCs w:val="20"/>
                      <w:vertAlign w:val="subscript"/>
                    </w:rPr>
                    <w:t xml:space="preserve">2</w:t>
                  </w:r>
                  <w:r>
                    <w:rPr>
                      <w:rFonts w:cs="Times New Roman"/>
                      <w:sz w:val="20"/>
                      <w:szCs w:val="20"/>
                    </w:rPr>
                    <w:t xml:space="preserve"> </w:t>
                  </w:r>
                  <w:r>
                    <w:rPr>
                      <w:rFonts w:cs="Times New Roman"/>
                      <w:color w:val="000000" w:themeColor="text1"/>
                      <w:sz w:val="20"/>
                      <w:szCs w:val="20"/>
                    </w:rPr>
                    <w:t xml:space="preserve">= 0</w:t>
                  </w:r>
                  <w:r>
                    <w:rPr>
                      <w:rFonts w:cs="Times New Roman"/>
                      <w:color w:val="000000"/>
                      <w:sz w:val="20"/>
                      <w:szCs w:val="20"/>
                    </w:rPr>
                  </w:r>
                  <w:r>
                    <w:rPr>
                      <w:rFonts w:cs="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21"/>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 0 % (Опыт отсутствует / либо не подтвержден)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445"/>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pStyle w:val="1223"/>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1</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21"/>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0 % от НМЦ, без учета НДС, до 20 %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554"/>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pStyle w:val="1223"/>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2</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21"/>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20 % от НМЦ без учета НДС, до 40 %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470"/>
              </w:trPr>
              <w:tc>
                <w:tcPr>
                  <w:tcBorders>
                    <w:top w:val="single" w:color="auto" w:sz="4" w:space="0"/>
                    <w:left w:val="single" w:color="auto" w:sz="4" w:space="0"/>
                    <w:bottom w:val="single" w:color="auto" w:sz="4" w:space="0"/>
                    <w:right w:val="single" w:color="auto" w:sz="4" w:space="0"/>
                  </w:tcBorders>
                  <w:tcW w:w="1590" w:type="dxa"/>
                  <w:textDirection w:val="lrTb"/>
                  <w:noWrap w:val="false"/>
                </w:tcPr>
                <w:p>
                  <w:pPr>
                    <w:pStyle w:val="1223"/>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3</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auto" w:sz="4" w:space="0"/>
                    <w:bottom w:val="single" w:color="auto" w:sz="4" w:space="0"/>
                    <w:right w:val="single" w:color="auto" w:sz="4" w:space="0"/>
                  </w:tcBorders>
                  <w:tcW w:w="4069" w:type="dxa"/>
                  <w:textDirection w:val="lrTb"/>
                  <w:noWrap w:val="false"/>
                </w:tcPr>
                <w:p>
                  <w:pPr>
                    <w:pStyle w:val="1221"/>
                    <w:numPr>
                      <w:ilvl w:val="0"/>
                      <w:numId w:val="0"/>
                    </w:numPr>
                    <w:ind w:right="-340"/>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40 % от НМЦ, без учета НДС, до 60 %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485"/>
              </w:trPr>
              <w:tc>
                <w:tcPr>
                  <w:tcBorders>
                    <w:top w:val="single" w:color="auto" w:sz="4" w:space="0"/>
                    <w:left w:val="single" w:color="000000" w:sz="4" w:space="0"/>
                    <w:bottom w:val="single" w:color="000000" w:sz="4" w:space="0"/>
                    <w:right w:val="single" w:color="000000" w:sz="4" w:space="0"/>
                  </w:tcBorders>
                  <w:tcW w:w="1590" w:type="dxa"/>
                  <w:textDirection w:val="lrTb"/>
                  <w:noWrap w:val="false"/>
                </w:tcPr>
                <w:p>
                  <w:pPr>
                    <w:pStyle w:val="1223"/>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4</w:t>
                  </w:r>
                  <w:r>
                    <w:rPr>
                      <w:rFonts w:ascii="Times New Roman" w:hAnsi="Times New Roman"/>
                      <w:color w:val="000000"/>
                      <w:sz w:val="20"/>
                      <w:szCs w:val="20"/>
                    </w:rPr>
                  </w:r>
                  <w:r>
                    <w:rPr>
                      <w:rFonts w:ascii="Times New Roman" w:hAnsi="Times New Roman"/>
                      <w:color w:val="000000"/>
                      <w:sz w:val="20"/>
                      <w:szCs w:val="20"/>
                    </w:rPr>
                  </w:r>
                </w:p>
              </w:tc>
              <w:tc>
                <w:tcPr>
                  <w:tcBorders>
                    <w:top w:val="single" w:color="auto" w:sz="4" w:space="0"/>
                    <w:left w:val="single" w:color="000000" w:sz="4" w:space="0"/>
                    <w:bottom w:val="single" w:color="000000" w:sz="4" w:space="0"/>
                    <w:right w:val="single" w:color="000000" w:sz="4" w:space="0"/>
                  </w:tcBorders>
                  <w:tcW w:w="4069" w:type="dxa"/>
                  <w:textDirection w:val="lrTb"/>
                  <w:noWrap w:val="false"/>
                </w:tcPr>
                <w:p>
                  <w:pPr>
                    <w:pStyle w:val="1221"/>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60 % от НМЦ, без учета НДС, до 80 % (включительно)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cantSplit/>
                <w:trHeight w:val="219"/>
              </w:trPr>
              <w:tc>
                <w:tcPr>
                  <w:tcBorders>
                    <w:top w:val="single" w:color="000000" w:sz="4" w:space="0"/>
                    <w:left w:val="single" w:color="000000" w:sz="4" w:space="0"/>
                    <w:bottom w:val="single" w:color="000000" w:sz="4" w:space="0"/>
                    <w:right w:val="single" w:color="000000" w:sz="4" w:space="0"/>
                  </w:tcBorders>
                  <w:tcW w:w="1590" w:type="dxa"/>
                  <w:textDirection w:val="lrTb"/>
                  <w:noWrap w:val="false"/>
                </w:tcPr>
                <w:p>
                  <w:pPr>
                    <w:pStyle w:val="1223"/>
                    <w:numPr>
                      <w:ilvl w:val="7"/>
                      <w:numId w:val="26"/>
                    </w:numPr>
                    <w:jc w:val="center"/>
                    <w:spacing w:before="40" w:after="40" w:line="240" w:lineRule="auto"/>
                    <w:widowControl w:val="off"/>
                    <w:rPr>
                      <w:rFonts w:ascii="Times New Roman" w:hAnsi="Times New Roman"/>
                      <w:color w:val="000000"/>
                      <w:sz w:val="20"/>
                      <w:szCs w:val="20"/>
                    </w:rPr>
                  </w:pPr>
                  <w:r>
                    <w:rPr>
                      <w:rFonts w:ascii="Times New Roman" w:hAnsi="Times New Roman"/>
                      <w:sz w:val="20"/>
                      <w:szCs w:val="20"/>
                    </w:rPr>
                    <w:t xml:space="preserve">Б</w:t>
                  </w:r>
                  <w:r>
                    <w:rPr>
                      <w:rFonts w:ascii="Times New Roman" w:hAnsi="Times New Roman"/>
                      <w:sz w:val="20"/>
                      <w:szCs w:val="20"/>
                      <w:vertAlign w:val="subscript"/>
                    </w:rPr>
                    <w:t xml:space="preserve">2</w:t>
                  </w:r>
                  <w:r>
                    <w:rPr>
                      <w:rFonts w:ascii="Times New Roman" w:hAnsi="Times New Roman"/>
                      <w:sz w:val="20"/>
                      <w:szCs w:val="20"/>
                    </w:rPr>
                    <w:t xml:space="preserve"> = 5</w:t>
                  </w:r>
                  <w:r>
                    <w:rPr>
                      <w:rFonts w:ascii="Times New Roman" w:hAnsi="Times New Roman"/>
                      <w:color w:val="000000"/>
                      <w:sz w:val="20"/>
                      <w:szCs w:val="20"/>
                    </w:rPr>
                  </w:r>
                  <w:r>
                    <w:rPr>
                      <w:rFonts w:ascii="Times New Roman" w:hAnsi="Times New Roman"/>
                      <w:color w:val="000000"/>
                      <w:sz w:val="20"/>
                      <w:szCs w:val="20"/>
                    </w:rPr>
                  </w:r>
                </w:p>
              </w:tc>
              <w:tc>
                <w:tcPr>
                  <w:tcBorders>
                    <w:top w:val="single" w:color="000000" w:sz="4" w:space="0"/>
                    <w:left w:val="single" w:color="000000" w:sz="4" w:space="0"/>
                    <w:bottom w:val="single" w:color="000000" w:sz="4" w:space="0"/>
                    <w:right w:val="single" w:color="000000" w:sz="4" w:space="0"/>
                  </w:tcBorders>
                  <w:tcW w:w="4069" w:type="dxa"/>
                  <w:textDirection w:val="lrTb"/>
                  <w:noWrap w:val="false"/>
                </w:tcPr>
                <w:p>
                  <w:pPr>
                    <w:pStyle w:val="1221"/>
                    <w:numPr>
                      <w:ilvl w:val="0"/>
                      <w:numId w:val="0"/>
                    </w:numPr>
                    <w:jc w:val="left"/>
                    <w:spacing w:before="40" w:after="40" w:line="240" w:lineRule="auto"/>
                    <w:widowControl w:val="off"/>
                    <w:rPr>
                      <w:rFonts w:ascii="Times New Roman" w:hAnsi="Times New Roman" w:cs="Times New Roman"/>
                      <w:color w:val="000000"/>
                      <w:sz w:val="20"/>
                      <w:szCs w:val="20"/>
                    </w:rPr>
                    <w:outlineLvl w:val="9"/>
                  </w:pPr>
                  <w:r>
                    <w:rPr>
                      <w:rFonts w:ascii="Times New Roman" w:hAnsi="Times New Roman" w:cs="Times New Roman"/>
                      <w:color w:val="000000" w:themeColor="text1"/>
                      <w:sz w:val="20"/>
                      <w:szCs w:val="20"/>
                    </w:rPr>
                    <w:t xml:space="preserve">более 80 % от НМЦ, без учета НДС.</w:t>
                  </w:r>
                  <w:r>
                    <w:rPr>
                      <w:rFonts w:ascii="Times New Roman" w:hAnsi="Times New Roman" w:cs="Times New Roman"/>
                      <w:color w:val="000000"/>
                      <w:sz w:val="20"/>
                      <w:szCs w:val="20"/>
                    </w:rPr>
                  </w:r>
                  <w:r>
                    <w:rPr>
                      <w:rFonts w:ascii="Times New Roman" w:hAnsi="Times New Roman" w:cs="Times New Roman"/>
                      <w:color w:val="000000"/>
                      <w:sz w:val="20"/>
                      <w:szCs w:val="20"/>
                    </w:rPr>
                  </w:r>
                </w:p>
              </w:tc>
            </w:tr>
          </w:tbl>
          <w:p>
            <w:pPr>
              <w:pStyle w:val="1222"/>
              <w:numPr>
                <w:ilvl w:val="6"/>
                <w:numId w:val="27"/>
              </w:numPr>
              <w:ind w:left="0"/>
              <w:jc w:val="left"/>
              <w:spacing w:before="96" w:line="240" w:lineRule="auto"/>
              <w:widowControl w:val="off"/>
              <w:rPr>
                <w:color w:val="000000"/>
              </w:rPr>
            </w:pPr>
            <w:r>
              <w:rPr>
                <w:rFonts w:ascii="Times New Roman" w:hAnsi="Times New Roman"/>
                <w:color w:val="000000"/>
                <w:sz w:val="20"/>
                <w:szCs w:val="20"/>
              </w:rPr>
              <w:t xml:space="preserve">где:</w:t>
            </w:r>
            <w:r>
              <w:rPr>
                <w:color w:val="000000"/>
              </w:rPr>
            </w:r>
            <w:r>
              <w:rPr>
                <w:color w:val="000000"/>
              </w:rPr>
            </w:r>
          </w:p>
          <w:p>
            <w:pPr>
              <w:pStyle w:val="1222"/>
              <w:numPr>
                <w:ilvl w:val="6"/>
                <w:numId w:val="37"/>
              </w:numPr>
              <w:ind w:left="0"/>
              <w:jc w:val="left"/>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cs="Times New Roman"/>
                <w:sz w:val="18"/>
                <w:szCs w:val="18"/>
              </w:rPr>
            </w:pPr>
            <w:r>
              <w:rPr>
                <w:rFonts w:ascii="Times New Roman" w:hAnsi="Times New Roman" w:eastAsia="Times New Roman" w:cs="Times New Roman"/>
                <w:sz w:val="18"/>
                <w:szCs w:val="18"/>
                <w:lang w:eastAsia="ru-RU"/>
              </w:rPr>
              <w:t xml:space="preserve">Б</w:t>
            </w:r>
            <w:r>
              <w:rPr>
                <w:rFonts w:ascii="Times New Roman" w:hAnsi="Times New Roman" w:eastAsia="Times New Roman" w:cs="Times New Roman"/>
                <w:sz w:val="18"/>
                <w:szCs w:val="18"/>
                <w:vertAlign w:val="subscript"/>
                <w:lang w:eastAsia="ru-RU"/>
              </w:rPr>
              <w:t xml:space="preserve">2</w:t>
            </w:r>
            <w:r>
              <w:rPr>
                <w:rFonts w:ascii="Times New Roman" w:hAnsi="Times New Roman" w:eastAsia="Times New Roman" w:cs="Times New Roman"/>
                <w:sz w:val="18"/>
                <w:szCs w:val="18"/>
                <w:lang w:eastAsia="ru-RU"/>
              </w:rPr>
              <w:tab/>
              <w:t xml:space="preserve">–</w:t>
            </w:r>
            <w:r>
              <w:rPr>
                <w:rFonts w:ascii="Times New Roman" w:hAnsi="Times New Roman" w:eastAsia="Times New Roman" w:cs="Times New Roman"/>
                <w:sz w:val="18"/>
                <w:szCs w:val="18"/>
                <w:lang w:eastAsia="ru-RU"/>
              </w:rPr>
              <w:tab/>
              <w:t xml:space="preserve">рассчитанная оценка предпочтительности по данному частному критерию оценки второго уровня в баллах.</w:t>
            </w:r>
            <w:r>
              <w:rPr>
                <w:rFonts w:ascii="Times New Roman" w:hAnsi="Times New Roman" w:cs="Times New Roman"/>
                <w:sz w:val="18"/>
                <w:szCs w:val="18"/>
              </w:rPr>
            </w:r>
            <w:r>
              <w:rPr>
                <w:rFonts w:ascii="Times New Roman" w:hAnsi="Times New Roman" w:cs="Times New Roman"/>
                <w:sz w:val="18"/>
                <w:szCs w:val="18"/>
              </w:rPr>
            </w:r>
          </w:p>
          <w:p>
            <w:pPr>
              <w:numPr>
                <w:ilvl w:val="7"/>
                <w:numId w:val="38"/>
              </w:numPr>
              <w:jc w:val="both"/>
              <w:spacing w:before="0"/>
              <w:widowControl w:val="off"/>
              <w:rPr>
                <w:sz w:val="18"/>
                <w:szCs w:val="18"/>
              </w:rPr>
            </w:pPr>
            <w:r>
              <w:rPr>
                <w:sz w:val="18"/>
                <w:szCs w:val="18"/>
              </w:rPr>
              <w:t xml:space="preserve">Опыт, несоответствующий установленным</w:t>
            </w:r>
            <w:r>
              <w:rPr>
                <w:i/>
                <w:sz w:val="18"/>
                <w:szCs w:val="18"/>
              </w:rPr>
              <w:t xml:space="preserve"> </w:t>
            </w:r>
            <w:r>
              <w:rPr>
                <w:sz w:val="18"/>
                <w:szCs w:val="18"/>
              </w:rPr>
              <w:t xml:space="preserve">выше требованиям, не оценивается.</w:t>
            </w:r>
            <w:r>
              <w:rPr>
                <w:sz w:val="18"/>
                <w:szCs w:val="18"/>
              </w:rPr>
            </w:r>
            <w:r>
              <w:rPr>
                <w:sz w:val="18"/>
                <w:szCs w:val="18"/>
              </w:rPr>
            </w:r>
          </w:p>
          <w:p>
            <w:pPr>
              <w:numPr>
                <w:ilvl w:val="7"/>
                <w:numId w:val="38"/>
              </w:numPr>
              <w:jc w:val="both"/>
              <w:spacing w:before="0"/>
              <w:widowControl w:val="off"/>
              <w:rPr>
                <w:sz w:val="18"/>
                <w:szCs w:val="18"/>
              </w:rPr>
            </w:pPr>
            <w:r>
              <w:rPr>
                <w:sz w:val="18"/>
                <w:szCs w:val="18"/>
              </w:rPr>
              <w:t xml:space="preserve">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r>
              <w:rPr>
                <w:sz w:val="18"/>
                <w:szCs w:val="18"/>
              </w:rPr>
            </w:r>
            <w:r>
              <w:rPr>
                <w:sz w:val="18"/>
                <w:szCs w:val="18"/>
              </w:rPr>
            </w:r>
          </w:p>
          <w:p>
            <w:pPr>
              <w:spacing w:after="120"/>
              <w:widowControl w:val="off"/>
              <w:tabs>
                <w:tab w:val="left" w:pos="330" w:leader="none"/>
                <w:tab w:val="left" w:pos="471" w:leader="none"/>
              </w:tabs>
              <w:rPr>
                <w:rFonts w:cs="Times New Roman"/>
                <w:sz w:val="20"/>
                <w:szCs w:val="20"/>
                <w:highlight w:val="yellow"/>
              </w:rPr>
            </w:pPr>
            <w:r>
              <w:rPr>
                <w:b/>
                <w:bCs/>
                <w:sz w:val="18"/>
                <w:szCs w:val="18"/>
              </w:rPr>
              <w:t xml:space="preserve">Шкала оценок от 0 до 5 баллов.</w:t>
            </w:r>
            <w:r>
              <w:rPr>
                <w:rFonts w:cs="Times New Roman"/>
                <w:sz w:val="20"/>
                <w:szCs w:val="20"/>
                <w:highlight w:val="yellow"/>
              </w:rPr>
            </w:r>
            <w:r>
              <w:rPr>
                <w:rFonts w:cs="Times New Roman"/>
                <w:sz w:val="20"/>
                <w:szCs w:val="20"/>
                <w:highlight w:val="yellow"/>
              </w:rPr>
            </w:r>
          </w:p>
        </w:tc>
      </w:tr>
      <w:tr>
        <w:tblPrEx/>
        <w:trPr/>
        <w:tc>
          <w:tcPr>
            <w:shd w:val="clear" w:color="auto" w:fill="auto"/>
            <w:tcBorders>
              <w:top w:val="single" w:color="00000A" w:sz="4" w:space="0"/>
              <w:left w:val="single" w:color="00000A" w:sz="4" w:space="0"/>
              <w:bottom w:val="single" w:color="00000A" w:sz="4" w:space="0"/>
              <w:right w:val="single" w:color="00000A" w:sz="4" w:space="0"/>
            </w:tcBorders>
            <w:tcW w:w="1133" w:type="dxa"/>
            <w:textDirection w:val="lrTb"/>
            <w:noWrap w:val="false"/>
          </w:tcPr>
          <w:p>
            <w:pPr>
              <w:pStyle w:val="1223"/>
              <w:numPr>
                <w:ilvl w:val="7"/>
                <w:numId w:val="23"/>
              </w:numPr>
              <w:jc w:val="center"/>
              <w:spacing w:before="40" w:after="40" w:line="240" w:lineRule="auto"/>
              <w:widowControl w:val="off"/>
              <w:rPr>
                <w:rFonts w:ascii="Times New Roman" w:hAnsi="Times New Roman"/>
                <w:color w:val="0e0101"/>
                <w:sz w:val="20"/>
                <w:szCs w:val="20"/>
              </w:rPr>
            </w:pPr>
            <w:r/>
            <w:bookmarkStart w:id="385" w:name="_Ref143679939"/>
            <w:r>
              <w:rPr>
                <w:rFonts w:ascii="Times New Roman" w:hAnsi="Times New Roman"/>
                <w:color w:val="0e0101"/>
                <w:sz w:val="20"/>
                <w:szCs w:val="20"/>
              </w:rPr>
              <w:t xml:space="preserve">3.</w:t>
            </w:r>
            <w:bookmarkEnd w:id="385"/>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560" w:type="dxa"/>
            <w:textDirection w:val="lrTb"/>
            <w:noWrap w:val="false"/>
          </w:tcPr>
          <w:p>
            <w:pPr>
              <w:jc w:val="center"/>
              <w:spacing w:before="0"/>
              <w:widowControl w:val="off"/>
              <w:rPr>
                <w:rFonts w:cs="Times New Roman"/>
                <w:sz w:val="20"/>
                <w:szCs w:val="20"/>
              </w:rPr>
            </w:pPr>
            <w:r>
              <w:rPr>
                <w:rFonts w:cs="Times New Roman"/>
                <w:sz w:val="20"/>
                <w:szCs w:val="20"/>
              </w:rPr>
              <w:t xml:space="preserve">Неценовой</w:t>
            </w:r>
            <w:r>
              <w:rPr>
                <w:rFonts w:cs="Times New Roman"/>
                <w:sz w:val="20"/>
                <w:szCs w:val="20"/>
              </w:rPr>
            </w:r>
            <w:r>
              <w:rPr>
                <w:rFonts w:cs="Times New Roman"/>
                <w:sz w:val="20"/>
                <w:szCs w:val="20"/>
              </w:rPr>
            </w:r>
          </w:p>
          <w:p>
            <w:pPr>
              <w:jc w:val="center"/>
              <w:spacing w:before="0"/>
              <w:widowControl w:val="off"/>
              <w:rPr>
                <w:rFonts w:cs="Times New Roman"/>
                <w:sz w:val="20"/>
                <w:szCs w:val="20"/>
              </w:rPr>
            </w:pPr>
            <w:r>
              <w:rPr>
                <w:rFonts w:cs="Times New Roman"/>
                <w:sz w:val="20"/>
                <w:szCs w:val="20"/>
              </w:rPr>
              <w:t xml:space="preserve">критерий</w:t>
            </w:r>
            <w:r>
              <w:rPr>
                <w:rFonts w:cs="Times New Roman"/>
                <w:sz w:val="20"/>
                <w:szCs w:val="20"/>
              </w:rPr>
            </w:r>
            <w:r>
              <w:rPr>
                <w:rFonts w:cs="Times New Roman"/>
                <w:sz w:val="20"/>
                <w:szCs w:val="20"/>
              </w:rPr>
            </w:r>
          </w:p>
          <w:p>
            <w:pPr>
              <w:jc w:val="center"/>
              <w:spacing w:before="0"/>
              <w:widowControl w:val="off"/>
              <w:rPr>
                <w:rFonts w:cs="Times New Roman"/>
                <w:sz w:val="20"/>
                <w:szCs w:val="20"/>
              </w:rPr>
            </w:pPr>
            <w:r>
              <w:rPr>
                <w:rFonts w:cs="Times New Roman"/>
                <w:sz w:val="20"/>
                <w:szCs w:val="20"/>
              </w:rPr>
              <w:t xml:space="preserve">оценки первого</w:t>
            </w:r>
            <w:r>
              <w:rPr>
                <w:rFonts w:cs="Times New Roman"/>
                <w:sz w:val="20"/>
                <w:szCs w:val="20"/>
              </w:rPr>
            </w:r>
            <w:r>
              <w:rPr>
                <w:rFonts w:cs="Times New Roman"/>
                <w:sz w:val="20"/>
                <w:szCs w:val="20"/>
              </w:rPr>
            </w:r>
          </w:p>
          <w:p>
            <w:pPr>
              <w:pStyle w:val="1223"/>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уровня / ОРГ</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1" w:type="dxa"/>
            <w:textDirection w:val="lrTb"/>
            <w:noWrap w:val="false"/>
          </w:tcPr>
          <w:p>
            <w:pPr>
              <w:pStyle w:val="1223"/>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Финансовое состояние (устойчивость) Участника</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702" w:type="dxa"/>
            <w:textDirection w:val="lrTb"/>
            <w:noWrap w:val="false"/>
          </w:tcPr>
          <w:p>
            <w:pPr>
              <w:pStyle w:val="1223"/>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i/>
                <w:color w:val="0e0101"/>
                <w:sz w:val="20"/>
                <w:szCs w:val="20"/>
              </w:rPr>
              <w:t xml:space="preserve">отсутствует</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274" w:type="dxa"/>
            <w:textDirection w:val="lrTb"/>
            <w:noWrap w:val="false"/>
          </w:tcPr>
          <w:p>
            <w:pPr>
              <w:pStyle w:val="1223"/>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5%</w:t>
            </w:r>
            <w:r>
              <w:rPr>
                <w:rFonts w:ascii="Times New Roman" w:hAnsi="Times New Roman"/>
                <w:sz w:val="20"/>
                <w:szCs w:val="20"/>
              </w:rPr>
              <w:br/>
              <w:t xml:space="preserve">(В</w:t>
            </w:r>
            <w:r>
              <w:rPr>
                <w:rFonts w:ascii="Times New Roman" w:hAnsi="Times New Roman"/>
                <w:sz w:val="20"/>
                <w:szCs w:val="20"/>
                <w:vertAlign w:val="subscript"/>
              </w:rPr>
              <w:t xml:space="preserve">3</w:t>
            </w:r>
            <w:r>
              <w:rPr>
                <w:rFonts w:ascii="Times New Roman" w:hAnsi="Times New Roman"/>
                <w:sz w:val="20"/>
                <w:szCs w:val="20"/>
              </w:rPr>
              <w:t xml:space="preserve">  = 0,05)</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1985" w:type="dxa"/>
            <w:textDirection w:val="lrTb"/>
            <w:noWrap w:val="false"/>
          </w:tcPr>
          <w:p>
            <w:pPr>
              <w:pStyle w:val="1223"/>
              <w:numPr>
                <w:ilvl w:val="7"/>
                <w:numId w:val="23"/>
              </w:numPr>
              <w:jc w:val="center"/>
              <w:spacing w:before="0" w:after="40" w:line="240" w:lineRule="auto"/>
              <w:widowControl w:val="off"/>
              <w:rPr>
                <w:rFonts w:ascii="Times New Roman" w:hAnsi="Times New Roman"/>
                <w:color w:val="0e0101"/>
                <w:sz w:val="20"/>
                <w:szCs w:val="20"/>
              </w:rPr>
            </w:pPr>
            <w:r>
              <w:rPr>
                <w:rFonts w:ascii="Times New Roman" w:hAnsi="Times New Roman"/>
                <w:sz w:val="20"/>
                <w:szCs w:val="20"/>
              </w:rPr>
              <w:t xml:space="preserve">Чем выше оценка финансового состояния (устойчивости) Участника, тем выше предпочтительность</w:t>
            </w:r>
            <w:r>
              <w:rPr>
                <w:rFonts w:ascii="Times New Roman" w:hAnsi="Times New Roman"/>
                <w:color w:val="0e0101"/>
                <w:sz w:val="20"/>
                <w:szCs w:val="20"/>
              </w:rPr>
            </w:r>
            <w:r>
              <w:rPr>
                <w:rFonts w:ascii="Times New Roman" w:hAnsi="Times New Roman"/>
                <w:color w:val="0e0101"/>
                <w:sz w:val="20"/>
                <w:szCs w:val="20"/>
              </w:rPr>
            </w:r>
          </w:p>
        </w:tc>
        <w:tc>
          <w:tcPr>
            <w:shd w:val="clear" w:color="auto" w:fill="auto"/>
            <w:tcBorders>
              <w:top w:val="single" w:color="00000A" w:sz="4" w:space="0"/>
              <w:left w:val="single" w:color="00000A" w:sz="4" w:space="0"/>
              <w:bottom w:val="single" w:color="00000A" w:sz="4" w:space="0"/>
              <w:right w:val="single" w:color="00000A" w:sz="4" w:space="0"/>
            </w:tcBorders>
            <w:tcW w:w="5953" w:type="dxa"/>
            <w:textDirection w:val="lrTb"/>
            <w:noWrap w:val="false"/>
          </w:tcPr>
          <w:p>
            <w:pPr>
              <w:jc w:val="both"/>
              <w:spacing w:before="0"/>
              <w:widowControl w:val="off"/>
              <w:rPr>
                <w:sz w:val="20"/>
                <w:szCs w:val="20"/>
              </w:rPr>
            </w:pPr>
            <w:r>
              <w:rPr>
                <w:sz w:val="20"/>
                <w:szCs w:val="20"/>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w:t>
            </w:r>
            <w:r>
              <w:rPr>
                <w:sz w:val="20"/>
                <w:szCs w:val="20"/>
              </w:rPr>
            </w:r>
            <w:r>
              <w:rPr>
                <w:sz w:val="20"/>
                <w:szCs w:val="20"/>
              </w:rPr>
            </w:r>
          </w:p>
          <w:p>
            <w:pPr>
              <w:jc w:val="both"/>
              <w:spacing w:before="0"/>
              <w:widowControl w:val="off"/>
              <w:rPr>
                <w:sz w:val="20"/>
                <w:szCs w:val="20"/>
                <w:highlight w:val="white"/>
              </w:rPr>
            </w:pPr>
            <w:r>
              <w:rPr>
                <w:sz w:val="20"/>
                <w:szCs w:val="20"/>
                <w:highlight w:val="white"/>
              </w:rPr>
              <w:t xml:space="preserve">Порядок осуществления оценки (значение оцениваемого параметра), в зависимости от полученного Участником (с </w:t>
            </w:r>
            <w:r>
              <w:rPr>
                <w:i/>
                <w:sz w:val="20"/>
                <w:szCs w:val="20"/>
                <w:highlight w:val="white"/>
                <w:lang w:val="en-US"/>
              </w:rPr>
              <w:t xml:space="preserve">i</w:t>
            </w:r>
            <w:r>
              <w:rPr>
                <w:sz w:val="20"/>
                <w:szCs w:val="20"/>
                <w:highlight w:val="white"/>
              </w:rPr>
              <w:t xml:space="preserve">-ой заявкой) значения расчетного балла (интегральног</w:t>
            </w:r>
            <w:r>
              <w:rPr>
                <w:sz w:val="20"/>
                <w:szCs w:val="20"/>
                <w:highlight w:val="white"/>
              </w:rPr>
              <w:t xml:space="preserve">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r>
              <w:rPr>
                <w:sz w:val="20"/>
                <w:szCs w:val="20"/>
                <w:highlight w:val="white"/>
              </w:rPr>
            </w:r>
            <w:r>
              <w:rPr>
                <w:sz w:val="20"/>
                <w:szCs w:val="20"/>
                <w:highlight w:val="white"/>
              </w:rPr>
            </w:r>
          </w:p>
          <w:p>
            <w:pPr>
              <w:numPr>
                <w:ilvl w:val="0"/>
                <w:numId w:val="40"/>
              </w:numPr>
              <w:ind w:left="0" w:right="0" w:firstLine="283"/>
              <w:jc w:val="both"/>
              <w:spacing w:before="0"/>
              <w:widowControl w:val="off"/>
              <w:rPr>
                <w:sz w:val="20"/>
                <w:szCs w:val="20"/>
                <w:highlight w:val="white"/>
              </w:rPr>
            </w:pPr>
            <w:r>
              <w:rPr>
                <w:sz w:val="20"/>
                <w:szCs w:val="20"/>
                <w:highlight w:val="white"/>
              </w:rPr>
              <w:t xml:space="preserve">порядок проведения оценки финансового состояния (устойчивости) Участника</w:t>
            </w:r>
            <w:r>
              <w:rPr>
                <w:rStyle w:val="1188"/>
                <w:sz w:val="20"/>
                <w:szCs w:val="20"/>
                <w:highlight w:val="white"/>
              </w:rPr>
              <w:footnoteReference w:id="16"/>
            </w:r>
            <w:r>
              <w:rPr>
                <w:sz w:val="20"/>
                <w:szCs w:val="20"/>
                <w:highlight w:val="white"/>
              </w:rPr>
              <w:t xml:space="preserve"> установлен Приложением № 4 к Положению об аккредитации;</w:t>
            </w:r>
            <w:r>
              <w:rPr>
                <w:sz w:val="20"/>
                <w:szCs w:val="20"/>
                <w:highlight w:val="white"/>
              </w:rPr>
            </w:r>
            <w:r>
              <w:rPr>
                <w:sz w:val="20"/>
                <w:szCs w:val="20"/>
                <w:highlight w:val="white"/>
              </w:rPr>
            </w:r>
          </w:p>
          <w:p>
            <w:pPr>
              <w:numPr>
                <w:ilvl w:val="0"/>
                <w:numId w:val="40"/>
              </w:numPr>
              <w:ind w:left="0" w:right="0" w:firstLine="283"/>
              <w:jc w:val="both"/>
              <w:spacing w:before="0"/>
              <w:widowControl w:val="off"/>
              <w:rPr>
                <w:sz w:val="20"/>
                <w:szCs w:val="20"/>
                <w:highlight w:val="white"/>
              </w:rPr>
            </w:pPr>
            <w:r>
              <w:rPr>
                <w:sz w:val="20"/>
                <w:szCs w:val="20"/>
                <w:highlight w:val="white"/>
              </w:rPr>
              <w:t xml:space="preserve">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w:t>
            </w:r>
            <w:hyperlink r:id="rId22" w:tooltip="https://bo.nalog.ru/" w:history="1">
              <w:r>
                <w:rPr>
                  <w:sz w:val="20"/>
                  <w:szCs w:val="20"/>
                  <w:highlight w:val="white"/>
                </w:rPr>
                <w:t xml:space="preserve">https://bo.nalog.ru</w:t>
              </w:r>
            </w:hyperlink>
            <w:r>
              <w:rPr>
                <w:sz w:val="20"/>
                <w:szCs w:val="20"/>
                <w:highlight w:val="white"/>
              </w:rPr>
              <w:t xml:space="preserve">) за предыдущий отчетный период (год) по состоянию на дату окончания срока подачи заявок.</w:t>
            </w:r>
            <w:r>
              <w:rPr>
                <w:sz w:val="20"/>
                <w:szCs w:val="20"/>
                <w:highlight w:val="white"/>
              </w:rPr>
            </w:r>
            <w:r>
              <w:rPr>
                <w:sz w:val="20"/>
                <w:szCs w:val="20"/>
                <w:highlight w:val="white"/>
              </w:rPr>
            </w:r>
          </w:p>
          <w:p>
            <w:pPr>
              <w:jc w:val="both"/>
              <w:spacing w:before="0"/>
              <w:widowControl w:val="off"/>
              <w:rPr>
                <w:sz w:val="20"/>
                <w:szCs w:val="20"/>
              </w:rPr>
            </w:pPr>
            <w:r>
              <w:rPr>
                <w:sz w:val="20"/>
                <w:szCs w:val="20"/>
                <w:highlight w:val="white"/>
              </w:rPr>
              <w:t xml:space="preserve">Если Участник в соответствии с законодательством РФ не размещает сведения о своей бухгалтерской (финансовой) отчетности (по формам ОКУД 0710001, 0710002) в упомянутом государственном информацио</w:t>
            </w:r>
            <w:r>
              <w:rPr>
                <w:sz w:val="20"/>
                <w:szCs w:val="20"/>
                <w:highlight w:val="white"/>
              </w:rPr>
              <w:t xml:space="preserve">нном ресурсе – оценка его финансового состояния производится на основании электронной копии бухгалтерского баланса (ОКУД 0710001) и отчета о финансовых результатах </w:t>
            </w:r>
            <w:r>
              <w:rPr>
                <w:sz w:val="20"/>
                <w:szCs w:val="20"/>
                <w:highlight w:val="white"/>
              </w:rPr>
              <w:t xml:space="preserve">(ОКУД 0710002) за последний завершенный финансовый год, с</w:t>
            </w:r>
            <w:r>
              <w:rPr>
                <w:sz w:val="20"/>
                <w:szCs w:val="20"/>
              </w:rPr>
              <w:t xml:space="preserve"> отметкой налогового органа о прием</w:t>
            </w:r>
            <w:r>
              <w:rPr>
                <w:sz w:val="20"/>
                <w:szCs w:val="20"/>
              </w:rPr>
              <w:t xml:space="preserve">е или с приложением квитанции о приеме и (или) извещения о вводе сведений налоговым органом,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r>
              <w:rPr>
                <w:sz w:val="20"/>
                <w:szCs w:val="20"/>
              </w:rPr>
            </w:r>
            <w:r>
              <w:rPr>
                <w:sz w:val="20"/>
                <w:szCs w:val="20"/>
              </w:rPr>
            </w:r>
          </w:p>
          <w:p>
            <w:pPr>
              <w:jc w:val="both"/>
              <w:spacing w:before="0"/>
              <w:widowControl w:val="off"/>
              <w:rPr>
                <w:sz w:val="20"/>
                <w:szCs w:val="20"/>
              </w:rPr>
            </w:pPr>
            <w:r>
              <w:rPr>
                <w:sz w:val="20"/>
                <w:szCs w:val="20"/>
              </w:rPr>
              <w:t xml:space="preserve">Если Участник в соответствии с законодательством формирует отче</w:t>
            </w:r>
            <w:r>
              <w:rPr>
                <w:sz w:val="20"/>
                <w:szCs w:val="20"/>
              </w:rPr>
              <w:t xml:space="preserve">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r>
              <w:rPr>
                <w:sz w:val="20"/>
                <w:szCs w:val="20"/>
              </w:rPr>
            </w:r>
            <w:r>
              <w:rPr>
                <w:sz w:val="20"/>
                <w:szCs w:val="20"/>
              </w:rPr>
            </w:r>
          </w:p>
          <w:p>
            <w:pPr>
              <w:pStyle w:val="1180"/>
              <w:numPr>
                <w:ilvl w:val="0"/>
                <w:numId w:val="39"/>
              </w:numPr>
              <w:ind w:left="0" w:right="0" w:firstLine="425"/>
              <w:keepNext/>
              <w:spacing w:before="0"/>
              <w:widowControl w:val="off"/>
              <w:rPr>
                <w:rFonts w:cs="Times New Roman"/>
                <w:sz w:val="20"/>
                <w:szCs w:val="20"/>
              </w:rPr>
            </w:pPr>
            <w:r>
              <w:rPr>
                <w:rFonts w:eastAsia="Times New Roman" w:cs="Times New Roman"/>
                <w:sz w:val="20"/>
                <w:szCs w:val="20"/>
              </w:rPr>
              <w:t xml:space="preserve">электронной копии бухг</w:t>
            </w:r>
            <w:r>
              <w:rPr>
                <w:rFonts w:eastAsia="Times New Roman" w:cs="Times New Roman"/>
                <w:sz w:val="20"/>
                <w:szCs w:val="20"/>
              </w:rPr>
              <w:t xml:space="preserve">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cs="Times New Roman"/>
                <w:sz w:val="20"/>
                <w:szCs w:val="20"/>
              </w:rPr>
            </w:r>
            <w:r>
              <w:rPr>
                <w:rFonts w:cs="Times New Roman"/>
                <w:sz w:val="20"/>
                <w:szCs w:val="20"/>
              </w:rPr>
            </w:r>
          </w:p>
          <w:p>
            <w:pPr>
              <w:pStyle w:val="1180"/>
              <w:numPr>
                <w:ilvl w:val="0"/>
                <w:numId w:val="39"/>
              </w:numPr>
              <w:ind w:left="0" w:right="0" w:firstLine="425"/>
              <w:keepNext/>
              <w:spacing w:before="0"/>
              <w:widowControl w:val="off"/>
              <w:rPr>
                <w:rFonts w:cs="Times New Roman"/>
                <w:sz w:val="20"/>
                <w:szCs w:val="20"/>
              </w:rPr>
            </w:pPr>
            <w:r>
              <w:rPr>
                <w:rFonts w:eastAsia="Times New Roman" w:cs="Times New Roman"/>
                <w:sz w:val="20"/>
                <w:szCs w:val="20"/>
              </w:rPr>
              <w:t xml:space="preserve">дополнительных сведений о размере всех требуемых показателей согласно данным бухгалтерской (финансовой) отчетности по установленной форме (</w:t>
            </w:r>
            <w:r>
              <w:rPr>
                <w:rFonts w:eastAsia="Calibri" w:cs="Times New Roman"/>
                <w:sz w:val="20"/>
                <w:szCs w:val="20"/>
              </w:rPr>
              <w:t xml:space="preserve">Приложение № 11</w:t>
            </w:r>
            <w:r>
              <w:rPr>
                <w:rFonts w:eastAsia="Times New Roman" w:cs="Times New Roman"/>
                <w:sz w:val="20"/>
                <w:szCs w:val="20"/>
              </w:rPr>
              <w:t xml:space="preserve"> к </w:t>
            </w:r>
            <w:r>
              <w:rPr>
                <w:rFonts w:eastAsia="Times New Roman" w:cs="Times New Roman"/>
                <w:sz w:val="20"/>
                <w:szCs w:val="20"/>
              </w:rPr>
              <w:t xml:space="preserve">Документации о закупке</w:t>
            </w:r>
            <w:r>
              <w:rPr>
                <w:rFonts w:eastAsia="Times New Roman" w:cs="Times New Roman"/>
                <w:sz w:val="20"/>
                <w:szCs w:val="20"/>
              </w:rPr>
              <w:t xml:space="preserve">).</w:t>
            </w:r>
            <w:r>
              <w:rPr>
                <w:rFonts w:cs="Times New Roman"/>
                <w:sz w:val="20"/>
                <w:szCs w:val="20"/>
              </w:rPr>
            </w:r>
            <w:r>
              <w:rPr>
                <w:rFonts w:cs="Times New Roman"/>
                <w:sz w:val="20"/>
                <w:szCs w:val="20"/>
              </w:rPr>
            </w:r>
          </w:p>
          <w:p>
            <w:pPr>
              <w:jc w:val="both"/>
              <w:spacing w:before="0"/>
              <w:widowControl w:val="off"/>
              <w:rPr>
                <w:rFonts w:cs="Times New Roman"/>
                <w:color w:val="0e0101"/>
                <w:sz w:val="20"/>
                <w:szCs w:val="20"/>
                <w:lang w:eastAsia="ru-RU"/>
              </w:rPr>
            </w:pPr>
            <w:r>
              <w:rPr>
                <w:sz w:val="20"/>
                <w:szCs w:val="20"/>
              </w:rPr>
              <w:t xml:space="preserve">Оценка предпочтительности по частному критерию осуществляется в соответствии со следующей шкалой</w:t>
            </w:r>
            <w:r>
              <w:rPr>
                <w:rFonts w:cs="Times New Roman"/>
                <w:color w:val="0e0101"/>
                <w:sz w:val="20"/>
                <w:szCs w:val="20"/>
                <w:lang w:eastAsia="ru-RU"/>
              </w:rPr>
              <w:t xml:space="preserve">:</w:t>
            </w:r>
            <w:r>
              <w:rPr>
                <w:rFonts w:cs="Times New Roman"/>
                <w:color w:val="0e0101"/>
                <w:sz w:val="20"/>
                <w:szCs w:val="20"/>
                <w:lang w:eastAsia="ru-RU"/>
              </w:rPr>
            </w:r>
            <w:r>
              <w:rPr>
                <w:rFonts w:cs="Times New Roman"/>
                <w:color w:val="0e0101"/>
                <w:sz w:val="20"/>
                <w:szCs w:val="20"/>
                <w:lang w:eastAsia="ru-RU"/>
              </w:rPr>
            </w:r>
          </w:p>
          <w:p>
            <w:pPr>
              <w:jc w:val="both"/>
              <w:spacing w:before="0"/>
              <w:widowControl w:val="off"/>
              <w:rPr>
                <w:rFonts w:cs="Times New Roman"/>
                <w:color w:val="0e0101"/>
                <w:sz w:val="20"/>
                <w:szCs w:val="20"/>
              </w:rPr>
            </w:pPr>
            <w:r>
              <w:rPr>
                <w:rFonts w:cs="Times New Roman"/>
                <w:color w:val="0e0101"/>
                <w:sz w:val="20"/>
                <w:szCs w:val="20"/>
              </w:rPr>
            </w:r>
            <w:r>
              <w:rPr>
                <w:rFonts w:cs="Times New Roman"/>
                <w:color w:val="0e0101"/>
                <w:sz w:val="20"/>
                <w:szCs w:val="20"/>
              </w:rPr>
            </w:r>
            <w:r>
              <w:rPr>
                <w:rFonts w:cs="Times New Roman"/>
                <w:color w:val="0e0101"/>
                <w:sz w:val="20"/>
                <w:szCs w:val="20"/>
              </w:rPr>
            </w:r>
          </w:p>
          <w:tbl>
            <w:tblPr>
              <w:tblW w:w="5619" w:type="dxa"/>
              <w:tblLayout w:type="fixed"/>
              <w:tblLook w:val="04A0" w:firstRow="1" w:lastRow="0" w:firstColumn="1" w:lastColumn="0" w:noHBand="0" w:noVBand="1"/>
            </w:tblPr>
            <w:tblGrid>
              <w:gridCol w:w="771"/>
              <w:gridCol w:w="4848"/>
            </w:tblGrid>
            <w:tr>
              <w:tblPrEx/>
              <w:trPr>
                <w:cantSplit/>
              </w:trPr>
              <w:tc>
                <w:tcPr>
                  <w:tcBorders>
                    <w:bottom w:val="single" w:color="000000" w:sz="4" w:space="0"/>
                    <w:right w:val="single" w:color="000000" w:sz="4" w:space="0"/>
                  </w:tcBorders>
                  <w:tcW w:w="771" w:type="dxa"/>
                  <w:textDirection w:val="lrTb"/>
                  <w:noWrap w:val="false"/>
                </w:tcPr>
                <w:p>
                  <w:pPr>
                    <w:pStyle w:val="1223"/>
                    <w:numPr>
                      <w:ilvl w:val="7"/>
                      <w:numId w:val="24"/>
                    </w:numPr>
                    <w:spacing w:before="0" w:line="240" w:lineRule="auto"/>
                    <w:widowControl w:val="off"/>
                    <w:tabs>
                      <w:tab w:val="left" w:pos="1440" w:leader="none"/>
                      <w:tab w:val="left" w:pos="2880" w:leader="none"/>
                    </w:tabs>
                    <w:rPr>
                      <w:rFonts w:ascii="Times New Roman" w:hAnsi="Times New Roman" w:eastAsia="Calibri"/>
                      <w:sz w:val="20"/>
                      <w:szCs w:val="20"/>
                    </w:rPr>
                  </w:pPr>
                  <w:r>
                    <w:rPr>
                      <w:rFonts w:ascii="Times New Roman" w:hAnsi="Times New Roman"/>
                      <w:sz w:val="20"/>
                      <w:szCs w:val="20"/>
                    </w:rPr>
                    <w:t xml:space="preserve">Б</w:t>
                  </w:r>
                  <w:r>
                    <w:rPr>
                      <w:rFonts w:ascii="Times New Roman" w:hAnsi="Times New Roman" w:eastAsia="Calibri"/>
                      <w:sz w:val="20"/>
                      <w:szCs w:val="20"/>
                      <w:vertAlign w:val="subscript"/>
                    </w:rPr>
                    <w:t xml:space="preserve">3</w:t>
                  </w:r>
                  <w:r>
                    <w:rPr>
                      <w:rFonts w:ascii="Times New Roman" w:hAnsi="Times New Roman"/>
                      <w:sz w:val="20"/>
                      <w:szCs w:val="20"/>
                    </w:rPr>
                    <w:t xml:space="preserve">= 0</w:t>
                  </w:r>
                  <w:r>
                    <w:rPr>
                      <w:rFonts w:ascii="Times New Roman" w:hAnsi="Times New Roman" w:eastAsia="Calibri"/>
                      <w:sz w:val="20"/>
                      <w:szCs w:val="20"/>
                    </w:rPr>
                  </w:r>
                  <w:r>
                    <w:rPr>
                      <w:rFonts w:ascii="Times New Roman" w:hAnsi="Times New Roman" w:eastAsia="Calibri"/>
                      <w:sz w:val="20"/>
                      <w:szCs w:val="20"/>
                    </w:rPr>
                  </w:r>
                </w:p>
              </w:tc>
              <w:tc>
                <w:tcPr>
                  <w:tcBorders>
                    <w:left w:val="single" w:color="000000" w:sz="4" w:space="0"/>
                    <w:bottom w:val="single" w:color="000000" w:sz="4" w:space="0"/>
                  </w:tcBorders>
                  <w:tcW w:w="4848" w:type="dxa"/>
                  <w:textDirection w:val="lrTb"/>
                  <w:noWrap w:val="false"/>
                </w:tcPr>
                <w:p>
                  <w:pPr>
                    <w:spacing w:before="0"/>
                    <w:widowControl w:val="off"/>
                    <w:rPr>
                      <w:rFonts w:cs="Times New Roman"/>
                      <w:sz w:val="18"/>
                      <w:szCs w:val="18"/>
                    </w:rPr>
                  </w:pPr>
                  <w:r>
                    <w:rPr>
                      <w:rFonts w:cs="Times New Roman"/>
                      <w:sz w:val="18"/>
                      <w:szCs w:val="18"/>
                    </w:rPr>
                    <w:t xml:space="preserve">Результат оценки финансового состояния (устойчивости): менее 0,45 балла – Кризисное финансовое состояние;</w:t>
                  </w:r>
                  <w:r>
                    <w:rPr>
                      <w:rFonts w:cs="Times New Roman"/>
                      <w:sz w:val="18"/>
                      <w:szCs w:val="18"/>
                    </w:rPr>
                  </w:r>
                  <w:r>
                    <w:rPr>
                      <w:rFonts w:cs="Times New Roman"/>
                      <w:sz w:val="18"/>
                      <w:szCs w:val="18"/>
                    </w:rPr>
                  </w:r>
                </w:p>
                <w:p>
                  <w:pPr>
                    <w:spacing w:before="0"/>
                    <w:widowControl w:val="off"/>
                    <w:rPr>
                      <w:rFonts w:cs="Times New Roman"/>
                      <w:i/>
                      <w:iCs/>
                      <w:sz w:val="18"/>
                      <w:szCs w:val="18"/>
                    </w:rPr>
                  </w:pPr>
                  <w:r>
                    <w:rPr>
                      <w:rFonts w:cs="Times New Roman"/>
                      <w:i/>
                      <w:iCs/>
                      <w:sz w:val="18"/>
                      <w:szCs w:val="18"/>
                    </w:rPr>
                    <w:t xml:space="preserve">или</w:t>
                  </w:r>
                  <w:r>
                    <w:rPr>
                      <w:rFonts w:cs="Times New Roman"/>
                      <w:i/>
                      <w:iCs/>
                      <w:sz w:val="18"/>
                      <w:szCs w:val="18"/>
                    </w:rPr>
                  </w:r>
                  <w:r>
                    <w:rPr>
                      <w:rFonts w:cs="Times New Roman"/>
                      <w:i/>
                      <w:iCs/>
                      <w:sz w:val="18"/>
                      <w:szCs w:val="18"/>
                    </w:rPr>
                  </w:r>
                </w:p>
                <w:p>
                  <w:pPr>
                    <w:spacing w:before="0"/>
                    <w:widowControl w:val="off"/>
                    <w:rPr>
                      <w:rFonts w:cs="Times New Roman"/>
                      <w:sz w:val="18"/>
                      <w:szCs w:val="18"/>
                    </w:rPr>
                  </w:pPr>
                  <w:r>
                    <w:rPr>
                      <w:rFonts w:cs="Times New Roman"/>
                      <w:sz w:val="18"/>
                      <w:szCs w:val="18"/>
                    </w:rPr>
                    <w:t xml:space="preserve">в случае отсутствия исходных данных для оценки финансового состояния Участника, в том числе если он является:</w:t>
                  </w:r>
                  <w:r>
                    <w:rPr>
                      <w:rFonts w:cs="Times New Roman"/>
                      <w:sz w:val="18"/>
                      <w:szCs w:val="18"/>
                    </w:rPr>
                  </w:r>
                  <w:r>
                    <w:rPr>
                      <w:rFonts w:cs="Times New Roman"/>
                      <w:sz w:val="18"/>
                      <w:szCs w:val="18"/>
                    </w:rPr>
                  </w:r>
                </w:p>
                <w:p>
                  <w:pPr>
                    <w:numPr>
                      <w:ilvl w:val="4"/>
                      <w:numId w:val="25"/>
                    </w:numPr>
                    <w:ind w:left="36" w:firstLine="0"/>
                    <w:jc w:val="both"/>
                    <w:spacing w:before="0"/>
                    <w:widowControl w:val="off"/>
                    <w:rPr>
                      <w:rFonts w:cs="Times New Roman"/>
                      <w:sz w:val="18"/>
                      <w:szCs w:val="18"/>
                    </w:rPr>
                  </w:pPr>
                  <w:r>
                    <w:rPr>
                      <w:rFonts w:cs="Times New Roman"/>
                      <w:sz w:val="18"/>
                      <w:szCs w:val="18"/>
                    </w:rPr>
                    <w:t xml:space="preserve">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r>
                    <w:rPr>
                      <w:rFonts w:cs="Times New Roman"/>
                      <w:sz w:val="18"/>
                      <w:szCs w:val="18"/>
                    </w:rPr>
                  </w:r>
                  <w:r>
                    <w:rPr>
                      <w:rFonts w:cs="Times New Roman"/>
                      <w:sz w:val="18"/>
                      <w:szCs w:val="18"/>
                    </w:rPr>
                  </w:r>
                </w:p>
                <w:p>
                  <w:pPr>
                    <w:pStyle w:val="1221"/>
                    <w:numPr>
                      <w:ilvl w:val="4"/>
                      <w:numId w:val="25"/>
                    </w:numPr>
                    <w:ind w:left="36" w:firstLine="0"/>
                    <w:spacing w:before="0" w:line="240" w:lineRule="auto"/>
                    <w:widowControl w:val="off"/>
                    <w:rPr>
                      <w:rFonts w:ascii="Times New Roman" w:hAnsi="Times New Roman" w:cs="Times New Roman"/>
                      <w:sz w:val="20"/>
                      <w:szCs w:val="20"/>
                    </w:rPr>
                  </w:pPr>
                  <w:r>
                    <w:rPr>
                      <w:rFonts w:ascii="Times New Roman" w:hAnsi="Times New Roman" w:cs="Times New Roman"/>
                      <w:sz w:val="18"/>
                      <w:szCs w:val="18"/>
                    </w:rPr>
                    <w:t xml:space="preserve">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r>
                    <w:rPr>
                      <w:rFonts w:ascii="Times New Roman" w:hAnsi="Times New Roman" w:cs="Times New Roman"/>
                      <w:sz w:val="20"/>
                      <w:szCs w:val="20"/>
                    </w:rPr>
                  </w:r>
                  <w:r>
                    <w:rPr>
                      <w:rFonts w:ascii="Times New Roman" w:hAnsi="Times New Roman" w:cs="Times New Roman"/>
                      <w:sz w:val="20"/>
                      <w:szCs w:val="20"/>
                    </w:rPr>
                  </w:r>
                </w:p>
              </w:tc>
            </w:tr>
            <w:tr>
              <w:tblPrEx/>
              <w:trPr>
                <w:cantSplit/>
              </w:trPr>
              <w:tc>
                <w:tcPr>
                  <w:tcBorders>
                    <w:top w:val="single" w:color="000000" w:sz="4" w:space="0"/>
                    <w:bottom w:val="single" w:color="000000" w:sz="4" w:space="0"/>
                    <w:right w:val="single" w:color="000000" w:sz="4" w:space="0"/>
                  </w:tcBorders>
                  <w:tcW w:w="771" w:type="dxa"/>
                  <w:textDirection w:val="lrTb"/>
                  <w:noWrap w:val="false"/>
                </w:tcPr>
                <w:p>
                  <w:pPr>
                    <w:pStyle w:val="1223"/>
                    <w:numPr>
                      <w:ilvl w:val="7"/>
                      <w:numId w:val="24"/>
                    </w:numPr>
                    <w:jc w:val="center"/>
                    <w:spacing w:before="0" w:line="240" w:lineRule="auto"/>
                    <w:widowControl w:val="off"/>
                    <w:tabs>
                      <w:tab w:val="left" w:pos="1440" w:leader="none"/>
                      <w:tab w:val="left" w:pos="2880" w:leader="none"/>
                    </w:tabs>
                    <w:rPr>
                      <w:rFonts w:ascii="Times New Roman" w:hAnsi="Times New Roman" w:eastAsia="Calibri"/>
                      <w:sz w:val="20"/>
                      <w:szCs w:val="20"/>
                    </w:rPr>
                  </w:pPr>
                  <w:r>
                    <w:rPr>
                      <w:rFonts w:ascii="Times New Roman" w:hAnsi="Times New Roman"/>
                      <w:sz w:val="20"/>
                      <w:szCs w:val="20"/>
                    </w:rPr>
                    <w:t xml:space="preserve">Б</w:t>
                  </w:r>
                  <w:r>
                    <w:rPr>
                      <w:rFonts w:ascii="Times New Roman" w:hAnsi="Times New Roman" w:eastAsia="Calibri"/>
                      <w:sz w:val="20"/>
                      <w:szCs w:val="20"/>
                      <w:vertAlign w:val="subscript"/>
                    </w:rPr>
                    <w:t xml:space="preserve">3</w:t>
                  </w:r>
                  <w:r>
                    <w:rPr>
                      <w:rFonts w:ascii="Times New Roman" w:hAnsi="Times New Roman"/>
                      <w:sz w:val="20"/>
                      <w:szCs w:val="20"/>
                    </w:rPr>
                    <w:t xml:space="preserve">= 3</w:t>
                  </w:r>
                  <w:r>
                    <w:rPr>
                      <w:rFonts w:ascii="Times New Roman" w:hAnsi="Times New Roman" w:eastAsia="Calibri"/>
                      <w:sz w:val="20"/>
                      <w:szCs w:val="20"/>
                    </w:rPr>
                  </w:r>
                  <w:r>
                    <w:rPr>
                      <w:rFonts w:ascii="Times New Roman" w:hAnsi="Times New Roman" w:eastAsia="Calibri"/>
                      <w:sz w:val="20"/>
                      <w:szCs w:val="20"/>
                    </w:rPr>
                  </w:r>
                </w:p>
              </w:tc>
              <w:tc>
                <w:tcPr>
                  <w:tcBorders>
                    <w:top w:val="single" w:color="000000" w:sz="4" w:space="0"/>
                    <w:left w:val="single" w:color="000000" w:sz="4" w:space="0"/>
                    <w:bottom w:val="single" w:color="000000" w:sz="4" w:space="0"/>
                  </w:tcBorders>
                  <w:tcW w:w="4848" w:type="dxa"/>
                  <w:textDirection w:val="lrTb"/>
                  <w:noWrap w:val="false"/>
                </w:tcPr>
                <w:p>
                  <w:pPr>
                    <w:ind w:hanging="57"/>
                    <w:jc w:val="both"/>
                    <w:spacing w:before="0"/>
                    <w:widowControl w:val="off"/>
                    <w:tabs>
                      <w:tab w:val="left" w:pos="4260" w:leader="none"/>
                    </w:tabs>
                    <w:rPr>
                      <w:rFonts w:cs="Times New Roman"/>
                      <w:sz w:val="20"/>
                      <w:szCs w:val="20"/>
                    </w:rPr>
                  </w:pPr>
                  <w:r>
                    <w:rPr>
                      <w:sz w:val="18"/>
                      <w:szCs w:val="18"/>
                    </w:rPr>
                    <w:t xml:space="preserve">Результат оценки финансового состояния (устойчивости): от 0,45 балла включительно до 0,90 балла включительно – Неустойчивое финансовое состояние;</w:t>
                  </w:r>
                  <w:r>
                    <w:rPr>
                      <w:rFonts w:cs="Times New Roman"/>
                      <w:sz w:val="20"/>
                      <w:szCs w:val="20"/>
                    </w:rPr>
                  </w:r>
                  <w:r>
                    <w:rPr>
                      <w:rFonts w:cs="Times New Roman"/>
                      <w:sz w:val="20"/>
                      <w:szCs w:val="20"/>
                    </w:rPr>
                  </w:r>
                </w:p>
              </w:tc>
            </w:tr>
            <w:tr>
              <w:tblPrEx/>
              <w:trPr>
                <w:cantSplit/>
              </w:trPr>
              <w:tc>
                <w:tcPr>
                  <w:tcBorders>
                    <w:top w:val="single" w:color="000000" w:sz="4" w:space="0"/>
                    <w:bottom w:val="single" w:color="000000" w:sz="4" w:space="0"/>
                    <w:right w:val="single" w:color="000000" w:sz="4" w:space="0"/>
                  </w:tcBorders>
                  <w:tcW w:w="771" w:type="dxa"/>
                  <w:textDirection w:val="lrTb"/>
                  <w:noWrap w:val="false"/>
                </w:tcPr>
                <w:p>
                  <w:pPr>
                    <w:pStyle w:val="1223"/>
                    <w:numPr>
                      <w:ilvl w:val="7"/>
                      <w:numId w:val="24"/>
                    </w:numPr>
                    <w:jc w:val="center"/>
                    <w:spacing w:before="0" w:line="240" w:lineRule="auto"/>
                    <w:widowControl w:val="off"/>
                    <w:tabs>
                      <w:tab w:val="left" w:pos="1440" w:leader="none"/>
                      <w:tab w:val="left" w:pos="2880" w:leader="none"/>
                    </w:tabs>
                    <w:rPr>
                      <w:rFonts w:ascii="Times New Roman" w:hAnsi="Times New Roman" w:eastAsia="Calibri"/>
                      <w:sz w:val="20"/>
                      <w:szCs w:val="20"/>
                    </w:rPr>
                  </w:pPr>
                  <w:r>
                    <w:rPr>
                      <w:rFonts w:ascii="Times New Roman" w:hAnsi="Times New Roman"/>
                      <w:sz w:val="20"/>
                      <w:szCs w:val="20"/>
                    </w:rPr>
                    <w:t xml:space="preserve">Б</w:t>
                  </w:r>
                  <w:r>
                    <w:rPr>
                      <w:rFonts w:ascii="Times New Roman" w:hAnsi="Times New Roman" w:eastAsia="Calibri"/>
                      <w:sz w:val="20"/>
                      <w:szCs w:val="20"/>
                      <w:vertAlign w:val="subscript"/>
                    </w:rPr>
                    <w:t xml:space="preserve">3</w:t>
                  </w:r>
                  <w:r>
                    <w:rPr>
                      <w:rFonts w:ascii="Times New Roman" w:hAnsi="Times New Roman"/>
                      <w:sz w:val="20"/>
                      <w:szCs w:val="20"/>
                    </w:rPr>
                    <w:t xml:space="preserve">= 5</w:t>
                  </w:r>
                  <w:r>
                    <w:rPr>
                      <w:rFonts w:ascii="Times New Roman" w:hAnsi="Times New Roman" w:eastAsia="Calibri"/>
                      <w:sz w:val="20"/>
                      <w:szCs w:val="20"/>
                    </w:rPr>
                  </w:r>
                  <w:r>
                    <w:rPr>
                      <w:rFonts w:ascii="Times New Roman" w:hAnsi="Times New Roman" w:eastAsia="Calibri"/>
                      <w:sz w:val="20"/>
                      <w:szCs w:val="20"/>
                    </w:rPr>
                  </w:r>
                </w:p>
              </w:tc>
              <w:tc>
                <w:tcPr>
                  <w:tcBorders>
                    <w:top w:val="single" w:color="000000" w:sz="4" w:space="0"/>
                    <w:left w:val="single" w:color="000000" w:sz="4" w:space="0"/>
                    <w:bottom w:val="single" w:color="000000" w:sz="4" w:space="0"/>
                  </w:tcBorders>
                  <w:tcW w:w="4848" w:type="dxa"/>
                  <w:textDirection w:val="lrTb"/>
                  <w:noWrap w:val="false"/>
                </w:tcPr>
                <w:p>
                  <w:pPr>
                    <w:ind w:hanging="57"/>
                    <w:jc w:val="both"/>
                    <w:spacing w:before="0"/>
                    <w:widowControl w:val="off"/>
                    <w:rPr>
                      <w:rFonts w:eastAsia="Calibri" w:cs="Times New Roman"/>
                      <w:sz w:val="20"/>
                      <w:szCs w:val="20"/>
                    </w:rPr>
                  </w:pPr>
                  <w:r>
                    <w:rPr>
                      <w:rFonts w:eastAsia="Calibri" w:cs="Times New Roman"/>
                      <w:sz w:val="20"/>
                      <w:szCs w:val="20"/>
                      <w:lang w:eastAsia="ru-RU"/>
                    </w:rPr>
                    <w:t xml:space="preserve">Результат оценки финансового состояния (устойчивости): более 0,90 балла – Удовлетворительное финансовое состояние.</w:t>
                  </w:r>
                  <w:r>
                    <w:rPr>
                      <w:rFonts w:eastAsia="Calibri" w:cs="Times New Roman"/>
                      <w:sz w:val="20"/>
                      <w:szCs w:val="20"/>
                    </w:rPr>
                  </w:r>
                  <w:r>
                    <w:rPr>
                      <w:rFonts w:eastAsia="Calibri" w:cs="Times New Roman"/>
                      <w:sz w:val="20"/>
                      <w:szCs w:val="20"/>
                    </w:rPr>
                  </w:r>
                </w:p>
              </w:tc>
            </w:tr>
          </w:tbl>
          <w:p>
            <w:pPr>
              <w:pStyle w:val="1222"/>
              <w:numPr>
                <w:ilvl w:val="6"/>
                <w:numId w:val="23"/>
              </w:numPr>
              <w:ind w:left="0" w:hanging="1440"/>
              <w:jc w:val="left"/>
              <w:spacing w:before="0" w:line="240" w:lineRule="auto"/>
              <w:widowControl w:val="off"/>
              <w:rPr>
                <w:rFonts w:ascii="Times New Roman" w:hAnsi="Times New Roman" w:cs="Times New Roman"/>
                <w:color w:val="0e0101"/>
                <w:sz w:val="20"/>
                <w:szCs w:val="20"/>
              </w:rPr>
            </w:pPr>
            <w:r>
              <w:rPr>
                <w:rFonts w:ascii="Times New Roman" w:hAnsi="Times New Roman" w:cs="Times New Roman"/>
                <w:color w:val="0e0101"/>
                <w:sz w:val="20"/>
                <w:szCs w:val="20"/>
                <w:lang w:eastAsia="ru-RU"/>
              </w:rPr>
              <w:t xml:space="preserve">где:</w:t>
            </w:r>
            <w:r>
              <w:rPr>
                <w:rFonts w:ascii="Times New Roman" w:hAnsi="Times New Roman" w:cs="Times New Roman"/>
                <w:color w:val="0e0101"/>
                <w:sz w:val="20"/>
                <w:szCs w:val="20"/>
              </w:rPr>
            </w:r>
            <w:r>
              <w:rPr>
                <w:rFonts w:ascii="Times New Roman" w:hAnsi="Times New Roman" w:cs="Times New Roman"/>
                <w:color w:val="0e0101"/>
                <w:sz w:val="20"/>
                <w:szCs w:val="20"/>
              </w:rPr>
            </w:r>
          </w:p>
          <w:p>
            <w:pPr>
              <w:pStyle w:val="1222"/>
              <w:numPr>
                <w:ilvl w:val="6"/>
                <w:numId w:val="23"/>
              </w:numPr>
              <w:ind w:left="0"/>
              <w:jc w:val="left"/>
              <w:spacing w:before="0" w:line="240" w:lineRule="auto"/>
              <w:widowControl w:val="off"/>
              <w:tabs>
                <w:tab w:val="left" w:pos="742" w:leader="none"/>
                <w:tab w:val="left" w:pos="1167" w:leader="none"/>
              </w:tabs>
              <w:rPr>
                <w:rFonts w:ascii="Times New Roman" w:hAnsi="Times New Roman" w:cs="Times New Roman"/>
                <w:color w:val="0e0101"/>
                <w:sz w:val="20"/>
                <w:szCs w:val="20"/>
              </w:rPr>
            </w:pPr>
            <w:r>
              <w:rPr>
                <w:rFonts w:ascii="Times New Roman" w:hAnsi="Times New Roman" w:cs="Times New Roman"/>
                <w:color w:val="0e0101"/>
                <w:sz w:val="20"/>
                <w:szCs w:val="20"/>
                <w:lang w:eastAsia="ru-RU"/>
              </w:rPr>
              <w:t xml:space="preserve">где:</w:t>
            </w:r>
            <w:r>
              <w:rPr>
                <w:rFonts w:ascii="Times New Roman" w:hAnsi="Times New Roman" w:cs="Times New Roman"/>
                <w:color w:val="0e0101"/>
                <w:sz w:val="20"/>
                <w:szCs w:val="20"/>
              </w:rPr>
            </w:r>
            <w:r>
              <w:rPr>
                <w:rFonts w:ascii="Times New Roman" w:hAnsi="Times New Roman" w:cs="Times New Roman"/>
                <w:color w:val="0e0101"/>
                <w:sz w:val="20"/>
                <w:szCs w:val="20"/>
              </w:rPr>
            </w:r>
          </w:p>
          <w:p>
            <w:pPr>
              <w:pStyle w:val="1222"/>
              <w:numPr>
                <w:ilvl w:val="0"/>
                <w:numId w:val="0"/>
              </w:numPr>
              <w:spacing w:line="240" w:lineRule="auto"/>
              <w:widowControl w:val="off"/>
              <w:tabs>
                <w:tab w:val="left" w:pos="742" w:leader="none"/>
                <w:tab w:val="left" w:pos="1167" w:leader="none"/>
              </w:tabs>
              <w:rPr>
                <w:rFonts w:ascii="Times New Roman" w:hAnsi="Times New Roman" w:cs="Times New Roman"/>
                <w:sz w:val="20"/>
                <w:szCs w:val="20"/>
              </w:rPr>
            </w:pPr>
            <w:r>
              <w:rPr>
                <w:rFonts w:ascii="Times New Roman" w:hAnsi="Times New Roman" w:eastAsia="Times New Roman" w:cs="Times New Roman"/>
                <w:sz w:val="20"/>
                <w:szCs w:val="20"/>
                <w:lang w:eastAsia="ru-RU"/>
              </w:rPr>
              <w:t xml:space="preserve">Б</w:t>
            </w:r>
            <w:r>
              <w:rPr>
                <w:rFonts w:ascii="Times New Roman" w:hAnsi="Times New Roman" w:eastAsia="Times New Roman" w:cs="Times New Roman"/>
                <w:sz w:val="20"/>
                <w:szCs w:val="20"/>
                <w:vertAlign w:val="subscript"/>
                <w:lang w:eastAsia="ru-RU"/>
              </w:rPr>
              <w:t xml:space="preserve">3</w:t>
            </w:r>
            <w:r>
              <w:rPr>
                <w:rFonts w:ascii="Times New Roman" w:hAnsi="Times New Roman" w:eastAsia="Times New Roman" w:cs="Times New Roman"/>
                <w:sz w:val="20"/>
                <w:szCs w:val="20"/>
                <w:lang w:eastAsia="ru-RU"/>
              </w:rPr>
              <w:tab/>
              <w:t xml:space="preserve">–</w:t>
            </w:r>
            <w:r>
              <w:rPr>
                <w:rFonts w:ascii="Times New Roman" w:hAnsi="Times New Roman" w:eastAsia="Times New Roman" w:cs="Times New Roman"/>
                <w:sz w:val="20"/>
                <w:szCs w:val="20"/>
                <w:lang w:eastAsia="ru-RU"/>
              </w:rPr>
              <w:tab/>
              <w:t xml:space="preserve">рассчитанная оценка предпочтительности по данному частному критерию оценки в баллах.</w:t>
            </w:r>
            <w:r>
              <w:rPr>
                <w:rFonts w:ascii="Times New Roman" w:hAnsi="Times New Roman" w:cs="Times New Roman"/>
                <w:sz w:val="20"/>
                <w:szCs w:val="20"/>
              </w:rPr>
            </w:r>
            <w:r>
              <w:rPr>
                <w:rFonts w:ascii="Times New Roman" w:hAnsi="Times New Roman" w:cs="Times New Roman"/>
                <w:sz w:val="20"/>
                <w:szCs w:val="20"/>
              </w:rPr>
            </w:r>
          </w:p>
          <w:p>
            <w:pPr>
              <w:pStyle w:val="1232"/>
              <w:numPr>
                <w:ilvl w:val="0"/>
                <w:numId w:val="0"/>
              </w:numPr>
              <w:spacing w:before="0"/>
              <w:widowControl w:val="off"/>
              <w:rPr>
                <w:sz w:val="20"/>
                <w:szCs w:val="20"/>
              </w:rPr>
            </w:pPr>
            <w:r/>
            <w:bookmarkStart w:id="386" w:name="undefined"/>
            <w:r>
              <w:rPr>
                <w:rFonts w:eastAsia="Times New Roman"/>
                <w:sz w:val="20"/>
                <w:szCs w:val="20"/>
              </w:rPr>
              <w:t xml:space="preserve">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386"/>
            <w:r>
              <w:rPr>
                <w:sz w:val="20"/>
                <w:szCs w:val="20"/>
              </w:rPr>
            </w:r>
            <w:r>
              <w:rPr>
                <w:sz w:val="20"/>
                <w:szCs w:val="20"/>
              </w:rPr>
            </w:r>
          </w:p>
          <w:p>
            <w:pPr>
              <w:jc w:val="both"/>
              <w:spacing w:before="0"/>
              <w:widowControl w:val="off"/>
              <w:rPr>
                <w:rFonts w:cs="Times New Roman"/>
                <w:sz w:val="20"/>
                <w:szCs w:val="20"/>
              </w:rPr>
            </w:pPr>
            <w:r>
              <w:rPr>
                <w:rFonts w:cs="Times New Roman"/>
                <w:sz w:val="20"/>
                <w:szCs w:val="20"/>
              </w:rPr>
              <w:t xml:space="preserve">В случае участия в закупке Коллективного участник</w:t>
            </w:r>
            <w:r>
              <w:rPr>
                <w:rFonts w:cs="Times New Roman"/>
                <w:sz w:val="20"/>
                <w:szCs w:val="20"/>
              </w:rPr>
              <w:t xml:space="preserve">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w:t>
            </w:r>
            <w:r>
              <w:rPr>
                <w:rFonts w:cs="Times New Roman"/>
                <w:sz w:val="20"/>
                <w:szCs w:val="20"/>
              </w:rPr>
              <w:t xml:space="preserve">деляется на основе объема (объемной доли) поставляемой им продукции согласно Плану распределения объемов поставки продукции (форма № 11, Приложение № 4 к Документации о закупке), представленному в заявке такого Коллективного участника на участие в закупке.</w:t>
            </w:r>
            <w:r>
              <w:rPr>
                <w:rFonts w:cs="Times New Roman"/>
                <w:sz w:val="20"/>
                <w:szCs w:val="20"/>
              </w:rPr>
            </w:r>
            <w:r>
              <w:rPr>
                <w:rFonts w:cs="Times New Roman"/>
                <w:sz w:val="20"/>
                <w:szCs w:val="20"/>
              </w:rPr>
            </w:r>
          </w:p>
          <w:p>
            <w:pPr>
              <w:pStyle w:val="1223"/>
              <w:numPr>
                <w:ilvl w:val="7"/>
                <w:numId w:val="23"/>
              </w:numPr>
              <w:spacing w:before="0" w:line="240" w:lineRule="auto"/>
              <w:widowControl w:val="off"/>
              <w:rPr>
                <w:rFonts w:ascii="Times New Roman" w:hAnsi="Times New Roman"/>
                <w:b/>
                <w:color w:val="0e0101"/>
                <w:sz w:val="20"/>
                <w:szCs w:val="20"/>
              </w:rPr>
            </w:pPr>
            <w:r>
              <w:rPr>
                <w:rFonts w:ascii="Times New Roman" w:hAnsi="Times New Roman"/>
                <w:b/>
                <w:sz w:val="20"/>
                <w:szCs w:val="20"/>
              </w:rPr>
              <w:t xml:space="preserve">Шкала оценок от 0 до 5 баллов.</w:t>
            </w:r>
            <w:r>
              <w:rPr>
                <w:rFonts w:ascii="Times New Roman" w:hAnsi="Times New Roman"/>
                <w:b/>
                <w:color w:val="0e0101"/>
                <w:sz w:val="20"/>
                <w:szCs w:val="20"/>
              </w:rPr>
            </w:r>
            <w:r>
              <w:rPr>
                <w:rFonts w:ascii="Times New Roman" w:hAnsi="Times New Roman"/>
                <w:b/>
                <w:color w:val="0e0101"/>
                <w:sz w:val="20"/>
                <w:szCs w:val="20"/>
              </w:rPr>
            </w:r>
          </w:p>
        </w:tc>
      </w:tr>
      <w:tr>
        <w:tblPrEx/>
        <w:trPr/>
        <w:tc>
          <w:tcPr>
            <w:gridSpan w:val="4"/>
            <w:shd w:val="clear" w:color="auto" w:fill="auto"/>
            <w:tcBorders>
              <w:top w:val="single" w:color="00000A" w:sz="4" w:space="0"/>
              <w:left w:val="single" w:color="00000A" w:sz="4" w:space="0"/>
              <w:bottom w:val="single" w:color="00000A" w:sz="4" w:space="0"/>
              <w:right w:val="single" w:color="00000A" w:sz="4" w:space="0"/>
            </w:tcBorders>
            <w:tcW w:w="6096" w:type="dxa"/>
            <w:textDirection w:val="lrTb"/>
            <w:noWrap w:val="false"/>
          </w:tcPr>
          <w:p>
            <w:pPr>
              <w:jc w:val="right"/>
              <w:spacing w:before="40" w:after="40"/>
              <w:widowControl w:val="off"/>
              <w:rPr>
                <w:rFonts w:cs="Times New Roman"/>
                <w:sz w:val="20"/>
                <w:szCs w:val="20"/>
              </w:rPr>
            </w:pPr>
            <w:r>
              <w:rPr>
                <w:rFonts w:cs="Times New Roman"/>
                <w:sz w:val="20"/>
                <w:szCs w:val="20"/>
              </w:rPr>
              <w:t xml:space="preserve">Итоговая оценка предпочтительности заявки:</w:t>
            </w:r>
            <w:r>
              <w:rPr>
                <w:rFonts w:cs="Times New Roman"/>
                <w:sz w:val="20"/>
                <w:szCs w:val="20"/>
              </w:rPr>
            </w:r>
            <w:r>
              <w:rPr>
                <w:rFonts w:cs="Times New Roman"/>
                <w:sz w:val="20"/>
                <w:szCs w:val="20"/>
              </w:rPr>
            </w:r>
          </w:p>
        </w:tc>
        <w:tc>
          <w:tcPr>
            <w:gridSpan w:val="3"/>
            <w:shd w:val="clear" w:color="auto" w:fill="auto"/>
            <w:tcBorders>
              <w:top w:val="single" w:color="00000A" w:sz="4" w:space="0"/>
              <w:left w:val="single" w:color="00000A" w:sz="4" w:space="0"/>
              <w:bottom w:val="single" w:color="00000A" w:sz="4" w:space="0"/>
              <w:right w:val="single" w:color="00000A" w:sz="4" w:space="0"/>
            </w:tcBorders>
            <w:tcW w:w="9212" w:type="dxa"/>
            <w:textDirection w:val="lrTb"/>
            <w:noWrap w:val="false"/>
          </w:tcPr>
          <w:p>
            <w:pPr>
              <w:spacing w:before="0"/>
              <w:widowControl w:val="off"/>
              <w:rPr>
                <w:rFonts w:cs="Times New Roman"/>
                <w:sz w:val="20"/>
                <w:szCs w:val="20"/>
              </w:rPr>
            </w:pPr>
            <w:r>
              <w:rPr>
                <w:sz w:val="18"/>
                <w:szCs w:val="18"/>
              </w:rPr>
              <w:t xml:space="preserve">Расчет итоговой оценки предпочтительности </w:t>
            </w:r>
            <w:r>
              <w:rPr>
                <w:i/>
                <w:sz w:val="18"/>
                <w:szCs w:val="18"/>
                <w:lang w:val="en-US"/>
              </w:rPr>
              <w:t xml:space="preserve">i</w:t>
            </w:r>
            <w:r>
              <w:rPr>
                <w:sz w:val="18"/>
                <w:szCs w:val="18"/>
              </w:rPr>
              <w:t xml:space="preserve">-ой заявки</w:t>
            </w:r>
            <w:r>
              <w:rPr>
                <w:rFonts w:cs="Times New Roman"/>
                <w:sz w:val="20"/>
                <w:szCs w:val="20"/>
              </w:rPr>
              <w:t xml:space="preserve">:</w:t>
            </w:r>
            <w:r>
              <w:rPr>
                <w:rFonts w:cs="Times New Roman"/>
                <w:sz w:val="20"/>
                <w:szCs w:val="20"/>
              </w:rPr>
            </w:r>
            <w:r>
              <w:rPr>
                <w:rFonts w:cs="Times New Roman"/>
                <w:sz w:val="20"/>
                <w:szCs w:val="20"/>
              </w:rPr>
            </w:r>
          </w:p>
          <w:p>
            <w:pPr>
              <w:jc w:val="center"/>
              <w:keepNext/>
              <w:spacing w:before="0"/>
              <w:widowControl w:val="off"/>
              <w:rPr>
                <w:rFonts w:cs="Times New Roman"/>
                <w:sz w:val="20"/>
                <w:szCs w:val="20"/>
              </w:rPr>
            </w:pPr>
            <w:r>
              <w:rPr>
                <w:rFonts w:cs="Times New Roman"/>
                <w:sz w:val="20"/>
                <w:szCs w:val="20"/>
              </w:rPr>
            </w:r>
            <w:r>
              <w:rPr>
                <w:rFonts w:cs="Times New Roman"/>
                <w:sz w:val="20"/>
                <w:szCs w:val="20"/>
              </w:rPr>
            </w:r>
            <w:r>
              <w:rPr>
                <w:rFonts w:cs="Times New Roman"/>
                <w:sz w:val="20"/>
                <w:szCs w:val="20"/>
              </w:rPr>
            </w:r>
          </w:p>
          <w:p>
            <w:pPr>
              <w:jc w:val="center"/>
              <w:keepNext/>
              <w:spacing w:before="0"/>
              <w:widowControl w:val="off"/>
              <w:rPr>
                <w:sz w:val="18"/>
                <w:szCs w:val="18"/>
              </w:rPr>
            </w:pPr>
            <w:r/>
            <m:oMathPara>
              <m:oMathParaPr>
                <m:jc m:val="center"/>
              </m:oMathParaPr>
              <m:oMath>
                <m:sSub>
                  <m:sSubPr>
                    <m:ctrlPr>
                      <w:rPr>
                        <w:rFonts w:ascii="Cambria Math" w:hAnsi="Cambria Math" w:eastAsia="Cambria Math" w:cs="Cambria Math"/>
                      </w:rPr>
                    </m:ctrlPr>
                  </m:sSubPr>
                  <m:e>
                    <m:r>
                      <w:rPr>
                        <w:rFonts w:ascii="Cambria Math" w:hAnsi="Cambria Math"/>
                      </w:rPr>
                      <m:rPr/>
                      <m:t>Б</m:t>
                    </m:r>
                  </m:e>
                  <m:sub>
                    <m:r>
                      <w:rPr>
                        <w:rFonts w:ascii="Cambria Math" w:hAnsi="Cambria Math"/>
                      </w:rPr>
                      <m:rPr/>
                      <m:t>ИТОГ</m:t>
                    </m:r>
                  </m:sub>
                </m:sSub>
                <m:r>
                  <w:rPr>
                    <w:rFonts w:ascii="Cambria Math" w:hAnsi="Cambria Math"/>
                  </w:rPr>
                  <m:rPr/>
                  <m:t>=</m:t>
                </m:r>
                <m:nary>
                  <m:naryPr>
                    <m:chr m:val="∑"/>
                    <m:grow m:val="off"/>
                    <m:subHide m:val="on"/>
                    <m:supHide m:val="on"/>
                    <m:ctrlPr>
                      <w:rPr>
                        <w:rFonts w:ascii="Cambria Math" w:hAnsi="Cambria Math" w:eastAsia="Cambria Math" w:cs="Cambria Math"/>
                      </w:rPr>
                    </m:ctrlPr>
                  </m:naryPr>
                  <m:sub/>
                  <m:sup/>
                  <m:e>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rPr>
                              <m:rPr/>
                              <m:t>Б</m:t>
                            </m:r>
                          </m:e>
                          <m:sub>
                            <m:sSub>
                              <m:sSubPr>
                                <m:ctrlPr>
                                  <w:rPr>
                                    <w:rFonts w:ascii="Cambria Math" w:hAnsi="Cambria Math" w:eastAsia="Cambria Math" w:cs="Cambria Math"/>
                                  </w:rPr>
                                </m:ctrlPr>
                              </m:sSubPr>
                              <m:e>
                                <m:r>
                                  <w:rPr>
                                    <w:rFonts w:ascii="Cambria Math" w:hAnsi="Cambria Math"/>
                                  </w:rPr>
                                  <m:rPr/>
                                  <m:t>1уровень</m:t>
                                </m:r>
                              </m:e>
                              <m:sub>
                                <m:r>
                                  <w:rPr>
                                    <w:rFonts w:ascii="Cambria Math" w:hAnsi="Cambria Math"/>
                                  </w:rPr>
                                  <m:rPr/>
                                  <m:t>k</m:t>
                                </m:r>
                              </m:sub>
                            </m:sSub>
                          </m:sub>
                        </m:sSub>
                        <m:r>
                          <w:rPr>
                            <w:rFonts w:ascii="Cambria Math" w:hAnsi="Cambria Math"/>
                          </w:rPr>
                          <m:rPr/>
                          <m:t>×</m:t>
                        </m:r>
                        <m:sSub>
                          <m:sSubPr>
                            <m:ctrlPr>
                              <w:rPr>
                                <w:rFonts w:ascii="Cambria Math" w:hAnsi="Cambria Math" w:eastAsia="Cambria Math" w:cs="Cambria Math"/>
                              </w:rPr>
                            </m:ctrlPr>
                          </m:sSubPr>
                          <m:e>
                            <m:r>
                              <w:rPr>
                                <w:rFonts w:ascii="Cambria Math" w:hAnsi="Cambria Math"/>
                              </w:rPr>
                              <m:rPr/>
                              <m:t>В</m:t>
                            </m:r>
                          </m:e>
                          <m:sub>
                            <m:sSub>
                              <m:sSubPr>
                                <m:ctrlPr>
                                  <w:rPr>
                                    <w:rFonts w:ascii="Cambria Math" w:hAnsi="Cambria Math" w:eastAsia="Cambria Math" w:cs="Cambria Math"/>
                                  </w:rPr>
                                </m:ctrlPr>
                              </m:sSubPr>
                              <m:e>
                                <m:r>
                                  <w:rPr>
                                    <w:rFonts w:ascii="Cambria Math" w:hAnsi="Cambria Math"/>
                                  </w:rPr>
                                  <m:rPr/>
                                  <m:t>1уровень</m:t>
                                </m:r>
                              </m:e>
                              <m:sub>
                                <m:r>
                                  <w:rPr>
                                    <w:rFonts w:ascii="Cambria Math" w:hAnsi="Cambria Math"/>
                                  </w:rPr>
                                  <m:rPr/>
                                  <m:t>k</m:t>
                                </m:r>
                              </m:sub>
                            </m:sSub>
                          </m:sub>
                        </m:sSub>
                      </m:e>
                    </m:d>
                  </m:e>
                </m:nary>
                <m:r>
                  <w:rPr>
                    <w:rFonts w:ascii="Cambria Math" w:hAnsi="Cambria Math"/>
                  </w:rPr>
                  <m:rPr/>
                  <m:t>,</m:t>
                </m:r>
              </m:oMath>
            </m:oMathPara>
            <w:r>
              <w:rPr>
                <w:sz w:val="18"/>
                <w:szCs w:val="18"/>
              </w:rPr>
            </w:r>
            <w:r>
              <w:rPr>
                <w:sz w:val="18"/>
                <w:szCs w:val="18"/>
              </w:rPr>
            </w:r>
          </w:p>
          <w:p>
            <w:pPr>
              <w:keepNext/>
              <w:spacing w:before="0"/>
              <w:widowControl w:val="off"/>
              <w:rPr>
                <w:rFonts w:cs="Times New Roman"/>
                <w:sz w:val="20"/>
                <w:szCs w:val="20"/>
              </w:rPr>
            </w:pPr>
            <w:r>
              <w:rPr>
                <w:rFonts w:cs="Times New Roman"/>
                <w:sz w:val="20"/>
                <w:szCs w:val="20"/>
              </w:rPr>
              <w:t xml:space="preserve">где:</w:t>
            </w:r>
            <w:r>
              <w:rPr>
                <w:rFonts w:cs="Times New Roman"/>
                <w:sz w:val="20"/>
                <w:szCs w:val="20"/>
              </w:rPr>
            </w:r>
            <w:r>
              <w:rPr>
                <w:rFonts w:cs="Times New Roman"/>
                <w:sz w:val="20"/>
                <w:szCs w:val="20"/>
              </w:rPr>
            </w:r>
          </w:p>
          <w:p>
            <w:pPr>
              <w:spacing w:before="0"/>
              <w:widowControl w:val="off"/>
              <w:tabs>
                <w:tab w:val="left" w:pos="742" w:leader="none"/>
                <w:tab w:val="left" w:pos="1167" w:leader="none"/>
              </w:tabs>
              <w:rPr>
                <w:sz w:val="20"/>
                <w:szCs w:val="20"/>
              </w:rPr>
            </w:pPr>
            <w:r>
              <w:rPr>
                <w:sz w:val="20"/>
                <w:szCs w:val="20"/>
              </w:rPr>
              <w:t xml:space="preserve">Б</w:t>
            </w:r>
            <w:r>
              <w:rPr>
                <w:sz w:val="20"/>
                <w:szCs w:val="20"/>
                <w:vertAlign w:val="subscript"/>
              </w:rPr>
              <w:t xml:space="preserve">ИТОГ</w:t>
            </w:r>
            <w:r>
              <w:rPr>
                <w:sz w:val="20"/>
                <w:szCs w:val="20"/>
              </w:rPr>
              <w:tab/>
              <w:t xml:space="preserve">–</w:t>
            </w:r>
            <w:r>
              <w:rPr>
                <w:sz w:val="20"/>
                <w:szCs w:val="20"/>
              </w:rPr>
              <w:tab/>
              <w:t xml:space="preserve">рассчитанная итоговая оценка предпочтительности в баллах;</w:t>
            </w:r>
            <w:r>
              <w:rPr>
                <w:sz w:val="20"/>
                <w:szCs w:val="20"/>
              </w:rPr>
            </w:r>
            <w:r>
              <w:rPr>
                <w:sz w:val="20"/>
                <w:szCs w:val="20"/>
              </w:rPr>
            </w:r>
          </w:p>
          <w:p>
            <w:pPr>
              <w:spacing w:before="0"/>
              <w:widowControl w:val="off"/>
              <w:tabs>
                <w:tab w:val="left" w:pos="742" w:leader="none"/>
                <w:tab w:val="left" w:pos="1167" w:leader="none"/>
              </w:tabs>
              <w:rPr>
                <w:sz w:val="20"/>
                <w:szCs w:val="20"/>
              </w:rPr>
            </w:pPr>
            <w:r>
              <w:rPr>
                <w:sz w:val="20"/>
                <w:szCs w:val="20"/>
              </w:rPr>
              <w:t xml:space="preserve">Б</w:t>
            </w:r>
            <w:r>
              <w:rPr>
                <w:sz w:val="20"/>
                <w:szCs w:val="20"/>
                <w:vertAlign w:val="subscript"/>
              </w:rPr>
              <w:t xml:space="preserve">1 уровень k</w:t>
            </w:r>
            <w:r>
              <w:rPr>
                <w:sz w:val="20"/>
                <w:szCs w:val="20"/>
              </w:rPr>
              <w:tab/>
              <w:t xml:space="preserve">–</w:t>
            </w:r>
            <w:r>
              <w:rPr>
                <w:sz w:val="20"/>
                <w:szCs w:val="20"/>
              </w:rPr>
              <w:tab/>
              <w:t xml:space="preserve">оценка предпочтительности по k-тому критерию оценки первого уровня в баллах;</w:t>
            </w:r>
            <w:r>
              <w:rPr>
                <w:sz w:val="20"/>
                <w:szCs w:val="20"/>
              </w:rPr>
            </w:r>
            <w:r>
              <w:rPr>
                <w:sz w:val="20"/>
                <w:szCs w:val="20"/>
              </w:rPr>
            </w:r>
          </w:p>
          <w:p>
            <w:pPr>
              <w:pStyle w:val="1222"/>
              <w:numPr>
                <w:ilvl w:val="6"/>
                <w:numId w:val="32"/>
              </w:numPr>
              <w:ind w:left="0"/>
              <w:spacing w:before="0" w:line="240" w:lineRule="auto"/>
              <w:widowControl w:val="off"/>
              <w:tabs>
                <w:tab w:val="left" w:pos="360" w:leader="none"/>
                <w:tab w:val="left" w:pos="742" w:leader="none"/>
                <w:tab w:val="left" w:pos="1167" w:leader="none"/>
                <w:tab w:val="left" w:pos="1440" w:leader="none"/>
                <w:tab w:val="left" w:pos="2736" w:leader="none"/>
              </w:tabs>
              <w:rPr>
                <w:rFonts w:ascii="Times New Roman" w:hAnsi="Times New Roman"/>
                <w:sz w:val="20"/>
                <w:szCs w:val="20"/>
              </w:rPr>
            </w:pPr>
            <w:r>
              <w:rPr>
                <w:rFonts w:ascii="Times New Roman" w:hAnsi="Times New Roman"/>
                <w:sz w:val="20"/>
                <w:szCs w:val="20"/>
              </w:rPr>
              <w:t xml:space="preserve">В</w:t>
            </w:r>
            <w:r>
              <w:rPr>
                <w:rFonts w:ascii="Times New Roman" w:hAnsi="Times New Roman"/>
                <w:sz w:val="20"/>
                <w:szCs w:val="20"/>
                <w:vertAlign w:val="subscript"/>
              </w:rPr>
              <w:t xml:space="preserve">1 уровень k</w:t>
            </w:r>
            <w:r>
              <w:rPr>
                <w:rFonts w:ascii="Times New Roman" w:hAnsi="Times New Roman"/>
                <w:sz w:val="20"/>
                <w:szCs w:val="20"/>
              </w:rPr>
              <w:tab/>
              <w:t xml:space="preserve">–</w:t>
            </w:r>
            <w:r>
              <w:rPr>
                <w:rFonts w:ascii="Times New Roman" w:hAnsi="Times New Roman"/>
                <w:sz w:val="20"/>
                <w:szCs w:val="20"/>
              </w:rPr>
              <w:tab/>
              <w:t xml:space="preserve">значимость k-ого критерия оценки первого уровня, выраженная в диапазоне от 1% до 100% (или от 0,01 до 1,00) – вес k-ого критерия оценки первого уровня. </w:t>
            </w:r>
            <w:r>
              <w:rPr>
                <w:rFonts w:ascii="Times New Roman" w:hAnsi="Times New Roman"/>
                <w:sz w:val="20"/>
                <w:szCs w:val="20"/>
              </w:rPr>
            </w:r>
            <w:r>
              <w:rPr>
                <w:rFonts w:ascii="Times New Roman" w:hAnsi="Times New Roman"/>
                <w:sz w:val="20"/>
                <w:szCs w:val="20"/>
              </w:rPr>
            </w:r>
          </w:p>
          <w:p>
            <w:pPr>
              <w:jc w:val="both"/>
              <w:spacing w:before="0"/>
              <w:widowControl w:val="off"/>
              <w:tabs>
                <w:tab w:val="left" w:pos="742" w:leader="none"/>
                <w:tab w:val="left" w:pos="1167" w:leader="none"/>
              </w:tabs>
              <w:rPr>
                <w:rFonts w:cs="Times New Roman"/>
                <w:i/>
                <w:iCs/>
                <w:sz w:val="20"/>
                <w:szCs w:val="20"/>
              </w:rPr>
            </w:pPr>
            <w:r>
              <w:rPr>
                <w:rFonts w:eastAsia="Times New Roman" w:cs="Times New Roman"/>
                <w:i/>
                <w:iCs/>
                <w:sz w:val="20"/>
                <w:szCs w:val="20"/>
              </w:rPr>
              <w:t xml:space="preserve">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r>
              <w:rPr>
                <w:rFonts w:cs="Times New Roman"/>
                <w:i/>
                <w:iCs/>
                <w:sz w:val="20"/>
                <w:szCs w:val="20"/>
              </w:rPr>
            </w:r>
            <w:r>
              <w:rPr>
                <w:rFonts w:cs="Times New Roman"/>
                <w:i/>
                <w:iCs/>
                <w:sz w:val="20"/>
                <w:szCs w:val="20"/>
              </w:rPr>
            </w:r>
          </w:p>
        </w:tc>
      </w:tr>
    </w:tbl>
    <w:p>
      <w:pPr>
        <w:pStyle w:val="1176"/>
      </w:pPr>
      <w:r>
        <w:t xml:space="preserve">Итоговая оц</w:t>
      </w:r>
      <w:r>
        <w:t xml:space="preserve">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t xml:space="preserve">на одной ветке иерархии </w:t>
      </w:r>
      <w:r>
        <w:t xml:space="preserve">составляет 100%. Вычисление оценки предпочтительности по каждому критерию и итоговой оценки предпочтительности заявки производится с точностью до</w:t>
      </w:r>
      <w:r>
        <w:t xml:space="preserve"> </w:t>
      </w:r>
      <w:r>
        <w:t xml:space="preserve">десятитысячных балла.</w:t>
      </w:r>
      <w:r/>
    </w:p>
    <w:p>
      <w:pPr>
        <w:pStyle w:val="1176"/>
      </w:pPr>
      <w:r>
        <w:t xml:space="preserve">В </w:t>
      </w:r>
      <w:r>
        <w:t xml:space="preserve">установленных </w:t>
      </w:r>
      <w:r>
        <w:t xml:space="preserve">случа</w:t>
      </w:r>
      <w:r>
        <w:t xml:space="preserve">ях </w:t>
      </w:r>
      <w:r>
        <w:t xml:space="preserve">оценка и сопоставление заявок производится с учетом </w:t>
      </w:r>
      <w:r>
        <w:t xml:space="preserve">предоставления национального режима</w:t>
      </w:r>
      <w:r>
        <w:t xml:space="preserve"> в</w:t>
      </w:r>
      <w:r>
        <w:t xml:space="preserve"> </w:t>
      </w:r>
      <w:r>
        <w:t xml:space="preserve">соответствии с</w:t>
      </w:r>
      <w:r>
        <w:t xml:space="preserve"> </w:t>
      </w:r>
      <w:r>
        <w:t xml:space="preserve">порядк</w:t>
      </w:r>
      <w:r>
        <w:t xml:space="preserve">ом</w:t>
      </w:r>
      <w:r>
        <w:t xml:space="preserve">, предусмотренном подразделом</w:t>
      </w:r>
      <w:r>
        <w:t xml:space="preserve"> </w:t>
      </w:r>
      <w:r>
        <w:fldChar w:fldCharType="begin"/>
      </w:r>
      <w:r>
        <w:instrText xml:space="preserve"> REF _Ref130985951 \r \h </w:instrText>
      </w:r>
      <w:r>
        <w:fldChar w:fldCharType="separate"/>
      </w:r>
      <w:r>
        <w:t xml:space="preserve">4.13</w:t>
      </w:r>
      <w:r>
        <w:fldChar w:fldCharType="end"/>
      </w:r>
      <w:r>
        <w:t xml:space="preserve">.</w:t>
      </w:r>
      <w:r/>
    </w:p>
    <w:p>
      <w:pPr>
        <w:pStyle w:val="1176"/>
      </w:pPr>
      <w:r>
        <w:t xml:space="preserve">Заявки участников</w:t>
      </w:r>
      <w:r>
        <w:t xml:space="preserve"> (</w:t>
      </w:r>
      <w:r>
        <w:t xml:space="preserve">из числа успешно прошедших отборочную стадию</w:t>
      </w:r>
      <w:r>
        <w:t xml:space="preserve">)</w:t>
      </w:r>
      <w:r>
        <w:t xml:space="preserve"> ранжируются по количеству набранных баллов (от</w:t>
      </w:r>
      <w:r>
        <w:t xml:space="preserve"> </w:t>
      </w:r>
      <w:r>
        <w:t xml:space="preserve">наибольшего к наименьшему), присвоенных заявкам по</w:t>
      </w:r>
      <w:r>
        <w:t xml:space="preserve"> </w:t>
      </w:r>
      <w:r>
        <w:t xml:space="preserve">результатам</w:t>
      </w:r>
      <w:r>
        <w:t xml:space="preserve"> оценки</w:t>
      </w:r>
      <w:r>
        <w:t xml:space="preserve">.</w:t>
      </w:r>
      <w:r/>
    </w:p>
    <w:p>
      <w:pPr>
        <w:pStyle w:val="1180"/>
      </w:pPr>
      <w:r/>
      <w:r/>
    </w:p>
    <w:p>
      <w:pPr>
        <w:pStyle w:val="1180"/>
        <w:sectPr>
          <w:footnotePr/>
          <w:endnotePr/>
          <w:type w:val="nextPage"/>
          <w:pgSz w:w="16838" w:h="11906" w:orient="landscape"/>
          <w:pgMar w:top="1134" w:right="851" w:bottom="850" w:left="851" w:header="567" w:footer="567" w:gutter="0"/>
          <w:cols w:num="1" w:sep="0" w:space="708" w:equalWidth="1"/>
          <w:docGrid w:linePitch="360"/>
        </w:sectPr>
      </w:pPr>
      <w:r/>
      <w:r/>
    </w:p>
    <w:p>
      <w:pPr>
        <w:pStyle w:val="1174"/>
      </w:pPr>
      <w:r/>
      <w:bookmarkStart w:id="387" w:name="_Toc136249260"/>
      <w:r/>
      <w:bookmarkStart w:id="388" w:name="_Toc136261689"/>
      <w:r/>
      <w:bookmarkStart w:id="389" w:name="_Toc136261766"/>
      <w:r/>
      <w:bookmarkStart w:id="390" w:name="_Toc136249261"/>
      <w:r/>
      <w:bookmarkStart w:id="391" w:name="_Toc136261690"/>
      <w:r/>
      <w:bookmarkStart w:id="392" w:name="_Toc136261767"/>
      <w:r/>
      <w:bookmarkStart w:id="393" w:name="_Toc136249262"/>
      <w:r/>
      <w:bookmarkStart w:id="394" w:name="_Toc136261691"/>
      <w:r/>
      <w:bookmarkStart w:id="395" w:name="_Toc136261768"/>
      <w:r/>
      <w:bookmarkStart w:id="396" w:name="_Toc136249263"/>
      <w:r/>
      <w:bookmarkStart w:id="397" w:name="_Toc136261692"/>
      <w:r/>
      <w:bookmarkStart w:id="398" w:name="_Toc136261769"/>
      <w:r/>
      <w:bookmarkStart w:id="399" w:name="_Ref125360420"/>
      <w:r/>
      <w:bookmarkStart w:id="400" w:name="Прил09_ОбоснованиеНМЦ"/>
      <w:r/>
      <w:bookmarkStart w:id="401" w:name="_Toc232579473"/>
      <w:r/>
      <w:bookmarkEnd w:id="387"/>
      <w:r/>
      <w:bookmarkEnd w:id="388"/>
      <w:r/>
      <w:bookmarkEnd w:id="389"/>
      <w:r/>
      <w:bookmarkEnd w:id="390"/>
      <w:r/>
      <w:bookmarkEnd w:id="391"/>
      <w:r/>
      <w:bookmarkEnd w:id="392"/>
      <w:r/>
      <w:bookmarkEnd w:id="393"/>
      <w:r/>
      <w:bookmarkEnd w:id="394"/>
      <w:r/>
      <w:bookmarkEnd w:id="395"/>
      <w:r/>
      <w:bookmarkEnd w:id="396"/>
      <w:r/>
      <w:bookmarkEnd w:id="397"/>
      <w:r/>
      <w:bookmarkEnd w:id="398"/>
      <w:r>
        <w:t xml:space="preserve">Приложение № </w:t>
      </w:r>
      <w:r>
        <w:t xml:space="preserve">9 </w:t>
      </w:r>
      <w:r>
        <w:t xml:space="preserve">– Обоснование НМЦ</w:t>
      </w:r>
      <w:bookmarkEnd w:id="399"/>
      <w:r/>
      <w:bookmarkEnd w:id="400"/>
      <w:r/>
      <w:bookmarkEnd w:id="401"/>
      <w:r/>
      <w:r/>
    </w:p>
    <w:p>
      <w:pPr>
        <w:pStyle w:val="1175"/>
      </w:pPr>
      <w:r/>
      <w:bookmarkStart w:id="402" w:name="_Toc232579474"/>
      <w:r>
        <w:t xml:space="preserve">Пояснения к Обоснованию НМЦ</w:t>
      </w:r>
      <w:bookmarkEnd w:id="402"/>
      <w:r/>
      <w:r/>
    </w:p>
    <w:p>
      <w:pPr>
        <w:pStyle w:val="1176"/>
      </w:pPr>
      <w:r>
        <w:t xml:space="preserve">Обоснование НМЦ приведено </w:t>
      </w:r>
      <w:r>
        <w:t xml:space="preserve">в отдельном файле</w:t>
      </w:r>
      <w:r>
        <w:t xml:space="preserve"> (</w:t>
      </w:r>
      <w:r>
        <w:t xml:space="preserve">предоставляется отдельным документом в составе Документации о закупке</w:t>
      </w:r>
      <w:r>
        <w:t xml:space="preserve">)</w:t>
      </w:r>
      <w:r>
        <w:t xml:space="preserve">, являющимся Приложением № </w:t>
      </w:r>
      <w:r>
        <w:t xml:space="preserve">9 </w:t>
      </w:r>
      <w:r>
        <w:t xml:space="preserve">к Документации о закупке</w:t>
      </w:r>
      <w:r>
        <w:t xml:space="preserve">.</w:t>
      </w:r>
      <w:r/>
    </w:p>
    <w:p>
      <w:pPr>
        <w:pStyle w:val="1174"/>
      </w:pPr>
      <w:r/>
      <w:bookmarkStart w:id="403" w:name="Прил10_ЗаявкаНаАккредитацию"/>
      <w:r/>
      <w:bookmarkStart w:id="404" w:name="_Toc232579475"/>
      <w:r/>
      <w:bookmarkEnd w:id="403"/>
      <w:r>
        <w:t xml:space="preserve">Приложение № </w:t>
      </w:r>
      <w:r>
        <w:t xml:space="preserve">10 </w:t>
      </w:r>
      <w:r>
        <w:t xml:space="preserve">– Форма Заявки на аккредитацию</w:t>
      </w:r>
      <w:bookmarkEnd w:id="404"/>
      <w:r/>
      <w:r/>
    </w:p>
    <w:p>
      <w:pPr>
        <w:pStyle w:val="1175"/>
      </w:pPr>
      <w:r/>
      <w:bookmarkStart w:id="405" w:name="_Toc232579476"/>
      <w:r>
        <w:t xml:space="preserve">Пояснения к форме Заявки на аккредитацию</w:t>
      </w:r>
      <w:bookmarkEnd w:id="405"/>
      <w:r/>
      <w:r/>
    </w:p>
    <w:p>
      <w:pPr>
        <w:pStyle w:val="1176"/>
      </w:pPr>
      <w:r>
        <w:t xml:space="preserve">Форма Заявки на аккредитацию приведена в отдельном файле</w:t>
      </w:r>
      <w:r>
        <w:t xml:space="preserve"> (</w:t>
      </w:r>
      <w:r>
        <w:t xml:space="preserve">предоставляется отдельным документом в составе Документации о закупке</w:t>
      </w:r>
      <w:r>
        <w:t xml:space="preserve">)</w:t>
      </w:r>
      <w:r>
        <w:t xml:space="preserve">, являющимся Приложением № </w:t>
      </w:r>
      <w:r>
        <w:t xml:space="preserve">10 </w:t>
      </w:r>
      <w:r>
        <w:t xml:space="preserve">к Документации о закупке.</w:t>
      </w:r>
      <w:r/>
    </w:p>
    <w:p>
      <w:pPr>
        <w:pStyle w:val="1180"/>
        <w:jc w:val="center"/>
      </w:pPr>
      <w:r>
        <mc:AlternateContent>
          <mc:Choice Requires="wpg">
            <w:drawing>
              <wp:inline xmlns:wp="http://schemas.openxmlformats.org/drawingml/2006/wordprocessingDrawing" distT="0" distB="0" distL="0" distR="0">
                <wp:extent cx="990600" cy="609600"/>
                <wp:effectExtent l="0" t="0" r="0" b="0"/>
                <wp:docPr id="4" name="_x0000_i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
                          <a:extLst>
                            <a:ext uri="{96DAC541-7B7A-43D3-8B79-37D633B846F1}">
                              <asvg:svgBlip xmlns:asvg="http://schemas.microsoft.com/office/drawing/2016/SVG/main" r:embed="rId24"/>
                            </a:ext>
                          </a:extLst>
                        </a:blip>
                        <a:stretch/>
                      </pic:blipFill>
                      <pic:spPr bwMode="auto">
                        <a:xfrm>
                          <a:off x="0" y="0"/>
                          <a:ext cx="990600" cy="6096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78.00pt;height:48.00pt;mso-wrap-distance-left:0.00pt;mso-wrap-distance-top:0.00pt;mso-wrap-distance-right:0.00pt;mso-wrap-distance-bottom:0.00pt;" stroked="f">
                <v:path textboxrect="0,0,0,0"/>
                <v:imagedata r:id="rId23" o:title=""/>
              </v:shape>
            </w:pict>
          </mc:Fallback>
        </mc:AlternateContent>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80"/>
        <w:jc w:val="center"/>
      </w:pPr>
      <w:r/>
      <w:r/>
    </w:p>
    <w:p>
      <w:pPr>
        <w:pStyle w:val="1174"/>
        <w:rPr>
          <w:rFonts w:cs="Times New Roman"/>
        </w:rPr>
      </w:pPr>
      <w:r/>
      <w:bookmarkStart w:id="406" w:name="Прил11_Данные_бухотчетность"/>
      <w:r/>
      <w:bookmarkStart w:id="407" w:name="_Toc225267947"/>
      <w:r/>
      <w:bookmarkStart w:id="408" w:name="_Toc226639006"/>
      <w:r/>
      <w:bookmarkStart w:id="409" w:name="_Toc226714468"/>
      <w:r/>
      <w:bookmarkStart w:id="410" w:name="_Ref227163718"/>
      <w:r/>
      <w:bookmarkStart w:id="411" w:name="_Toc227165384"/>
      <w:r/>
      <w:bookmarkStart w:id="412" w:name="_Toc232579477"/>
      <w:r>
        <w:rPr>
          <w:rFonts w:cs="Times New Roman"/>
        </w:rPr>
        <w:t xml:space="preserve">Приложение № 11 </w:t>
      </w:r>
      <w:bookmarkEnd w:id="406"/>
      <w:r>
        <w:rPr>
          <w:rFonts w:cs="Times New Roman"/>
        </w:rPr>
        <w:t xml:space="preserve">– форма Данных бухгалтерской (финансовой) отчетности</w:t>
      </w:r>
      <w:bookmarkEnd w:id="407"/>
      <w:r/>
      <w:bookmarkEnd w:id="408"/>
      <w:r/>
      <w:bookmarkEnd w:id="409"/>
      <w:r/>
      <w:bookmarkEnd w:id="410"/>
      <w:r/>
      <w:bookmarkEnd w:id="411"/>
      <w:r/>
      <w:bookmarkEnd w:id="412"/>
      <w:r>
        <w:rPr>
          <w:rFonts w:cs="Times New Roman"/>
        </w:rPr>
      </w:r>
      <w:r>
        <w:rPr>
          <w:rFonts w:cs="Times New Roman"/>
        </w:rPr>
      </w:r>
    </w:p>
    <w:p>
      <w:pPr>
        <w:pStyle w:val="1175"/>
        <w:rPr>
          <w:rFonts w:cs="Times New Roman"/>
        </w:rPr>
      </w:pPr>
      <w:r/>
      <w:bookmarkStart w:id="413" w:name="_Toc225267948"/>
      <w:r/>
      <w:bookmarkStart w:id="414" w:name="_Toc226639007"/>
      <w:r/>
      <w:bookmarkStart w:id="415" w:name="_Toc226714469"/>
      <w:r/>
      <w:bookmarkStart w:id="416" w:name="_Toc227165385"/>
      <w:r/>
      <w:bookmarkStart w:id="417" w:name="_Toc232579478"/>
      <w:r>
        <w:rPr>
          <w:rFonts w:cs="Times New Roman"/>
        </w:rPr>
        <w:t xml:space="preserve">Пояснения к форме Данных бухгалтерской (финансовой) отчетности</w:t>
      </w:r>
      <w:bookmarkEnd w:id="413"/>
      <w:r/>
      <w:bookmarkEnd w:id="414"/>
      <w:r/>
      <w:bookmarkEnd w:id="415"/>
      <w:r/>
      <w:bookmarkEnd w:id="416"/>
      <w:r/>
      <w:bookmarkEnd w:id="417"/>
      <w:r>
        <w:rPr>
          <w:rFonts w:cs="Times New Roman"/>
        </w:rPr>
        <w:t xml:space="preserve"> </w:t>
      </w:r>
      <w:r>
        <w:rPr>
          <w:rFonts w:cs="Times New Roman"/>
        </w:rPr>
      </w:r>
      <w:r>
        <w:rPr>
          <w:rFonts w:cs="Times New Roman"/>
        </w:rPr>
      </w:r>
    </w:p>
    <w:p>
      <w:pPr>
        <w:pStyle w:val="1176"/>
        <w:rPr>
          <w:rFonts w:cs="Times New Roman"/>
        </w:rPr>
      </w:pPr>
      <w:r>
        <w:rPr>
          <w:rFonts w:cs="Times New Roman"/>
        </w:rPr>
        <w:t xml:space="preserve">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r>
        <w:rPr>
          <w:rFonts w:cs="Times New Roman"/>
        </w:rPr>
      </w:r>
      <w:r>
        <w:rPr>
          <w:rFonts w:cs="Times New Roman"/>
        </w:rPr>
      </w:r>
    </w:p>
    <w:p>
      <w:pPr>
        <w:rPr>
          <w:rFonts w:cs="Times New Roman"/>
        </w:rPr>
      </w:pPr>
      <w:r>
        <w:rPr>
          <w:rFonts w:cs="Times New Roman"/>
        </w:rPr>
      </w:r>
      <w:r>
        <w:rPr>
          <w:rFonts w:cs="Times New Roman"/>
        </w:rPr>
      </w:r>
      <w:r>
        <w:rPr>
          <w:rFonts w:cs="Times New Roman"/>
        </w:rPr>
      </w:r>
    </w:p>
    <w:p>
      <w:pPr>
        <w:jc w:val="center"/>
        <w:rPr>
          <w:rFonts w:cs="Times New Roman"/>
        </w:rPr>
      </w:pPr>
      <w:r/>
      <w:bookmarkStart w:id="418" w:name="_Hlk210643886"/>
      <w:r/>
      <w:bookmarkStart w:id="419" w:name="_MON_1821255075"/>
      <w:r/>
      <w:bookmarkEnd w:id="419"/>
      <w:r>
        <w:rPr>
          <w:rFonts w:cs="Times New Roman"/>
        </w:rPr>
        <mc:AlternateContent>
          <mc:Choice Requires="wpg">
            <w:drawing>
              <wp:inline xmlns:wp="http://schemas.openxmlformats.org/drawingml/2006/wordprocessingDrawing" distT="0" distB="0" distL="0" distR="0">
                <wp:extent cx="981075" cy="638175"/>
                <wp:effectExtent l="0" t="0" r="0" b="0"/>
                <wp:docPr id="5" name="_x0000_i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5">
                          <a:extLst>
                            <a:ext uri="{96DAC541-7B7A-43D3-8B79-37D633B846F1}">
                              <asvg:svgBlip xmlns:asvg="http://schemas.microsoft.com/office/drawing/2016/SVG/main" r:embed="rId26"/>
                            </a:ext>
                          </a:extLst>
                        </a:blip>
                        <a:stretch/>
                      </pic:blipFill>
                      <pic:spPr bwMode="auto">
                        <a:xfrm>
                          <a:off x="0" y="0"/>
                          <a:ext cx="981075" cy="6381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77.25pt;height:50.25pt;mso-wrap-distance-left:0.00pt;mso-wrap-distance-top:0.00pt;mso-wrap-distance-right:0.00pt;mso-wrap-distance-bottom:0.00pt;" stroked="f">
                <v:path textboxrect="0,0,0,0"/>
                <v:imagedata r:id="rId25" o:title=""/>
              </v:shape>
            </w:pict>
          </mc:Fallback>
        </mc:AlternateContent>
      </w:r>
      <w:bookmarkEnd w:id="418"/>
      <w:r>
        <w:rPr>
          <w:rFonts w:cs="Times New Roman"/>
        </w:rPr>
      </w:r>
      <w:r>
        <w:rPr>
          <w:rFonts w:cs="Times New Roman"/>
        </w:rPr>
      </w:r>
    </w:p>
    <w:p>
      <w:pPr>
        <w:pStyle w:val="1180"/>
        <w:jc w:val="center"/>
      </w:pPr>
      <w:r/>
      <w:bookmarkStart w:id="420" w:name="_GoBack"/>
      <w:r/>
      <w:bookmarkEnd w:id="420"/>
      <w:r/>
      <w:r/>
    </w:p>
    <w:sectPr>
      <w:footnotePr/>
      <w:endnotePr/>
      <w:type w:val="nextPage"/>
      <w:pgSz w:w="11906" w:h="16838" w:orient="portrait"/>
      <w:pgMar w:top="851" w:right="850" w:bottom="851" w:left="1134" w:header="567" w:footer="567"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before="0"/>
      </w:pPr>
      <w:r>
        <w:separator/>
      </w:r>
      <w:r/>
    </w:p>
  </w:endnote>
  <w:endnote w:type="continuationSeparator" w:id="0">
    <w:p>
      <w:pPr>
        <w:spacing w:before="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803050406030204"/>
  </w:font>
  <w:font w:name="Wingdings 3">
    <w:panose1 w:val="05040102010807070707"/>
  </w:font>
  <w:font w:name="Impact">
    <w:panose1 w:val="020B0806030902050204"/>
  </w:font>
  <w:font w:name="Wingdings">
    <w:panose1 w:val="05010000000000000000"/>
  </w:font>
  <w:font w:name="Courier New">
    <w:panose1 w:val="02070309020205020404"/>
  </w:font>
  <w:font w:name="Symbol">
    <w:panose1 w:val="05010000000000000000"/>
  </w:font>
  <w:font w:name="Calibri">
    <w:panose1 w:val="020F0502020204030204"/>
  </w:font>
  <w:font w:name="Segoe UI">
    <w:panose1 w:val="020B0503020204020204"/>
  </w:font>
  <w:font w:name="Arial">
    <w:panose1 w:val="020B0604020202020204"/>
  </w:font>
  <w:font w:name="Times New Roman">
    <w:panose1 w:val="020206030504050203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613905730"/>
      <w:docPartObj>
        <w:docPartGallery w:val="Page Numbers (Bottom of Page)"/>
        <w:docPartUnique w:val="true"/>
      </w:docPartObj>
      <w:rPr/>
    </w:sdtPr>
    <w:sdtContent>
      <w:p>
        <w:pPr>
          <w:pStyle w:val="1183"/>
        </w:pPr>
        <w:r>
          <w:fldChar w:fldCharType="begin"/>
        </w:r>
        <w:r>
          <w:instrText xml:space="preserve">PAGE   \* MERGEFORMAT</w:instrText>
        </w:r>
        <w:r>
          <w:fldChar w:fldCharType="separate"/>
        </w:r>
        <w:r>
          <w:t xml:space="preserve">2</w:t>
        </w:r>
        <w:r>
          <w:fldChar w:fldCharType="end"/>
        </w: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before="0"/>
      </w:pPr>
      <w:r>
        <w:separator/>
      </w:r>
      <w:r/>
    </w:p>
  </w:footnote>
  <w:footnote w:type="continuationSeparator" w:id="0">
    <w:p>
      <w:pPr>
        <w:spacing w:before="0"/>
      </w:pPr>
      <w:r>
        <w:continuationSeparator/>
      </w:r>
      <w:r/>
    </w:p>
  </w:footnote>
  <w:footnote w:id="2">
    <w:p>
      <w:pPr>
        <w:pStyle w:val="1189"/>
      </w:pPr>
      <w:r>
        <w:rPr>
          <w:rStyle w:val="1188"/>
        </w:rPr>
        <w:footnoteRef/>
      </w:r>
      <w:r>
        <w:tab/>
      </w:r>
      <w:r>
        <w:t xml:space="preserve">Информационной Системой ЭДО ПАО</w:t>
      </w:r>
      <w:r>
        <w:t xml:space="preserve"> </w:t>
      </w:r>
      <w:r>
        <w:t xml:space="preserve">«</w:t>
      </w:r>
      <w:r>
        <w:t xml:space="preserve">РусГидро</w:t>
      </w:r>
      <w:r>
        <w:t xml:space="preserve">» является «</w:t>
      </w:r>
      <w:r>
        <w:t xml:space="preserve">Диадок</w:t>
      </w:r>
      <w:r>
        <w:t xml:space="preserve">», с оператором которой ЗАО</w:t>
      </w:r>
      <w:r>
        <w:t xml:space="preserve"> </w:t>
      </w:r>
      <w:r>
        <w:t xml:space="preserve">«ПФ «СКБ» Контур» заключено Соглашение о переходе на юридически значимый документооборот.</w:t>
      </w:r>
      <w:r/>
    </w:p>
  </w:footnote>
  <w:footnote w:id="3">
    <w:p>
      <w:pPr>
        <w:pStyle w:val="1189"/>
      </w:pPr>
      <w:r>
        <w:rPr>
          <w:rStyle w:val="1188"/>
        </w:rPr>
        <w:footnoteRef/>
      </w:r>
      <w:r>
        <w:tab/>
      </w:r>
      <w:r>
        <w:t xml:space="preserve">Определенные в соответствии с </w:t>
      </w:r>
      <w:r>
        <w:t xml:space="preserve">Законом </w:t>
      </w:r>
      <w:r>
        <w:t xml:space="preserve">422-ФЗ.</w:t>
      </w:r>
      <w:r/>
    </w:p>
  </w:footnote>
  <w:footnote w:id="4">
    <w:p>
      <w:pPr>
        <w:pStyle w:val="1189"/>
      </w:pPr>
      <w:r>
        <w:rPr>
          <w:rStyle w:val="1188"/>
        </w:rPr>
        <w:footnoteRef/>
      </w:r>
      <w:r>
        <w:tab/>
        <w:t xml:space="preserve">По решению Ор</w:t>
      </w:r>
      <w:r>
        <w:t xml:space="preserve">ганизатора (в соответствии с По</w:t>
      </w:r>
      <w:r>
        <w:t xml:space="preserve">ложение</w:t>
      </w:r>
      <w:r>
        <w:t xml:space="preserve">м о закупке) в протоколе закупки</w:t>
      </w:r>
      <w:r>
        <w:t xml:space="preserve"> могут не отражаться сведения, позволяющие идентифицировать Участников.</w:t>
      </w:r>
      <w:r/>
    </w:p>
  </w:footnote>
  <w:footnote w:id="5">
    <w:p>
      <w:pPr>
        <w:pStyle w:val="1189"/>
      </w:pPr>
      <w:r>
        <w:rPr>
          <w:rStyle w:val="1188"/>
        </w:rPr>
        <w:footnoteRef/>
      </w:r>
      <w:r>
        <w:tab/>
      </w:r>
      <w:r>
        <w:t xml:space="preserve">При этом отклонение заявки за </w:t>
      </w:r>
      <w:r>
        <w:t xml:space="preserve">отсутствие в ней документов, требующихся исключительно для</w:t>
      </w:r>
      <w:r>
        <w:t xml:space="preserve"> </w:t>
      </w:r>
      <w:r>
        <w:t xml:space="preserve">целей оценки и сопоставления заявок (подраздел </w:t>
      </w:r>
      <w:r>
        <w:fldChar w:fldCharType="begin"/>
      </w:r>
      <w:r>
        <w:instrText xml:space="preserve"> REF _Ref125362626 \w \h </w:instrText>
      </w:r>
      <w:r>
        <w:instrText xml:space="preserve"> \* MERGEFORMAT </w:instrText>
      </w:r>
      <w:r>
        <w:fldChar w:fldCharType="separate"/>
      </w:r>
      <w:r>
        <w:t xml:space="preserve">4.12</w:t>
      </w:r>
      <w:r>
        <w:fldChar w:fldCharType="end"/>
      </w:r>
      <w:r>
        <w:t xml:space="preserve">), не допускается.</w:t>
      </w:r>
      <w:r/>
    </w:p>
  </w:footnote>
  <w:footnote w:id="6">
    <w:p>
      <w:pPr>
        <w:pStyle w:val="1189"/>
      </w:pPr>
      <w:r>
        <w:rPr>
          <w:rStyle w:val="1188"/>
        </w:rPr>
        <w:footnoteRef/>
      </w:r>
      <w:r>
        <w:tab/>
        <w:t xml:space="preserve">С учетом пункта </w:t>
      </w:r>
      <w:r>
        <w:fldChar w:fldCharType="begin"/>
      </w:r>
      <w:r>
        <w:instrText xml:space="preserve"> REF _Ref209609906 \r \h </w:instrText>
      </w:r>
      <w:r>
        <w:fldChar w:fldCharType="separate"/>
      </w:r>
      <w:r>
        <w:t xml:space="preserve">4.13.5</w:t>
      </w:r>
      <w:r>
        <w:fldChar w:fldCharType="end"/>
      </w:r>
      <w:r>
        <w:t xml:space="preserve">.</w:t>
      </w:r>
      <w:r/>
    </w:p>
  </w:footnote>
  <w:footnote w:id="7">
    <w:p>
      <w:pPr>
        <w:pStyle w:val="1189"/>
      </w:pPr>
      <w:r>
        <w:rPr>
          <w:rStyle w:val="1188"/>
        </w:rPr>
        <w:footnoteRef/>
      </w:r>
      <w:r>
        <w:tab/>
        <w:t xml:space="preserve">По решению Ор</w:t>
      </w:r>
      <w:r>
        <w:t xml:space="preserve">ганизатора (в соответствии с По</w:t>
      </w:r>
      <w:r>
        <w:t xml:space="preserve">ложение</w:t>
      </w:r>
      <w:r>
        <w:t xml:space="preserve">м о закупке) в протоколе закупки</w:t>
      </w:r>
      <w:r>
        <w:t xml:space="preserve"> могут не отражаться сведения, позволяющие идентифицировать Участников.</w:t>
      </w:r>
      <w:r/>
    </w:p>
  </w:footnote>
  <w:footnote w:id="8">
    <w:p>
      <w:pPr>
        <w:pStyle w:val="1189"/>
      </w:pPr>
      <w:r>
        <w:rPr>
          <w:rStyle w:val="1188"/>
        </w:rPr>
        <w:footnoteRef/>
      </w:r>
      <w:r>
        <w:tab/>
      </w:r>
      <w:r>
        <w:t xml:space="preserve">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t xml:space="preserve"> бухгалтерской (финансовой) отчетности</w:t>
      </w:r>
      <w:r>
        <w:t xml:space="preserve"> самостоятельные</w:t>
      </w:r>
      <w:r>
        <w:t xml:space="preserve"> исправления арифметических ошибок не</w:t>
      </w:r>
      <w:r>
        <w:t xml:space="preserve"> </w:t>
      </w:r>
      <w:r>
        <w:t xml:space="preserve">допускается</w:t>
      </w:r>
      <w:r>
        <w:t xml:space="preserve"> (все изменения в отчетность должны вноситься в установленном законодательством порядке).</w:t>
      </w:r>
      <w:r/>
    </w:p>
  </w:footnote>
  <w:footnote w:id="9">
    <w:p>
      <w:pPr>
        <w:pStyle w:val="1189"/>
      </w:pPr>
      <w:r>
        <w:rPr>
          <w:rStyle w:val="1188"/>
        </w:rPr>
        <w:footnoteRef/>
      </w:r>
      <w:r>
        <w:tab/>
      </w:r>
      <w:r>
        <w:t xml:space="preserve">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r/>
    </w:p>
  </w:footnote>
  <w:footnote w:id="10">
    <w:p>
      <w:pPr>
        <w:pStyle w:val="1189"/>
      </w:pPr>
      <w:r>
        <w:rPr>
          <w:rStyle w:val="1188"/>
        </w:rPr>
        <w:footnoteRef/>
      </w:r>
      <w:r>
        <w:tab/>
        <w:t xml:space="preserve">По решению Ор</w:t>
      </w:r>
      <w:r>
        <w:t xml:space="preserve">ганизатора (в соответствии с П</w:t>
      </w:r>
      <w:r>
        <w:t xml:space="preserve">о</w:t>
      </w:r>
      <w:r>
        <w:t xml:space="preserve">ложением о закупке) в протоколе закупк</w:t>
      </w:r>
      <w:r>
        <w:t xml:space="preserve">и</w:t>
      </w:r>
      <w:r>
        <w:t xml:space="preserve"> могут не отражаться сведения, позволяющие идентифицировать Участников.</w:t>
      </w:r>
      <w:r/>
    </w:p>
  </w:footnote>
  <w:footnote w:id="11">
    <w:p>
      <w:pPr>
        <w:pStyle w:val="1189"/>
      </w:pPr>
      <w:r>
        <w:rPr>
          <w:rStyle w:val="1188"/>
        </w:rPr>
        <w:footnoteRef/>
      </w:r>
      <w:r>
        <w:tab/>
      </w:r>
      <w:r>
        <w:t xml:space="preserve">https://minfin.gov.ru/ru/perfomance/tax_relations/policy/bankwarranty/</w:t>
      </w:r>
      <w:r/>
    </w:p>
  </w:footnote>
  <w:footnote w:id="12">
    <w:p>
      <w:pPr>
        <w:pStyle w:val="1189"/>
      </w:pPr>
      <w:r>
        <w:rPr>
          <w:rStyle w:val="1188"/>
        </w:rPr>
        <w:footnoteRef/>
      </w:r>
      <w:r>
        <w:tab/>
        <w:t xml:space="preserve">Коллективный участник предоставляет указанные документы на каждого члена.</w:t>
      </w:r>
      <w:r/>
    </w:p>
  </w:footnote>
  <w:footnote w:id="13">
    <w:p>
      <w:pPr>
        <w:pStyle w:val="1189"/>
      </w:pPr>
      <w:r>
        <w:rPr>
          <w:rStyle w:val="1188"/>
        </w:rPr>
        <w:footnoteRef/>
      </w:r>
      <w:r>
        <w:tab/>
        <w:t xml:space="preserve">По решению Ор</w:t>
      </w:r>
      <w:r>
        <w:t xml:space="preserve">ганизатора (в соответствии с По</w:t>
      </w:r>
      <w:r>
        <w:t xml:space="preserve">ложением о закупке) в протоколе могут не</w:t>
      </w:r>
      <w:r>
        <w:t xml:space="preserve"> </w:t>
      </w:r>
      <w:r>
        <w:t xml:space="preserve">отражаться сведения, позволяющие идентифицировать </w:t>
      </w:r>
      <w:r>
        <w:t xml:space="preserve">Победителя</w:t>
      </w:r>
      <w:r>
        <w:t xml:space="preserve">.</w:t>
      </w:r>
      <w:r/>
    </w:p>
  </w:footnote>
  <w:footnote w:id="14">
    <w:p>
      <w:pPr>
        <w:pStyle w:val="1189"/>
      </w:pPr>
      <w:r>
        <w:rPr>
          <w:rStyle w:val="1188"/>
        </w:rPr>
        <w:footnoteRef/>
      </w:r>
      <w:r>
        <w:tab/>
      </w:r>
      <w:bookmarkStart w:id="266" w:name="_Hlk139028796"/>
      <w:r>
        <w:t xml:space="preserve">Во исполнение Указа Президента Российской Федерации от 03.05.2022 №</w:t>
      </w:r>
      <w:r>
        <w:t xml:space="preserve"> </w:t>
      </w:r>
      <w:r>
        <w:t xml:space="preserve">252 «О применении ответных специальных экономических мер в связи с</w:t>
      </w:r>
      <w:r>
        <w:t xml:space="preserve"> </w:t>
      </w:r>
      <w:r>
        <w:t xml:space="preserve">недружественными действиями некоторых иностранных государств и международных организаций».</w:t>
      </w:r>
      <w:bookmarkEnd w:id="266"/>
      <w:r/>
      <w:r/>
    </w:p>
  </w:footnote>
  <w:footnote w:id="15">
    <w:p>
      <w:pPr>
        <w:pStyle w:val="1189"/>
      </w:pPr>
      <w:r>
        <w:rPr>
          <w:rStyle w:val="1188"/>
        </w:rPr>
        <w:footnoteRef/>
      </w:r>
      <w:r>
        <w:tab/>
      </w:r>
      <w:bookmarkStart w:id="267" w:name="_Hlk139028803"/>
      <w:r/>
      <w:bookmarkStart w:id="268" w:name="_Hlk139028804"/>
      <w:r>
        <w:t xml:space="preserve">Перед заключением договора Заказчик дополнительно проводит проверку Победителя (данная норма применима также в отношении </w:t>
      </w:r>
      <w:r>
        <w:t xml:space="preserve">Е</w:t>
      </w:r>
      <w:r>
        <w:t xml:space="preserve">динственного </w:t>
      </w:r>
      <w:r>
        <w:t xml:space="preserve">у</w:t>
      </w:r>
      <w:r>
        <w:t xml:space="preserve">частника несостоявшейся закупки, с которым принято решение о заключении договора) на основании документов, предоставляемых в соответствии с</w:t>
      </w:r>
      <w:r>
        <w:t xml:space="preserve"> </w:t>
      </w:r>
      <w:r>
        <w:t xml:space="preserve">подразделом</w:t>
      </w:r>
      <w:r>
        <w:t xml:space="preserve"> </w:t>
      </w:r>
      <w:r>
        <w:fldChar w:fldCharType="begin"/>
      </w:r>
      <w:r>
        <w:instrText xml:space="preserve"> REF _Ref138232981 \r \h </w:instrText>
      </w:r>
      <w:r>
        <w:fldChar w:fldCharType="separate"/>
      </w:r>
      <w:r>
        <w:t xml:space="preserve">5.2</w:t>
      </w:r>
      <w:r>
        <w:fldChar w:fldCharType="end"/>
      </w:r>
      <w:r>
        <w:t xml:space="preserve">. </w:t>
      </w:r>
      <w:r>
        <w:t xml:space="preserve">Е</w:t>
      </w:r>
      <w:r>
        <w:t xml:space="preserve">сли по результатам такой проверки Участник не отвечает установленным требованиям, то он утрачивает статус Победителя, а</w:t>
      </w:r>
      <w:r>
        <w:t xml:space="preserve"> </w:t>
      </w:r>
      <w:r>
        <w:t xml:space="preserve">Закупочная комиссия имеет право выбрать в качестве Победителя иного Участника, занявшего следующее место в </w:t>
      </w:r>
      <w:r>
        <w:t xml:space="preserve">ранжировке</w:t>
      </w:r>
      <w:r>
        <w:t xml:space="preserve"> заявок после Победителя, из числа остальных действующих заявок.</w:t>
      </w:r>
      <w:bookmarkEnd w:id="267"/>
      <w:r/>
      <w:bookmarkEnd w:id="268"/>
      <w:r/>
      <w:r/>
    </w:p>
  </w:footnote>
  <w:footnote w:id="16">
    <w:p>
      <w:pPr>
        <w:pStyle w:val="1186"/>
        <w:widowControl w:val="off"/>
      </w:pPr>
      <w:r>
        <w:rPr>
          <w:rStyle w:val="1226"/>
        </w:rPr>
        <w:footnoteRef/>
      </w:r>
      <w:r>
        <w:t xml:space="preserve"> В Положении об аккредитации используется термин «Заявитель».</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81"/>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2705" w:hanging="360"/>
      </w:pPr>
    </w:lvl>
    <w:lvl w:ilvl="1">
      <w:start w:val="1"/>
      <w:numFmt w:val="lowerLetter"/>
      <w:isLgl w:val="false"/>
      <w:suff w:val="tab"/>
      <w:lvlText w:val="%2."/>
      <w:lvlJc w:val="left"/>
      <w:pPr>
        <w:ind w:left="3425" w:hanging="360"/>
      </w:pPr>
    </w:lvl>
    <w:lvl w:ilvl="2">
      <w:start w:val="1"/>
      <w:numFmt w:val="lowerRoman"/>
      <w:isLgl w:val="false"/>
      <w:suff w:val="tab"/>
      <w:lvlText w:val="%3."/>
      <w:lvlJc w:val="right"/>
      <w:pPr>
        <w:ind w:left="4145" w:hanging="180"/>
      </w:pPr>
    </w:lvl>
    <w:lvl w:ilvl="3">
      <w:start w:val="1"/>
      <w:numFmt w:val="decimal"/>
      <w:isLgl w:val="false"/>
      <w:suff w:val="tab"/>
      <w:lvlText w:val="%4."/>
      <w:lvlJc w:val="left"/>
      <w:pPr>
        <w:ind w:left="4865" w:hanging="360"/>
      </w:pPr>
    </w:lvl>
    <w:lvl w:ilvl="4">
      <w:start w:val="1"/>
      <w:numFmt w:val="lowerLetter"/>
      <w:isLgl w:val="false"/>
      <w:suff w:val="tab"/>
      <w:lvlText w:val="%5."/>
      <w:lvlJc w:val="left"/>
      <w:pPr>
        <w:ind w:left="5585" w:hanging="360"/>
      </w:pPr>
    </w:lvl>
    <w:lvl w:ilvl="5">
      <w:start w:val="1"/>
      <w:numFmt w:val="lowerRoman"/>
      <w:isLgl w:val="false"/>
      <w:suff w:val="tab"/>
      <w:lvlText w:val="%6."/>
      <w:lvlJc w:val="right"/>
      <w:pPr>
        <w:ind w:left="6305" w:hanging="180"/>
      </w:pPr>
    </w:lvl>
    <w:lvl w:ilvl="6">
      <w:start w:val="1"/>
      <w:numFmt w:val="decimal"/>
      <w:isLgl w:val="false"/>
      <w:suff w:val="tab"/>
      <w:lvlText w:val="%7."/>
      <w:lvlJc w:val="left"/>
      <w:pPr>
        <w:ind w:left="7025" w:hanging="360"/>
      </w:pPr>
    </w:lvl>
    <w:lvl w:ilvl="7">
      <w:start w:val="1"/>
      <w:numFmt w:val="lowerLetter"/>
      <w:isLgl w:val="false"/>
      <w:suff w:val="tab"/>
      <w:lvlText w:val="%8."/>
      <w:lvlJc w:val="left"/>
      <w:pPr>
        <w:ind w:left="7745" w:hanging="360"/>
      </w:pPr>
    </w:lvl>
    <w:lvl w:ilvl="8">
      <w:start w:val="1"/>
      <w:numFmt w:val="lowerRoman"/>
      <w:isLgl w:val="false"/>
      <w:suff w:val="tab"/>
      <w:lvlText w:val="%9."/>
      <w:lvlJc w:val="right"/>
      <w:pPr>
        <w:ind w:left="8465" w:hanging="180"/>
      </w:pPr>
    </w:lvl>
  </w:abstractNum>
  <w:abstractNum w:abstractNumId="5">
    <w:multiLevelType w:val="hybridMultilevel"/>
    <w:lvl w:ilvl="0">
      <w:start w:val="1"/>
      <w:numFmt w:val="bullet"/>
      <w:isLgl w:val="false"/>
      <w:suff w:val="tab"/>
      <w:lvlText w:val="‒"/>
      <w:lvlJc w:val="left"/>
      <w:pPr>
        <w:ind w:left="1036" w:hanging="360"/>
        <w:tabs>
          <w:tab w:val="num" w:pos="0" w:leader="none"/>
        </w:tabs>
      </w:pPr>
      <w:rPr>
        <w:rFonts w:hint="default" w:ascii="Calibri" w:hAnsi="Calibri" w:cs="Calibri"/>
      </w:rPr>
    </w:lvl>
    <w:lvl w:ilvl="1">
      <w:start w:val="1"/>
      <w:numFmt w:val="bullet"/>
      <w:isLgl w:val="false"/>
      <w:suff w:val="tab"/>
      <w:lvlText w:val="o"/>
      <w:lvlJc w:val="left"/>
      <w:pPr>
        <w:ind w:left="1756" w:hanging="360"/>
        <w:tabs>
          <w:tab w:val="num" w:pos="0" w:leader="none"/>
        </w:tabs>
      </w:pPr>
      <w:rPr>
        <w:rFonts w:hint="default" w:ascii="Courier New" w:hAnsi="Courier New" w:cs="Courier New"/>
      </w:rPr>
    </w:lvl>
    <w:lvl w:ilvl="2">
      <w:start w:val="1"/>
      <w:numFmt w:val="bullet"/>
      <w:isLgl w:val="false"/>
      <w:suff w:val="tab"/>
      <w:lvlText w:val=""/>
      <w:lvlJc w:val="left"/>
      <w:pPr>
        <w:ind w:left="2476" w:hanging="360"/>
        <w:tabs>
          <w:tab w:val="num" w:pos="0" w:leader="none"/>
        </w:tabs>
      </w:pPr>
      <w:rPr>
        <w:rFonts w:hint="default" w:ascii="Wingdings" w:hAnsi="Wingdings" w:cs="Wingdings"/>
      </w:rPr>
    </w:lvl>
    <w:lvl w:ilvl="3">
      <w:start w:val="1"/>
      <w:numFmt w:val="bullet"/>
      <w:isLgl w:val="false"/>
      <w:suff w:val="tab"/>
      <w:lvlText w:val=""/>
      <w:lvlJc w:val="left"/>
      <w:pPr>
        <w:ind w:left="3196" w:hanging="360"/>
        <w:tabs>
          <w:tab w:val="num" w:pos="0" w:leader="none"/>
        </w:tabs>
      </w:pPr>
      <w:rPr>
        <w:rFonts w:hint="default" w:ascii="Symbol" w:hAnsi="Symbol" w:cs="Symbol"/>
      </w:rPr>
    </w:lvl>
    <w:lvl w:ilvl="4">
      <w:start w:val="1"/>
      <w:numFmt w:val="bullet"/>
      <w:isLgl w:val="false"/>
      <w:suff w:val="tab"/>
      <w:lvlText w:val="o"/>
      <w:lvlJc w:val="left"/>
      <w:pPr>
        <w:ind w:left="3916" w:hanging="360"/>
        <w:tabs>
          <w:tab w:val="num" w:pos="0" w:leader="none"/>
        </w:tabs>
      </w:pPr>
      <w:rPr>
        <w:rFonts w:hint="default" w:ascii="Courier New" w:hAnsi="Courier New" w:cs="Courier New"/>
      </w:rPr>
    </w:lvl>
    <w:lvl w:ilvl="5">
      <w:start w:val="1"/>
      <w:numFmt w:val="bullet"/>
      <w:isLgl w:val="false"/>
      <w:suff w:val="tab"/>
      <w:lvlText w:val=""/>
      <w:lvlJc w:val="left"/>
      <w:pPr>
        <w:ind w:left="4636" w:hanging="360"/>
        <w:tabs>
          <w:tab w:val="num" w:pos="0" w:leader="none"/>
        </w:tabs>
      </w:pPr>
      <w:rPr>
        <w:rFonts w:hint="default" w:ascii="Wingdings" w:hAnsi="Wingdings" w:cs="Wingdings"/>
      </w:rPr>
    </w:lvl>
    <w:lvl w:ilvl="6">
      <w:start w:val="1"/>
      <w:numFmt w:val="bullet"/>
      <w:isLgl w:val="false"/>
      <w:suff w:val="tab"/>
      <w:lvlText w:val=""/>
      <w:lvlJc w:val="left"/>
      <w:pPr>
        <w:ind w:left="5356" w:hanging="360"/>
        <w:tabs>
          <w:tab w:val="num" w:pos="0" w:leader="none"/>
        </w:tabs>
      </w:pPr>
      <w:rPr>
        <w:rFonts w:hint="default" w:ascii="Symbol" w:hAnsi="Symbol" w:cs="Symbol"/>
      </w:rPr>
    </w:lvl>
    <w:lvl w:ilvl="7">
      <w:start w:val="1"/>
      <w:numFmt w:val="bullet"/>
      <w:isLgl w:val="false"/>
      <w:suff w:val="tab"/>
      <w:lvlText w:val="o"/>
      <w:lvlJc w:val="left"/>
      <w:pPr>
        <w:ind w:left="6076" w:hanging="360"/>
        <w:tabs>
          <w:tab w:val="num" w:pos="0" w:leader="none"/>
        </w:tabs>
      </w:pPr>
      <w:rPr>
        <w:rFonts w:hint="default" w:ascii="Courier New" w:hAnsi="Courier New" w:cs="Courier New"/>
      </w:rPr>
    </w:lvl>
    <w:lvl w:ilvl="8">
      <w:start w:val="1"/>
      <w:numFmt w:val="bullet"/>
      <w:isLgl w:val="false"/>
      <w:suff w:val="tab"/>
      <w:lvlText w:val=""/>
      <w:lvlJc w:val="left"/>
      <w:pPr>
        <w:ind w:left="6796" w:hanging="360"/>
        <w:tabs>
          <w:tab w:val="num" w:pos="0" w:leader="none"/>
        </w:tabs>
      </w:pPr>
      <w:rPr>
        <w:rFonts w:hint="default" w:ascii="Wingdings" w:hAnsi="Wingdings" w:cs="Wingdings"/>
      </w:rPr>
    </w:lvl>
  </w:abstractNum>
  <w:abstractNum w:abstractNumId="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9">
    <w:multiLevelType w:val="hybridMultilevel"/>
    <w:lvl w:ilvl="0">
      <w:start w:val="1"/>
      <w:numFmt w:val="decimal"/>
      <w:isLgl w:val="false"/>
      <w:suff w:val="tab"/>
      <w:lvlText w:val="%1."/>
      <w:lvlJc w:val="left"/>
      <w:pPr>
        <w:ind w:left="720" w:hanging="360"/>
      </w:pPr>
    </w:lvl>
    <w:lvl w:ilvl="1">
      <w:start w:val="1"/>
      <w:numFmt w:val="bullet"/>
      <w:isLgl w:val="false"/>
      <w:suff w:val="tab"/>
      <w:lvlText w:val="•"/>
      <w:lvlJc w:val="left"/>
      <w:pPr>
        <w:ind w:left="1440" w:hanging="360"/>
      </w:pPr>
      <w:rPr>
        <w:rFonts w:hint="default" w:ascii="Times New Roman" w:hAnsi="Times New Roman" w:eastAsia="Calibri" w:cs="Times New Roman"/>
      </w:r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russianLower"/>
      <w:isLgl w:val="false"/>
      <w:suff w:val="tab"/>
      <w:lvlText w:val="%1)"/>
      <w:lvlJc w:val="left"/>
      <w:pPr>
        <w:ind w:left="720" w:hanging="360"/>
      </w:pPr>
      <w:rPr>
        <w:rFonts w:hint="default"/>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1">
    <w:multiLevelType w:val="hybridMultilevel"/>
    <w:lvl w:ilvl="0">
      <w:start w:val="1"/>
      <w:numFmt w:val="bullet"/>
      <w:isLgl w:val="false"/>
      <w:suff w:val="tab"/>
      <w:lvlText w:val=""/>
      <w:lvlJc w:val="left"/>
      <w:pPr>
        <w:ind w:left="1005" w:hanging="360"/>
        <w:tabs>
          <w:tab w:val="num" w:pos="0" w:leader="none"/>
        </w:tabs>
      </w:pPr>
      <w:rPr>
        <w:rFonts w:hint="default" w:ascii="Symbol" w:hAnsi="Symbol"/>
      </w:rPr>
    </w:lvl>
    <w:lvl w:ilvl="1">
      <w:start w:val="1"/>
      <w:numFmt w:val="bullet"/>
      <w:isLgl w:val="false"/>
      <w:suff w:val="tab"/>
      <w:lvlText w:val="o"/>
      <w:lvlJc w:val="left"/>
      <w:pPr>
        <w:ind w:left="1725" w:hanging="360"/>
        <w:tabs>
          <w:tab w:val="num" w:pos="0" w:leader="none"/>
        </w:tabs>
      </w:pPr>
      <w:rPr>
        <w:rFonts w:hint="default" w:ascii="Courier New" w:hAnsi="Courier New" w:cs="Courier New"/>
      </w:rPr>
    </w:lvl>
    <w:lvl w:ilvl="2">
      <w:start w:val="1"/>
      <w:numFmt w:val="bullet"/>
      <w:isLgl w:val="false"/>
      <w:suff w:val="tab"/>
      <w:lvlText w:val=""/>
      <w:lvlJc w:val="left"/>
      <w:pPr>
        <w:ind w:left="2445" w:hanging="360"/>
        <w:tabs>
          <w:tab w:val="num" w:pos="0" w:leader="none"/>
        </w:tabs>
      </w:pPr>
      <w:rPr>
        <w:rFonts w:hint="default" w:ascii="Wingdings" w:hAnsi="Wingdings" w:cs="Wingdings"/>
      </w:rPr>
    </w:lvl>
    <w:lvl w:ilvl="3">
      <w:start w:val="1"/>
      <w:numFmt w:val="bullet"/>
      <w:isLgl w:val="false"/>
      <w:suff w:val="tab"/>
      <w:lvlText w:val=""/>
      <w:lvlJc w:val="left"/>
      <w:pPr>
        <w:ind w:left="3165" w:hanging="360"/>
        <w:tabs>
          <w:tab w:val="num" w:pos="0" w:leader="none"/>
        </w:tabs>
      </w:pPr>
      <w:rPr>
        <w:rFonts w:hint="default" w:ascii="Symbol" w:hAnsi="Symbol" w:cs="Symbol"/>
      </w:rPr>
    </w:lvl>
    <w:lvl w:ilvl="4">
      <w:start w:val="1"/>
      <w:numFmt w:val="bullet"/>
      <w:isLgl w:val="false"/>
      <w:suff w:val="tab"/>
      <w:lvlText w:val="o"/>
      <w:lvlJc w:val="left"/>
      <w:pPr>
        <w:ind w:left="3885" w:hanging="360"/>
        <w:tabs>
          <w:tab w:val="num" w:pos="0" w:leader="none"/>
        </w:tabs>
      </w:pPr>
      <w:rPr>
        <w:rFonts w:hint="default" w:ascii="Courier New" w:hAnsi="Courier New" w:cs="Courier New"/>
      </w:rPr>
    </w:lvl>
    <w:lvl w:ilvl="5">
      <w:start w:val="1"/>
      <w:numFmt w:val="bullet"/>
      <w:isLgl w:val="false"/>
      <w:suff w:val="tab"/>
      <w:lvlText w:val=""/>
      <w:lvlJc w:val="left"/>
      <w:pPr>
        <w:ind w:left="4605" w:hanging="360"/>
        <w:tabs>
          <w:tab w:val="num" w:pos="0" w:leader="none"/>
        </w:tabs>
      </w:pPr>
      <w:rPr>
        <w:rFonts w:hint="default" w:ascii="Wingdings" w:hAnsi="Wingdings" w:cs="Wingdings"/>
      </w:rPr>
    </w:lvl>
    <w:lvl w:ilvl="6">
      <w:start w:val="1"/>
      <w:numFmt w:val="bullet"/>
      <w:isLgl w:val="false"/>
      <w:suff w:val="tab"/>
      <w:lvlText w:val=""/>
      <w:lvlJc w:val="left"/>
      <w:pPr>
        <w:ind w:left="5325" w:hanging="360"/>
        <w:tabs>
          <w:tab w:val="num" w:pos="0" w:leader="none"/>
        </w:tabs>
      </w:pPr>
      <w:rPr>
        <w:rFonts w:hint="default" w:ascii="Symbol" w:hAnsi="Symbol" w:cs="Symbol"/>
      </w:rPr>
    </w:lvl>
    <w:lvl w:ilvl="7">
      <w:start w:val="1"/>
      <w:numFmt w:val="bullet"/>
      <w:isLgl w:val="false"/>
      <w:suff w:val="tab"/>
      <w:lvlText w:val="o"/>
      <w:lvlJc w:val="left"/>
      <w:pPr>
        <w:ind w:left="6045" w:hanging="360"/>
        <w:tabs>
          <w:tab w:val="num" w:pos="0" w:leader="none"/>
        </w:tabs>
      </w:pPr>
      <w:rPr>
        <w:rFonts w:hint="default" w:ascii="Courier New" w:hAnsi="Courier New" w:cs="Courier New"/>
      </w:rPr>
    </w:lvl>
    <w:lvl w:ilvl="8">
      <w:start w:val="1"/>
      <w:numFmt w:val="bullet"/>
      <w:isLgl w:val="false"/>
      <w:suff w:val="tab"/>
      <w:lvlText w:val=""/>
      <w:lvlJc w:val="left"/>
      <w:pPr>
        <w:ind w:left="6765" w:hanging="360"/>
        <w:tabs>
          <w:tab w:val="num" w:pos="0" w:leader="none"/>
        </w:tabs>
      </w:pPr>
      <w:rPr>
        <w:rFonts w:hint="default" w:ascii="Wingdings" w:hAnsi="Wingdings" w:cs="Wingdings"/>
      </w:rPr>
    </w:lvl>
  </w:abstractNum>
  <w:abstractNum w:abstractNumId="1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upperRoman"/>
      <w:pStyle w:val="1230"/>
      <w:isLgl w:val="false"/>
      <w:suff w:val="tab"/>
      <w:lvlText w:val="Раздел %1"/>
      <w:lvlJc w:val="left"/>
      <w:pPr>
        <w:ind w:left="1701" w:hanging="1701"/>
        <w:tabs>
          <w:tab w:val="num" w:pos="0" w:leader="none"/>
        </w:tabs>
      </w:pPr>
    </w:lvl>
    <w:lvl w:ilvl="1">
      <w:start w:val="1"/>
      <w:numFmt w:val="decimal"/>
      <w:pStyle w:val="1231"/>
      <w:isLgl w:val="false"/>
      <w:suff w:val="tab"/>
      <w:lvlText w:val="Глава %2"/>
      <w:lvlJc w:val="left"/>
      <w:pPr>
        <w:ind w:left="1701" w:hanging="1701"/>
        <w:tabs>
          <w:tab w:val="num" w:pos="0" w:leader="none"/>
        </w:tabs>
      </w:pPr>
    </w:lvl>
    <w:lvl w:ilvl="2">
      <w:start w:val="1"/>
      <w:numFmt w:val="decimal"/>
      <w:pStyle w:val="1232"/>
      <w:isLgl w:val="false"/>
      <w:suff w:val="tab"/>
      <w:lvlText w:val="%2.%3"/>
      <w:lvlJc w:val="left"/>
      <w:pPr>
        <w:ind w:left="1701" w:hanging="1701"/>
        <w:tabs>
          <w:tab w:val="num" w:pos="0" w:leader="none"/>
        </w:tabs>
      </w:pPr>
    </w:lvl>
    <w:lvl w:ilvl="3">
      <w:start w:val="1"/>
      <w:numFmt w:val="decimal"/>
      <w:pStyle w:val="1233"/>
      <w:isLgl w:val="false"/>
      <w:suff w:val="tab"/>
      <w:lvlText w:val="%2.%3.%4"/>
      <w:lvlJc w:val="left"/>
      <w:pPr>
        <w:ind w:left="1701" w:hanging="1701"/>
        <w:tabs>
          <w:tab w:val="num" w:pos="0" w:leader="none"/>
        </w:tabs>
      </w:pPr>
    </w:lvl>
    <w:lvl w:ilvl="4">
      <w:start w:val="1"/>
      <w:numFmt w:val="russianLower"/>
      <w:pStyle w:val="1234"/>
      <w:isLgl w:val="false"/>
      <w:suff w:val="tab"/>
      <w:lvlText w:val="%5)"/>
      <w:lvlJc w:val="left"/>
      <w:pPr>
        <w:ind w:left="2268" w:hanging="567"/>
        <w:tabs>
          <w:tab w:val="num" w:pos="0" w:leader="none"/>
        </w:tabs>
      </w:pPr>
    </w:lvl>
    <w:lvl w:ilvl="5">
      <w:start w:val="1"/>
      <w:numFmt w:val="bullet"/>
      <w:pStyle w:val="1235"/>
      <w:isLgl w:val="false"/>
      <w:suff w:val="tab"/>
      <w:lvlText w:val=""/>
      <w:lvlJc w:val="left"/>
      <w:pPr>
        <w:ind w:left="2268" w:hanging="567"/>
        <w:tabs>
          <w:tab w:val="num" w:pos="0" w:leader="none"/>
        </w:tabs>
      </w:pPr>
      <w:rPr>
        <w:rFonts w:hint="default" w:ascii="Symbol" w:hAnsi="Symbol" w:cs="Symbol"/>
      </w:rPr>
    </w:lvl>
    <w:lvl w:ilvl="6">
      <w:start w:val="1"/>
      <w:numFmt w:val="none"/>
      <w:pStyle w:val="1236"/>
      <w:isLgl w:val="false"/>
      <w:suff w:val="nothing"/>
      <w:lvlText w:val="%7"/>
      <w:lvlJc w:val="left"/>
      <w:pPr>
        <w:ind w:left="0" w:firstLine="1134"/>
        <w:tabs>
          <w:tab w:val="num" w:pos="0" w:leader="none"/>
        </w:tabs>
      </w:pPr>
    </w:lvl>
    <w:lvl w:ilvl="7">
      <w:start w:val="1"/>
      <w:numFmt w:val="none"/>
      <w:isLgl w:val="false"/>
      <w:suff w:val="nothing"/>
      <w:lvlText w:val="%8"/>
      <w:lvlJc w:val="left"/>
      <w:pPr>
        <w:ind w:left="0" w:firstLine="1701"/>
        <w:tabs>
          <w:tab w:val="num" w:pos="0" w:leader="none"/>
        </w:tabs>
      </w:pPr>
    </w:lvl>
    <w:lvl w:ilvl="8">
      <w:start w:val="1"/>
      <w:numFmt w:val="none"/>
      <w:isLgl w:val="false"/>
      <w:suff w:val="nothing"/>
      <w:lvlText w:val="%9"/>
      <w:lvlJc w:val="left"/>
      <w:pPr>
        <w:ind w:left="0" w:firstLine="1701"/>
        <w:tabs>
          <w:tab w:val="num" w:pos="0" w:leader="none"/>
        </w:tabs>
      </w:pPr>
    </w:lvl>
  </w:abstractNum>
  <w:abstractNum w:abstractNumId="1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5">
    <w:multiLevelType w:val="hybridMultilevel"/>
    <w:lvl w:ilvl="0">
      <w:start w:val="1"/>
      <w:numFmt w:val="decimal"/>
      <w:isLgl w:val="false"/>
      <w:suff w:val="tab"/>
      <w:lvlText w:val="%1."/>
      <w:lvlJc w:val="left"/>
      <w:pPr>
        <w:ind w:left="1134" w:hanging="1134"/>
      </w:pPr>
    </w:lvl>
    <w:lvl w:ilvl="1">
      <w:start w:val="1"/>
      <w:numFmt w:val="decimal"/>
      <w:isLgl w:val="false"/>
      <w:suff w:val="tab"/>
      <w:lvlText w:val="%1.%2."/>
      <w:lvlJc w:val="left"/>
      <w:pPr>
        <w:ind w:left="1134" w:hanging="1134"/>
      </w:pPr>
    </w:lvl>
    <w:lvl w:ilvl="2">
      <w:start w:val="1"/>
      <w:numFmt w:val="decimal"/>
      <w:isLgl w:val="false"/>
      <w:suff w:val="tab"/>
      <w:lvlText w:val="%1.%2.%3."/>
      <w:lvlJc w:val="left"/>
      <w:pPr>
        <w:ind w:left="1134" w:hanging="1134"/>
      </w:pPr>
    </w:lvl>
    <w:lvl w:ilvl="3">
      <w:start w:val="1"/>
      <w:numFmt w:val="russianLower"/>
      <w:pStyle w:val="1220"/>
      <w:isLgl w:val="false"/>
      <w:suff w:val="tab"/>
      <w:lvlText w:val="(%4)"/>
      <w:lvlJc w:val="left"/>
      <w:pPr>
        <w:ind w:left="1701" w:hanging="567"/>
      </w:pPr>
    </w:lvl>
    <w:lvl w:ilvl="4">
      <w:start w:val="1"/>
      <w:numFmt w:val="bullet"/>
      <w:pStyle w:val="1221"/>
      <w:isLgl w:val="false"/>
      <w:suff w:val="tab"/>
      <w:lvlText w:val="–"/>
      <w:lvlJc w:val="left"/>
      <w:pPr>
        <w:ind w:left="2268" w:hanging="567"/>
      </w:pPr>
      <w:rPr>
        <w:rFonts w:hint="default" w:ascii="Times New Roman" w:hAnsi="Times New Roman" w:cs="Times New Roman"/>
      </w:rPr>
    </w:lvl>
    <w:lvl w:ilvl="5">
      <w:start w:val="1"/>
      <w:numFmt w:val="none"/>
      <w:lvlRestart w:val="3"/>
      <w:pStyle w:val="1224"/>
      <w:isLgl w:val="false"/>
      <w:suff w:val="nothing"/>
      <w:lvlText w:val=""/>
      <w:lvlJc w:val="left"/>
      <w:pPr>
        <w:ind w:left="1134" w:firstLine="0"/>
      </w:pPr>
    </w:lvl>
    <w:lvl w:ilvl="6">
      <w:start w:val="1"/>
      <w:numFmt w:val="none"/>
      <w:lvlRestart w:val="4"/>
      <w:pStyle w:val="1222"/>
      <w:isLgl w:val="false"/>
      <w:suff w:val="nothing"/>
      <w:lvlText w:val=""/>
      <w:lvlJc w:val="left"/>
      <w:pPr>
        <w:ind w:left="1701" w:firstLine="0"/>
      </w:pPr>
    </w:lvl>
    <w:lvl w:ilvl="7">
      <w:start w:val="1"/>
      <w:numFmt w:val="none"/>
      <w:lvlRestart w:val="3"/>
      <w:pStyle w:val="1223"/>
      <w:isLgl w:val="false"/>
      <w:suff w:val="nothing"/>
      <w:lvlText w:val=""/>
      <w:lvlJc w:val="left"/>
      <w:pPr>
        <w:ind w:left="0" w:firstLine="0"/>
      </w:pPr>
    </w:lvl>
    <w:lvl w:ilvl="8">
      <w:start w:val="1"/>
      <w:numFmt w:val="none"/>
      <w:lvlRestart w:val="3"/>
      <w:isLgl w:val="false"/>
      <w:suff w:val="nothing"/>
      <w:lvlText w:val=""/>
      <w:lvlJc w:val="left"/>
      <w:pPr>
        <w:ind w:left="1134" w:firstLine="0"/>
      </w:pPr>
    </w:lvl>
  </w:abstractNum>
  <w:abstractNum w:abstractNumId="16">
    <w:multiLevelType w:val="hybridMultilevel"/>
    <w:styleLink w:val="1229"/>
    <w:lvl w:ilvl="0">
      <w:start w:val="1"/>
      <w:numFmt w:val="decimal"/>
      <w:pStyle w:val="1229"/>
      <w:isLgl w:val="false"/>
      <w:suff w:val="tab"/>
      <w:lvlText w:val="%1."/>
      <w:lvlJc w:val="left"/>
      <w:pPr>
        <w:ind w:left="1134" w:hanging="1134"/>
      </w:pPr>
    </w:lvl>
    <w:lvl w:ilvl="1">
      <w:start w:val="1"/>
      <w:numFmt w:val="decimal"/>
      <w:isLgl w:val="false"/>
      <w:suff w:val="tab"/>
      <w:lvlText w:val="%1.%2."/>
      <w:lvlJc w:val="left"/>
      <w:pPr>
        <w:ind w:left="1134" w:hanging="1134"/>
      </w:pPr>
    </w:lvl>
    <w:lvl w:ilvl="2">
      <w:start w:val="1"/>
      <w:numFmt w:val="decimal"/>
      <w:isLgl w:val="false"/>
      <w:suff w:val="tab"/>
      <w:lvlText w:val="%1.%2.%3."/>
      <w:lvlJc w:val="left"/>
      <w:pPr>
        <w:ind w:left="1134" w:hanging="1134"/>
      </w:pPr>
    </w:lvl>
    <w:lvl w:ilvl="3">
      <w:start w:val="1"/>
      <w:numFmt w:val="decimal"/>
      <w:isLgl w:val="false"/>
      <w:suff w:val="tab"/>
      <w:lvlText w:val="(%4)"/>
      <w:lvlJc w:val="left"/>
      <w:pPr>
        <w:ind w:left="1985" w:hanging="567"/>
      </w:pPr>
    </w:lvl>
    <w:lvl w:ilvl="4">
      <w:start w:val="1"/>
      <w:numFmt w:val="bullet"/>
      <w:isLgl w:val="false"/>
      <w:suff w:val="tab"/>
      <w:lvlText w:val="–"/>
      <w:lvlJc w:val="left"/>
      <w:pPr>
        <w:ind w:left="2268" w:hanging="567"/>
      </w:pPr>
      <w:rPr>
        <w:rFonts w:cs="Times New Roman"/>
      </w:rPr>
    </w:lvl>
    <w:lvl w:ilvl="5">
      <w:start w:val="1"/>
      <w:numFmt w:val="none"/>
      <w:isLgl w:val="false"/>
      <w:suff w:val="nothing"/>
      <w:lvlText w:val="%6"/>
      <w:lvlJc w:val="left"/>
      <w:pPr>
        <w:ind w:left="1134" w:firstLine="0"/>
      </w:pPr>
    </w:lvl>
    <w:lvl w:ilvl="6">
      <w:start w:val="1"/>
      <w:numFmt w:val="none"/>
      <w:isLgl w:val="false"/>
      <w:suff w:val="nothing"/>
      <w:lvlText w:val="%7"/>
      <w:lvlJc w:val="left"/>
      <w:pPr>
        <w:ind w:left="1701" w:firstLine="0"/>
      </w:pPr>
    </w:lvl>
    <w:lvl w:ilvl="7">
      <w:start w:val="1"/>
      <w:numFmt w:val="none"/>
      <w:isLgl w:val="false"/>
      <w:suff w:val="nothing"/>
      <w:lvlText w:val="%8"/>
      <w:lvlJc w:val="left"/>
      <w:pPr/>
    </w:lvl>
    <w:lvl w:ilvl="8">
      <w:start w:val="1"/>
      <w:numFmt w:val="none"/>
      <w:isLgl w:val="false"/>
      <w:suff w:val="nothing"/>
      <w:lvlText w:val="%9"/>
      <w:lvlJc w:val="left"/>
      <w:pPr>
        <w:ind w:left="1134" w:firstLine="0"/>
      </w:pPr>
    </w:lvl>
  </w:abstractNum>
  <w:abstractNum w:abstractNumId="17">
    <w:multiLevelType w:val="hybridMultilevel"/>
    <w:styleLink w:val="1228"/>
    <w:lvl w:ilvl="0">
      <w:start w:val="1"/>
      <w:numFmt w:val="none"/>
      <w:pStyle w:val="1228"/>
      <w:isLgl w:val="false"/>
      <w:suff w:val="tab"/>
      <w:lvlText w:val="%1"/>
      <w:lvlJc w:val="left"/>
      <w:pPr/>
    </w:lvl>
    <w:lvl w:ilvl="1">
      <w:start w:val="1"/>
      <w:numFmt w:val="none"/>
      <w:isLgl w:val="false"/>
      <w:suff w:val="tab"/>
      <w:lvlText w:val="%2"/>
      <w:lvlJc w:val="left"/>
      <w:pPr/>
    </w:lvl>
    <w:lvl w:ilvl="2">
      <w:start w:val="1"/>
      <w:numFmt w:val="none"/>
      <w:isLgl w:val="false"/>
      <w:suff w:val="tab"/>
      <w:lvlText w:val="%3"/>
      <w:lvlJc w:val="left"/>
      <w:pPr/>
    </w:lvl>
    <w:lvl w:ilvl="3">
      <w:start w:val="1"/>
      <w:numFmt w:val="none"/>
      <w:isLgl w:val="false"/>
      <w:suff w:val="tab"/>
      <w:lvlText w:val="%4"/>
      <w:lvlJc w:val="left"/>
      <w:pPr/>
    </w:lvl>
    <w:lvl w:ilvl="4">
      <w:start w:val="1"/>
      <w:numFmt w:val="decimal"/>
      <w:isLgl w:val="false"/>
      <w:suff w:val="tab"/>
      <w:lvlText w:val="%5."/>
      <w:lvlJc w:val="left"/>
      <w:pPr>
        <w:ind w:left="720" w:hanging="360"/>
      </w:pPr>
      <w:rPr>
        <w:rFonts w:cs="Times New Roman"/>
      </w:rPr>
    </w:lvl>
    <w:lvl w:ilvl="5">
      <w:start w:val="1"/>
      <w:numFmt w:val="none"/>
      <w:isLgl w:val="false"/>
      <w:suff w:val="tab"/>
      <w:lvlText w:val="%6"/>
      <w:lvlJc w:val="left"/>
      <w:pPr/>
    </w:lvl>
    <w:lvl w:ilvl="6">
      <w:start w:val="1"/>
      <w:numFmt w:val="none"/>
      <w:isLgl w:val="false"/>
      <w:suff w:val="tab"/>
      <w:lvlText w:val="%7"/>
      <w:lvlJc w:val="left"/>
      <w:pPr/>
    </w:lvl>
    <w:lvl w:ilvl="7">
      <w:start w:val="1"/>
      <w:numFmt w:val="none"/>
      <w:isLgl w:val="false"/>
      <w:suff w:val="tab"/>
      <w:lvlText w:val="%8"/>
      <w:lvlJc w:val="left"/>
      <w:pPr/>
    </w:lvl>
    <w:lvl w:ilvl="8">
      <w:start w:val="1"/>
      <w:numFmt w:val="none"/>
      <w:isLgl w:val="false"/>
      <w:suff w:val="tab"/>
      <w:lvlText w:val="%9"/>
      <w:lvlJc w:val="left"/>
      <w:pPr/>
    </w:lvl>
  </w:abstractNum>
  <w:abstractNum w:abstractNumId="18">
    <w:multiLevelType w:val="hybridMultilevel"/>
    <w:lvl w:ilvl="0">
      <w:start w:val="1"/>
      <w:numFmt w:val="bullet"/>
      <w:isLgl w:val="false"/>
      <w:suff w:val="tab"/>
      <w:lvlText w:val="−"/>
      <w:lvlJc w:val="left"/>
      <w:pPr>
        <w:ind w:left="720" w:hanging="360"/>
        <w:tabs>
          <w:tab w:val="num" w:pos="0" w:leader="none"/>
        </w:tabs>
      </w:pPr>
      <w:rPr>
        <w:rFonts w:hint="default" w:ascii="Times New Roman" w:hAnsi="Times New Roman" w:cs="Times New Roman"/>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19">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0">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2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3">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russianLower"/>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Symbol"/>
      </w:rPr>
    </w:lvl>
    <w:lvl w:ilvl="6">
      <w:start w:val="1"/>
      <w:numFmt w:val="none"/>
      <w:isLgl w:val="false"/>
      <w:suff w:val="nothing"/>
      <w:lvlText w:val=""/>
      <w:lvlJc w:val="left"/>
      <w:pPr>
        <w:ind w:left="1701"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1134" w:firstLine="0"/>
        <w:tabs>
          <w:tab w:val="num" w:pos="0" w:leader="none"/>
        </w:tabs>
      </w:pPr>
    </w:lvl>
  </w:abstractNum>
  <w:abstractNum w:abstractNumId="24">
    <w:multiLevelType w:val="hybridMultilevel"/>
    <w:lvl w:ilvl="0">
      <w:start w:val="1"/>
      <w:numFmt w:val="decimal"/>
      <w:pStyle w:val="1174"/>
      <w:isLgl w:val="false"/>
      <w:suff w:val="tab"/>
      <w:lvlText w:val="%1."/>
      <w:lvlJc w:val="left"/>
      <w:pPr>
        <w:ind w:left="1134" w:hanging="1134"/>
        <w:tabs>
          <w:tab w:val="num" w:pos="1134" w:leader="none"/>
        </w:tabs>
      </w:pPr>
      <w:rPr>
        <w:rFonts w:hint="default"/>
      </w:rPr>
    </w:lvl>
    <w:lvl w:ilvl="1">
      <w:start w:val="1"/>
      <w:numFmt w:val="decimal"/>
      <w:pStyle w:val="1175"/>
      <w:isLgl w:val="false"/>
      <w:suff w:val="tab"/>
      <w:lvlText w:val="%1.%2"/>
      <w:lvlJc w:val="left"/>
      <w:pPr>
        <w:ind w:left="1134" w:hanging="1134"/>
        <w:tabs>
          <w:tab w:val="num" w:pos="1134" w:leader="none"/>
        </w:tabs>
      </w:pPr>
      <w:rPr>
        <w:rFonts w:hint="default"/>
      </w:rPr>
    </w:lvl>
    <w:lvl w:ilvl="2">
      <w:start w:val="1"/>
      <w:numFmt w:val="decimal"/>
      <w:pStyle w:val="1176"/>
      <w:isLgl w:val="false"/>
      <w:suff w:val="tab"/>
      <w:lvlText w:val="%1.%2.%3"/>
      <w:lvlJc w:val="left"/>
      <w:pPr>
        <w:ind w:left="1134" w:hanging="1134"/>
        <w:tabs>
          <w:tab w:val="num" w:pos="1134" w:leader="none"/>
        </w:tabs>
      </w:pPr>
      <w:rPr>
        <w:rFonts w:hint="default"/>
      </w:rPr>
    </w:lvl>
    <w:lvl w:ilvl="3">
      <w:start w:val="1"/>
      <w:numFmt w:val="russianLower"/>
      <w:pStyle w:val="1177"/>
      <w:isLgl w:val="false"/>
      <w:suff w:val="tab"/>
      <w:lvlText w:val="%4)"/>
      <w:lvlJc w:val="left"/>
      <w:pPr>
        <w:ind w:left="1701" w:hanging="567"/>
        <w:tabs>
          <w:tab w:val="num" w:pos="1701" w:leader="none"/>
        </w:tabs>
      </w:pPr>
      <w:rPr>
        <w:rFonts w:hint="default"/>
      </w:rPr>
    </w:lvl>
    <w:lvl w:ilvl="4">
      <w:start w:val="1"/>
      <w:numFmt w:val="bullet"/>
      <w:pStyle w:val="1178"/>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25">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decimal"/>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hanging="360"/>
        <w:tabs>
          <w:tab w:val="num" w:pos="0" w:leader="none"/>
        </w:tabs>
      </w:pPr>
      <w:rPr>
        <w:rFonts w:cs="Times New Roman"/>
      </w:rPr>
    </w:lvl>
    <w:lvl w:ilvl="6">
      <w:start w:val="1"/>
      <w:numFmt w:val="none"/>
      <w:isLgl w:val="false"/>
      <w:suff w:val="nothing"/>
      <w:lvlText w:val=""/>
      <w:lvlJc w:val="left"/>
      <w:pPr>
        <w:ind w:left="1701" w:hanging="360"/>
        <w:tabs>
          <w:tab w:val="num" w:pos="0" w:leader="none"/>
        </w:tabs>
      </w:pPr>
      <w:rPr>
        <w:rFonts w:cs="Times New Roman"/>
      </w:rPr>
    </w:lvl>
    <w:lvl w:ilvl="7">
      <w:start w:val="1"/>
      <w:numFmt w:val="none"/>
      <w:isLgl w:val="false"/>
      <w:suff w:val="nothing"/>
      <w:lvlText w:val=""/>
      <w:lvlJc w:val="left"/>
      <w:pPr>
        <w:ind w:left="3240" w:hanging="360"/>
        <w:tabs>
          <w:tab w:val="num" w:pos="0" w:leader="none"/>
        </w:tabs>
      </w:pPr>
      <w:rPr>
        <w:rFonts w:cs="Times New Roman"/>
        <w:sz w:val="20"/>
      </w:rPr>
    </w:lvl>
    <w:lvl w:ilvl="8">
      <w:start w:val="1"/>
      <w:numFmt w:val="none"/>
      <w:isLgl w:val="false"/>
      <w:suff w:val="nothing"/>
      <w:lvlText w:val=""/>
      <w:lvlJc w:val="left"/>
      <w:pPr>
        <w:ind w:left="1134" w:hanging="360"/>
        <w:tabs>
          <w:tab w:val="num" w:pos="0" w:leader="none"/>
        </w:tabs>
      </w:pPr>
      <w:rPr>
        <w:rFonts w:cs="Times New Roman"/>
      </w:rPr>
    </w:lvl>
  </w:abstractNum>
  <w:abstractNum w:abstractNumId="2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7">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28">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0">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2">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decimal"/>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lvl>
    <w:lvl w:ilvl="6">
      <w:start w:val="1"/>
      <w:numFmt w:val="none"/>
      <w:isLgl w:val="false"/>
      <w:suff w:val="nothing"/>
      <w:lvlText w:val=""/>
      <w:lvlJc w:val="left"/>
      <w:pPr>
        <w:ind w:left="1701" w:firstLine="0"/>
        <w:tabs>
          <w:tab w:val="num" w:pos="0" w:leader="none"/>
        </w:tabs>
      </w:pPr>
    </w:lvl>
    <w:lvl w:ilvl="7">
      <w:start w:val="1"/>
      <w:numFmt w:val="bullet"/>
      <w:isLgl w:val="false"/>
      <w:suff w:val="tab"/>
      <w:lvlText w:val=""/>
      <w:lvlJc w:val="left"/>
      <w:pPr>
        <w:ind w:left="0" w:firstLine="0"/>
        <w:tabs>
          <w:tab w:val="num" w:pos="0" w:leader="none"/>
        </w:tabs>
      </w:pPr>
      <w:rPr>
        <w:rFonts w:hint="default" w:ascii="Symbol" w:hAnsi="Symbol"/>
      </w:rPr>
    </w:lvl>
    <w:lvl w:ilvl="8">
      <w:start w:val="1"/>
      <w:numFmt w:val="none"/>
      <w:isLgl w:val="false"/>
      <w:suff w:val="nothing"/>
      <w:lvlText w:val=""/>
      <w:lvlJc w:val="left"/>
      <w:pPr>
        <w:ind w:left="1134" w:firstLine="0"/>
        <w:tabs>
          <w:tab w:val="num" w:pos="0" w:leader="none"/>
        </w:tabs>
      </w:pPr>
    </w:lvl>
  </w:abstractNum>
  <w:abstractNum w:abstractNumId="33">
    <w:multiLevelType w:val="hybridMultilevel"/>
    <w:lvl w:ilvl="0">
      <w:start w:val="1"/>
      <w:numFmt w:val="bullet"/>
      <w:isLgl w:val="false"/>
      <w:suff w:val="tab"/>
      <w:lvlText w:val=""/>
      <w:lvlJc w:val="left"/>
      <w:pPr>
        <w:ind w:left="720" w:hanging="360"/>
        <w:tabs>
          <w:tab w:val="num" w:pos="0" w:leader="none"/>
        </w:tabs>
      </w:pPr>
      <w:rPr>
        <w:rFonts w:hint="default" w:ascii="Wingdings" w:hAnsi="Wingdings" w:cs="Wingdings"/>
      </w:rPr>
    </w:lvl>
    <w:lvl w:ilvl="1">
      <w:start w:val="1"/>
      <w:numFmt w:val="bullet"/>
      <w:isLgl w:val="false"/>
      <w:suff w:val="tab"/>
      <w:lvlText w:val="o"/>
      <w:lvlJc w:val="left"/>
      <w:pPr>
        <w:ind w:left="1440" w:hanging="360"/>
        <w:tabs>
          <w:tab w:val="num" w:pos="0" w:leader="none"/>
        </w:tabs>
      </w:pPr>
      <w:rPr>
        <w:rFonts w:hint="default" w:ascii="Courier New" w:hAnsi="Courier New" w:cs="Courier New"/>
      </w:rPr>
    </w:lvl>
    <w:lvl w:ilvl="2">
      <w:start w:val="1"/>
      <w:numFmt w:val="bullet"/>
      <w:isLgl w:val="false"/>
      <w:suff w:val="tab"/>
      <w:lvlText w:val=""/>
      <w:lvlJc w:val="left"/>
      <w:pPr>
        <w:ind w:left="2160" w:hanging="360"/>
        <w:tabs>
          <w:tab w:val="num" w:pos="0" w:leader="none"/>
        </w:tabs>
      </w:pPr>
      <w:rPr>
        <w:rFonts w:hint="default" w:ascii="Wingdings" w:hAnsi="Wingdings" w:cs="Wingdings"/>
      </w:rPr>
    </w:lvl>
    <w:lvl w:ilvl="3">
      <w:start w:val="1"/>
      <w:numFmt w:val="bullet"/>
      <w:isLgl w:val="false"/>
      <w:suff w:val="tab"/>
      <w:lvlText w:val=""/>
      <w:lvlJc w:val="left"/>
      <w:pPr>
        <w:ind w:left="2880" w:hanging="360"/>
        <w:tabs>
          <w:tab w:val="num" w:pos="0" w:leader="none"/>
        </w:tabs>
      </w:pPr>
      <w:rPr>
        <w:rFonts w:hint="default" w:ascii="Symbol" w:hAnsi="Symbol" w:cs="Symbol"/>
      </w:rPr>
    </w:lvl>
    <w:lvl w:ilvl="4">
      <w:start w:val="1"/>
      <w:numFmt w:val="bullet"/>
      <w:isLgl w:val="false"/>
      <w:suff w:val="tab"/>
      <w:lvlText w:val="o"/>
      <w:lvlJc w:val="left"/>
      <w:pPr>
        <w:ind w:left="3600" w:hanging="360"/>
        <w:tabs>
          <w:tab w:val="num" w:pos="0" w:leader="none"/>
        </w:tabs>
      </w:pPr>
      <w:rPr>
        <w:rFonts w:hint="default" w:ascii="Courier New" w:hAnsi="Courier New" w:cs="Courier New"/>
      </w:rPr>
    </w:lvl>
    <w:lvl w:ilvl="5">
      <w:start w:val="1"/>
      <w:numFmt w:val="bullet"/>
      <w:isLgl w:val="false"/>
      <w:suff w:val="tab"/>
      <w:lvlText w:val=""/>
      <w:lvlJc w:val="left"/>
      <w:pPr>
        <w:ind w:left="4320" w:hanging="360"/>
        <w:tabs>
          <w:tab w:val="num" w:pos="0" w:leader="none"/>
        </w:tabs>
      </w:pPr>
      <w:rPr>
        <w:rFonts w:hint="default" w:ascii="Wingdings" w:hAnsi="Wingdings" w:cs="Wingdings"/>
      </w:rPr>
    </w:lvl>
    <w:lvl w:ilvl="6">
      <w:start w:val="1"/>
      <w:numFmt w:val="bullet"/>
      <w:isLgl w:val="false"/>
      <w:suff w:val="tab"/>
      <w:lvlText w:val=""/>
      <w:lvlJc w:val="left"/>
      <w:pPr>
        <w:ind w:left="5040" w:hanging="360"/>
        <w:tabs>
          <w:tab w:val="num" w:pos="0" w:leader="none"/>
        </w:tabs>
      </w:pPr>
      <w:rPr>
        <w:rFonts w:hint="default" w:ascii="Symbol" w:hAnsi="Symbol" w:cs="Symbol"/>
      </w:rPr>
    </w:lvl>
    <w:lvl w:ilvl="7">
      <w:start w:val="1"/>
      <w:numFmt w:val="bullet"/>
      <w:isLgl w:val="false"/>
      <w:suff w:val="tab"/>
      <w:lvlText w:val="o"/>
      <w:lvlJc w:val="left"/>
      <w:pPr>
        <w:ind w:left="5760" w:hanging="360"/>
        <w:tabs>
          <w:tab w:val="num" w:pos="0" w:leader="none"/>
        </w:tabs>
      </w:pPr>
      <w:rPr>
        <w:rFonts w:hint="default" w:ascii="Courier New" w:hAnsi="Courier New" w:cs="Courier New"/>
      </w:rPr>
    </w:lvl>
    <w:lvl w:ilvl="8">
      <w:start w:val="1"/>
      <w:numFmt w:val="bullet"/>
      <w:isLgl w:val="false"/>
      <w:suff w:val="tab"/>
      <w:lvlText w:val=""/>
      <w:lvlJc w:val="left"/>
      <w:pPr>
        <w:ind w:left="6480" w:hanging="360"/>
        <w:tabs>
          <w:tab w:val="num" w:pos="0" w:leader="none"/>
        </w:tabs>
      </w:pPr>
      <w:rPr>
        <w:rFonts w:hint="default" w:ascii="Wingdings" w:hAnsi="Wingdings" w:cs="Wingdings"/>
      </w:rPr>
    </w:lvl>
  </w:abstractNum>
  <w:abstractNum w:abstractNumId="34">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5">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6">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abstractNum w:abstractNumId="37">
    <w:multiLevelType w:val="hybridMultilevel"/>
    <w:lvl w:ilvl="0">
      <w:start w:val="1"/>
      <w:numFmt w:val="decimal"/>
      <w:isLgl w:val="false"/>
      <w:suff w:val="tab"/>
      <w:lvlText w:val="%1."/>
      <w:lvlJc w:val="left"/>
      <w:pPr>
        <w:ind w:left="1134" w:hanging="1134"/>
        <w:tabs>
          <w:tab w:val="num" w:pos="0" w:leader="none"/>
        </w:tabs>
      </w:pPr>
    </w:lvl>
    <w:lvl w:ilvl="1">
      <w:start w:val="1"/>
      <w:numFmt w:val="decimal"/>
      <w:isLgl w:val="false"/>
      <w:suff w:val="tab"/>
      <w:lvlText w:val="%1.%2."/>
      <w:lvlJc w:val="left"/>
      <w:pPr>
        <w:ind w:left="1134" w:hanging="1134"/>
        <w:tabs>
          <w:tab w:val="num" w:pos="0" w:leader="none"/>
        </w:tabs>
      </w:pPr>
    </w:lvl>
    <w:lvl w:ilvl="2">
      <w:start w:val="1"/>
      <w:numFmt w:val="decimal"/>
      <w:isLgl w:val="false"/>
      <w:suff w:val="tab"/>
      <w:lvlText w:val="%1.%2.%3."/>
      <w:lvlJc w:val="left"/>
      <w:pPr>
        <w:ind w:left="1134" w:hanging="1134"/>
        <w:tabs>
          <w:tab w:val="num" w:pos="0" w:leader="none"/>
        </w:tabs>
      </w:pPr>
    </w:lvl>
    <w:lvl w:ilvl="3">
      <w:start w:val="1"/>
      <w:numFmt w:val="russianLower"/>
      <w:isLgl w:val="false"/>
      <w:suff w:val="tab"/>
      <w:lvlText w:val="(%4)"/>
      <w:lvlJc w:val="left"/>
      <w:pPr>
        <w:ind w:left="1701" w:hanging="567"/>
        <w:tabs>
          <w:tab w:val="num" w:pos="0" w:leader="none"/>
        </w:tabs>
      </w:p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lvl>
    <w:lvl w:ilvl="6">
      <w:start w:val="1"/>
      <w:numFmt w:val="none"/>
      <w:isLgl w:val="false"/>
      <w:suff w:val="nothing"/>
      <w:lvlText w:val=""/>
      <w:lvlJc w:val="left"/>
      <w:pPr>
        <w:ind w:left="1701"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1134" w:firstLine="0"/>
        <w:tabs>
          <w:tab w:val="num" w:pos="0" w:leader="none"/>
        </w:tabs>
      </w:pPr>
    </w:lvl>
  </w:abstractNum>
  <w:abstractNum w:abstractNumId="38">
    <w:multiLevelType w:val="hybridMultilevel"/>
    <w:lvl w:ilvl="0">
      <w:start w:val="1"/>
      <w:numFmt w:val="bullet"/>
      <w:isLgl w:val="false"/>
      <w:suff w:val="tab"/>
      <w:lvlText w:val=""/>
      <w:lvlJc w:val="left"/>
      <w:pPr>
        <w:ind w:left="2705" w:hanging="360"/>
      </w:pPr>
      <w:rPr>
        <w:rFonts w:hint="default" w:ascii="Symbol" w:hAnsi="Symbol"/>
      </w:rPr>
    </w:lvl>
    <w:lvl w:ilvl="1">
      <w:start w:val="1"/>
      <w:numFmt w:val="lowerLetter"/>
      <w:isLgl w:val="false"/>
      <w:suff w:val="tab"/>
      <w:lvlText w:val="%2."/>
      <w:lvlJc w:val="left"/>
      <w:pPr>
        <w:ind w:left="3425" w:hanging="360"/>
      </w:pPr>
    </w:lvl>
    <w:lvl w:ilvl="2">
      <w:start w:val="1"/>
      <w:numFmt w:val="lowerRoman"/>
      <w:isLgl w:val="false"/>
      <w:suff w:val="tab"/>
      <w:lvlText w:val="%3."/>
      <w:lvlJc w:val="right"/>
      <w:pPr>
        <w:ind w:left="4145" w:hanging="180"/>
      </w:pPr>
    </w:lvl>
    <w:lvl w:ilvl="3">
      <w:start w:val="1"/>
      <w:numFmt w:val="decimal"/>
      <w:isLgl w:val="false"/>
      <w:suff w:val="tab"/>
      <w:lvlText w:val="%4."/>
      <w:lvlJc w:val="left"/>
      <w:pPr>
        <w:ind w:left="4865" w:hanging="360"/>
      </w:pPr>
    </w:lvl>
    <w:lvl w:ilvl="4">
      <w:start w:val="1"/>
      <w:numFmt w:val="lowerLetter"/>
      <w:isLgl w:val="false"/>
      <w:suff w:val="tab"/>
      <w:lvlText w:val="%5."/>
      <w:lvlJc w:val="left"/>
      <w:pPr>
        <w:ind w:left="5585" w:hanging="360"/>
      </w:pPr>
    </w:lvl>
    <w:lvl w:ilvl="5">
      <w:start w:val="1"/>
      <w:numFmt w:val="lowerRoman"/>
      <w:isLgl w:val="false"/>
      <w:suff w:val="tab"/>
      <w:lvlText w:val="%6."/>
      <w:lvlJc w:val="right"/>
      <w:pPr>
        <w:ind w:left="6305" w:hanging="180"/>
      </w:pPr>
    </w:lvl>
    <w:lvl w:ilvl="6">
      <w:start w:val="1"/>
      <w:numFmt w:val="decimal"/>
      <w:isLgl w:val="false"/>
      <w:suff w:val="tab"/>
      <w:lvlText w:val="%7."/>
      <w:lvlJc w:val="left"/>
      <w:pPr>
        <w:ind w:left="7025" w:hanging="360"/>
      </w:pPr>
    </w:lvl>
    <w:lvl w:ilvl="7">
      <w:start w:val="1"/>
      <w:numFmt w:val="lowerLetter"/>
      <w:isLgl w:val="false"/>
      <w:suff w:val="tab"/>
      <w:lvlText w:val="%8."/>
      <w:lvlJc w:val="left"/>
      <w:pPr>
        <w:ind w:left="7745" w:hanging="360"/>
      </w:pPr>
    </w:lvl>
    <w:lvl w:ilvl="8">
      <w:start w:val="1"/>
      <w:numFmt w:val="lowerRoman"/>
      <w:isLgl w:val="false"/>
      <w:suff w:val="tab"/>
      <w:lvlText w:val="%9."/>
      <w:lvlJc w:val="right"/>
      <w:pPr>
        <w:ind w:left="8465" w:hanging="180"/>
      </w:pPr>
    </w:lvl>
  </w:abstractNum>
  <w:abstractNum w:abstractNumId="39">
    <w:multiLevelType w:val="hybridMultilevel"/>
    <w:lvl w:ilvl="0">
      <w:start w:val="1"/>
      <w:numFmt w:val="decimal"/>
      <w:isLgl w:val="false"/>
      <w:suff w:val="tab"/>
      <w:lvlText w:val="%1."/>
      <w:lvlJc w:val="left"/>
      <w:pPr>
        <w:ind w:left="1134" w:hanging="1134"/>
        <w:tabs>
          <w:tab w:val="num" w:pos="1134" w:leader="none"/>
        </w:tabs>
      </w:pPr>
      <w:rPr>
        <w:rFonts w:hint="default"/>
      </w:rPr>
    </w:lvl>
    <w:lvl w:ilvl="1">
      <w:start w:val="1"/>
      <w:numFmt w:val="decimal"/>
      <w:isLgl w:val="false"/>
      <w:suff w:val="tab"/>
      <w:lvlText w:val="%1.%2"/>
      <w:lvlJc w:val="left"/>
      <w:pPr>
        <w:ind w:left="1134" w:hanging="1134"/>
        <w:tabs>
          <w:tab w:val="num" w:pos="1134" w:leader="none"/>
        </w:tabs>
      </w:pPr>
      <w:rPr>
        <w:rFonts w:hint="default"/>
      </w:rPr>
    </w:lvl>
    <w:lvl w:ilvl="2">
      <w:start w:val="1"/>
      <w:numFmt w:val="decimal"/>
      <w:isLgl w:val="false"/>
      <w:suff w:val="tab"/>
      <w:lvlText w:val="%1.%2.%3"/>
      <w:lvlJc w:val="left"/>
      <w:pPr>
        <w:ind w:left="1134" w:hanging="1134"/>
        <w:tabs>
          <w:tab w:val="num" w:pos="1134" w:leader="none"/>
        </w:tabs>
      </w:pPr>
      <w:rPr>
        <w:rFonts w:hint="default"/>
      </w:rPr>
    </w:lvl>
    <w:lvl w:ilvl="3">
      <w:start w:val="1"/>
      <w:numFmt w:val="russianLower"/>
      <w:isLgl w:val="false"/>
      <w:suff w:val="tab"/>
      <w:lvlText w:val="%4)"/>
      <w:lvlJc w:val="left"/>
      <w:pPr>
        <w:ind w:left="1701" w:hanging="567"/>
        <w:tabs>
          <w:tab w:val="num" w:pos="1701" w:leader="none"/>
        </w:tabs>
      </w:pPr>
      <w:rPr>
        <w:rFonts w:hint="default"/>
      </w:rPr>
    </w:lvl>
    <w:lvl w:ilvl="4">
      <w:start w:val="1"/>
      <w:numFmt w:val="bullet"/>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4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1">
    <w:multiLevelType w:val="hybridMultilevel"/>
    <w:lvl w:ilvl="0">
      <w:start w:val="1"/>
      <w:numFmt w:val="decimal"/>
      <w:isLgl w:val="false"/>
      <w:suff w:val="tab"/>
      <w:lvlText w:val="%1."/>
      <w:lvlJc w:val="left"/>
      <w:pPr>
        <w:ind w:left="1134" w:hanging="1134"/>
        <w:tabs>
          <w:tab w:val="num" w:pos="0" w:leader="none"/>
        </w:tabs>
      </w:pPr>
      <w:rPr>
        <w:rFonts w:cs="Times New Roman"/>
      </w:rPr>
    </w:lvl>
    <w:lvl w:ilvl="1">
      <w:start w:val="1"/>
      <w:numFmt w:val="decimal"/>
      <w:isLgl w:val="false"/>
      <w:suff w:val="tab"/>
      <w:lvlText w:val="%1.%2."/>
      <w:lvlJc w:val="left"/>
      <w:pPr>
        <w:ind w:left="1134" w:hanging="1134"/>
        <w:tabs>
          <w:tab w:val="num" w:pos="0" w:leader="none"/>
        </w:tabs>
      </w:pPr>
      <w:rPr>
        <w:rFonts w:cs="Times New Roman"/>
      </w:rPr>
    </w:lvl>
    <w:lvl w:ilvl="2">
      <w:start w:val="1"/>
      <w:numFmt w:val="decimal"/>
      <w:isLgl w:val="false"/>
      <w:suff w:val="tab"/>
      <w:lvlText w:val="%1.%2.%3."/>
      <w:lvlJc w:val="left"/>
      <w:pPr>
        <w:ind w:left="1134" w:hanging="1134"/>
        <w:tabs>
          <w:tab w:val="num" w:pos="0" w:leader="none"/>
        </w:tabs>
      </w:pPr>
      <w:rPr>
        <w:rFonts w:cs="Times New Roman"/>
      </w:rPr>
    </w:lvl>
    <w:lvl w:ilvl="3">
      <w:start w:val="1"/>
      <w:numFmt w:val="russianLower"/>
      <w:isLgl w:val="false"/>
      <w:suff w:val="tab"/>
      <w:lvlText w:val="(%4)"/>
      <w:lvlJc w:val="left"/>
      <w:pPr>
        <w:ind w:left="1701" w:hanging="567"/>
        <w:tabs>
          <w:tab w:val="num" w:pos="0" w:leader="none"/>
        </w:tabs>
      </w:pPr>
      <w:rPr>
        <w:rFonts w:cs="Times New Roman"/>
      </w:rPr>
    </w:lvl>
    <w:lvl w:ilvl="4">
      <w:start w:val="1"/>
      <w:numFmt w:val="bullet"/>
      <w:isLgl w:val="false"/>
      <w:suff w:val="tab"/>
      <w:lvlText w:val="–"/>
      <w:lvlJc w:val="left"/>
      <w:pPr>
        <w:ind w:left="2268" w:hanging="567"/>
        <w:tabs>
          <w:tab w:val="num" w:pos="0" w:leader="none"/>
        </w:tabs>
      </w:pPr>
      <w:rPr>
        <w:rFonts w:hint="default" w:ascii="Times New Roman" w:hAnsi="Times New Roman" w:cs="Times New Roman"/>
      </w:rPr>
    </w:lvl>
    <w:lvl w:ilvl="5">
      <w:start w:val="1"/>
      <w:numFmt w:val="none"/>
      <w:isLgl w:val="false"/>
      <w:suff w:val="nothing"/>
      <w:lvlText w:val=""/>
      <w:lvlJc w:val="left"/>
      <w:pPr>
        <w:ind w:left="1134" w:firstLine="0"/>
        <w:tabs>
          <w:tab w:val="num" w:pos="0" w:leader="none"/>
        </w:tabs>
      </w:pPr>
      <w:rPr>
        <w:rFonts w:cs="Times New Roman"/>
      </w:rPr>
    </w:lvl>
    <w:lvl w:ilvl="6">
      <w:start w:val="1"/>
      <w:numFmt w:val="none"/>
      <w:isLgl w:val="false"/>
      <w:suff w:val="nothing"/>
      <w:lvlText w:val=""/>
      <w:lvlJc w:val="left"/>
      <w:pPr>
        <w:ind w:left="1701" w:firstLine="0"/>
        <w:tabs>
          <w:tab w:val="num" w:pos="0" w:leader="none"/>
        </w:tabs>
      </w:pPr>
      <w:rPr>
        <w:rFonts w:cs="Times New Roman"/>
      </w:rPr>
    </w:lvl>
    <w:lvl w:ilvl="7">
      <w:start w:val="1"/>
      <w:numFmt w:val="none"/>
      <w:isLgl w:val="false"/>
      <w:suff w:val="nothing"/>
      <w:lvlText w:val=""/>
      <w:lvlJc w:val="left"/>
      <w:pPr>
        <w:ind w:left="0" w:firstLine="0"/>
        <w:tabs>
          <w:tab w:val="num" w:pos="0" w:leader="none"/>
        </w:tabs>
      </w:pPr>
      <w:rPr>
        <w:rFonts w:cs="Times New Roman"/>
      </w:rPr>
    </w:lvl>
    <w:lvl w:ilvl="8">
      <w:start w:val="1"/>
      <w:numFmt w:val="none"/>
      <w:isLgl w:val="false"/>
      <w:suff w:val="nothing"/>
      <w:lvlText w:val=""/>
      <w:lvlJc w:val="left"/>
      <w:pPr>
        <w:ind w:left="1134" w:firstLine="0"/>
        <w:tabs>
          <w:tab w:val="num" w:pos="0" w:leader="none"/>
        </w:tabs>
      </w:pPr>
      <w:rPr>
        <w:rFonts w:cs="Times New Roman"/>
      </w:rPr>
    </w:lvl>
  </w:abstractNum>
  <w:num w:numId="1">
    <w:abstractNumId w:val="24"/>
  </w:num>
  <w:num w:numId="2">
    <w:abstractNumId w:val="6"/>
  </w:num>
  <w:num w:numId="3">
    <w:abstractNumId w:val="29"/>
  </w:num>
  <w:num w:numId="4">
    <w:abstractNumId w:val="21"/>
  </w:num>
  <w:num w:numId="5">
    <w:abstractNumId w:val="12"/>
  </w:num>
  <w:num w:numId="6">
    <w:abstractNumId w:val="9"/>
  </w:num>
  <w:num w:numId="7">
    <w:abstractNumId w:val="1"/>
  </w:num>
  <w:num w:numId="8">
    <w:abstractNumId w:val="10"/>
  </w:num>
  <w:num w:numId="9">
    <w:abstractNumId w:val="31"/>
  </w:num>
  <w:num w:numId="10">
    <w:abstractNumId w:val="7"/>
  </w:num>
  <w:num w:numId="11">
    <w:abstractNumId w:val="0"/>
  </w:num>
  <w:num w:numId="12">
    <w:abstractNumId w:val="3"/>
  </w:num>
  <w:num w:numId="13">
    <w:abstractNumId w:val="28"/>
  </w:num>
  <w:num w:numId="14">
    <w:abstractNumId w:val="22"/>
  </w:num>
  <w:num w:numId="15">
    <w:abstractNumId w:val="19"/>
  </w:num>
  <w:num w:numId="16">
    <w:abstractNumId w:val="15"/>
    <w:lvlOverride w:ilvl="0">
      <w:startOverride w:val="1"/>
    </w:lvlOverride>
    <w:lvlOverride w:ilvl="1">
      <w:startOverride w:val="1"/>
    </w:lvlOverride>
    <w:lvlOverride w:ilvl="2">
      <w:startOverride w:val="1"/>
    </w:lvlOverride>
    <w:lvlOverride w:ilvl="3">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8"/>
  </w:num>
  <w:num w:numId="19">
    <w:abstractNumId w:val="17"/>
  </w:num>
  <w:num w:numId="20">
    <w:abstractNumId w:val="16"/>
  </w:num>
  <w:num w:numId="21">
    <w:abstractNumId w:val="13"/>
  </w:num>
  <w:num w:numId="22">
    <w:abstractNumId w:val="25"/>
  </w:num>
  <w:num w:numId="23">
    <w:abstractNumId w:val="30"/>
  </w:num>
  <w:num w:numId="24">
    <w:abstractNumId w:val="23"/>
  </w:num>
  <w:num w:numId="25">
    <w:abstractNumId w:val="27"/>
  </w:num>
  <w:num w:numId="26">
    <w:abstractNumId w:val="37"/>
  </w:num>
  <w:num w:numId="27">
    <w:abstractNumId w:val="35"/>
  </w:num>
  <w:num w:numId="28">
    <w:abstractNumId w:val="11"/>
  </w:num>
  <w:num w:numId="29">
    <w:abstractNumId w:val="26"/>
  </w:num>
  <w:num w:numId="30">
    <w:abstractNumId w:val="33"/>
  </w:num>
  <w:num w:numId="31">
    <w:abstractNumId w:val="14"/>
  </w:num>
  <w:num w:numId="32">
    <w:abstractNumId w:val="2"/>
  </w:num>
  <w:num w:numId="33">
    <w:abstractNumId w:val="36"/>
  </w:num>
  <w:num w:numId="34">
    <w:abstractNumId w:val="34"/>
  </w:num>
  <w:num w:numId="35">
    <w:abstractNumId w:val="32"/>
  </w:num>
  <w:num w:numId="36">
    <w:abstractNumId w:val="32"/>
  </w:num>
  <w:num w:numId="37">
    <w:abstractNumId w:val="20"/>
  </w:num>
  <w:num w:numId="38">
    <w:abstractNumId w:val="8"/>
  </w:num>
  <w:num w:numId="39">
    <w:abstractNumId w:val="18"/>
  </w:num>
  <w:num w:numId="40">
    <w:abstractNumId w:val="5"/>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formatting="1"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Theme="minorHAnsi" w:cstheme="minorBidi"/>
        <w:sz w:val="26"/>
        <w:szCs w:val="22"/>
        <w:lang w:val="ru-RU" w:eastAsia="en-US" w:bidi="ar-SA"/>
      </w:rPr>
    </w:rPrDefault>
    <w:pPrDefault>
      <w:pPr>
        <w:spacing w:before="120" w:beforeAutospacing="0" w:after="0" w:afterAutospacing="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12">
    <w:name w:val="Heading 1"/>
    <w:basedOn w:val="1170"/>
    <w:next w:val="1170"/>
    <w:link w:val="1013"/>
    <w:uiPriority w:val="9"/>
    <w:qFormat/>
    <w:pPr>
      <w:keepLines/>
      <w:keepNext/>
      <w:spacing w:before="480" w:after="200"/>
      <w:outlineLvl w:val="0"/>
    </w:pPr>
    <w:rPr>
      <w:rFonts w:ascii="Arial" w:hAnsi="Arial" w:eastAsia="Arial" w:cs="Arial"/>
      <w:sz w:val="40"/>
      <w:szCs w:val="40"/>
    </w:rPr>
  </w:style>
  <w:style w:type="character" w:styleId="1013">
    <w:name w:val="Heading 1 Char"/>
    <w:basedOn w:val="1171"/>
    <w:link w:val="1012"/>
    <w:uiPriority w:val="9"/>
    <w:rPr>
      <w:rFonts w:ascii="Arial" w:hAnsi="Arial" w:eastAsia="Arial" w:cs="Arial"/>
      <w:sz w:val="40"/>
      <w:szCs w:val="40"/>
    </w:rPr>
  </w:style>
  <w:style w:type="paragraph" w:styleId="1014">
    <w:name w:val="Heading 2"/>
    <w:basedOn w:val="1170"/>
    <w:next w:val="1170"/>
    <w:link w:val="1015"/>
    <w:uiPriority w:val="9"/>
    <w:unhideWhenUsed/>
    <w:qFormat/>
    <w:pPr>
      <w:keepLines/>
      <w:keepNext/>
      <w:spacing w:before="360" w:after="200"/>
      <w:outlineLvl w:val="1"/>
    </w:pPr>
    <w:rPr>
      <w:rFonts w:ascii="Arial" w:hAnsi="Arial" w:eastAsia="Arial" w:cs="Arial"/>
      <w:sz w:val="34"/>
    </w:rPr>
  </w:style>
  <w:style w:type="character" w:styleId="1015">
    <w:name w:val="Heading 2 Char"/>
    <w:basedOn w:val="1171"/>
    <w:link w:val="1014"/>
    <w:uiPriority w:val="9"/>
    <w:rPr>
      <w:rFonts w:ascii="Arial" w:hAnsi="Arial" w:eastAsia="Arial" w:cs="Arial"/>
      <w:sz w:val="34"/>
    </w:rPr>
  </w:style>
  <w:style w:type="paragraph" w:styleId="1016">
    <w:name w:val="Heading 3"/>
    <w:basedOn w:val="1170"/>
    <w:next w:val="1170"/>
    <w:link w:val="1017"/>
    <w:uiPriority w:val="9"/>
    <w:unhideWhenUsed/>
    <w:qFormat/>
    <w:pPr>
      <w:keepLines/>
      <w:keepNext/>
      <w:spacing w:before="320" w:after="200"/>
      <w:outlineLvl w:val="2"/>
    </w:pPr>
    <w:rPr>
      <w:rFonts w:ascii="Arial" w:hAnsi="Arial" w:eastAsia="Arial" w:cs="Arial"/>
      <w:sz w:val="30"/>
      <w:szCs w:val="30"/>
    </w:rPr>
  </w:style>
  <w:style w:type="character" w:styleId="1017">
    <w:name w:val="Heading 3 Char"/>
    <w:basedOn w:val="1171"/>
    <w:link w:val="1016"/>
    <w:uiPriority w:val="9"/>
    <w:rPr>
      <w:rFonts w:ascii="Arial" w:hAnsi="Arial" w:eastAsia="Arial" w:cs="Arial"/>
      <w:sz w:val="30"/>
      <w:szCs w:val="30"/>
    </w:rPr>
  </w:style>
  <w:style w:type="paragraph" w:styleId="1018">
    <w:name w:val="Heading 4"/>
    <w:basedOn w:val="1170"/>
    <w:next w:val="1170"/>
    <w:link w:val="1019"/>
    <w:uiPriority w:val="9"/>
    <w:unhideWhenUsed/>
    <w:qFormat/>
    <w:pPr>
      <w:keepLines/>
      <w:keepNext/>
      <w:spacing w:before="320" w:after="200"/>
      <w:outlineLvl w:val="3"/>
    </w:pPr>
    <w:rPr>
      <w:rFonts w:ascii="Arial" w:hAnsi="Arial" w:eastAsia="Arial" w:cs="Arial"/>
      <w:b/>
      <w:bCs/>
      <w:sz w:val="26"/>
      <w:szCs w:val="26"/>
    </w:rPr>
  </w:style>
  <w:style w:type="character" w:styleId="1019">
    <w:name w:val="Heading 4 Char"/>
    <w:basedOn w:val="1171"/>
    <w:link w:val="1018"/>
    <w:uiPriority w:val="9"/>
    <w:rPr>
      <w:rFonts w:ascii="Arial" w:hAnsi="Arial" w:eastAsia="Arial" w:cs="Arial"/>
      <w:b/>
      <w:bCs/>
      <w:sz w:val="26"/>
      <w:szCs w:val="26"/>
    </w:rPr>
  </w:style>
  <w:style w:type="paragraph" w:styleId="1020">
    <w:name w:val="Heading 5"/>
    <w:basedOn w:val="1170"/>
    <w:next w:val="1170"/>
    <w:link w:val="1021"/>
    <w:uiPriority w:val="9"/>
    <w:unhideWhenUsed/>
    <w:qFormat/>
    <w:pPr>
      <w:keepLines/>
      <w:keepNext/>
      <w:spacing w:before="320" w:after="200"/>
      <w:outlineLvl w:val="4"/>
    </w:pPr>
    <w:rPr>
      <w:rFonts w:ascii="Arial" w:hAnsi="Arial" w:eastAsia="Arial" w:cs="Arial"/>
      <w:b/>
      <w:bCs/>
      <w:sz w:val="24"/>
      <w:szCs w:val="24"/>
    </w:rPr>
  </w:style>
  <w:style w:type="character" w:styleId="1021">
    <w:name w:val="Heading 5 Char"/>
    <w:basedOn w:val="1171"/>
    <w:link w:val="1020"/>
    <w:uiPriority w:val="9"/>
    <w:rPr>
      <w:rFonts w:ascii="Arial" w:hAnsi="Arial" w:eastAsia="Arial" w:cs="Arial"/>
      <w:b/>
      <w:bCs/>
      <w:sz w:val="24"/>
      <w:szCs w:val="24"/>
    </w:rPr>
  </w:style>
  <w:style w:type="paragraph" w:styleId="1022">
    <w:name w:val="Heading 6"/>
    <w:basedOn w:val="1170"/>
    <w:next w:val="1170"/>
    <w:link w:val="1023"/>
    <w:uiPriority w:val="9"/>
    <w:unhideWhenUsed/>
    <w:qFormat/>
    <w:pPr>
      <w:keepLines/>
      <w:keepNext/>
      <w:spacing w:before="320" w:after="200"/>
      <w:outlineLvl w:val="5"/>
    </w:pPr>
    <w:rPr>
      <w:rFonts w:ascii="Arial" w:hAnsi="Arial" w:eastAsia="Arial" w:cs="Arial"/>
      <w:b/>
      <w:bCs/>
      <w:sz w:val="22"/>
      <w:szCs w:val="22"/>
    </w:rPr>
  </w:style>
  <w:style w:type="character" w:styleId="1023">
    <w:name w:val="Heading 6 Char"/>
    <w:basedOn w:val="1171"/>
    <w:link w:val="1022"/>
    <w:uiPriority w:val="9"/>
    <w:rPr>
      <w:rFonts w:ascii="Arial" w:hAnsi="Arial" w:eastAsia="Arial" w:cs="Arial"/>
      <w:b/>
      <w:bCs/>
      <w:sz w:val="22"/>
      <w:szCs w:val="22"/>
    </w:rPr>
  </w:style>
  <w:style w:type="paragraph" w:styleId="1024">
    <w:name w:val="Heading 7"/>
    <w:basedOn w:val="1170"/>
    <w:next w:val="1170"/>
    <w:link w:val="1243"/>
    <w:uiPriority w:val="9"/>
    <w:unhideWhenUsed/>
    <w:qFormat/>
    <w:pPr>
      <w:keepLines/>
      <w:keepNext/>
      <w:spacing w:before="320" w:after="200"/>
      <w:outlineLvl w:val="6"/>
    </w:pPr>
    <w:rPr>
      <w:rFonts w:ascii="Arial" w:hAnsi="Arial" w:eastAsia="Arial" w:cs="Arial"/>
      <w:b/>
      <w:bCs/>
      <w:i/>
      <w:iCs/>
      <w:sz w:val="22"/>
      <w:szCs w:val="22"/>
    </w:rPr>
  </w:style>
  <w:style w:type="paragraph" w:styleId="1025">
    <w:name w:val="Heading 8"/>
    <w:basedOn w:val="1170"/>
    <w:next w:val="1170"/>
    <w:link w:val="1026"/>
    <w:uiPriority w:val="9"/>
    <w:unhideWhenUsed/>
    <w:qFormat/>
    <w:pPr>
      <w:keepLines/>
      <w:keepNext/>
      <w:spacing w:before="320" w:after="200"/>
      <w:outlineLvl w:val="7"/>
    </w:pPr>
    <w:rPr>
      <w:rFonts w:ascii="Arial" w:hAnsi="Arial" w:eastAsia="Arial" w:cs="Arial"/>
      <w:i/>
      <w:iCs/>
      <w:sz w:val="22"/>
      <w:szCs w:val="22"/>
    </w:rPr>
  </w:style>
  <w:style w:type="character" w:styleId="1026">
    <w:name w:val="Heading 8 Char"/>
    <w:basedOn w:val="1171"/>
    <w:link w:val="1025"/>
    <w:uiPriority w:val="9"/>
    <w:rPr>
      <w:rFonts w:ascii="Arial" w:hAnsi="Arial" w:eastAsia="Arial" w:cs="Arial"/>
      <w:i/>
      <w:iCs/>
      <w:sz w:val="22"/>
      <w:szCs w:val="22"/>
    </w:rPr>
  </w:style>
  <w:style w:type="paragraph" w:styleId="1027">
    <w:name w:val="Heading 9"/>
    <w:basedOn w:val="1170"/>
    <w:next w:val="1170"/>
    <w:link w:val="1028"/>
    <w:uiPriority w:val="9"/>
    <w:unhideWhenUsed/>
    <w:qFormat/>
    <w:pPr>
      <w:keepLines/>
      <w:keepNext/>
      <w:spacing w:before="320" w:after="200"/>
      <w:outlineLvl w:val="8"/>
    </w:pPr>
    <w:rPr>
      <w:rFonts w:ascii="Arial" w:hAnsi="Arial" w:eastAsia="Arial" w:cs="Arial"/>
      <w:i/>
      <w:iCs/>
      <w:sz w:val="21"/>
      <w:szCs w:val="21"/>
    </w:rPr>
  </w:style>
  <w:style w:type="character" w:styleId="1028">
    <w:name w:val="Heading 9 Char"/>
    <w:basedOn w:val="1171"/>
    <w:link w:val="1027"/>
    <w:uiPriority w:val="9"/>
    <w:rPr>
      <w:rFonts w:ascii="Arial" w:hAnsi="Arial" w:eastAsia="Arial" w:cs="Arial"/>
      <w:i/>
      <w:iCs/>
      <w:sz w:val="21"/>
      <w:szCs w:val="21"/>
    </w:rPr>
  </w:style>
  <w:style w:type="paragraph" w:styleId="1029">
    <w:name w:val="No Spacing"/>
    <w:uiPriority w:val="1"/>
    <w:qFormat/>
    <w:pPr>
      <w:spacing w:before="0" w:after="0" w:line="240" w:lineRule="auto"/>
    </w:pPr>
  </w:style>
  <w:style w:type="paragraph" w:styleId="1030">
    <w:name w:val="Title"/>
    <w:basedOn w:val="1170"/>
    <w:next w:val="1170"/>
    <w:link w:val="1242"/>
    <w:uiPriority w:val="10"/>
    <w:qFormat/>
    <w:pPr>
      <w:contextualSpacing/>
      <w:spacing w:before="300" w:after="200"/>
    </w:pPr>
    <w:rPr>
      <w:sz w:val="48"/>
      <w:szCs w:val="48"/>
    </w:rPr>
  </w:style>
  <w:style w:type="paragraph" w:styleId="1031">
    <w:name w:val="Subtitle"/>
    <w:basedOn w:val="1170"/>
    <w:next w:val="1170"/>
    <w:link w:val="1032"/>
    <w:uiPriority w:val="11"/>
    <w:qFormat/>
    <w:pPr>
      <w:spacing w:before="200" w:after="200"/>
    </w:pPr>
    <w:rPr>
      <w:sz w:val="24"/>
      <w:szCs w:val="24"/>
    </w:rPr>
  </w:style>
  <w:style w:type="character" w:styleId="1032">
    <w:name w:val="Subtitle Char"/>
    <w:basedOn w:val="1171"/>
    <w:link w:val="1031"/>
    <w:uiPriority w:val="11"/>
    <w:rPr>
      <w:sz w:val="24"/>
      <w:szCs w:val="24"/>
    </w:rPr>
  </w:style>
  <w:style w:type="paragraph" w:styleId="1033">
    <w:name w:val="Quote"/>
    <w:basedOn w:val="1170"/>
    <w:next w:val="1170"/>
    <w:link w:val="1034"/>
    <w:uiPriority w:val="29"/>
    <w:qFormat/>
    <w:pPr>
      <w:ind w:left="720" w:right="720"/>
    </w:pPr>
    <w:rPr>
      <w:i/>
    </w:rPr>
  </w:style>
  <w:style w:type="character" w:styleId="1034">
    <w:name w:val="Quote Char"/>
    <w:link w:val="1033"/>
    <w:uiPriority w:val="29"/>
    <w:rPr>
      <w:i/>
    </w:rPr>
  </w:style>
  <w:style w:type="paragraph" w:styleId="1035">
    <w:name w:val="Intense Quote"/>
    <w:basedOn w:val="1170"/>
    <w:next w:val="1170"/>
    <w:link w:val="103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036">
    <w:name w:val="Intense Quote Char"/>
    <w:link w:val="1035"/>
    <w:uiPriority w:val="30"/>
    <w:rPr>
      <w:i/>
    </w:rPr>
  </w:style>
  <w:style w:type="character" w:styleId="1037">
    <w:name w:val="Header Char"/>
    <w:basedOn w:val="1171"/>
    <w:link w:val="1181"/>
    <w:uiPriority w:val="99"/>
  </w:style>
  <w:style w:type="character" w:styleId="1038">
    <w:name w:val="Footer Char"/>
    <w:basedOn w:val="1171"/>
    <w:link w:val="1183"/>
    <w:uiPriority w:val="99"/>
  </w:style>
  <w:style w:type="paragraph" w:styleId="1039">
    <w:name w:val="Caption"/>
    <w:basedOn w:val="1170"/>
    <w:next w:val="1170"/>
    <w:link w:val="1040"/>
    <w:uiPriority w:val="35"/>
    <w:semiHidden/>
    <w:unhideWhenUsed/>
    <w:qFormat/>
    <w:pPr>
      <w:spacing w:line="276" w:lineRule="auto"/>
    </w:pPr>
    <w:rPr>
      <w:b/>
      <w:bCs/>
      <w:color w:val="4f81bd" w:themeColor="accent1"/>
      <w:sz w:val="18"/>
      <w:szCs w:val="18"/>
    </w:rPr>
  </w:style>
  <w:style w:type="character" w:styleId="1040">
    <w:name w:val="Caption Char"/>
    <w:basedOn w:val="1171"/>
    <w:link w:val="1039"/>
    <w:uiPriority w:val="35"/>
    <w:rPr>
      <w:b/>
      <w:bCs/>
      <w:color w:val="4f81bd" w:themeColor="accent1"/>
      <w:sz w:val="18"/>
      <w:szCs w:val="18"/>
    </w:rPr>
  </w:style>
  <w:style w:type="table" w:styleId="1041">
    <w:name w:val="Table Grid Light"/>
    <w:basedOn w:val="117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042">
    <w:name w:val="Plain Table 1"/>
    <w:basedOn w:val="117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043">
    <w:name w:val="Plain Table 2"/>
    <w:basedOn w:val="117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044">
    <w:name w:val="Plain Table 3"/>
    <w:basedOn w:val="117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045">
    <w:name w:val="Plain Table 5"/>
    <w:basedOn w:val="117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1046">
    <w:name w:val="Grid Table 1 Light - Accent 1"/>
    <w:basedOn w:val="117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1047">
    <w:name w:val="Grid Table 1 Light - Accent 2"/>
    <w:basedOn w:val="117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1048">
    <w:name w:val="Grid Table 1 Light - Accent 3"/>
    <w:basedOn w:val="117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1049">
    <w:name w:val="Grid Table 1 Light - Accent 4"/>
    <w:basedOn w:val="117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1050">
    <w:name w:val="Grid Table 1 Light - Accent 5"/>
    <w:basedOn w:val="117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1051">
    <w:name w:val="Grid Table 1 Light - Accent 6"/>
    <w:basedOn w:val="117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1052">
    <w:name w:val="Grid Table 2"/>
    <w:basedOn w:val="117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1053">
    <w:name w:val="Grid Table 2 - Accent 1"/>
    <w:basedOn w:val="117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1054">
    <w:name w:val="Grid Table 2 - Accent 2"/>
    <w:basedOn w:val="117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1055">
    <w:name w:val="Grid Table 2 - Accent 3"/>
    <w:basedOn w:val="117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1056">
    <w:name w:val="Grid Table 2 - Accent 4"/>
    <w:basedOn w:val="117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1057">
    <w:name w:val="Grid Table 2 - Accent 5"/>
    <w:basedOn w:val="117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1058">
    <w:name w:val="Grid Table 2 - Accent 6"/>
    <w:basedOn w:val="117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1059">
    <w:name w:val="Grid Table 3"/>
    <w:basedOn w:val="117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0">
    <w:name w:val="Grid Table 3 - Accent 1"/>
    <w:basedOn w:val="117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1">
    <w:name w:val="Grid Table 3 - Accent 2"/>
    <w:basedOn w:val="117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2">
    <w:name w:val="Grid Table 3 - Accent 3"/>
    <w:basedOn w:val="117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3">
    <w:name w:val="Grid Table 3 - Accent 4"/>
    <w:basedOn w:val="117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4">
    <w:name w:val="Grid Table 3 - Accent 5"/>
    <w:basedOn w:val="117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5">
    <w:name w:val="Grid Table 3 - Accent 6"/>
    <w:basedOn w:val="117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6">
    <w:name w:val="Grid Table 4"/>
    <w:basedOn w:val="117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067">
    <w:name w:val="Grid Table 4 - Accent 1"/>
    <w:basedOn w:val="117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1068">
    <w:name w:val="Grid Table 4 - Accent 2"/>
    <w:basedOn w:val="117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1069">
    <w:name w:val="Grid Table 4 - Accent 3"/>
    <w:basedOn w:val="117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1070">
    <w:name w:val="Grid Table 4 - Accent 4"/>
    <w:basedOn w:val="117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1071">
    <w:name w:val="Grid Table 4 - Accent 5"/>
    <w:basedOn w:val="117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1072">
    <w:name w:val="Grid Table 4 - Accent 6"/>
    <w:basedOn w:val="117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1073">
    <w:name w:val="Grid Table 5 Dark"/>
    <w:basedOn w:val="117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1074">
    <w:name w:val="Grid Table 5 Dark- Accent 1"/>
    <w:basedOn w:val="117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1075">
    <w:name w:val="Grid Table 5 Dark - Accent 2"/>
    <w:basedOn w:val="117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1076">
    <w:name w:val="Grid Table 5 Dark - Accent 3"/>
    <w:basedOn w:val="117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1077">
    <w:name w:val="Grid Table 5 Dark- Accent 4"/>
    <w:basedOn w:val="117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1078">
    <w:name w:val="Grid Table 5 Dark - Accent 5"/>
    <w:basedOn w:val="117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1079">
    <w:name w:val="Grid Table 5 Dark - Accent 6"/>
    <w:basedOn w:val="117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1080">
    <w:name w:val="Grid Table 6 Colorful"/>
    <w:basedOn w:val="117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1081">
    <w:name w:val="Grid Table 6 Colorful - Accent 1"/>
    <w:basedOn w:val="117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1082">
    <w:name w:val="Grid Table 6 Colorful - Accent 2"/>
    <w:basedOn w:val="117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1083">
    <w:name w:val="Grid Table 6 Colorful - Accent 3"/>
    <w:basedOn w:val="117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1084">
    <w:name w:val="Grid Table 6 Colorful - Accent 4"/>
    <w:basedOn w:val="117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1085">
    <w:name w:val="Grid Table 6 Colorful - Accent 5"/>
    <w:basedOn w:val="117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086">
    <w:name w:val="Grid Table 6 Colorful - Accent 6"/>
    <w:basedOn w:val="117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087">
    <w:name w:val="Grid Table 7 Colorful"/>
    <w:basedOn w:val="117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1088">
    <w:name w:val="Grid Table 7 Colorful - Accent 1"/>
    <w:basedOn w:val="117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4a9"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1089">
    <w:name w:val="Grid Table 7 Colorful - Accent 2"/>
    <w:basedOn w:val="117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1090">
    <w:name w:val="Grid Table 7 Colorful - Accent 3"/>
    <w:basedOn w:val="117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1091">
    <w:name w:val="Grid Table 7 Colorful - Accent 4"/>
    <w:basedOn w:val="117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1092">
    <w:name w:val="Grid Table 7 Colorful - Accent 5"/>
    <w:basedOn w:val="117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d8d"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1093">
    <w:name w:val="Grid Table 7 Colorful - Accent 6"/>
    <w:basedOn w:val="117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1094">
    <w:name w:val="List Table 1 Light"/>
    <w:basedOn w:val="117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95">
    <w:name w:val="List Table 1 Light - Accent 1"/>
    <w:basedOn w:val="1172"/>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96">
    <w:name w:val="List Table 1 Light - Accent 2"/>
    <w:basedOn w:val="1172"/>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97">
    <w:name w:val="List Table 1 Light - Accent 3"/>
    <w:basedOn w:val="1172"/>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8">
    <w:name w:val="List Table 1 Light - Accent 4"/>
    <w:basedOn w:val="1172"/>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9">
    <w:name w:val="List Table 1 Light - Accent 5"/>
    <w:basedOn w:val="1172"/>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0">
    <w:name w:val="List Table 1 Light - Accent 6"/>
    <w:basedOn w:val="1172"/>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01">
    <w:name w:val="List Table 2"/>
    <w:basedOn w:val="117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02">
    <w:name w:val="List Table 2 - Accent 1"/>
    <w:basedOn w:val="117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03">
    <w:name w:val="List Table 2 - Accent 2"/>
    <w:basedOn w:val="117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04">
    <w:name w:val="List Table 2 - Accent 3"/>
    <w:basedOn w:val="117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05">
    <w:name w:val="List Table 2 - Accent 4"/>
    <w:basedOn w:val="117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06">
    <w:name w:val="List Table 2 - Accent 5"/>
    <w:basedOn w:val="117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07">
    <w:name w:val="List Table 2 - Accent 6"/>
    <w:basedOn w:val="117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08">
    <w:name w:val="List Table 3"/>
    <w:basedOn w:val="117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09">
    <w:name w:val="List Table 3 - Accent 1"/>
    <w:basedOn w:val="117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10">
    <w:name w:val="List Table 3 - Accent 2"/>
    <w:basedOn w:val="117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111">
    <w:name w:val="List Table 3 - Accent 3"/>
    <w:basedOn w:val="117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112">
    <w:name w:val="List Table 3 - Accent 4"/>
    <w:basedOn w:val="117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113">
    <w:name w:val="List Table 3 - Accent 5"/>
    <w:basedOn w:val="117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114">
    <w:name w:val="List Table 3 - Accent 6"/>
    <w:basedOn w:val="117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115">
    <w:name w:val="List Table 4"/>
    <w:basedOn w:val="117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16">
    <w:name w:val="List Table 4 - Accent 1"/>
    <w:basedOn w:val="117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17">
    <w:name w:val="List Table 4 - Accent 2"/>
    <w:basedOn w:val="117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118">
    <w:name w:val="List Table 4 - Accent 3"/>
    <w:basedOn w:val="117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119">
    <w:name w:val="List Table 4 - Accent 4"/>
    <w:basedOn w:val="117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120">
    <w:name w:val="List Table 4 - Accent 5"/>
    <w:basedOn w:val="117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121">
    <w:name w:val="List Table 4 - Accent 6"/>
    <w:basedOn w:val="117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122">
    <w:name w:val="List Table 5 Dark"/>
    <w:basedOn w:val="117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3">
    <w:name w:val="List Table 5 Dark - Accent 1"/>
    <w:basedOn w:val="117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4">
    <w:name w:val="List Table 5 Dark - Accent 2"/>
    <w:basedOn w:val="117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5">
    <w:name w:val="List Table 5 Dark - Accent 3"/>
    <w:basedOn w:val="117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6">
    <w:name w:val="List Table 5 Dark - Accent 4"/>
    <w:basedOn w:val="117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7">
    <w:name w:val="List Table 5 Dark - Accent 5"/>
    <w:basedOn w:val="117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8">
    <w:name w:val="List Table 5 Dark - Accent 6"/>
    <w:basedOn w:val="117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9">
    <w:name w:val="List Table 6 Colorful"/>
    <w:basedOn w:val="117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130">
    <w:name w:val="List Table 6 Colorful - Accent 1"/>
    <w:basedOn w:val="117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131">
    <w:name w:val="List Table 6 Colorful - Accent 2"/>
    <w:basedOn w:val="117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132">
    <w:name w:val="List Table 6 Colorful - Accent 3"/>
    <w:basedOn w:val="117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133">
    <w:name w:val="List Table 6 Colorful - Accent 4"/>
    <w:basedOn w:val="117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134">
    <w:name w:val="List Table 6 Colorful - Accent 5"/>
    <w:basedOn w:val="117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135">
    <w:name w:val="List Table 6 Colorful - Accent 6"/>
    <w:basedOn w:val="117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136">
    <w:name w:val="List Table 7 Colorful"/>
    <w:basedOn w:val="117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137">
    <w:name w:val="List Table 7 Colorful - Accent 1"/>
    <w:basedOn w:val="117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374"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54374" w:themeColor="accent1" w:themeShade="95"/>
        <w:sz w:val="22"/>
      </w:rPr>
    </w:tblStylePr>
  </w:style>
  <w:style w:type="table" w:styleId="1138">
    <w:name w:val="List Table 7 Colorful - Accent 2"/>
    <w:basedOn w:val="117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1139">
    <w:name w:val="List Table 7 Colorful - Accent 3"/>
    <w:basedOn w:val="117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1140">
    <w:name w:val="List Table 7 Colorful - Accent 4"/>
    <w:basedOn w:val="117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1141">
    <w:name w:val="List Table 7 Colorful - Accent 5"/>
    <w:basedOn w:val="117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8b1"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2e78b1" w:themeColor="accent5" w:themeTint="9A" w:themeShade="95"/>
        <w:sz w:val="22"/>
      </w:rPr>
    </w:tblStylePr>
  </w:style>
  <w:style w:type="table" w:styleId="1142">
    <w:name w:val="List Table 7 Colorful - Accent 6"/>
    <w:basedOn w:val="117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1143">
    <w:name w:val="Lined - Accent"/>
    <w:basedOn w:val="117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144">
    <w:name w:val="Lined - Accent 1"/>
    <w:basedOn w:val="117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145">
    <w:name w:val="Lined - Accent 2"/>
    <w:basedOn w:val="117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146">
    <w:name w:val="Lined - Accent 3"/>
    <w:basedOn w:val="117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147">
    <w:name w:val="Lined - Accent 4"/>
    <w:basedOn w:val="117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148">
    <w:name w:val="Lined - Accent 5"/>
    <w:basedOn w:val="117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149">
    <w:name w:val="Lined - Accent 6"/>
    <w:basedOn w:val="117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150">
    <w:name w:val="Bordered &amp; Lined - Accent"/>
    <w:basedOn w:val="117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151">
    <w:name w:val="Bordered &amp; Lined - Accent 1"/>
    <w:basedOn w:val="117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152">
    <w:name w:val="Bordered &amp; Lined - Accent 2"/>
    <w:basedOn w:val="117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153">
    <w:name w:val="Bordered &amp; Lined - Accent 3"/>
    <w:basedOn w:val="117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154">
    <w:name w:val="Bordered &amp; Lined - Accent 4"/>
    <w:basedOn w:val="117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155">
    <w:name w:val="Bordered &amp; Lined - Accent 5"/>
    <w:basedOn w:val="117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156">
    <w:name w:val="Bordered &amp; Lined - Accent 6"/>
    <w:basedOn w:val="117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157">
    <w:name w:val="Bordered"/>
    <w:basedOn w:val="117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158">
    <w:name w:val="Bordered - Accent 1"/>
    <w:basedOn w:val="117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159">
    <w:name w:val="Bordered - Accent 2"/>
    <w:basedOn w:val="117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160">
    <w:name w:val="Bordered - Accent 3"/>
    <w:basedOn w:val="117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161">
    <w:name w:val="Bordered - Accent 4"/>
    <w:basedOn w:val="117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162">
    <w:name w:val="Bordered - Accent 5"/>
    <w:basedOn w:val="117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163">
    <w:name w:val="Bordered - Accent 6"/>
    <w:basedOn w:val="117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164">
    <w:name w:val="Footnote Text Char"/>
    <w:link w:val="1186"/>
    <w:uiPriority w:val="99"/>
    <w:rPr>
      <w:sz w:val="18"/>
    </w:rPr>
  </w:style>
  <w:style w:type="paragraph" w:styleId="1165">
    <w:name w:val="endnote text"/>
    <w:basedOn w:val="1170"/>
    <w:link w:val="1166"/>
    <w:uiPriority w:val="99"/>
    <w:semiHidden/>
    <w:unhideWhenUsed/>
    <w:pPr>
      <w:spacing w:after="0" w:line="240" w:lineRule="auto"/>
    </w:pPr>
    <w:rPr>
      <w:sz w:val="20"/>
    </w:rPr>
  </w:style>
  <w:style w:type="character" w:styleId="1166">
    <w:name w:val="Endnote Text Char"/>
    <w:link w:val="1165"/>
    <w:uiPriority w:val="99"/>
    <w:rPr>
      <w:sz w:val="20"/>
    </w:rPr>
  </w:style>
  <w:style w:type="character" w:styleId="1167">
    <w:name w:val="endnote reference"/>
    <w:basedOn w:val="1171"/>
    <w:uiPriority w:val="99"/>
    <w:semiHidden/>
    <w:unhideWhenUsed/>
    <w:rPr>
      <w:vertAlign w:val="superscript"/>
    </w:rPr>
  </w:style>
  <w:style w:type="paragraph" w:styleId="1168">
    <w:name w:val="TOC Heading"/>
    <w:uiPriority w:val="39"/>
    <w:unhideWhenUsed/>
  </w:style>
  <w:style w:type="paragraph" w:styleId="1169">
    <w:name w:val="table of figures"/>
    <w:basedOn w:val="1170"/>
    <w:next w:val="1170"/>
    <w:uiPriority w:val="99"/>
    <w:unhideWhenUsed/>
    <w:pPr>
      <w:spacing w:after="0" w:afterAutospacing="0"/>
    </w:pPr>
  </w:style>
  <w:style w:type="paragraph" w:styleId="1170" w:default="1">
    <w:name w:val="Normal"/>
    <w:qFormat/>
  </w:style>
  <w:style w:type="character" w:styleId="1171" w:default="1">
    <w:name w:val="Default Paragraph Font"/>
    <w:uiPriority w:val="1"/>
    <w:semiHidden/>
    <w:unhideWhenUsed/>
  </w:style>
  <w:style w:type="table" w:styleId="1172" w:default="1">
    <w:name w:val="Normal Table"/>
    <w:uiPriority w:val="99"/>
    <w:semiHidden/>
    <w:unhideWhenUsed/>
    <w:tblPr>
      <w:tblInd w:w="0" w:type="dxa"/>
      <w:tblCellMar>
        <w:left w:w="108" w:type="dxa"/>
        <w:top w:w="0" w:type="dxa"/>
        <w:right w:w="108" w:type="dxa"/>
        <w:bottom w:w="0" w:type="dxa"/>
      </w:tblCellMar>
    </w:tblPr>
  </w:style>
  <w:style w:type="numbering" w:styleId="1173" w:default="1">
    <w:name w:val="No List"/>
    <w:uiPriority w:val="99"/>
    <w:semiHidden/>
    <w:unhideWhenUsed/>
  </w:style>
  <w:style w:type="paragraph" w:styleId="1174" w:customStyle="1">
    <w:name w:val="[РГ] Раздел"/>
    <w:basedOn w:val="1170"/>
    <w:next w:val="1175"/>
    <w:qFormat/>
    <w:pPr>
      <w:numPr>
        <w:ilvl w:val="0"/>
        <w:numId w:val="1"/>
      </w:numPr>
      <w:jc w:val="both"/>
      <w:keepNext/>
      <w:pageBreakBefore/>
      <w:spacing w:before="0" w:after="360"/>
      <w:outlineLvl w:val="0"/>
    </w:pPr>
    <w:rPr>
      <w:b/>
      <w:bCs/>
      <w:caps/>
    </w:rPr>
  </w:style>
  <w:style w:type="paragraph" w:styleId="1175" w:customStyle="1">
    <w:name w:val="[РГ] Подраздел"/>
    <w:basedOn w:val="1170"/>
    <w:next w:val="1176"/>
    <w:qFormat/>
    <w:pPr>
      <w:numPr>
        <w:ilvl w:val="1"/>
        <w:numId w:val="1"/>
      </w:numPr>
      <w:jc w:val="both"/>
      <w:keepNext/>
      <w:spacing w:before="360"/>
      <w:outlineLvl w:val="1"/>
    </w:pPr>
    <w:rPr>
      <w:b/>
      <w:bCs/>
    </w:rPr>
  </w:style>
  <w:style w:type="paragraph" w:styleId="1176" w:customStyle="1">
    <w:name w:val="[РГ] Пункт"/>
    <w:basedOn w:val="1170"/>
    <w:qFormat/>
    <w:pPr>
      <w:numPr>
        <w:ilvl w:val="2"/>
        <w:numId w:val="1"/>
      </w:numPr>
      <w:jc w:val="both"/>
      <w:outlineLvl w:val="2"/>
    </w:pPr>
  </w:style>
  <w:style w:type="paragraph" w:styleId="1177" w:customStyle="1">
    <w:name w:val="[РГ] Подпункт"/>
    <w:basedOn w:val="1170"/>
    <w:qFormat/>
    <w:pPr>
      <w:numPr>
        <w:ilvl w:val="3"/>
        <w:numId w:val="1"/>
      </w:numPr>
      <w:jc w:val="both"/>
      <w:outlineLvl w:val="3"/>
    </w:pPr>
  </w:style>
  <w:style w:type="paragraph" w:styleId="1178" w:customStyle="1">
    <w:name w:val="[РГ] Перечисление"/>
    <w:basedOn w:val="1170"/>
    <w:qFormat/>
    <w:pPr>
      <w:numPr>
        <w:ilvl w:val="4"/>
        <w:numId w:val="1"/>
      </w:numPr>
      <w:jc w:val="both"/>
      <w:outlineLvl w:val="4"/>
    </w:pPr>
  </w:style>
  <w:style w:type="paragraph" w:styleId="1179" w:customStyle="1">
    <w:name w:val="[РГ] Заголовок"/>
    <w:basedOn w:val="1170"/>
    <w:next w:val="1180"/>
    <w:qFormat/>
    <w:pPr>
      <w:jc w:val="both"/>
      <w:keepNext/>
      <w:pageBreakBefore/>
      <w:spacing w:before="0" w:after="360"/>
    </w:pPr>
    <w:rPr>
      <w:b/>
      <w:bCs/>
      <w:caps/>
    </w:rPr>
  </w:style>
  <w:style w:type="paragraph" w:styleId="1180" w:customStyle="1">
    <w:name w:val="[РГ] Текст"/>
    <w:basedOn w:val="1170"/>
    <w:qFormat/>
    <w:pPr>
      <w:jc w:val="both"/>
    </w:pPr>
  </w:style>
  <w:style w:type="paragraph" w:styleId="1181">
    <w:name w:val="Header"/>
    <w:basedOn w:val="1170"/>
    <w:link w:val="1182"/>
    <w:uiPriority w:val="99"/>
    <w:unhideWhenUsed/>
    <w:pPr>
      <w:jc w:val="center"/>
      <w:spacing w:before="0" w:after="120"/>
    </w:pPr>
  </w:style>
  <w:style w:type="character" w:styleId="1182" w:customStyle="1">
    <w:name w:val="Верхний колонтитул Знак"/>
    <w:basedOn w:val="1171"/>
    <w:link w:val="1181"/>
    <w:uiPriority w:val="99"/>
  </w:style>
  <w:style w:type="paragraph" w:styleId="1183">
    <w:name w:val="Footer"/>
    <w:basedOn w:val="1170"/>
    <w:link w:val="1184"/>
    <w:uiPriority w:val="99"/>
    <w:unhideWhenUsed/>
    <w:pPr>
      <w:jc w:val="right"/>
    </w:pPr>
  </w:style>
  <w:style w:type="character" w:styleId="1184" w:customStyle="1">
    <w:name w:val="Нижний колонтитул Знак"/>
    <w:basedOn w:val="1171"/>
    <w:link w:val="1183"/>
    <w:uiPriority w:val="99"/>
  </w:style>
  <w:style w:type="character" w:styleId="1185" w:customStyle="1">
    <w:name w:val="[РГ] Инструкция для организатора"/>
    <w:basedOn w:val="1171"/>
    <w:uiPriority w:val="1"/>
    <w:qFormat/>
    <w:rPr>
      <w:i/>
      <w:iCs/>
      <w:shd w:val="clear" w:color="auto" w:fill="ffff99"/>
      <w:lang w:val="ru-RU"/>
    </w:rPr>
  </w:style>
  <w:style w:type="paragraph" w:styleId="1186">
    <w:name w:val="footnote text"/>
    <w:basedOn w:val="1170"/>
    <w:link w:val="1187"/>
    <w:uiPriority w:val="99"/>
    <w:unhideWhenUsed/>
    <w:pPr>
      <w:spacing w:before="0"/>
    </w:pPr>
    <w:rPr>
      <w:sz w:val="20"/>
      <w:szCs w:val="20"/>
    </w:rPr>
  </w:style>
  <w:style w:type="character" w:styleId="1187" w:customStyle="1">
    <w:name w:val="Текст сноски Знак"/>
    <w:basedOn w:val="1171"/>
    <w:link w:val="1186"/>
    <w:uiPriority w:val="99"/>
    <w:qFormat/>
    <w:rPr>
      <w:sz w:val="20"/>
      <w:szCs w:val="20"/>
    </w:rPr>
  </w:style>
  <w:style w:type="character" w:styleId="1188">
    <w:name w:val="footnote reference"/>
    <w:basedOn w:val="1171"/>
    <w:unhideWhenUsed/>
    <w:rPr>
      <w:vertAlign w:val="superscript"/>
    </w:rPr>
  </w:style>
  <w:style w:type="paragraph" w:styleId="1189" w:customStyle="1">
    <w:name w:val="[РГ] Сноска"/>
    <w:basedOn w:val="1186"/>
    <w:qFormat/>
    <w:pPr>
      <w:ind w:left="567" w:hanging="567"/>
      <w:jc w:val="both"/>
      <w:spacing w:before="80"/>
    </w:pPr>
    <w:rPr>
      <w:sz w:val="22"/>
    </w:rPr>
  </w:style>
  <w:style w:type="character" w:styleId="1190">
    <w:name w:val="Hyperlink"/>
    <w:basedOn w:val="1171"/>
    <w:uiPriority w:val="99"/>
    <w:unhideWhenUsed/>
    <w:rPr>
      <w:color w:val="0563c1" w:themeColor="hyperlink"/>
      <w:u w:val="single"/>
    </w:rPr>
  </w:style>
  <w:style w:type="character" w:styleId="1191" w:customStyle="1">
    <w:name w:val="Unresolved Mention"/>
    <w:basedOn w:val="1171"/>
    <w:uiPriority w:val="99"/>
    <w:semiHidden/>
    <w:unhideWhenUsed/>
    <w:rPr>
      <w:color w:val="605e5c"/>
      <w:shd w:val="clear" w:color="auto" w:fill="e1dfdd"/>
    </w:rPr>
  </w:style>
  <w:style w:type="paragraph" w:styleId="1192">
    <w:name w:val="toc 2"/>
    <w:basedOn w:val="1170"/>
    <w:next w:val="1170"/>
    <w:uiPriority w:val="39"/>
    <w:unhideWhenUsed/>
    <w:pPr>
      <w:ind w:left="851" w:hanging="851"/>
      <w:spacing w:after="120"/>
      <w:tabs>
        <w:tab w:val="left" w:pos="851" w:leader="none"/>
        <w:tab w:val="right" w:pos="9923" w:leader="none"/>
      </w:tabs>
    </w:pPr>
  </w:style>
  <w:style w:type="paragraph" w:styleId="1193">
    <w:name w:val="toc 1"/>
    <w:basedOn w:val="1170"/>
    <w:next w:val="1170"/>
    <w:uiPriority w:val="39"/>
    <w:unhideWhenUsed/>
    <w:pPr>
      <w:ind w:left="851" w:hanging="851"/>
      <w:keepNext/>
      <w:spacing w:after="120"/>
      <w:tabs>
        <w:tab w:val="left" w:pos="851" w:leader="none"/>
        <w:tab w:val="right" w:pos="9923" w:leader="none"/>
      </w:tabs>
    </w:pPr>
    <w:rPr>
      <w:b/>
      <w:caps/>
    </w:rPr>
  </w:style>
  <w:style w:type="paragraph" w:styleId="1194">
    <w:name w:val="toc 3"/>
    <w:basedOn w:val="1170"/>
    <w:next w:val="1170"/>
    <w:uiPriority w:val="39"/>
    <w:unhideWhenUsed/>
    <w:pPr>
      <w:ind w:left="440"/>
      <w:spacing w:before="0" w:after="100" w:line="259" w:lineRule="auto"/>
    </w:pPr>
    <w:rPr>
      <w:rFonts w:asciiTheme="minorHAnsi" w:hAnsiTheme="minorHAnsi" w:eastAsiaTheme="minorEastAsia"/>
      <w:sz w:val="22"/>
      <w:lang w:eastAsia="ru-RU"/>
    </w:rPr>
  </w:style>
  <w:style w:type="paragraph" w:styleId="1195">
    <w:name w:val="toc 4"/>
    <w:basedOn w:val="1170"/>
    <w:next w:val="1170"/>
    <w:uiPriority w:val="39"/>
    <w:unhideWhenUsed/>
    <w:pPr>
      <w:ind w:left="660"/>
      <w:spacing w:before="0" w:after="100" w:line="259" w:lineRule="auto"/>
    </w:pPr>
    <w:rPr>
      <w:rFonts w:asciiTheme="minorHAnsi" w:hAnsiTheme="minorHAnsi" w:eastAsiaTheme="minorEastAsia"/>
      <w:sz w:val="22"/>
      <w:lang w:eastAsia="ru-RU"/>
    </w:rPr>
  </w:style>
  <w:style w:type="paragraph" w:styleId="1196">
    <w:name w:val="toc 5"/>
    <w:basedOn w:val="1170"/>
    <w:next w:val="1170"/>
    <w:uiPriority w:val="39"/>
    <w:unhideWhenUsed/>
    <w:pPr>
      <w:ind w:left="880"/>
      <w:spacing w:before="0" w:after="100" w:line="259" w:lineRule="auto"/>
    </w:pPr>
    <w:rPr>
      <w:rFonts w:asciiTheme="minorHAnsi" w:hAnsiTheme="minorHAnsi" w:eastAsiaTheme="minorEastAsia"/>
      <w:sz w:val="22"/>
      <w:lang w:eastAsia="ru-RU"/>
    </w:rPr>
  </w:style>
  <w:style w:type="paragraph" w:styleId="1197">
    <w:name w:val="toc 6"/>
    <w:basedOn w:val="1170"/>
    <w:next w:val="1170"/>
    <w:uiPriority w:val="39"/>
    <w:unhideWhenUsed/>
    <w:pPr>
      <w:ind w:left="1100"/>
      <w:spacing w:before="0" w:after="100" w:line="259" w:lineRule="auto"/>
    </w:pPr>
    <w:rPr>
      <w:rFonts w:asciiTheme="minorHAnsi" w:hAnsiTheme="minorHAnsi" w:eastAsiaTheme="minorEastAsia"/>
      <w:sz w:val="22"/>
      <w:lang w:eastAsia="ru-RU"/>
    </w:rPr>
  </w:style>
  <w:style w:type="paragraph" w:styleId="1198">
    <w:name w:val="toc 7"/>
    <w:basedOn w:val="1170"/>
    <w:next w:val="1170"/>
    <w:uiPriority w:val="39"/>
    <w:unhideWhenUsed/>
    <w:pPr>
      <w:ind w:left="1320"/>
      <w:spacing w:before="0" w:after="100" w:line="259" w:lineRule="auto"/>
    </w:pPr>
    <w:rPr>
      <w:rFonts w:asciiTheme="minorHAnsi" w:hAnsiTheme="minorHAnsi" w:eastAsiaTheme="minorEastAsia"/>
      <w:sz w:val="22"/>
      <w:lang w:eastAsia="ru-RU"/>
    </w:rPr>
  </w:style>
  <w:style w:type="paragraph" w:styleId="1199">
    <w:name w:val="toc 8"/>
    <w:basedOn w:val="1170"/>
    <w:next w:val="1170"/>
    <w:uiPriority w:val="39"/>
    <w:unhideWhenUsed/>
    <w:pPr>
      <w:ind w:left="1540"/>
      <w:spacing w:before="0" w:after="100" w:line="259" w:lineRule="auto"/>
    </w:pPr>
    <w:rPr>
      <w:rFonts w:asciiTheme="minorHAnsi" w:hAnsiTheme="minorHAnsi" w:eastAsiaTheme="minorEastAsia"/>
      <w:sz w:val="22"/>
      <w:lang w:eastAsia="ru-RU"/>
    </w:rPr>
  </w:style>
  <w:style w:type="paragraph" w:styleId="1200">
    <w:name w:val="toc 9"/>
    <w:basedOn w:val="1170"/>
    <w:next w:val="1170"/>
    <w:uiPriority w:val="39"/>
    <w:unhideWhenUsed/>
    <w:pPr>
      <w:ind w:left="1760"/>
      <w:spacing w:before="0" w:after="100" w:line="259" w:lineRule="auto"/>
    </w:pPr>
    <w:rPr>
      <w:rFonts w:asciiTheme="minorHAnsi" w:hAnsiTheme="minorHAnsi" w:eastAsiaTheme="minorEastAsia"/>
      <w:sz w:val="22"/>
      <w:lang w:eastAsia="ru-RU"/>
    </w:rPr>
  </w:style>
  <w:style w:type="table" w:styleId="1201" w:customStyle="1">
    <w:name w:val="[РГ] Таблица"/>
    <w:basedOn w:val="1172"/>
    <w:uiPriority w:val="99"/>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rPr>
        <w:b/>
      </w:rPr>
      <w:pPr>
        <w:jc w:val="center"/>
        <w:keepLines w:val="0"/>
        <w:keepNext/>
        <w:pageBreakBefore w:val="0"/>
        <w:widowControl/>
      </w:pPr>
    </w:tblStylePr>
  </w:style>
  <w:style w:type="table" w:styleId="1202">
    <w:name w:val="Table Grid"/>
    <w:basedOn w:val="1172"/>
    <w:uiPriority w:val="39"/>
    <w:pPr>
      <w:spacing w:before="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03">
    <w:name w:val="Placeholder Text"/>
    <w:basedOn w:val="1171"/>
    <w:uiPriority w:val="99"/>
    <w:semiHidden/>
    <w:rPr>
      <w:color w:val="808080"/>
    </w:rPr>
  </w:style>
  <w:style w:type="character" w:styleId="1204" w:customStyle="1">
    <w:name w:val="[РГ] Отсылка"/>
    <w:basedOn w:val="1171"/>
    <w:uiPriority w:val="1"/>
    <w:qFormat/>
    <w:rPr>
      <w:color w:val="auto"/>
      <w:spacing w:val="0"/>
      <w:u w:val="single"/>
      <w:shd w:val="clear" w:color="auto" w:fill="auto"/>
      <w:lang w:val="ru-RU"/>
    </w:rPr>
  </w:style>
  <w:style w:type="character" w:styleId="1205">
    <w:name w:val="annotation reference"/>
    <w:basedOn w:val="1171"/>
    <w:uiPriority w:val="99"/>
    <w:unhideWhenUsed/>
    <w:qFormat/>
    <w:rPr>
      <w:sz w:val="16"/>
      <w:szCs w:val="16"/>
    </w:rPr>
  </w:style>
  <w:style w:type="paragraph" w:styleId="1206">
    <w:name w:val="annotation text"/>
    <w:basedOn w:val="1170"/>
    <w:link w:val="1207"/>
    <w:uiPriority w:val="99"/>
    <w:unhideWhenUsed/>
    <w:rPr>
      <w:sz w:val="20"/>
      <w:szCs w:val="20"/>
    </w:rPr>
  </w:style>
  <w:style w:type="character" w:styleId="1207" w:customStyle="1">
    <w:name w:val="Текст примечания Знак"/>
    <w:basedOn w:val="1171"/>
    <w:link w:val="1206"/>
    <w:uiPriority w:val="99"/>
    <w:rPr>
      <w:sz w:val="20"/>
      <w:szCs w:val="20"/>
    </w:rPr>
  </w:style>
  <w:style w:type="paragraph" w:styleId="1208">
    <w:name w:val="annotation subject"/>
    <w:basedOn w:val="1206"/>
    <w:next w:val="1206"/>
    <w:link w:val="1209"/>
    <w:uiPriority w:val="99"/>
    <w:semiHidden/>
    <w:unhideWhenUsed/>
    <w:qFormat/>
    <w:rPr>
      <w:b/>
      <w:bCs/>
    </w:rPr>
  </w:style>
  <w:style w:type="character" w:styleId="1209" w:customStyle="1">
    <w:name w:val="Тема примечания Знак"/>
    <w:basedOn w:val="1207"/>
    <w:link w:val="1208"/>
    <w:uiPriority w:val="99"/>
    <w:semiHidden/>
    <w:qFormat/>
    <w:rPr>
      <w:b/>
      <w:bCs/>
      <w:sz w:val="20"/>
      <w:szCs w:val="20"/>
    </w:rPr>
  </w:style>
  <w:style w:type="paragraph" w:styleId="1210" w:customStyle="1">
    <w:name w:val="[РГ] Альтернатива / Дополнение"/>
    <w:basedOn w:val="1180"/>
    <w:next w:val="1180"/>
    <w:qFormat/>
    <w:rPr>
      <w:i/>
      <w:shd w:val="clear" w:color="auto" w:fill="ccecff"/>
    </w:rPr>
  </w:style>
  <w:style w:type="character" w:styleId="1211" w:customStyle="1">
    <w:name w:val="[РГ] Инструкция для участника"/>
    <w:basedOn w:val="1171"/>
    <w:uiPriority w:val="1"/>
    <w:qFormat/>
    <w:rPr>
      <w:i/>
      <w:shd w:val="clear" w:color="auto" w:fill="d0cece" w:themeFill="background2" w:themeFillShade="E6"/>
      <w:lang w:val="ru-RU"/>
    </w:rPr>
  </w:style>
  <w:style w:type="paragraph" w:styleId="1212">
    <w:name w:val="Revision"/>
    <w:hidden/>
    <w:uiPriority w:val="99"/>
    <w:semiHidden/>
    <w:pPr>
      <w:spacing w:before="0"/>
    </w:pPr>
  </w:style>
  <w:style w:type="character" w:styleId="1213">
    <w:name w:val="FollowedHyperlink"/>
    <w:basedOn w:val="1171"/>
    <w:uiPriority w:val="99"/>
    <w:semiHidden/>
    <w:unhideWhenUsed/>
    <w:rPr>
      <w:color w:val="954f72" w:themeColor="followedHyperlink"/>
      <w:u w:val="single"/>
    </w:rPr>
  </w:style>
  <w:style w:type="paragraph" w:styleId="1214">
    <w:name w:val="List Paragraph"/>
    <w:basedOn w:val="1170"/>
    <w:link w:val="1237"/>
    <w:uiPriority w:val="34"/>
    <w:qFormat/>
    <w:pPr>
      <w:contextualSpacing/>
      <w:ind w:left="720"/>
    </w:pPr>
  </w:style>
  <w:style w:type="paragraph" w:styleId="1215">
    <w:name w:val="Balloon Text"/>
    <w:basedOn w:val="1170"/>
    <w:link w:val="1216"/>
    <w:uiPriority w:val="99"/>
    <w:semiHidden/>
    <w:unhideWhenUsed/>
    <w:pPr>
      <w:spacing w:before="0"/>
    </w:pPr>
    <w:rPr>
      <w:rFonts w:ascii="Segoe UI" w:hAnsi="Segoe UI" w:cs="Segoe UI"/>
      <w:sz w:val="18"/>
      <w:szCs w:val="18"/>
    </w:rPr>
  </w:style>
  <w:style w:type="character" w:styleId="1216" w:customStyle="1">
    <w:name w:val="Текст выноски Знак"/>
    <w:basedOn w:val="1171"/>
    <w:link w:val="1215"/>
    <w:uiPriority w:val="99"/>
    <w:semiHidden/>
    <w:rPr>
      <w:rFonts w:ascii="Segoe UI" w:hAnsi="Segoe UI" w:cs="Segoe UI"/>
      <w:sz w:val="18"/>
      <w:szCs w:val="18"/>
    </w:rPr>
  </w:style>
  <w:style w:type="paragraph" w:styleId="1217" w:customStyle="1">
    <w:name w:val="Table_header"/>
    <w:basedOn w:val="1170"/>
    <w:qFormat/>
    <w:pPr>
      <w:jc w:val="both"/>
    </w:pPr>
    <w:rPr>
      <w:rFonts w:eastAsia="Times New Roman" w:cs="Times New Roman"/>
      <w:b/>
      <w:sz w:val="20"/>
      <w:szCs w:val="24"/>
      <w:lang w:eastAsia="ru-RU"/>
    </w:rPr>
  </w:style>
  <w:style w:type="table" w:styleId="1218">
    <w:name w:val="Grid Table 1 Light"/>
    <w:basedOn w:val="1172"/>
    <w:uiPriority w:val="46"/>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paragraph" w:styleId="1219" w:customStyle="1">
    <w:name w:val="Пункт2"/>
    <w:basedOn w:val="1214"/>
    <w:qFormat/>
    <w:pPr>
      <w:contextualSpacing w:val="0"/>
      <w:jc w:val="both"/>
      <w:spacing w:line="360" w:lineRule="exact"/>
    </w:pPr>
    <w:rPr>
      <w:rFonts w:cs="Times New Roman"/>
      <w:szCs w:val="28"/>
      <w:lang w:eastAsia="ru-RU"/>
    </w:rPr>
  </w:style>
  <w:style w:type="paragraph" w:styleId="1220" w:customStyle="1">
    <w:name w:val="УРОВЕНЬ_(а)"/>
    <w:basedOn w:val="1214"/>
    <w:qFormat/>
    <w:pPr>
      <w:numPr>
        <w:ilvl w:val="3"/>
        <w:numId w:val="16"/>
      </w:numPr>
      <w:contextualSpacing w:val="0"/>
      <w:ind w:left="720" w:firstLine="567"/>
      <w:jc w:val="both"/>
      <w:spacing w:line="360" w:lineRule="exact"/>
      <w:tabs>
        <w:tab w:val="num" w:pos="360" w:leader="none"/>
      </w:tabs>
      <w:outlineLvl w:val="3"/>
    </w:pPr>
    <w:rPr>
      <w:rFonts w:cs="Times New Roman"/>
      <w:szCs w:val="28"/>
    </w:rPr>
  </w:style>
  <w:style w:type="paragraph" w:styleId="1221" w:customStyle="1">
    <w:name w:val="УРОВЕНЬ_-"/>
    <w:basedOn w:val="1214"/>
    <w:link w:val="1241"/>
    <w:qFormat/>
    <w:pPr>
      <w:numPr>
        <w:ilvl w:val="4"/>
        <w:numId w:val="16"/>
      </w:numPr>
      <w:contextualSpacing w:val="0"/>
      <w:jc w:val="both"/>
      <w:spacing w:line="360" w:lineRule="exact"/>
      <w:outlineLvl w:val="4"/>
    </w:pPr>
    <w:rPr>
      <w:rFonts w:ascii="Calibri" w:hAnsi="Calibri"/>
      <w:szCs w:val="28"/>
    </w:rPr>
  </w:style>
  <w:style w:type="paragraph" w:styleId="1222" w:customStyle="1">
    <w:name w:val="УРОВЕНЬ_Абзац_тип2"/>
    <w:basedOn w:val="1214"/>
    <w:qFormat/>
    <w:pPr>
      <w:numPr>
        <w:ilvl w:val="6"/>
        <w:numId w:val="16"/>
      </w:numPr>
      <w:contextualSpacing w:val="0"/>
      <w:jc w:val="both"/>
      <w:spacing w:line="360" w:lineRule="exact"/>
    </w:pPr>
    <w:rPr>
      <w:rFonts w:ascii="Calibri" w:hAnsi="Calibri"/>
      <w:szCs w:val="28"/>
    </w:rPr>
  </w:style>
  <w:style w:type="paragraph" w:styleId="1223" w:customStyle="1">
    <w:name w:val="УРОВЕНЬ_Абзац_тип3"/>
    <w:basedOn w:val="1214"/>
    <w:link w:val="1240"/>
    <w:qFormat/>
    <w:pPr>
      <w:numPr>
        <w:ilvl w:val="7"/>
        <w:numId w:val="16"/>
      </w:numPr>
      <w:contextualSpacing w:val="0"/>
      <w:jc w:val="both"/>
      <w:spacing w:line="360" w:lineRule="exact"/>
    </w:pPr>
    <w:rPr>
      <w:rFonts w:ascii="Calibri" w:hAnsi="Calibri" w:eastAsia="Times New Roman" w:cs="Times New Roman"/>
      <w:szCs w:val="28"/>
      <w:lang w:eastAsia="ru-RU"/>
    </w:rPr>
  </w:style>
  <w:style w:type="paragraph" w:styleId="1224" w:customStyle="1">
    <w:name w:val="УРОВЕНЬ_Подпись"/>
    <w:basedOn w:val="1214"/>
    <w:qFormat/>
    <w:pPr>
      <w:numPr>
        <w:ilvl w:val="5"/>
        <w:numId w:val="16"/>
      </w:numPr>
      <w:contextualSpacing w:val="0"/>
      <w:ind w:left="720" w:firstLine="567"/>
      <w:jc w:val="right"/>
      <w:keepNext/>
      <w:spacing w:after="120" w:line="360" w:lineRule="exact"/>
      <w:tabs>
        <w:tab w:val="num" w:pos="360" w:leader="none"/>
      </w:tabs>
      <w:outlineLvl w:val="3"/>
    </w:pPr>
    <w:rPr>
      <w:rFonts w:cs="Times New Roman"/>
      <w:szCs w:val="28"/>
    </w:rPr>
  </w:style>
  <w:style w:type="paragraph" w:styleId="1225" w:customStyle="1">
    <w:name w:val="маркированный"/>
    <w:basedOn w:val="1170"/>
    <w:semiHidden/>
    <w:pPr>
      <w:jc w:val="both"/>
      <w:spacing w:before="0" w:line="360" w:lineRule="auto"/>
    </w:pPr>
    <w:rPr>
      <w:rFonts w:eastAsia="Times New Roman" w:cs="Times New Roman"/>
      <w:sz w:val="28"/>
      <w:szCs w:val="20"/>
      <w:lang w:eastAsia="ru-RU"/>
    </w:rPr>
  </w:style>
  <w:style w:type="character" w:styleId="1226" w:customStyle="1">
    <w:name w:val="Символ сноски"/>
    <w:uiPriority w:val="99"/>
    <w:qFormat/>
    <w:rPr>
      <w:vertAlign w:val="superscript"/>
    </w:rPr>
  </w:style>
  <w:style w:type="table" w:styleId="1227">
    <w:name w:val="Plain Table 4"/>
    <w:basedOn w:val="1172"/>
    <w:uiPriority w:val="44"/>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numbering" w:styleId="1228" w:customStyle="1">
    <w:name w:val="Outline"/>
    <w:basedOn w:val="1173"/>
    <w:pPr>
      <w:numPr>
        <w:ilvl w:val="0"/>
        <w:numId w:val="19"/>
      </w:numPr>
    </w:pPr>
  </w:style>
  <w:style w:type="numbering" w:styleId="1229" w:customStyle="1">
    <w:name w:val="WWNum5"/>
    <w:basedOn w:val="1173"/>
    <w:pPr>
      <w:numPr>
        <w:ilvl w:val="0"/>
        <w:numId w:val="20"/>
      </w:numPr>
    </w:pPr>
  </w:style>
  <w:style w:type="paragraph" w:styleId="1230" w:customStyle="1">
    <w:name w:val="[РусГидро] Раздел"/>
    <w:basedOn w:val="1214"/>
    <w:next w:val="1231"/>
    <w:qFormat/>
    <w:pPr>
      <w:numPr>
        <w:ilvl w:val="0"/>
        <w:numId w:val="21"/>
      </w:numPr>
      <w:contextualSpacing w:val="0"/>
      <w:ind w:left="720" w:firstLine="0"/>
      <w:jc w:val="both"/>
      <w:keepLines/>
      <w:keepNext/>
      <w:pageBreakBefore/>
      <w:spacing w:before="0"/>
      <w:tabs>
        <w:tab w:val="left" w:pos="360" w:leader="none"/>
      </w:tabs>
      <w:outlineLvl w:val="0"/>
    </w:pPr>
    <w:rPr>
      <w:rFonts w:cs="Times New Roman"/>
      <w:b/>
      <w:bCs/>
      <w:caps/>
      <w:szCs w:val="26"/>
    </w:rPr>
  </w:style>
  <w:style w:type="paragraph" w:styleId="1231" w:customStyle="1">
    <w:name w:val="[РусГидро] Глава"/>
    <w:basedOn w:val="1214"/>
    <w:next w:val="1232"/>
    <w:qFormat/>
    <w:pPr>
      <w:numPr>
        <w:ilvl w:val="1"/>
        <w:numId w:val="21"/>
      </w:numPr>
      <w:contextualSpacing w:val="0"/>
      <w:ind w:left="720" w:firstLine="0"/>
      <w:jc w:val="both"/>
      <w:keepLines/>
      <w:keepNext/>
      <w:spacing w:before="360" w:after="240"/>
      <w:tabs>
        <w:tab w:val="left" w:pos="360" w:leader="none"/>
      </w:tabs>
      <w:outlineLvl w:val="1"/>
    </w:pPr>
    <w:rPr>
      <w:rFonts w:cs="Times New Roman"/>
      <w:b/>
      <w:bCs/>
      <w:caps/>
      <w:szCs w:val="26"/>
    </w:rPr>
  </w:style>
  <w:style w:type="paragraph" w:styleId="1232" w:customStyle="1">
    <w:name w:val="[РусГидро] Пункт"/>
    <w:basedOn w:val="1214"/>
    <w:qFormat/>
    <w:pPr>
      <w:numPr>
        <w:ilvl w:val="2"/>
        <w:numId w:val="21"/>
      </w:numPr>
      <w:contextualSpacing w:val="0"/>
      <w:ind w:left="720" w:firstLine="0"/>
      <w:jc w:val="both"/>
      <w:tabs>
        <w:tab w:val="left" w:pos="360" w:leader="none"/>
      </w:tabs>
      <w:outlineLvl w:val="2"/>
    </w:pPr>
    <w:rPr>
      <w:rFonts w:cs="Times New Roman"/>
      <w:szCs w:val="26"/>
    </w:rPr>
  </w:style>
  <w:style w:type="paragraph" w:styleId="1233" w:customStyle="1">
    <w:name w:val="[РусГидро] Подпункт"/>
    <w:basedOn w:val="1214"/>
    <w:qFormat/>
    <w:pPr>
      <w:numPr>
        <w:ilvl w:val="3"/>
        <w:numId w:val="21"/>
      </w:numPr>
      <w:contextualSpacing w:val="0"/>
      <w:ind w:left="720" w:firstLine="0"/>
      <w:jc w:val="both"/>
      <w:tabs>
        <w:tab w:val="left" w:pos="360" w:leader="none"/>
      </w:tabs>
      <w:outlineLvl w:val="3"/>
    </w:pPr>
    <w:rPr>
      <w:rFonts w:cs="Times New Roman"/>
      <w:szCs w:val="26"/>
    </w:rPr>
  </w:style>
  <w:style w:type="paragraph" w:styleId="1234" w:customStyle="1">
    <w:name w:val="[РусГидро] Перечисление"/>
    <w:basedOn w:val="1214"/>
    <w:qFormat/>
    <w:pPr>
      <w:numPr>
        <w:ilvl w:val="4"/>
        <w:numId w:val="21"/>
      </w:numPr>
      <w:contextualSpacing w:val="0"/>
      <w:ind w:left="720" w:firstLine="0"/>
      <w:jc w:val="both"/>
      <w:tabs>
        <w:tab w:val="left" w:pos="360" w:leader="none"/>
      </w:tabs>
      <w:outlineLvl w:val="4"/>
    </w:pPr>
    <w:rPr>
      <w:rFonts w:cs="Times New Roman"/>
      <w:szCs w:val="26"/>
    </w:rPr>
  </w:style>
  <w:style w:type="paragraph" w:styleId="1235" w:customStyle="1">
    <w:name w:val="[РусГидро] Буллиты"/>
    <w:basedOn w:val="1214"/>
    <w:qFormat/>
    <w:pPr>
      <w:numPr>
        <w:ilvl w:val="5"/>
        <w:numId w:val="21"/>
      </w:numPr>
      <w:contextualSpacing w:val="0"/>
      <w:ind w:left="720" w:firstLine="0"/>
      <w:jc w:val="both"/>
      <w:tabs>
        <w:tab w:val="left" w:pos="360" w:leader="none"/>
      </w:tabs>
      <w:outlineLvl w:val="5"/>
    </w:pPr>
    <w:rPr>
      <w:rFonts w:cs="Times New Roman"/>
      <w:szCs w:val="26"/>
    </w:rPr>
  </w:style>
  <w:style w:type="paragraph" w:styleId="1236" w:customStyle="1">
    <w:name w:val="[РусГидро] Текст"/>
    <w:basedOn w:val="1214"/>
    <w:qFormat/>
    <w:pPr>
      <w:numPr>
        <w:ilvl w:val="6"/>
        <w:numId w:val="21"/>
      </w:numPr>
      <w:contextualSpacing w:val="0"/>
      <w:ind w:left="720" w:firstLine="0"/>
      <w:jc w:val="both"/>
      <w:tabs>
        <w:tab w:val="left" w:pos="360" w:leader="none"/>
        <w:tab w:val="left" w:pos="1701" w:leader="none"/>
      </w:tabs>
      <w:outlineLvl w:val="6"/>
    </w:pPr>
    <w:rPr>
      <w:rFonts w:cs="Times New Roman"/>
      <w:szCs w:val="26"/>
    </w:rPr>
  </w:style>
  <w:style w:type="character" w:styleId="1237" w:customStyle="1">
    <w:name w:val="Абзац списка Знак"/>
    <w:link w:val="1214"/>
    <w:uiPriority w:val="34"/>
    <w:qFormat/>
  </w:style>
  <w:style w:type="character" w:styleId="1238" w:customStyle="1">
    <w:name w:val="комментарий"/>
    <w:qFormat/>
    <w:rPr>
      <w:b/>
      <w:i/>
      <w:shd w:val="clear" w:color="auto" w:fill="ffff99"/>
    </w:rPr>
  </w:style>
  <w:style w:type="character" w:styleId="1239">
    <w:name w:val="Strong"/>
    <w:uiPriority w:val="22"/>
    <w:qFormat/>
    <w:rPr>
      <w:b/>
      <w:bCs/>
    </w:rPr>
  </w:style>
  <w:style w:type="character" w:styleId="1240" w:customStyle="1">
    <w:name w:val="УРОВЕНЬ_Абзац_тип3 Знак"/>
    <w:link w:val="1223"/>
    <w:qFormat/>
    <w:rPr>
      <w:rFonts w:ascii="Calibri" w:hAnsi="Calibri" w:eastAsia="Times New Roman" w:cs="Times New Roman"/>
      <w:szCs w:val="28"/>
      <w:lang w:eastAsia="ru-RU"/>
    </w:rPr>
  </w:style>
  <w:style w:type="character" w:styleId="1241" w:customStyle="1">
    <w:name w:val="УРОВЕНЬ_- Знак"/>
    <w:basedOn w:val="1171"/>
    <w:link w:val="1221"/>
    <w:qFormat/>
    <w:rPr>
      <w:rFonts w:ascii="Calibri" w:hAnsi="Calibri"/>
      <w:szCs w:val="28"/>
    </w:rPr>
  </w:style>
  <w:style w:type="character" w:styleId="1242" w:customStyle="1">
    <w:name w:val="Title Char"/>
    <w:basedOn w:val="1171"/>
    <w:uiPriority w:val="10"/>
    <w:qFormat/>
    <w:rPr>
      <w:sz w:val="48"/>
      <w:szCs w:val="48"/>
    </w:rPr>
  </w:style>
  <w:style w:type="character" w:styleId="1243" w:customStyle="1">
    <w:name w:val="Heading 7 Char"/>
    <w:basedOn w:val="1171"/>
    <w:uiPriority w:val="9"/>
    <w:qFormat/>
    <w:rPr>
      <w:rFonts w:ascii="Arial" w:hAnsi="Arial" w:eastAsia="Arial" w:cs="Arial"/>
      <w:b/>
      <w:bCs/>
      <w:i/>
      <w:iCs/>
      <w:sz w:val="22"/>
      <w:szCs w:val="22"/>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https://nbt.rushydro.ru/Planning/Program/View/404732?returnUrl=%2FProcurement%2FPurchaseInformation%2FUpdate%2F84003%3FreturnUrl%3D%252FProcurement%252FPurchaseInformation%253Fpage%253D1%2526pageSize%253D50%2526LotIndex%253D22129006%23DocumentationLots" TargetMode="External"/><Relationship Id="rId13" Type="http://schemas.openxmlformats.org/officeDocument/2006/relationships/hyperlink" Target="https://rushydro.roseltorg.ru" TargetMode="External"/><Relationship Id="rId14" Type="http://schemas.openxmlformats.org/officeDocument/2006/relationships/hyperlink" Target="https://www.roseltorg.ru/knowledge_db/docs?55" TargetMode="External"/><Relationship Id="rId15" Type="http://schemas.openxmlformats.org/officeDocument/2006/relationships/hyperlink" Target="https://diadoc.kontur.ru" TargetMode="External"/><Relationship Id="rId16" Type="http://schemas.openxmlformats.org/officeDocument/2006/relationships/image" Target="media/image1.png"/><Relationship Id="rId17" Type="http://schemas.openxmlformats.org/officeDocument/2006/relationships/image" Target="media/media1.svg"/><Relationship Id="rId18" Type="http://schemas.openxmlformats.org/officeDocument/2006/relationships/image" Target="media/image2.png"/><Relationship Id="rId19" Type="http://schemas.openxmlformats.org/officeDocument/2006/relationships/image" Target="media/media2.svg"/><Relationship Id="rId20" Type="http://schemas.openxmlformats.org/officeDocument/2006/relationships/image" Target="media/image3.png"/><Relationship Id="rId21" Type="http://schemas.openxmlformats.org/officeDocument/2006/relationships/image" Target="media/media3.svg"/><Relationship Id="rId22" Type="http://schemas.openxmlformats.org/officeDocument/2006/relationships/hyperlink" Target="https://bo.nalog.ru/" TargetMode="External"/><Relationship Id="rId23" Type="http://schemas.openxmlformats.org/officeDocument/2006/relationships/image" Target="media/image4.png"/><Relationship Id="rId24" Type="http://schemas.openxmlformats.org/officeDocument/2006/relationships/image" Target="media/media4.svg"/><Relationship Id="rId25" Type="http://schemas.openxmlformats.org/officeDocument/2006/relationships/image" Target="media/image5.png"/><Relationship Id="rId26" Type="http://schemas.openxmlformats.org/officeDocument/2006/relationships/image" Target="media/media5.sv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9200B-5E9C-4858-80C9-DE408DBB0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Р7-Офис/2025.2.2.832</Application>
  <Company>ПАО РусГидро; ИнКонТех</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
  <cp:keywords>Типовая форма</cp:keywords>
  <dc:description/>
  <cp:lastModifiedBy>nikitina_nv</cp:lastModifiedBy>
  <cp:revision>189</cp:revision>
  <dcterms:created xsi:type="dcterms:W3CDTF">2023-11-14T13:43:00Z</dcterms:created>
  <dcterms:modified xsi:type="dcterms:W3CDTF">2026-07-16T00:47:38Z</dcterms:modified>
</cp:coreProperties>
</file>