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left"/>
        <w:rPr>
          <w:rFonts w:ascii="Times New Roman" w:hAnsi="Times New Roman" w:eastAsia="Times New Roman" w:cs="Times New Roman"/>
          <w:bCs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 xml:space="preserve">Для рассылки </w:t>
      </w:r>
      <w:r>
        <w:rPr>
          <w:rFonts w:ascii="Times New Roman" w:hAnsi="Times New Roman" w:eastAsia="Times New Roman" w:cs="Times New Roman"/>
          <w:i/>
          <w:iCs/>
          <w:color w:val="212121"/>
          <w:sz w:val="26"/>
          <w:szCs w:val="26"/>
          <w:highlight w:val="white"/>
          <w:u w:val="none"/>
        </w:rPr>
        <w:t xml:space="preserve">потребителям, указанным в п. 1.5. Правил</w:t>
      </w: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 xml:space="preserve">               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u w:val="none"/>
        </w:rPr>
        <w:t xml:space="preserve">Приложение 3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contextualSpacing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 xml:space="preserve">(непосредственная форма управления)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right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                      Председателю совета дома/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0"/>
        <w:jc w:val="right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представителю собственников помещений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ind w:left="0" w:right="0" w:firstLine="709"/>
        <w:jc w:val="center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Уважаемый Потребитель!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0"/>
        <w:jc w:val="both"/>
        <w:spacing w:line="269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ab/>
        <w:t xml:space="preserve">С 1 марта 2025 года вступают в силу Правила обеспечения готовности к отопительному периоду, утвержденные П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риказом Минэнерго России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от 13 ноября 2024 г. N 2234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(далее Правила).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Подпункт 1.5. Пункта 1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указанных  Правил устанавливает обязательные требования по обеспечению готовности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к отопительному периоду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для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лиц (организаций), с которыми в соответствии с частью 1 статьи 164 ЖК РФ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собственниками помещений в многоквартирном доме (МКД) заключены договоры оказания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услуг по содержанию и (или) выполнению работ по ремонту общего имущества в целях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надлежащего содержания и (или) ремонта внутридомовой системы отопления в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МКД, либо для Председателя Совета МКД в случае, если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собственниками не принято решение о заключении таких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договоров.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left="0" w:firstLine="708"/>
        <w:jc w:val="both"/>
        <w:spacing w:line="269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Лица, указанные в подпункте 1.5. пункта 1 Правил, обязаны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разработать План подготовки к ОЗП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теплопотребляющих установок, инженерных коммуникаций (в том числе тепловые сети при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наличии таких сетей) и иного общедомового имущества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(в том числе котельные, бойлерные,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элеваторные узлы)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План должен содержать организационные 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технические мероприятия, предусмотренные пунктом 11 Правил.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При этом, предусмотренные Планом сроки выполнения работ 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мероприятий, требующих отключения ГВС, заполнения теплопотребляющих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установок и тепловых сетей сетевой водой после выполнения ремонтных работ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должны быть синхронизированы с Планами РСО.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8"/>
        <w:jc w:val="both"/>
        <w:spacing w:line="26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 факту выполнения мероприятий по подготовке к ОЗП Вам необходимо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получить подписанный представителем РСО и уполномоченным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представителем Потребителя Акт проверки технической готовности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теплопотребляющей установки объекта к отопительному периоду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, а так же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подготовить и представить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иссии по проведению оценки обеспечения готовности к отопительному периоду Опросный лист и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документы, подтверждающие выполнение требований пункта 11 Правил.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О сроках предоставления указанных документов Вы будете уведомлены Комиссией в сроки, установленные Правилами.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В связи с вышеизложенным прошу Вас принять к исполнению требования Правил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обеспечения готовности к отопительному периоду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, а так же довести указанную информацию до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организации,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с которой собственниками помещений Вашего МКД заключены договоры оказания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услуг по содержанию и (или) выполнению работ по ремонту общего имущества.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Обращаем Ваше внимание, что на величину индекса готовности объектов Потребителя к ОЗП влияет наличие задолженности за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потребленную тепловую энергию на дату проверки. В связи с этим, просим Вас принять меры по недопущению ДЗ на дату проведения оценки готовности.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left="0" w:right="0" w:firstLine="708"/>
        <w:jc w:val="both"/>
        <w:spacing w:after="283" w:afterAutospacing="0"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Контакты для обращений по возникающим вопросам: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«Хабаровские тепловые сети», г. Хабаровск, ул. Флегонтова, 13а,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контактный телефон: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3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Центральный сетевой район: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+7(4212) 32-59-72;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48"/>
        <w:numPr>
          <w:ilvl w:val="0"/>
          <w:numId w:val="3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Южный сетевой район: +7(4212) 53-61-09, 26-56-88;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pStyle w:val="848"/>
        <w:numPr>
          <w:ilvl w:val="0"/>
          <w:numId w:val="3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Восточный сетевой район: +7(4212) 26-56-77, 26-56-78, 26-56-79;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pStyle w:val="848"/>
        <w:numPr>
          <w:ilvl w:val="0"/>
          <w:numId w:val="3"/>
        </w:numPr>
        <w:contextualSpacing w:val="0"/>
        <w:ind w:right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Северный сетевой район: +7(4212) 26-56-73, 26-56-74</w:t>
      </w:r>
      <w: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contextualSpacing w:val="0"/>
        <w:ind w:left="1276" w:right="0" w:firstLine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Нерюнгринская ГРЭС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Нерюнгри, ул. Кравченко, 10,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контактный телефон: +7(41147) 9-53-21 Дудкина Людмила Евгеньевна.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«ТЭЦ в г. Советская Гавань», г. Советская Гавань, ул. Пионерская, 5б,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контактный телефон: +7(42138) 6-43-42 Гончарова Александра Алексеевна.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Комсомольские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Комсомольск-на-Амуре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ул. Пендрие, 6, контактный телефон: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+7(4217) 23-32-10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Приморские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Владивосток, ул. Западная, 29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hyperlink r:id="rId9" w:tooltip="http://priemnaya-pts@dgk.ru" w:history="1">
        <w:r>
          <w:rPr>
            <w:rStyle w:val="826"/>
            <w:rFonts w:ascii="Times New Roman" w:hAnsi="Times New Roman"/>
            <w:sz w:val="26"/>
            <w:szCs w:val="26"/>
            <w:highlight w:val="none"/>
          </w:rPr>
          <w:t xml:space="preserve">priemnaya-pts@dgk.ru</w:t>
        </w:r>
        <w:r>
          <w:rPr>
            <w:rStyle w:val="826"/>
            <w:rFonts w:ascii="Times New Roman" w:hAnsi="Times New Roman"/>
            <w:sz w:val="28"/>
            <w:szCs w:val="28"/>
            <w:highlight w:val="white"/>
            <w14:ligatures w14:val="none"/>
          </w:rPr>
        </w:r>
        <w:r>
          <w:rPr>
            <w:rStyle w:val="826"/>
            <w:rFonts w:ascii="Times New Roman" w:hAnsi="Times New Roman"/>
            <w:sz w:val="28"/>
            <w:szCs w:val="28"/>
            <w:highlight w:val="none"/>
          </w:rPr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ozp-pts@dgk.ru</w:t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Биробиджанская ТЭЦ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г. Биробиджан, ул. Шалом-Алейхема, 60,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+7(42622) 9-27-03. 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Амурские тепловые сети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», г. Благовещенск, ул. Загородная, 177,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+7(4162) 39-83-45,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пгт. Прогресс, ул. Бурейская, 1,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контактный телефон: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  <w:t xml:space="preserve"> +7 (41647) 44-024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848"/>
        <w:numPr>
          <w:ilvl w:val="0"/>
          <w:numId w:val="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 «Николаевская ТЭЦ», г. Николаевск-на-Амуре, ул. Невельского, 24, контактный телефон: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u w:val="none"/>
        </w:rPr>
        <w:t xml:space="preserve">+7 (42135) 64-200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u w:val="none"/>
        </w:rPr>
        <w:t xml:space="preserve"> доб. 36-169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  <w14:ligatures w14:val="none"/>
        </w:rPr>
        <w:t xml:space="preserve">, Шибанов Андрей Вячеславович.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after="283" w:afterAutospacing="0"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line="269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09" w:right="709" w:bottom="68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riemnaya-pts@d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arutyunyan_vv</cp:lastModifiedBy>
  <cp:revision>9</cp:revision>
  <dcterms:modified xsi:type="dcterms:W3CDTF">2025-04-03T07:23:47Z</dcterms:modified>
</cp:coreProperties>
</file>