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№1 к Документации о закупке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выполнение работ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b/>
          <w:bCs/>
          <w:highlight w:val="none"/>
        </w:rPr>
      </w:pPr>
      <w:r>
        <w:rPr>
          <w:b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u w:val="none"/>
          <w:vertAlign w:val="baseline"/>
        </w:rPr>
        <w:t xml:space="preserve">ОКПД 33.14.11.000.002. Выполнение работ по капитальному ремонту турбогенераторов Райчихинской ГРЭС, пгт Прогресс 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keepLines/>
        <w:keepNext/>
        <w:rPr>
          <w:b/>
          <w:bCs/>
        </w:rPr>
      </w:pP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8"/>
          <w:highlight w:val="none"/>
          <w:u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keepLines/>
        <w:keepNext/>
        <w:rPr>
          <w:rFonts w:ascii="Times New Roman" w:hAnsi="Times New Roman" w:eastAsia="Times New Roman" w:cs="Times New Roman"/>
          <w:b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b/>
          <w:bCs/>
          <w:highlight w:val="none"/>
        </w:rPr>
        <w:t xml:space="preserve">№ лота 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8"/>
          <w:u w:val="none"/>
          <w:vertAlign w:val="baseline"/>
        </w:rPr>
        <w:t xml:space="preserve">11036004-РЕМ ПРОД-2025-ДГК</w:t>
      </w:r>
      <w:r>
        <w:rPr>
          <w:rFonts w:ascii="Times New Roman" w:hAnsi="Times New Roman" w:eastAsia="Times New Roman" w:cs="Times New Roman"/>
          <w:b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2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54646395" w:anchor="_Toc54646395" w:history="1">
        <w:r>
          <w:rPr>
            <w:rStyle w:val="924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24"/>
          </w:rPr>
          <w:t xml:space="preserve">Общие сведения</w:t>
        </w:r>
        <w:r>
          <w:tab/>
        </w:r>
        <w:r>
          <w:t xml:space="preserve">3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6" w:anchor="_Toc54646396" w:history="1">
        <w:r>
          <w:rPr>
            <w:rStyle w:val="924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Обозначения и сокращения</w:t>
        </w:r>
        <w:r>
          <w:tab/>
        </w:r>
        <w:r>
          <w:rPr>
            <w:lang w:val="en-US"/>
          </w:rPr>
          <w:t xml:space="preserve">3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7" w:anchor="_Toc54646397" w:history="1">
        <w:r>
          <w:rPr>
            <w:rStyle w:val="924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Наименование закупаемой продукции</w:t>
        </w:r>
        <w:r>
          <w:tab/>
        </w:r>
        <w:r>
          <w:rPr>
            <w:lang w:val="en-US"/>
          </w:rPr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  <w:lang w:val="en-US"/>
        </w:rPr>
      </w:pPr>
      <w:r/>
      <w:hyperlink w:tooltip="#_Toc54646398" w:anchor="_Toc54646398" w:history="1">
        <w:r>
          <w:rPr>
            <w:rStyle w:val="924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Цель выполнения работ </w:t>
        </w:r>
        <w:r>
          <w:tab/>
        </w:r>
        <w:r>
          <w:rPr>
            <w:lang w:val="en-US"/>
          </w:rPr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  <w:lang w:val="en-US"/>
        </w:rPr>
      </w:pPr>
      <w:r/>
      <w:hyperlink w:tooltip="#_Toc54646399" w:anchor="_Toc54646399" w:history="1">
        <w:r>
          <w:rPr>
            <w:rStyle w:val="924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t xml:space="preserve">Информация</w:t>
        </w:r>
        <w:r>
          <w:t xml:space="preserve"> </w:t>
        </w:r>
        <w:r>
          <w:t xml:space="preserve">в отношении исполнения договора, которая должна быть учтена при подготовке заявки</w:t>
        </w:r>
        <w:r>
          <w:tab/>
        </w:r>
        <w:r>
          <w:rPr>
            <w:lang w:val="en-US"/>
          </w:rPr>
          <w:t xml:space="preserve">4</w:t>
        </w:r>
      </w:hyperlink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</w:p>
    <w:p>
      <w:pPr>
        <w:pStyle w:val="92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3" w:anchor="_Toc54646403" w:history="1">
        <w:r>
          <w:rPr>
            <w:rStyle w:val="924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24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_Toc54646403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4" w:anchor="_Toc54646404" w:history="1">
        <w:r>
          <w:rPr>
            <w:rStyle w:val="924"/>
            <w:iCs/>
          </w:rPr>
          <w:t xml:space="preserve">2.1.</w:t>
        </w:r>
        <w:r>
          <w:rPr>
            <w:rStyle w:val="924"/>
            <w:iCs/>
            <w:lang w:val="en-US"/>
          </w:rPr>
          <w:t xml:space="preserve">1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Требования к объемам и срокам выполнения работ</w:t>
        </w:r>
        <w:r>
          <w:tab/>
        </w:r>
        <w:r>
          <w:fldChar w:fldCharType="begin"/>
        </w:r>
        <w:r>
          <w:instrText xml:space="preserve"> PAGEREF _Toc54646404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  <w:lang w:val="en-US"/>
        </w:rPr>
      </w:pPr>
      <w:r/>
      <w:hyperlink w:tooltip="#_Toc54646405" w:anchor="_Toc54646405" w:history="1">
        <w:r>
          <w:rPr>
            <w:rStyle w:val="924"/>
          </w:rPr>
          <w:t xml:space="preserve">2.1.</w:t>
        </w:r>
        <w:r>
          <w:rPr>
            <w:rStyle w:val="924"/>
            <w:lang w:val="en-US"/>
          </w:rPr>
          <w:t xml:space="preserve">2</w:t>
        </w:r>
        <w:r>
          <w:rPr>
            <w:rStyle w:val="924"/>
          </w:rPr>
          <w:t xml:space="preserve">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Требования к видам и объемам работ</w:t>
        </w:r>
        <w:r>
          <w:tab/>
        </w:r>
        <w:r>
          <w:rPr>
            <w:lang w:val="en-US"/>
          </w:rPr>
          <w:t xml:space="preserve">6</w:t>
        </w:r>
      </w:hyperlink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  <w:r>
        <w:rPr>
          <w:rFonts w:asciiTheme="minorHAnsi" w:hAnsiTheme="minorHAnsi" w:eastAsiaTheme="minorEastAsia" w:cstheme="minorBidi"/>
          <w:sz w:val="24"/>
          <w:szCs w:val="24"/>
          <w:lang w:val="en-US"/>
        </w:rPr>
      </w:r>
    </w:p>
    <w:p>
      <w:pPr>
        <w:pStyle w:val="92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6" w:anchor="_Toc54646406" w:history="1">
        <w:r>
          <w:rPr>
            <w:rStyle w:val="924"/>
          </w:rPr>
          <w:t xml:space="preserve">Таблица 2. Перечень </w:t>
        </w:r>
        <w:r>
          <w:rPr>
            <w:rStyle w:val="924"/>
          </w:rPr>
          <w:t xml:space="preserve">и объем </w:t>
        </w:r>
        <w:r>
          <w:rPr>
            <w:rStyle w:val="924"/>
          </w:rPr>
          <w:t xml:space="preserve">выполняемых работ</w:t>
        </w:r>
        <w:r>
          <w:tab/>
        </w:r>
        <w:r>
          <w:fldChar w:fldCharType="begin"/>
        </w:r>
        <w:r>
          <w:instrText xml:space="preserve"> PAGEREF _Toc54646406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7" w:anchor="_Toc54646407" w:history="1">
        <w:r>
          <w:rPr>
            <w:rStyle w:val="924"/>
          </w:rPr>
          <w:t xml:space="preserve">2.1.2.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Требования к срокам выполнения работ</w:t>
        </w:r>
        <w:r>
          <w:tab/>
        </w:r>
        <w:r>
          <w:fldChar w:fldCharType="begin"/>
        </w:r>
        <w:r>
          <w:instrText xml:space="preserve"> PAGEREF _Toc54646407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2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8" w:anchor="_Toc54646408" w:history="1">
        <w:r>
          <w:rPr>
            <w:rStyle w:val="924"/>
          </w:rPr>
          <w:t xml:space="preserve">Таблица 3. Требования по срокам выполнения работ</w:t>
        </w:r>
        <w:r>
          <w:tab/>
        </w:r>
        <w:r>
          <w:fldChar w:fldCharType="begin"/>
        </w:r>
        <w:r>
          <w:instrText xml:space="preserve"> PAGEREF _Toc54646408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9" w:anchor="_Toc54646409" w:history="1">
        <w:r>
          <w:rPr>
            <w:rStyle w:val="924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924"/>
          </w:rPr>
          <w:t xml:space="preserve">Требования к качеству работ</w:t>
        </w:r>
        <w:r>
          <w:tab/>
        </w:r>
        <w:r>
          <w:rPr>
            <w:lang w:val="en-US"/>
          </w:rPr>
          <w:t xml:space="preserve">9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92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0" w:anchor="_Toc54646410" w:history="1">
        <w:r>
          <w:rPr>
            <w:rStyle w:val="924"/>
          </w:rPr>
          <w:t xml:space="preserve">Таблица 4. Требования к качеству работ</w:t>
        </w:r>
        <w:r>
          <w:tab/>
        </w:r>
        <w:r>
          <w:fldChar w:fldCharType="begin"/>
        </w:r>
        <w:r>
          <w:instrText xml:space="preserve"> PAGEREF _Toc54646410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2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1" w:anchor="_Toc54646411" w:history="1">
        <w:r>
          <w:rPr>
            <w:rStyle w:val="924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24"/>
          </w:rPr>
          <w:t xml:space="preserve">Требования к документации по ценообразованию на этапе закупки</w:t>
        </w:r>
        <w:r>
          <w:tab/>
        </w:r>
        <w:r>
          <w:fldChar w:fldCharType="begin"/>
        </w:r>
        <w:r>
          <w:instrText xml:space="preserve"> PAGEREF _Toc54646411 \h </w:instrText>
        </w:r>
        <w:r>
          <w:fldChar w:fldCharType="separate"/>
        </w:r>
        <w:r>
          <w:t xml:space="preserve">1</w:t>
        </w:r>
        <w:r>
          <w:rPr>
            <w:lang w:val="en-US"/>
          </w:rP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2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2" w:anchor="_Toc54646412" w:history="1">
        <w:r>
          <w:rPr>
            <w:rStyle w:val="924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24"/>
          </w:rPr>
          <w:t xml:space="preserve">Требования к документации по ценообразованию на этапе заключения (исполнения) договора</w:t>
        </w:r>
        <w:r>
          <w:tab/>
        </w:r>
        <w:r>
          <w:fldChar w:fldCharType="begin"/>
        </w:r>
        <w:r>
          <w:instrText xml:space="preserve"> PAGEREF _Toc54646412 \h </w:instrText>
        </w:r>
        <w:r>
          <w:fldChar w:fldCharType="separate"/>
        </w:r>
        <w:r>
          <w:t xml:space="preserve">1</w:t>
        </w:r>
        <w:r>
          <w:rPr>
            <w:lang w:val="en-US"/>
          </w:rP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22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3" w:anchor="_Toc54646413" w:history="1">
        <w:r>
          <w:rPr>
            <w:rStyle w:val="924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924"/>
            <w:iCs/>
          </w:rPr>
          <w:t xml:space="preserve">Приложения</w:t>
        </w:r>
        <w:r>
          <w:tab/>
        </w:r>
        <w:r>
          <w:fldChar w:fldCharType="begin"/>
        </w:r>
        <w:r>
          <w:instrText xml:space="preserve"> PAGEREF _Toc54646413 \h </w:instrText>
        </w:r>
        <w:r>
          <w:fldChar w:fldCharType="separate"/>
        </w:r>
        <w:r>
          <w:t xml:space="preserve">1</w:t>
        </w:r>
        <w:r>
          <w:rPr>
            <w:lang w:val="en-US"/>
          </w:rP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922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889"/>
        <w:numPr>
          <w:ilvl w:val="0"/>
          <w:numId w:val="0"/>
        </w:numPr>
        <w:rPr>
          <w:b w:val="0"/>
          <w:i/>
        </w:rPr>
      </w:pPr>
      <w:r>
        <w:rPr>
          <w:rFonts w:eastAsia="Times New Roman" w:cstheme="majorHAnsi"/>
          <w:b w:val="0"/>
          <w:i/>
          <w:lang w:val="ru-RU" w:eastAsia="ru-RU"/>
        </w:rPr>
        <w:fldChar w:fldCharType="end"/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88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54646395"/>
      <w:r>
        <w:rPr>
          <w:lang w:val="ru-RU"/>
        </w:rPr>
        <w:t xml:space="preserve">Общие сведения</w:t>
      </w:r>
      <w:bookmarkEnd w:id="0"/>
      <w:r/>
      <w:bookmarkEnd w:id="1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91"/>
      </w:pPr>
      <w:r/>
      <w:bookmarkStart w:id="2" w:name="_Toc46743505"/>
      <w:r/>
      <w:bookmarkStart w:id="3" w:name="_Toc54646396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985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85"/>
          <w:b w:val="0"/>
          <w:bCs/>
          <w:iCs/>
          <w:sz w:val="26"/>
          <w:szCs w:val="26"/>
        </w:rPr>
      </w:r>
      <w:r>
        <w:rPr>
          <w:rStyle w:val="985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Borders>
              <w:bottom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985"/>
                <w:b w:val="0"/>
                <w:bCs/>
                <w:iCs/>
                <w:sz w:val="24"/>
                <w:szCs w:val="24"/>
              </w:rPr>
            </w:r>
            <w:r>
              <w:rPr>
                <w:rStyle w:val="985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</w:t>
            </w:r>
            <w:r>
              <w:rPr>
                <w:iCs/>
                <w:sz w:val="24"/>
                <w:szCs w:val="24"/>
                <w:highlight w:val="white"/>
              </w:rPr>
              <w:t xml:space="preserve">я</w:t>
            </w:r>
            <w:r>
              <w:rPr>
                <w:rStyle w:val="985"/>
                <w:b w:val="0"/>
                <w:bCs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985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985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НДТ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Нормативно-техническая документация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СП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Свод правил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МДС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методические документы в строительстве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ВСН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Ведомственные строительные нормы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СТО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РД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Рабочая документация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СНиП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Санитарные нормы и правила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  <w:tr>
        <w:tblPrEx/>
        <w:trPr>
          <w:cantSplit/>
          <w:jc w:val="center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СО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pP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  <w:t xml:space="preserve">Стандарт организации</w:t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  <w:r>
              <w:rPr>
                <w:rStyle w:val="985"/>
                <w:b w:val="0"/>
                <w:bCs/>
                <w:i w:val="0"/>
                <w:iCs/>
                <w:sz w:val="24"/>
                <w:szCs w:val="24"/>
                <w:shd w:val="clear" w:color="auto" w:fill="ffffff" w:themeFill="background1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</w:pPr>
      <w:r/>
      <w:bookmarkStart w:id="5" w:name="_Toc54646397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spacing w:before="120" w:after="120"/>
        <w:widowControl w:val="off"/>
        <w:tabs>
          <w:tab w:val="left" w:pos="426" w:leader="none"/>
        </w:tabs>
        <w:rPr>
          <w:rStyle w:val="985"/>
          <w:b w:val="0"/>
          <w:bCs/>
          <w:i w:val="0"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/>
          <w:iCs/>
          <w:strike w:val="0"/>
          <w:color w:val="000000"/>
          <w:sz w:val="24"/>
          <w:szCs w:val="24"/>
          <w:u w:val="none"/>
          <w:vertAlign w:val="baseline"/>
        </w:rPr>
        <w:t xml:space="preserve">Выполнение работ по капитальному ремонту турбогенераторов Райчихинской ГРЭС, пгт Прогресс .</w:t>
      </w:r>
      <w:r>
        <w:rPr>
          <w:rFonts w:eastAsia="Calibri"/>
          <w:i/>
          <w:sz w:val="24"/>
          <w:szCs w:val="24"/>
        </w:rPr>
        <w:br/>
      </w:r>
      <w:r>
        <w:rPr>
          <w:rStyle w:val="985"/>
          <w:b w:val="0"/>
          <w:bCs/>
          <w:i w:val="0"/>
          <w:sz w:val="24"/>
          <w:szCs w:val="24"/>
        </w:rPr>
      </w:r>
      <w:r>
        <w:rPr>
          <w:rStyle w:val="985"/>
          <w:b w:val="0"/>
          <w:bCs/>
          <w:i w:val="0"/>
          <w:sz w:val="24"/>
          <w:szCs w:val="24"/>
        </w:rPr>
      </w:r>
    </w:p>
    <w:p>
      <w:pPr>
        <w:pStyle w:val="891"/>
        <w:ind w:left="431" w:hanging="431"/>
        <w:spacing w:before="240"/>
      </w:pPr>
      <w:r/>
      <w:bookmarkStart w:id="6" w:name="_Toc46743507"/>
      <w:r/>
      <w:bookmarkStart w:id="7" w:name="_Toc54646398"/>
      <w:r>
        <w:t xml:space="preserve">Цель</w:t>
      </w:r>
      <w:r>
        <w:t xml:space="preserve"> </w:t>
      </w:r>
      <w:bookmarkEnd w:id="6"/>
      <w:r>
        <w:rPr>
          <w:lang w:val="ru-RU"/>
        </w:rPr>
        <w:t xml:space="preserve">выполнения работ</w:t>
      </w:r>
      <w:bookmarkEnd w:id="7"/>
      <w:r/>
      <w:r/>
    </w:p>
    <w:p>
      <w:pPr>
        <w:rPr>
          <w:rFonts w:eastAsia="Calibri"/>
          <w:i/>
          <w:sz w:val="24"/>
          <w:szCs w:val="24"/>
          <w:highlight w:val="yellow"/>
        </w:rPr>
      </w:pPr>
      <w:r>
        <w:rPr>
          <w:rFonts w:eastAsia="Calibri"/>
          <w:i/>
          <w:sz w:val="24"/>
          <w:szCs w:val="24"/>
          <w:highlight w:val="white"/>
        </w:rPr>
        <w:t xml:space="preserve">Целью работы является </w:t>
      </w:r>
      <w:r>
        <w:rPr>
          <w:rFonts w:eastAsia="Calibri"/>
          <w:i/>
          <w:sz w:val="24"/>
          <w:szCs w:val="24"/>
          <w:highlight w:val="white"/>
        </w:rPr>
        <w:t xml:space="preserve">обеспечение надёжной и безаварийной эксплуатации</w:t>
      </w:r>
      <w:r>
        <w:rPr>
          <w:rFonts w:eastAsia="Calibri"/>
          <w:i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/>
          <w:iCs/>
          <w:strike w:val="0"/>
          <w:color w:val="000000"/>
          <w:sz w:val="24"/>
          <w:szCs w:val="24"/>
          <w:u w:val="none"/>
        </w:rPr>
        <w:t xml:space="preserve">турбогенераторов Райчихинской ГРЭС.</w:t>
      </w:r>
      <w:r>
        <w:rPr>
          <w:rFonts w:eastAsia="Calibri"/>
          <w:i/>
          <w:sz w:val="24"/>
          <w:szCs w:val="24"/>
          <w:highlight w:val="yellow"/>
        </w:rPr>
      </w:r>
      <w:r>
        <w:rPr>
          <w:rFonts w:eastAsia="Calibri"/>
          <w:i/>
          <w:sz w:val="24"/>
          <w:szCs w:val="24"/>
          <w:highlight w:val="yellow"/>
        </w:rPr>
      </w:r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highlight w:val="white"/>
        </w:rPr>
      </w:pPr>
      <w:r>
        <w:rPr>
          <w:highlight w:val="white"/>
        </w:rPr>
      </w:r>
      <w:bookmarkStart w:id="8" w:name="_Toc54646400"/>
      <w:r>
        <w:rPr>
          <w:sz w:val="24"/>
          <w:szCs w:val="24"/>
          <w:highlight w:val="white"/>
        </w:rPr>
        <w:t xml:space="preserve">Таблица 1</w:t>
      </w:r>
      <w:r>
        <w:rPr>
          <w:sz w:val="24"/>
          <w:szCs w:val="24"/>
          <w:highlight w:val="white"/>
          <w:lang w:val="ru-RU"/>
        </w:rPr>
        <w:t xml:space="preserve">.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  <w:lang w:val="ru-RU"/>
        </w:rPr>
        <w:t xml:space="preserve">Перечень </w:t>
      </w:r>
      <w:r>
        <w:rPr>
          <w:sz w:val="24"/>
          <w:szCs w:val="24"/>
          <w:highlight w:val="white"/>
          <w:lang w:val="ru-RU"/>
        </w:rPr>
        <w:t xml:space="preserve">объектов заказчика</w:t>
      </w:r>
      <w:bookmarkEnd w:id="8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10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2693"/>
        <w:gridCol w:w="1984"/>
        <w:gridCol w:w="2098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</w:t>
            </w:r>
            <w:r>
              <w:rPr>
                <w:sz w:val="24"/>
                <w:szCs w:val="24"/>
              </w:rPr>
              <w:t xml:space="preserve">в отношении которого выполня</w:t>
            </w:r>
            <w:r>
              <w:rPr>
                <w:sz w:val="24"/>
                <w:szCs w:val="24"/>
              </w:rPr>
              <w:t xml:space="preserve">ю</w:t>
            </w:r>
            <w:r>
              <w:rPr>
                <w:sz w:val="24"/>
                <w:szCs w:val="24"/>
              </w:rPr>
              <w:t xml:space="preserve">тся работы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4</w:t>
            </w:r>
            <w:r>
              <w:rPr>
                <w:b/>
                <w:i/>
                <w:iCs/>
                <w:sz w:val="24"/>
                <w:szCs w:val="24"/>
              </w:rPr>
            </w:r>
            <w:r>
              <w:rPr>
                <w:b/>
                <w:i/>
                <w:iCs/>
                <w:sz w:val="24"/>
                <w:szCs w:val="24"/>
              </w:rPr>
            </w:r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17" w:type="dxa"/>
            <w:textDirection w:val="lrTb"/>
            <w:noWrap w:val="false"/>
          </w:tcPr>
          <w:p>
            <w:pPr>
              <w:pStyle w:val="954"/>
              <w:numPr>
                <w:ilvl w:val="0"/>
                <w:numId w:val="10"/>
              </w:numPr>
            </w:pPr>
            <w:r/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/>
                <w:iCs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ОКПД 33.14.11.000.002. Выполнение работ по</w:t>
            </w:r>
            <w:r>
              <w:rPr>
                <w:rFonts w:ascii="Times New Roman" w:hAnsi="Times New Roman" w:eastAsia="Times New Roman" w:cs="Times New Roman"/>
                <w:b w:val="0"/>
                <w:i/>
                <w:iCs/>
                <w:strike w:val="0"/>
                <w:color w:val="000000"/>
                <w:sz w:val="24"/>
                <w:szCs w:val="24"/>
                <w:u w:val="none"/>
              </w:rPr>
              <w:t xml:space="preserve"> капитальному ремонту турбогенераторов Райчихинской ГРЭС, пгт Прогресс 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676791, СП «Райчихинская ГРЭС» АО «ДГК», пгт. Прогресс, ул. Бурейская, 1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/>
                <w:iCs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ОКПД 33.14.11.000.002. Выполнение работ по капитальному ремонту турбогенераторов Райчихинской ГРЭС, пгт Прогресс 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pStyle w:val="891"/>
        <w:rPr>
          <w:lang w:val="ru-RU"/>
        </w:rPr>
      </w:pPr>
      <w:r/>
      <w:bookmarkStart w:id="9" w:name="_Toc46743509"/>
      <w:r/>
      <w:bookmarkStart w:id="10" w:name="_Hlk49857604"/>
      <w:r/>
      <w:bookmarkStart w:id="11" w:name="_Toc54646401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12" w:name="_Hlk46492347"/>
      <w:r>
        <w:t xml:space="preserve">которая должна быть учтена при подготовке заявки </w:t>
      </w:r>
      <w:bookmarkEnd w:id="12"/>
      <w:r>
        <w:t xml:space="preserve">(в том числе перечень ресурсов, услуг и документов, предоставляемых </w:t>
      </w:r>
      <w:r>
        <w:rPr>
          <w:lang w:val="ru-RU"/>
        </w:rPr>
        <w:t xml:space="preserve">заказчиком</w:t>
      </w:r>
      <w:r>
        <w:t xml:space="preserve"> на этапе исполнения договора)</w:t>
      </w:r>
      <w:bookmarkEnd w:id="9"/>
      <w:r/>
      <w:bookmarkEnd w:id="10"/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ind w:left="567"/>
        <w:jc w:val="both"/>
        <w:shd w:val="clear" w:color="auto" w:fill="ffffff"/>
        <w:tabs>
          <w:tab w:val="left" w:pos="709" w:leader="none"/>
        </w:tabs>
        <w:rPr>
          <w:bCs/>
          <w:i/>
          <w:sz w:val="22"/>
          <w:szCs w:val="22"/>
        </w:rPr>
      </w:pPr>
      <w:r>
        <w:rPr>
          <w:i/>
          <w:sz w:val="22"/>
          <w:szCs w:val="22"/>
        </w:rPr>
        <w:t xml:space="preserve">Заказчик обеспечивает выполнение работ по настоящему Договору необходимыми для этого материалами и запасными частями в соответствии с Ведомостью объемов работ (Приложение №1). </w:t>
      </w:r>
      <w:r>
        <w:rPr>
          <w:i/>
          <w:spacing w:val="-4"/>
          <w:sz w:val="22"/>
          <w:szCs w:val="22"/>
        </w:rPr>
        <w:t xml:space="preserve">Поставляемые материалы и запасные части </w:t>
      </w:r>
      <w:r>
        <w:rPr>
          <w:i/>
          <w:sz w:val="22"/>
          <w:szCs w:val="22"/>
        </w:rPr>
        <w:t xml:space="preserve">должны иметь соответствующие сертификаты, технические паспорта и другие документы, удостоверяющие их качество.</w:t>
      </w: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8"/>
        <w:ind w:left="357" w:hanging="357"/>
        <w:jc w:val="center"/>
        <w:keepLines/>
        <w:rPr>
          <w:iCs/>
          <w:caps/>
          <w:lang w:val="ru-RU"/>
        </w:rPr>
      </w:pPr>
      <w:r/>
      <w:bookmarkStart w:id="13" w:name="_Toc51339693"/>
      <w:r/>
      <w:bookmarkStart w:id="14" w:name="_Toc54646403"/>
      <w:r/>
      <w:bookmarkStart w:id="15" w:name="_Toc50125126"/>
      <w:r/>
      <w:bookmarkStart w:id="16" w:name="_Toc46743510"/>
      <w:r/>
      <w:bookmarkEnd w:id="11"/>
      <w:r>
        <w:rPr>
          <w:iCs/>
        </w:rPr>
        <w:t xml:space="preserve">Требования к продукции</w:t>
      </w:r>
      <w:bookmarkEnd w:id="13"/>
      <w:r/>
      <w:bookmarkEnd w:id="14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91"/>
      </w:pPr>
      <w:r/>
      <w:bookmarkStart w:id="17" w:name="_Toc54646404"/>
      <w:r>
        <w:t xml:space="preserve">Требования к объемам и срокам </w:t>
      </w:r>
      <w:r>
        <w:rPr>
          <w:lang w:val="ru-RU"/>
        </w:rPr>
        <w:t xml:space="preserve">выполнения работ</w:t>
      </w:r>
      <w:bookmarkEnd w:id="17"/>
      <w:r/>
      <w:r/>
    </w:p>
    <w:p>
      <w:pPr>
        <w:pStyle w:val="890"/>
      </w:pPr>
      <w:r/>
      <w:bookmarkStart w:id="18" w:name="_Toc54646405"/>
      <w:r>
        <w:rPr>
          <w:lang w:val="ru-RU"/>
        </w:rPr>
        <w:t xml:space="preserve">Требования к видам и объемам работ</w:t>
      </w:r>
      <w:bookmarkEnd w:id="18"/>
      <w:r/>
      <w:r/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19" w:name="_Toc51339695"/>
      <w:r/>
      <w:bookmarkStart w:id="20" w:name="_Toc5464640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bookmarkEnd w:id="19"/>
      <w:r>
        <w:rPr>
          <w:sz w:val="24"/>
          <w:szCs w:val="24"/>
          <w:lang w:val="ru-RU"/>
        </w:rPr>
        <w:t xml:space="preserve">и объем </w:t>
      </w:r>
      <w:r>
        <w:rPr>
          <w:sz w:val="24"/>
          <w:szCs w:val="24"/>
          <w:lang w:val="ru-RU"/>
        </w:rPr>
        <w:t xml:space="preserve">выполняемых работ</w:t>
      </w:r>
      <w:bookmarkEnd w:id="20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9810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848"/>
        <w:gridCol w:w="1985"/>
        <w:gridCol w:w="2126"/>
      </w:tblGrid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4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4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textDirection w:val="lrTb"/>
            <w:noWrap w:val="false"/>
          </w:tcPr>
          <w:p>
            <w:pPr>
              <w:pStyle w:val="954"/>
              <w:numPr>
                <w:ilvl w:val="0"/>
                <w:numId w:val="26"/>
              </w:numPr>
            </w:pPr>
            <w:r/>
            <w:r/>
          </w:p>
        </w:tc>
        <w:tc>
          <w:tcPr>
            <w:tcW w:w="484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ОКПД 33.14.11.000.002. Выполнение работ по капитальному ремонту турбогенераторов Райчихинской ГРЭС, пгт Прогресс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(Приложение №1 к настоящим Техническим требованиям)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111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соответствии с ведомостью объемов работ (Приложение №1 к настоящим Техническим требованиям)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890"/>
        <w:rPr>
          <w:lang w:val="ru-RU"/>
        </w:rPr>
      </w:pPr>
      <w:r/>
      <w:bookmarkStart w:id="21" w:name="_Toc51339696"/>
      <w:r/>
      <w:bookmarkStart w:id="22" w:name="_Toc54646407"/>
      <w:r>
        <w:rPr>
          <w:lang w:val="ru-RU"/>
        </w:rPr>
        <w:t xml:space="preserve">Требования </w:t>
      </w:r>
      <w:bookmarkEnd w:id="21"/>
      <w:r>
        <w:rPr>
          <w:lang w:val="ru-RU"/>
        </w:rPr>
        <w:t xml:space="preserve">к срокам выполнения работ</w:t>
      </w:r>
      <w:bookmarkEnd w:id="22"/>
      <w:r>
        <w:rPr>
          <w:lang w:val="ru-RU"/>
        </w:rPr>
      </w:r>
      <w:r>
        <w:rPr>
          <w:lang w:val="ru-RU"/>
        </w:rPr>
      </w:r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3" w:name="_Toc50125127"/>
      <w:r/>
      <w:bookmarkStart w:id="24" w:name="_Toc51339697"/>
      <w:r/>
      <w:bookmarkStart w:id="25" w:name="_Toc54646408"/>
      <w:r/>
      <w:bookmarkEnd w:id="1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. </w:t>
      </w:r>
      <w:bookmarkStart w:id="26" w:name="_Hlk50465284"/>
      <w:r>
        <w:rPr>
          <w:sz w:val="24"/>
          <w:szCs w:val="24"/>
        </w:rPr>
        <w:t xml:space="preserve">Требования по срокам </w:t>
      </w:r>
      <w:bookmarkEnd w:id="23"/>
      <w:r/>
      <w:bookmarkEnd w:id="24"/>
      <w:r/>
      <w:bookmarkEnd w:id="26"/>
      <w:r>
        <w:rPr>
          <w:sz w:val="24"/>
          <w:szCs w:val="24"/>
          <w:lang w:val="ru-RU"/>
        </w:rPr>
        <w:t xml:space="preserve">выполнения работ</w:t>
      </w:r>
      <w:bookmarkEnd w:id="25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0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24"/>
        <w:gridCol w:w="2155"/>
        <w:gridCol w:w="2551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22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</w:t>
            </w:r>
            <w:r>
              <w:rPr>
                <w:sz w:val="24"/>
                <w:szCs w:val="24"/>
              </w:rPr>
              <w:t xml:space="preserve">началу срока выполнения работ/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</w:t>
            </w:r>
            <w:r>
              <w:rPr>
                <w:sz w:val="24"/>
                <w:szCs w:val="24"/>
              </w:rPr>
              <w:t xml:space="preserve">окончанию срока выполнения работ / этапа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2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54"/>
              <w:numPr>
                <w:ilvl w:val="0"/>
                <w:numId w:val="15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422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ОКПД 33.14.11.000.002. Выполнение работ по капитальному ремонту турбогенераторов Райчихинской ГРЭС, пгт Прогресс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.05</w:t>
            </w:r>
            <w:r>
              <w:rPr>
                <w:sz w:val="22"/>
                <w:szCs w:val="22"/>
              </w:rPr>
              <w:t xml:space="preserve">.202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о 05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.2025</w:t>
            </w:r>
            <w:bookmarkStart w:id="27" w:name="_GoBack"/>
            <w:r/>
            <w:bookmarkEnd w:id="27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keepLines/>
        <w:keepNext/>
        <w:spacing w:before="240" w:after="60"/>
        <w:rPr>
          <w:rFonts w:eastAsia="Calibri"/>
          <w:b/>
          <w:sz w:val="24"/>
          <w:szCs w:val="24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/>
      <w:bookmarkStart w:id="28" w:name="_Toc50125131"/>
      <w:r/>
      <w:bookmarkEnd w:id="16"/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891"/>
      </w:pPr>
      <w:r/>
      <w:bookmarkStart w:id="29" w:name="_Toc51339698"/>
      <w:r/>
      <w:bookmarkStart w:id="30" w:name="_Toc54646410"/>
      <w:r>
        <w:t xml:space="preserve">Требования к </w:t>
      </w:r>
      <w:r>
        <w:rPr>
          <w:lang w:val="ru-RU"/>
        </w:rPr>
        <w:t xml:space="preserve">качеству </w:t>
      </w:r>
      <w:r>
        <w:rPr>
          <w:lang w:val="ru-RU"/>
        </w:rPr>
        <w:t xml:space="preserve">работ</w:t>
      </w:r>
      <w:r/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 </w:t>
      </w:r>
      <w:r>
        <w:rPr>
          <w:sz w:val="24"/>
          <w:szCs w:val="24"/>
          <w:lang w:val="ru-RU"/>
        </w:rPr>
        <w:t xml:space="preserve">4</w:t>
      </w:r>
      <w:r>
        <w:rPr>
          <w:sz w:val="24"/>
          <w:szCs w:val="24"/>
        </w:rPr>
        <w:t xml:space="preserve">. Требования к </w:t>
      </w:r>
      <w:bookmarkEnd w:id="28"/>
      <w:r/>
      <w:bookmarkEnd w:id="29"/>
      <w:r>
        <w:rPr>
          <w:sz w:val="24"/>
          <w:szCs w:val="24"/>
          <w:lang w:val="ru-RU"/>
        </w:rPr>
        <w:t xml:space="preserve">качеству работ</w:t>
      </w:r>
      <w:bookmarkEnd w:id="30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1"/>
        <w:tblW w:w="14884" w:type="dxa"/>
        <w:tblInd w:w="-5" w:type="dxa"/>
        <w:tblLook w:val="04A0" w:firstRow="1" w:lastRow="0" w:firstColumn="1" w:lastColumn="0" w:noHBand="0" w:noVBand="1"/>
      </w:tblPr>
      <w:tblGrid>
        <w:gridCol w:w="708"/>
        <w:gridCol w:w="2127"/>
        <w:gridCol w:w="5786"/>
        <w:gridCol w:w="3853"/>
        <w:gridCol w:w="2410"/>
      </w:tblGrid>
      <w:tr>
        <w:tblPrEx/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</w:t>
            </w:r>
            <w:r>
              <w:rPr>
                <w:b/>
                <w:bCs/>
                <w:sz w:val="24"/>
                <w:szCs w:val="24"/>
              </w:rPr>
              <w:t xml:space="preserve">з</w:t>
            </w:r>
            <w:r>
              <w:rPr>
                <w:b/>
                <w:bCs/>
                <w:sz w:val="24"/>
                <w:szCs w:val="24"/>
              </w:rPr>
              <w:t xml:space="preserve">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626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</w:t>
            </w:r>
            <w:r>
              <w:rPr>
                <w:b/>
                <w:bCs/>
                <w:sz w:val="24"/>
                <w:szCs w:val="24"/>
              </w:rPr>
              <w:t xml:space="preserve">у</w:t>
            </w:r>
            <w:r>
              <w:rPr>
                <w:b/>
                <w:bCs/>
                <w:sz w:val="24"/>
                <w:szCs w:val="24"/>
              </w:rPr>
              <w:t xml:space="preserve">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786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85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  <w:sz w:val="24"/>
                <w:szCs w:val="24"/>
              </w:rPr>
              <w:t xml:space="preserve">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578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2"/>
                <w:numId w:val="8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5786" w:type="dxa"/>
            <w:textDirection w:val="lrTb"/>
            <w:noWrap w:val="false"/>
          </w:tcPr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Правила организации технического обслуживания и ремонта объектов электроэнергетики (Утв. Приказом Минэнерго Росси от 25.10.2017г, №1013).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Правила противопожарного режима в Российской Федерации (утв. Постановлением Правительства РФ от 25.04.2012 №390. Письмо МЧС России от   18.05.2012 №    19-2-4-194с);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 СО 34.45-51.300-97 Объем и нормы испытаний эл. оборудования.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- ГОСТ 8865-93 Системы эл. изоляции. Оценка нагревостойкости и классификация.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Положение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- 21-003-2019, утвержденное приказом № 555 от 29.11.2019 г. АО «ДГК»;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Положение об организации и выполнении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технического обслуживания и ремонта оборудования АО «ДГК» - 21-002-2019, утвержденное приказом № 555 от 29.11.2019 г. АО «ДГК»;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708"/>
              <w:rPr>
                <w:bCs/>
                <w:i/>
                <w:sz w:val="22"/>
                <w:szCs w:val="22"/>
                <w:highlight w:val="none"/>
              </w:rPr>
            </w:pPr>
            <w:r>
              <w:rPr>
                <w:i/>
                <w:sz w:val="22"/>
                <w:szCs w:val="22"/>
              </w:rPr>
              <w:t xml:space="preserve">  - Положение по формированию и реализации ремонтных программ АО "ДГК"-21-001-2019,. утвержденное  приказом № 555 от 29.11.2019 г. АО «ДГК».</w:t>
            </w:r>
            <w:r>
              <w:rPr>
                <w:bCs/>
                <w:i/>
                <w:sz w:val="22"/>
                <w:szCs w:val="22"/>
                <w:highlight w:val="none"/>
              </w:rPr>
            </w:r>
            <w:r>
              <w:rPr>
                <w:bCs/>
                <w:i/>
                <w:sz w:val="22"/>
                <w:szCs w:val="22"/>
                <w:highlight w:val="none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i/>
                <w:iCs/>
                <w:sz w:val="22"/>
                <w:szCs w:val="22"/>
              </w:rPr>
              <w:t xml:space="preserve"> Правила технической эксплуатации электрических станций и сетей Российской Федерации. (утв. приказом Минэнерго РФ от 19.06.2003 №229);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Ростехнадзора от 12.11.2013 № 533);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РД 34.03.201-97 Правила техники безопасности при эксплуатации тепломеханического оборудования электростанций и тепловых сетей (утв. Минтопэнерго России 03.04.1997); 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Федеральны</w:t>
            </w:r>
            <w:r>
              <w:rPr>
                <w:i/>
                <w:iCs/>
                <w:sz w:val="22"/>
                <w:szCs w:val="22"/>
              </w:rPr>
              <w:t xml:space="preserve">е</w:t>
            </w:r>
            <w:r>
              <w:rPr>
                <w:i/>
                <w:iCs/>
                <w:sz w:val="22"/>
                <w:szCs w:val="22"/>
              </w:rPr>
              <w:t xml:space="preserve"> норм</w:t>
            </w:r>
            <w:r>
              <w:rPr>
                <w:i/>
                <w:iCs/>
                <w:sz w:val="22"/>
                <w:szCs w:val="22"/>
              </w:rPr>
              <w:t xml:space="preserve">ы</w:t>
            </w:r>
            <w:r>
              <w:rPr>
                <w:i/>
                <w:iCs/>
                <w:sz w:val="22"/>
                <w:szCs w:val="22"/>
              </w:rPr>
              <w:t xml:space="preserve">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 (утв. приказом Ростехнадзора от 25.03.2014 № 116);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РД 153-34.0-03.301-00. Правила пожарной безопасности для энергетических предприятий (утв. РАО "ЕЭС России" 09.03.2000);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Правила по охране труда при эксплуатации электроустановок (утв. приказом Минтруда России от 24.07.2013 № 328н);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 Правила по охране труда при работе с инструментом и приспособлениями (утв. приказом Минтруда России от 17.08.2015 № 552н);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r>
              <w:rPr>
                <w:i/>
                <w:iCs/>
                <w:sz w:val="22"/>
                <w:szCs w:val="22"/>
              </w:rPr>
              <w:t xml:space="preserve">РД 34.45-51.300-04. Объемы и нормы испытаний электрооборудования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/>
          </w:p>
          <w:p>
            <w:pPr>
              <w:pStyle w:val="887"/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r>
              <w:rPr>
                <w:i/>
                <w:iCs/>
                <w:sz w:val="22"/>
                <w:szCs w:val="22"/>
              </w:rPr>
              <w:t xml:space="preserve">Руководство по капитальному ремонту  СО34-38-20213-96.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/>
          </w:p>
          <w:p>
            <w:pPr>
              <w:pStyle w:val="887"/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r>
              <w:rPr>
                <w:i/>
                <w:iCs/>
                <w:sz w:val="22"/>
                <w:szCs w:val="22"/>
              </w:rPr>
              <w:t xml:space="preserve">Турбогенераторы. Общие технические условия на капитальный ремонт ТУ 34-38-20246-95.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/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Технические условия, технологические карты и проекты производства работ;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- Правила по охране труда при погрузочно-разгрузочных работах и размещении грузов (утв. приказом Минтруда России от 17.09.2014 № 642н);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/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Правила по охране труда при эксплуатации электроустановок (утв. Приказом Минтруда России от 24.07.2013 г. № 328н);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</w:pPr>
            <w:r>
              <w:rPr>
                <w:i/>
                <w:iCs/>
                <w:sz w:val="22"/>
                <w:szCs w:val="22"/>
              </w:rPr>
              <w:t xml:space="preserve">- СТО 17330282.27.100.006-2008 Ремонт и техобслуживание оборудования, зданий и сооружений электрических станций и сетей. Условия выполнения работ подрядными организациями. Нормы и требования;</w:t>
            </w:r>
            <w:r>
              <w:rPr>
                <w:i/>
                <w:iCs/>
                <w:sz w:val="22"/>
                <w:szCs w:val="22"/>
                <w:lang w:eastAsia="en-US"/>
              </w:rPr>
            </w:r>
            <w:r/>
          </w:p>
          <w:p>
            <w:pPr>
              <w:pStyle w:val="887"/>
              <w:jc w:val="both"/>
              <w:tabs>
                <w:tab w:val="left" w:pos="176" w:leader="none"/>
              </w:tabs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Положение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- 21-003-2016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  <w:p>
            <w:pPr>
              <w:pStyle w:val="887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Положени</w:t>
            </w:r>
            <w:r>
              <w:rPr>
                <w:i/>
                <w:iCs/>
                <w:sz w:val="22"/>
                <w:szCs w:val="22"/>
              </w:rPr>
              <w:t xml:space="preserve">е</w:t>
            </w:r>
            <w:r>
              <w:rPr>
                <w:i/>
                <w:iCs/>
                <w:sz w:val="22"/>
                <w:szCs w:val="22"/>
              </w:rPr>
              <w:t xml:space="preserve"> об организации и выполнении технического обслуживания и ремонта оборудования АО «ДГК» - 21-002-2016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</w:tc>
        <w:tc>
          <w:tcPr>
            <w:shd w:val="clear" w:color="auto" w:fill="auto"/>
            <w:tcW w:w="3853" w:type="dxa"/>
            <w:vAlign w:val="center"/>
            <w:textDirection w:val="lrTb"/>
            <w:noWrap w:val="false"/>
          </w:tcPr>
          <w:p>
            <w:pPr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Правила технической эксплуатации электрических станций и сетей Российской Федерации. (утв. приказом Министерство энергетики РФ от 4.10.2022 г № 1070</w:t>
            </w: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pStyle w:val="979"/>
              <w:jc w:val="left"/>
              <w:keepNext w:val="0"/>
              <w:spacing w:before="0"/>
              <w:rPr>
                <w:rFonts w:eastAsia="Times New Roman"/>
                <w:lang w:val="ru-RU" w:eastAsia="ru-RU"/>
              </w:rPr>
              <w:outlineLvl w:val="2"/>
            </w:pPr>
            <w:r>
              <w:rPr>
                <w:rFonts w:eastAsia="Times New Roman"/>
                <w:lang w:val="ru-RU" w:eastAsia="ru-RU"/>
              </w:rPr>
            </w:r>
            <w:r>
              <w:rPr>
                <w:rFonts w:eastAsia="Times New Roman"/>
                <w:lang w:val="ru-RU" w:eastAsia="ru-RU"/>
              </w:rPr>
            </w:r>
            <w:r>
              <w:rPr>
                <w:rFonts w:eastAsia="Times New Roman"/>
                <w:lang w:val="ru-RU" w:eastAsia="ru-RU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251"/>
        </w:trPr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2"/>
                <w:numId w:val="8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Требования к организации процесса выполнения работ: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Предоставить до начала работ 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Работ.</w: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  <w:p>
            <w:pPr>
              <w:ind w:firstLine="456"/>
              <w:jc w:val="both"/>
              <w:spacing w:before="6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Предоставить до начала работ 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both"/>
              <w:spacing w:after="6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</w:t>
            </w:r>
            <w:r>
              <w:rPr>
                <w:i/>
                <w:iCs/>
                <w:sz w:val="22"/>
                <w:szCs w:val="22"/>
              </w:rPr>
              <w:t xml:space="preserve">До начала выполнения работ разработать и предоставить на согласование Проект Производства Работ (ППР) указать методы и технологию выполнения работ, организационные вопросы, мероприятия по технике безопасности и охране труда.</w: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  <w:p>
            <w:pPr>
              <w:ind w:firstLine="456"/>
              <w:jc w:val="both"/>
              <w:spacing w:after="60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контроль качеств</w:t>
            </w:r>
            <w:r>
              <w:rPr>
                <w:i/>
                <w:iCs/>
                <w:sz w:val="22"/>
                <w:szCs w:val="22"/>
              </w:rPr>
      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853" w:type="dxa"/>
            <w:vAlign w:val="center"/>
            <w:textDirection w:val="lrTb"/>
            <w:noWrap w:val="false"/>
          </w:tcPr>
          <w:p>
            <w:pPr>
              <w:ind w:firstLine="70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979"/>
              <w:jc w:val="left"/>
              <w:keepNext w:val="0"/>
              <w:rPr>
                <w:rFonts w:eastAsia="Times New Roman"/>
                <w:b w:val="0"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  <w:r>
              <w:rPr>
                <w:rFonts w:eastAsia="Times New Roman"/>
                <w:b w:val="0"/>
                <w:lang w:val="ru-RU" w:eastAsia="ru-RU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Требования к контролю качества работ и материалов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Материалы, используемые Подрядчиком, должны соответствовать сертификатам, техническим паспортам и другим документам, удостоверяющим их качество.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853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2"/>
                <w:numId w:val="8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Требования к используемым запасным частям и </w:t>
            </w:r>
            <w:r>
              <w:rPr>
                <w:i/>
                <w:sz w:val="22"/>
                <w:szCs w:val="22"/>
              </w:rPr>
              <w:t xml:space="preserve">материалам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spacing w:after="6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Запасные части и материалы, необходимые для выполнения работ по ремонту </w:t>
            </w:r>
            <w:r>
              <w:rPr>
                <w:i/>
                <w:iCs/>
                <w:sz w:val="22"/>
                <w:szCs w:val="22"/>
              </w:rPr>
              <w:t xml:space="preserve">турбогенератора </w:t>
            </w:r>
            <w:r>
              <w:rPr>
                <w:i/>
                <w:iCs/>
                <w:sz w:val="22"/>
                <w:szCs w:val="22"/>
              </w:rPr>
              <w:t xml:space="preserve">, приобретаются подрядчиком самостоятельно согласно ведомостям объемов работ, являющимся приложениями к </w:t>
            </w:r>
            <w:r>
              <w:rPr>
                <w:i/>
                <w:iCs/>
                <w:sz w:val="22"/>
                <w:szCs w:val="22"/>
              </w:rPr>
              <w:t xml:space="preserve">настоящим Техническим требованиям (Приложение № 1) </w:t>
            </w:r>
            <w:r>
              <w:rPr>
                <w:i/>
                <w:iCs/>
                <w:sz w:val="22"/>
                <w:szCs w:val="22"/>
              </w:rPr>
            </w:r>
            <w:r>
              <w:rPr>
                <w:i/>
                <w:iCs/>
                <w:sz w:val="22"/>
                <w:szCs w:val="22"/>
              </w:rPr>
            </w:r>
          </w:p>
          <w:p>
            <w:pPr>
              <w:spacing w:after="60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Все поставляемые и применяемые запасные части и материалы должны быть новыми и не использованными ранее.</w:t>
            </w:r>
            <w:r>
              <w:rPr>
                <w:b/>
                <w:bCs/>
                <w:i/>
                <w:sz w:val="22"/>
                <w:szCs w:val="22"/>
              </w:rPr>
            </w:r>
            <w:r>
              <w:rPr>
                <w:b/>
                <w:bCs/>
                <w:i/>
                <w:sz w:val="22"/>
                <w:szCs w:val="22"/>
              </w:rPr>
            </w:r>
          </w:p>
        </w:tc>
        <w:tc>
          <w:tcPr>
            <w:tcW w:w="3853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79"/>
              <w:jc w:val="left"/>
              <w:keepNext w:val="0"/>
              <w:rPr>
                <w:rFonts w:eastAsia="Times New Roman"/>
                <w:b w:val="0"/>
                <w:bCs/>
                <w:lang w:val="ru-RU" w:eastAsia="ru-RU"/>
              </w:rPr>
              <w:outlineLvl w:val="2"/>
            </w:pPr>
            <w:r>
              <w:rPr>
                <w:rFonts w:eastAsia="Times New Roman"/>
                <w:b w:val="0"/>
                <w:bCs/>
                <w:lang w:val="ru-RU" w:eastAsia="ru-RU"/>
              </w:rPr>
            </w:r>
            <w:r>
              <w:rPr>
                <w:rFonts w:eastAsia="Times New Roman"/>
                <w:b w:val="0"/>
                <w:bCs/>
                <w:lang w:val="ru-RU" w:eastAsia="ru-RU"/>
              </w:rPr>
            </w:r>
            <w:r>
              <w:rPr>
                <w:rFonts w:eastAsia="Times New Roman"/>
                <w:b w:val="0"/>
                <w:bCs/>
                <w:lang w:val="ru-RU" w:eastAsia="ru-RU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2"/>
                <w:numId w:val="8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Контроль качества используемых запасных частей и материалов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jc w:val="both"/>
              <w:spacing w:after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Подрядчик должен обеспечить входной контроль поступающих материалов и запасных частей, включающий в себя проверку: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54"/>
              <w:numPr>
                <w:ilvl w:val="0"/>
                <w:numId w:val="23"/>
              </w:numPr>
              <w:ind w:left="0" w:firstLine="290"/>
              <w:jc w:val="both"/>
              <w:spacing w:after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наличия соответствующих сертификатов в соответствии с требованиями постановления Правительства Российской Федерации от 01.12.2009 N 982 (ред. от 21.02.2018) «Об утверждении единого перечня продукции, подлежащей обязательной сертификации»;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54"/>
              <w:numPr>
                <w:ilvl w:val="0"/>
                <w:numId w:val="23"/>
              </w:numPr>
              <w:ind w:left="0" w:firstLine="290"/>
              <w:jc w:val="both"/>
              <w:spacing w:after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наличия и надлежащего заполнения документа о качестве и соответствии приведенных в нем данных характеристикам, установленным в нормативном документе, регламентирующем технические требования к данной продукции;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54"/>
              <w:numPr>
                <w:ilvl w:val="0"/>
                <w:numId w:val="23"/>
              </w:numPr>
              <w:ind w:left="0" w:firstLine="290"/>
              <w:jc w:val="both"/>
              <w:spacing w:after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наличия маркировки, сохранности упаковки, наличия и сохранности защитных и окрасочных покрытий и т.п.;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954"/>
              <w:numPr>
                <w:ilvl w:val="0"/>
                <w:numId w:val="23"/>
              </w:numPr>
              <w:ind w:left="0" w:firstLine="290"/>
              <w:jc w:val="both"/>
              <w:spacing w:after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комплектности поставляемых материалов.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3853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2"/>
                <w:numId w:val="8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Требования к безопасности выполняемых работ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5786" w:type="dxa"/>
            <w:textDirection w:val="lrTb"/>
            <w:noWrap w:val="false"/>
          </w:tcPr>
          <w:p>
            <w:pPr>
              <w:pStyle w:val="954"/>
              <w:ind w:left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60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Выполнить работы своими или привлеченными силами в объеме и сроки, предусм</w:t>
            </w:r>
            <w:r>
              <w:rPr>
                <w:i/>
                <w:sz w:val="22"/>
                <w:szCs w:val="22"/>
              </w:rPr>
              <w:t xml:space="preserve">о</w:t>
            </w:r>
            <w:r>
              <w:rPr>
                <w:i/>
                <w:sz w:val="22"/>
                <w:szCs w:val="22"/>
              </w:rPr>
              <w:t xml:space="preserve">тренные техническими требованиями, сметной документацией и сдать результат работ Заказчику. Состояние зданий и сооружений Заказчика после ремонта должно соответствовать требованиям нормативно-технической документации на ремонт в течение гарантийного срока.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порядку приемки результатов работ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Подробно указаны в проекте договора подряда (в том числе в разделе № 4), </w:t>
            </w:r>
            <w:r>
              <w:rPr>
                <w:i/>
                <w:sz w:val="22"/>
                <w:szCs w:val="22"/>
              </w:rPr>
              <w:t xml:space="preserve">который включен в состав Документации о закупке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rStyle w:val="985"/>
                <w:b w:val="0"/>
                <w:bCs/>
                <w:i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 xml:space="preserve">При выполнении работ Подрядчик обязан оформить и передать Заказчику в установленные сроки сдаточную документацию в соответствии с</w:t>
            </w:r>
            <w:r>
              <w:rPr>
                <w:i/>
                <w:sz w:val="22"/>
                <w:szCs w:val="22"/>
              </w:rPr>
              <w:t xml:space="preserve"> Положением </w:t>
            </w:r>
            <w:r>
              <w:rPr>
                <w:b/>
                <w:i/>
                <w:sz w:val="22"/>
                <w:szCs w:val="22"/>
              </w:rPr>
              <w:t xml:space="preserve">«</w:t>
            </w:r>
            <w:r>
              <w:rPr>
                <w:i/>
                <w:sz w:val="22"/>
                <w:szCs w:val="22"/>
              </w:rPr>
              <w:t xml:space="preserve">Об организации контроля и приемке выполненных работ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на ремонтируемых объектах, объектах модернизации, реконструкции и технического перевооружения», утвержденным приказом № 555 от 29.11.2019г. АО «ДГК»: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счета-фактуры на материалы, закупаемые Подрядчиком для использования в процессе ремонта;                                                                                                 -  проектно-сметная документация;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 исполнительные чертежи;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 табель учета рабочего времени подрядчика;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 общий журнал работ;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журнал производства АКЗ;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 акт освидетельствования скрытых работ;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-  а</w:t>
            </w:r>
            <w:r>
              <w:rPr>
                <w:i/>
                <w:sz w:val="22"/>
                <w:szCs w:val="22"/>
              </w:rPr>
              <w:t xml:space="preserve">кт предремонтного обследования объекта;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-  в</w:t>
            </w:r>
            <w:r>
              <w:rPr>
                <w:i/>
                <w:sz w:val="22"/>
                <w:szCs w:val="22"/>
              </w:rPr>
              <w:t xml:space="preserve">едомость выполненных работ;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-  а</w:t>
            </w:r>
            <w:r>
              <w:rPr>
                <w:i/>
                <w:sz w:val="22"/>
                <w:szCs w:val="22"/>
              </w:rPr>
              <w:t xml:space="preserve">кт готовности здания, сооружения к производству ремонтных работ;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- акт проведения растяжки компенсаторов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firstLine="511"/>
              <w:jc w:val="both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bCs/>
                <w:i/>
                <w:sz w:val="22"/>
                <w:szCs w:val="22"/>
              </w:rPr>
              <w:t xml:space="preserve">-  а</w:t>
            </w:r>
            <w:r>
              <w:rPr>
                <w:i/>
                <w:sz w:val="22"/>
                <w:szCs w:val="22"/>
              </w:rPr>
              <w:t xml:space="preserve">кт приёмки из капитального ремонта тепловой сети.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</w:t>
            </w:r>
            <w:r>
              <w:rPr>
                <w:b/>
                <w:sz w:val="24"/>
                <w:szCs w:val="24"/>
              </w:rPr>
              <w:t xml:space="preserve"> (помимо указанных в других разделах ТТ)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40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7913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</w:t>
            </w:r>
            <w:r>
              <w:rPr>
                <w:b/>
                <w:sz w:val="24"/>
                <w:szCs w:val="24"/>
              </w:rPr>
              <w:t xml:space="preserve">п</w:t>
            </w:r>
            <w:r>
              <w:rPr>
                <w:b/>
                <w:sz w:val="24"/>
                <w:szCs w:val="24"/>
              </w:rPr>
              <w:t xml:space="preserve">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jc w:val="both"/>
              <w:spacing w:before="20"/>
              <w:rPr>
                <w:b/>
                <w:i/>
                <w:sz w:val="22"/>
                <w:szCs w:val="22"/>
              </w:rPr>
            </w:pPr>
            <w:r>
              <w:rPr>
                <w:rFonts w:eastAsia="Courier New"/>
                <w:i/>
                <w:color w:val="000000"/>
                <w:sz w:val="22"/>
                <w:szCs w:val="22"/>
                <w:lang w:bidi="ru-RU"/>
              </w:rPr>
              <w:t xml:space="preserve">Подробно требования к сроку и объему предоставления гарантий указаны в проекте договора подряда </w:t>
            </w:r>
            <w:r>
              <w:rPr>
                <w:rFonts w:eastAsia="Courier New"/>
                <w:i/>
                <w:iCs/>
                <w:color w:val="000000"/>
                <w:sz w:val="22"/>
                <w:szCs w:val="22"/>
                <w:lang w:bidi="ru-RU"/>
              </w:rPr>
              <w:t xml:space="preserve">(в том числе в разделе №7</w:t>
            </w:r>
            <w:r>
              <w:rPr>
                <w:rFonts w:eastAsia="Courier New"/>
                <w:i/>
                <w:color w:val="000000"/>
                <w:sz w:val="22"/>
                <w:szCs w:val="22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3853" w:type="dxa"/>
            <w:textDirection w:val="lrTb"/>
            <w:noWrap w:val="false"/>
          </w:tcPr>
          <w:p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Согласие с требованием</w:t>
            </w: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jc w:val="center"/>
        <w:rPr>
          <w:b/>
          <w:i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888"/>
        <w:ind w:left="357" w:hanging="357"/>
        <w:jc w:val="center"/>
        <w:keepLines/>
        <w:rPr>
          <w:lang w:val="ru-RU"/>
        </w:rPr>
      </w:pPr>
      <w:r/>
      <w:bookmarkStart w:id="31" w:name="_Toc53393312"/>
      <w:r/>
      <w:bookmarkStart w:id="32" w:name="_Toc54646411"/>
      <w:r/>
      <w:bookmarkStart w:id="33" w:name="_Toc46743519"/>
      <w:r/>
      <w:bookmarkStart w:id="34" w:name="_Toc51339699"/>
      <w:r>
        <w:rPr>
          <w:lang w:val="ru-RU"/>
        </w:rPr>
        <w:t xml:space="preserve">Требования к документации по ценообразованию</w:t>
      </w:r>
      <w:bookmarkEnd w:id="31"/>
      <w:r>
        <w:rPr>
          <w:lang w:val="ru-RU"/>
        </w:rPr>
        <w:t xml:space="preserve"> на этапе закупки</w:t>
      </w:r>
      <w:bookmarkEnd w:id="32"/>
      <w:r>
        <w:rPr>
          <w:lang w:val="ru-RU"/>
        </w:rPr>
      </w:r>
      <w:r>
        <w:rPr>
          <w:lang w:val="ru-RU"/>
        </w:rPr>
      </w:r>
    </w:p>
    <w:p>
      <w:pPr>
        <w:pStyle w:val="891"/>
        <w:ind w:left="1418" w:hanging="709"/>
        <w:jc w:val="both"/>
        <w:rPr>
          <w:b w:val="0"/>
          <w:bCs w:val="0"/>
          <w:i/>
          <w:iCs/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 xml:space="preserve">В обоснование стоимости своей заявки Участник предостав</w:t>
      </w:r>
      <w:r>
        <w:rPr>
          <w:b w:val="0"/>
          <w:bCs w:val="0"/>
          <w:i/>
          <w:iCs/>
          <w:sz w:val="22"/>
          <w:szCs w:val="22"/>
          <w:lang w:val="ru-RU"/>
        </w:rPr>
        <w:t xml:space="preserve">ляет</w:t>
      </w:r>
      <w:r>
        <w:rPr>
          <w:b w:val="0"/>
          <w:bCs w:val="0"/>
          <w:i/>
          <w:iCs/>
          <w:sz w:val="22"/>
          <w:szCs w:val="22"/>
        </w:rPr>
        <w:t xml:space="preserve"> Коммерческое предложение по форме</w:t>
      </w:r>
      <w:r>
        <w:rPr>
          <w:b w:val="0"/>
          <w:bCs w:val="0"/>
          <w:i/>
          <w:iCs/>
          <w:sz w:val="22"/>
          <w:szCs w:val="22"/>
          <w:lang w:val="ru-RU"/>
        </w:rPr>
        <w:t xml:space="preserve"> (с учетом прилагаемой к ней инструкции по заполнению)</w:t>
      </w:r>
      <w:r>
        <w:rPr>
          <w:b w:val="0"/>
          <w:bCs w:val="0"/>
          <w:i/>
          <w:iCs/>
          <w:sz w:val="22"/>
          <w:szCs w:val="22"/>
        </w:rPr>
        <w:t xml:space="preserve">, приведенной в Документации о закупке (с указанием понижающего коэффициента).</w:t>
      </w:r>
      <w:r>
        <w:rPr>
          <w:b w:val="0"/>
          <w:bCs w:val="0"/>
          <w:i/>
          <w:iCs/>
          <w:sz w:val="22"/>
          <w:szCs w:val="22"/>
        </w:rPr>
      </w:r>
      <w:r>
        <w:rPr>
          <w:b w:val="0"/>
          <w:bCs w:val="0"/>
          <w:i/>
          <w:iCs/>
          <w:sz w:val="22"/>
          <w:szCs w:val="22"/>
        </w:rPr>
      </w:r>
    </w:p>
    <w:p>
      <w:pPr>
        <w:pStyle w:val="891"/>
        <w:ind w:left="1418" w:hanging="709"/>
        <w:jc w:val="both"/>
        <w:rPr>
          <w:b w:val="0"/>
          <w:i/>
          <w:iCs/>
          <w:sz w:val="22"/>
          <w:szCs w:val="22"/>
        </w:rPr>
      </w:pPr>
      <w:r>
        <w:rPr>
          <w:b w:val="0"/>
          <w:i/>
          <w:iCs/>
          <w:sz w:val="22"/>
          <w:szCs w:val="22"/>
        </w:rPr>
        <w:t xml:space="preserve">Дополнительные документы по ценообразованию </w:t>
      </w:r>
      <w:r>
        <w:rPr>
          <w:b w:val="0"/>
          <w:i/>
          <w:iCs/>
          <w:sz w:val="22"/>
          <w:szCs w:val="22"/>
          <w:lang w:val="ru-RU"/>
        </w:rPr>
        <w:t xml:space="preserve">(сметная</w:t>
      </w:r>
      <w:r>
        <w:rPr>
          <w:b w:val="0"/>
          <w:i/>
          <w:iCs/>
          <w:sz w:val="22"/>
          <w:szCs w:val="22"/>
        </w:rPr>
        <w:t xml:space="preserve"> документация</w:t>
      </w:r>
      <w:r>
        <w:rPr>
          <w:b w:val="0"/>
          <w:i/>
          <w:iCs/>
          <w:sz w:val="22"/>
          <w:szCs w:val="22"/>
          <w:lang w:val="ru-RU"/>
        </w:rPr>
        <w:t xml:space="preserve">)</w:t>
      </w:r>
      <w:r>
        <w:rPr>
          <w:b w:val="0"/>
          <w:i/>
          <w:iCs/>
          <w:sz w:val="22"/>
          <w:szCs w:val="22"/>
        </w:rPr>
        <w:t xml:space="preserve"> в состав заявки Участника не включа</w:t>
      </w:r>
      <w:r>
        <w:rPr>
          <w:b w:val="0"/>
          <w:i/>
          <w:iCs/>
          <w:sz w:val="22"/>
          <w:szCs w:val="22"/>
          <w:lang w:val="ru-RU"/>
        </w:rPr>
        <w:t xml:space="preserve">ю</w:t>
      </w:r>
      <w:r>
        <w:rPr>
          <w:b w:val="0"/>
          <w:i/>
          <w:iCs/>
          <w:sz w:val="22"/>
          <w:szCs w:val="22"/>
        </w:rPr>
        <w:t xml:space="preserve">тся».</w:t>
      </w:r>
      <w:r>
        <w:rPr>
          <w:b w:val="0"/>
          <w:i/>
          <w:iCs/>
          <w:sz w:val="22"/>
          <w:szCs w:val="22"/>
        </w:rPr>
      </w:r>
      <w:r>
        <w:rPr>
          <w:b w:val="0"/>
          <w:i/>
          <w:iCs/>
          <w:sz w:val="22"/>
          <w:szCs w:val="22"/>
        </w:rPr>
      </w:r>
    </w:p>
    <w:p>
      <w:pPr>
        <w:ind w:firstLine="709"/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54"/>
        <w:ind w:left="0"/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954"/>
        <w:ind w:left="0"/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888"/>
        <w:numPr>
          <w:ilvl w:val="0"/>
          <w:numId w:val="0"/>
        </w:numPr>
        <w:ind w:left="357"/>
        <w:keepLines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  <w:r>
        <w:rPr>
          <w:iCs/>
          <w:lang w:val="ru-RU"/>
        </w:rPr>
      </w:r>
    </w:p>
    <w:p>
      <w:pPr>
        <w:rPr>
          <w:rFonts w:eastAsia="Calibri"/>
          <w:b/>
          <w:iCs/>
        </w:rPr>
      </w:pPr>
      <w:r>
        <w:rPr>
          <w:iCs/>
        </w:rPr>
        <w:br w:type="page" w:clear="all"/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888"/>
        <w:ind w:left="567" w:hanging="567"/>
        <w:jc w:val="center"/>
        <w:rPr>
          <w:b/>
          <w:bCs/>
        </w:rPr>
      </w:pPr>
      <w:r>
        <w:rPr>
          <w:b/>
          <w:bCs/>
        </w:rPr>
      </w:r>
      <w:bookmarkStart w:id="0" w:name="undefined"/>
      <w:r>
        <w:rPr>
          <w:b/>
          <w:bCs/>
        </w:rPr>
      </w:r>
      <w:bookmarkStart w:id="0" w:name="undefined"/>
      <w:r>
        <w:rPr>
          <w:b/>
          <w:bCs/>
        </w:rPr>
      </w:r>
      <w:bookmarkStart w:id="0" w:name="undefined"/>
      <w:r>
        <w:rPr>
          <w:b/>
          <w:bCs/>
        </w:rPr>
        <w:t xml:space="preserve">Требования к документации по ценообразованию на этапе заключения (исполнения) договора</w:t>
      </w:r>
      <w:bookmarkEnd w:id="0"/>
      <w:r>
        <w:rPr>
          <w:b/>
          <w:bCs/>
        </w:rPr>
      </w:r>
      <w:r>
        <w:rPr>
          <w:b/>
          <w:bCs/>
        </w:rPr>
      </w:r>
    </w:p>
    <w:p>
      <w:pPr>
        <w:pStyle w:val="891"/>
        <w:rPr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Требования к составлению сметной документации (при заключении договора):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pStyle w:val="890"/>
        <w:ind w:left="0" w:firstLine="720"/>
        <w:rPr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требованиями, указанными в приложении №3 к настоящим Техническим требованиям, и включается в состав договора с применением</w:t>
      </w:r>
      <w:r>
        <w:rPr>
          <w:b w:val="0"/>
          <w:bCs w:val="0"/>
          <w:highlight w:val="white"/>
        </w:rPr>
        <w:t xml:space="preserve"> понижающего коэффициента, указанного в заявке Участника, с которым принято решение заключить договор. Понижающий коэффициент начисляется в локальных сметах единым индексом в итогах (после начисления лимитированных затрат в случае составления одной сметы).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Порядок расчета понижающего коэффициента определяется по формуле: 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P=N*k,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где     P – стоимость предложения участника;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N – начальная (максимальная) цена договора, определенная в соответствии со сметной документацией Заказчика, приведенной в приложени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ях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№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3,</w:t>
      </w: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 к настоящим Техническим требованиям;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b w:val="0"/>
          <w:bCs w:val="0"/>
          <w:sz w:val="24"/>
          <w:szCs w:val="24"/>
          <w:highlight w:val="white"/>
        </w:rPr>
        <w:t xml:space="preserve">k – понижающий коэффициент, заявленный участником в коммерческом предложении (точность понижающего коэффициента указывается до 7 знаков после запятой).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rPr>
          <w:highlight w:val="white"/>
        </w:rPr>
      </w:pPr>
      <w:r>
        <w:rPr>
          <w:b w:val="0"/>
          <w:bCs w:val="0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90"/>
        <w:ind w:left="0" w:firstLine="720"/>
        <w:rPr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Внесение изменений в сметную документацию заказчика, кроме применения понижающего коэффициента в соответствии с п.4.1.1, не допускается.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pStyle w:val="891"/>
        <w:ind w:left="425"/>
        <w:rPr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Требования к составлению сметной документации (на этапе исполнения договора):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pStyle w:val="890"/>
        <w:ind w:left="0" w:firstLine="720"/>
        <w:rPr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В случае возникновения непредвиденных расходов в рамках реализации договора необходимо составлять и оформлять сметную документацию в обоснование данных затрат в соответствии с требованиями, указанными в приложении №1 к настоящим Техническим требованиям.</w:t>
      </w:r>
      <w:bookmarkEnd w:id="0"/>
      <w:r>
        <w:rPr>
          <w:highlight w:val="white"/>
        </w:rPr>
      </w:r>
      <w:r>
        <w:rPr>
          <w:highlight w:val="white"/>
        </w:rPr>
      </w:r>
    </w:p>
    <w:p>
      <w:pPr>
        <w:pStyle w:val="890"/>
        <w:ind w:left="0" w:firstLine="720"/>
        <w:rPr>
          <w:b w:val="0"/>
          <w:bCs w:val="0"/>
          <w:highlight w:val="white"/>
        </w:rPr>
      </w:pPr>
      <w:r>
        <w:rPr>
          <w:b w:val="0"/>
          <w:bCs w:val="0"/>
        </w:rPr>
      </w:r>
      <w:bookmarkStart w:id="0" w:name="undefined"/>
      <w:r>
        <w:rPr>
          <w:b w:val="0"/>
          <w:bCs w:val="0"/>
          <w:highlight w:val="white"/>
        </w:rPr>
        <w:t xml:space="preserve">Материалы, приобретаемые Подрядчиком в рамках непредвиденных расходов, подлежат оплате на основании платёжных документов (счет-фактура, накладная, платежное поручение банка и др.) по нормативному расходу. Материалы, учтённые в расценках по сборникам ФС</w:t>
      </w:r>
      <w:r>
        <w:rPr>
          <w:b w:val="0"/>
          <w:bCs w:val="0"/>
          <w:highlight w:val="white"/>
        </w:rPr>
        <w:t xml:space="preserve">СЦ, подтверждать платёжными документами не требуется. Поставляемые материалы должны соответствовать спецификациям, указанным в нормативной документации, иметь соответствующие сертификаты, технические паспорта и другие документы, подтверждающие их качес</w:t>
      </w:r>
      <w:r>
        <w:rPr>
          <w:b w:val="0"/>
          <w:bCs w:val="0"/>
          <w:highlight w:val="none"/>
        </w:rPr>
        <w:t xml:space="preserve">тво.</w:t>
      </w:r>
      <w:bookmarkEnd w:id="0"/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rPr>
          <w:rFonts w:eastAsia="Calibri"/>
          <w:b/>
          <w:iCs/>
        </w:rPr>
      </w:pPr>
      <w:r>
        <w:rPr>
          <w:iCs/>
        </w:rPr>
        <w:br w:type="page" w:clear="all"/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888"/>
        <w:ind w:left="357" w:hanging="357"/>
        <w:jc w:val="center"/>
        <w:keepLines/>
        <w:rPr>
          <w:iCs/>
          <w:caps/>
        </w:rPr>
      </w:pPr>
      <w:r/>
      <w:bookmarkStart w:id="36" w:name="_Toc54646413"/>
      <w:r>
        <w:rPr>
          <w:iCs/>
        </w:rPr>
        <w:t xml:space="preserve">Приложения</w:t>
      </w:r>
      <w:bookmarkEnd w:id="33"/>
      <w:r/>
      <w:bookmarkEnd w:id="34"/>
      <w:r/>
      <w:bookmarkEnd w:id="36"/>
      <w:r>
        <w:rPr>
          <w:iCs/>
          <w:caps/>
        </w:rPr>
      </w:r>
      <w:r>
        <w:rPr>
          <w:iCs/>
          <w:caps/>
        </w:rPr>
      </w:r>
    </w:p>
    <w:p>
      <w:pPr>
        <w:jc w:val="both"/>
        <w:spacing w:before="60"/>
        <w:widowControl w:val="off"/>
        <w:tabs>
          <w:tab w:val="left" w:pos="426" w:leader="none"/>
        </w:tabs>
        <w:rPr>
          <w:rStyle w:val="985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</w:p>
    <w:p>
      <w:pPr>
        <w:ind w:right="96"/>
        <w:jc w:val="both"/>
        <w:widowControl w:val="off"/>
        <w:rPr>
          <w:bCs/>
          <w:i w:val="0"/>
          <w:iCs w:val="0"/>
          <w:sz w:val="22"/>
          <w:szCs w:val="22"/>
        </w:rPr>
      </w:pPr>
      <w:r>
        <w:rPr>
          <w:bCs/>
          <w:i w:val="0"/>
          <w:iCs w:val="0"/>
          <w:sz w:val="22"/>
          <w:szCs w:val="22"/>
        </w:rPr>
        <w:t xml:space="preserve">Приложение №1. Ведомость объемов работ.</w:t>
      </w:r>
      <w:r>
        <w:rPr>
          <w:bCs/>
          <w:i w:val="0"/>
          <w:iCs w:val="0"/>
          <w:sz w:val="22"/>
          <w:szCs w:val="22"/>
        </w:rPr>
      </w:r>
      <w:r>
        <w:rPr>
          <w:bCs/>
          <w:i w:val="0"/>
          <w:iCs w:val="0"/>
          <w:sz w:val="22"/>
          <w:szCs w:val="22"/>
        </w:rPr>
      </w:r>
    </w:p>
    <w:p>
      <w:pPr>
        <w:ind w:right="9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При</w:t>
      </w:r>
      <w:r>
        <w:rPr>
          <w:i w:val="0"/>
          <w:iCs w:val="0"/>
          <w:sz w:val="22"/>
          <w:szCs w:val="22"/>
        </w:rPr>
        <w:t xml:space="preserve">ложение №2. ЛСР №120-08-07-КР-25</w:t>
      </w:r>
      <w:r>
        <w:rPr>
          <w:i w:val="0"/>
          <w:iCs w:val="0"/>
          <w:sz w:val="22"/>
          <w:szCs w:val="22"/>
        </w:rPr>
        <w:t xml:space="preserve">.</w:t>
      </w:r>
      <w:r>
        <w:rPr>
          <w:i w:val="0"/>
          <w:iCs w:val="0"/>
          <w:sz w:val="22"/>
          <w:szCs w:val="22"/>
        </w:rPr>
      </w:r>
      <w:r>
        <w:rPr>
          <w:i w:val="0"/>
          <w:iCs w:val="0"/>
          <w:sz w:val="22"/>
          <w:szCs w:val="22"/>
        </w:rPr>
      </w:r>
    </w:p>
    <w:p>
      <w:pPr>
        <w:jc w:val="both"/>
        <w:spacing w:after="120"/>
        <w:rPr>
          <w:bCs/>
          <w:i w:val="0"/>
          <w:iCs w:val="0"/>
          <w:sz w:val="22"/>
          <w:szCs w:val="22"/>
          <w:highlight w:val="none"/>
        </w:rPr>
      </w:pPr>
      <w:r>
        <w:rPr>
          <w:i w:val="0"/>
          <w:iCs w:val="0"/>
          <w:sz w:val="22"/>
          <w:szCs w:val="22"/>
        </w:rPr>
        <w:t xml:space="preserve">Приложение №3.</w:t>
      </w:r>
      <w:r>
        <w:rPr>
          <w:i w:val="0"/>
          <w:iCs w:val="0"/>
          <w:sz w:val="22"/>
          <w:szCs w:val="22"/>
        </w:rPr>
        <w:t xml:space="preserve">Требования к оформлению и составлению документации по ценообразованию</w:t>
      </w:r>
      <w:r>
        <w:rPr>
          <w:i w:val="0"/>
          <w:iCs w:val="0"/>
          <w:sz w:val="22"/>
          <w:szCs w:val="22"/>
        </w:rPr>
        <w:t xml:space="preserve">.</w:t>
      </w:r>
      <w:r>
        <w:rPr>
          <w:bCs/>
          <w:i w:val="0"/>
          <w:iCs w:val="0"/>
          <w:sz w:val="22"/>
          <w:szCs w:val="22"/>
          <w:highlight w:val="none"/>
        </w:rPr>
      </w:r>
      <w:r>
        <w:rPr>
          <w:bCs/>
          <w:i w:val="0"/>
          <w:iCs w:val="0"/>
          <w:sz w:val="22"/>
          <w:szCs w:val="22"/>
          <w:highlight w:val="none"/>
        </w:rPr>
      </w:r>
    </w:p>
    <w:p>
      <w:pPr>
        <w:jc w:val="both"/>
        <w:spacing w:after="120"/>
        <w:rPr>
          <w:bCs/>
          <w:i w:val="0"/>
          <w:iCs w:val="0"/>
          <w:sz w:val="22"/>
          <w:szCs w:val="22"/>
        </w:rPr>
      </w:pPr>
      <w:r>
        <w:rPr>
          <w:bCs/>
          <w:i w:val="0"/>
          <w:iCs w:val="0"/>
          <w:sz w:val="22"/>
          <w:szCs w:val="22"/>
        </w:rPr>
      </w:r>
      <w:r>
        <w:rPr>
          <w:bCs/>
          <w:i w:val="0"/>
          <w:iCs w:val="0"/>
          <w:sz w:val="22"/>
          <w:szCs w:val="22"/>
        </w:rPr>
      </w:r>
      <w:r>
        <w:rPr>
          <w:bCs/>
          <w:i w:val="0"/>
          <w:iCs w:val="0"/>
          <w:sz w:val="22"/>
          <w:szCs w:val="22"/>
        </w:rPr>
      </w:r>
    </w:p>
    <w:p>
      <w:pPr>
        <w:jc w:val="both"/>
        <w:spacing w:after="1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</w:p>
    <w:p>
      <w:pPr>
        <w:jc w:val="both"/>
        <w:spacing w:after="12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</w:p>
    <w:p>
      <w:pPr>
        <w:jc w:val="both"/>
        <w:spacing w:after="120"/>
        <w:rPr>
          <w:bCs/>
          <w:i/>
          <w:sz w:val="22"/>
          <w:szCs w:val="22"/>
        </w:rPr>
      </w:pPr>
      <w:r>
        <w:rPr>
          <w:i/>
          <w:sz w:val="22"/>
          <w:szCs w:val="22"/>
          <w:highlight w:val="none"/>
        </w:rPr>
        <w:t xml:space="preserve">              </w:t>
      </w:r>
      <w:r>
        <w:rPr>
          <w:bCs/>
          <w:i/>
          <w:sz w:val="22"/>
          <w:szCs w:val="22"/>
        </w:rPr>
      </w:r>
      <w:r>
        <w:rPr>
          <w:bCs/>
          <w:i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11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21"/>
      </w:rPr>
      <w:framePr w:wrap="around" w:vAnchor="text" w:hAnchor="margin" w:xAlign="center" w:y="1"/>
    </w:pPr>
    <w:r>
      <w:rPr>
        <w:rStyle w:val="921"/>
      </w:rPr>
      <w:fldChar w:fldCharType="begin"/>
    </w:r>
    <w:r>
      <w:rPr>
        <w:rStyle w:val="921"/>
      </w:rPr>
      <w:instrText xml:space="preserve">PAGE  </w:instrText>
    </w:r>
    <w:r>
      <w:rPr>
        <w:rStyle w:val="921"/>
      </w:rPr>
      <w:fldChar w:fldCharType="separate"/>
    </w:r>
    <w:r>
      <w:rPr>
        <w:rStyle w:val="921"/>
      </w:rPr>
      <w:t xml:space="preserve">6</w:t>
    </w:r>
    <w:r>
      <w:rPr>
        <w:rStyle w:val="921"/>
      </w:rPr>
      <w:fldChar w:fldCharType="end"/>
    </w:r>
    <w:r>
      <w:rPr>
        <w:rStyle w:val="921"/>
      </w:rPr>
    </w:r>
    <w:r>
      <w:rPr>
        <w:rStyle w:val="921"/>
      </w:rPr>
    </w:r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pStyle w:val="888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1140" w:hanging="432"/>
      </w:pPr>
      <w:rPr>
        <w:rFonts w:hint="default"/>
        <w:b w:val="0"/>
        <w:bCs/>
        <w:i/>
        <w:iCs/>
        <w:sz w:val="24"/>
        <w:szCs w:val="24"/>
      </w:rPr>
    </w:lvl>
    <w:lvl w:ilvl="2">
      <w:start w:val="1"/>
      <w:numFmt w:val="decimal"/>
      <w:pStyle w:val="890"/>
      <w:isLgl w:val="false"/>
      <w:suff w:val="tab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multiLevelType w:val="hybridMultilevel"/>
    <w:styleLink w:val="982"/>
    <w:lvl w:ilvl="0">
      <w:start w:val="1"/>
      <w:numFmt w:val="decimal"/>
      <w:pStyle w:val="98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  <w:b w:val="0"/>
        <w:bCs w:val="0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pStyle w:val="100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40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1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4"/>
      <w:numFmt w:val="bullet"/>
      <w:pStyle w:val="96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styleLink w:val="978"/>
    <w:lvl w:ilvl="0">
      <w:start w:val="3"/>
      <w:numFmt w:val="decimal"/>
      <w:pStyle w:val="97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24"/>
  </w:num>
  <w:num w:numId="4">
    <w:abstractNumId w:val="11"/>
  </w:num>
  <w:num w:numId="5">
    <w:abstractNumId w:val="12"/>
  </w:num>
  <w:num w:numId="6">
    <w:abstractNumId w:val="4"/>
  </w:num>
  <w:num w:numId="7">
    <w:abstractNumId w:val="15"/>
  </w:num>
  <w:num w:numId="8">
    <w:abstractNumId w:val="3"/>
  </w:num>
  <w:num w:numId="9">
    <w:abstractNumId w:val="1"/>
  </w:num>
  <w:num w:numId="10">
    <w:abstractNumId w:val="8"/>
  </w:num>
  <w:num w:numId="11">
    <w:abstractNumId w:val="6"/>
  </w:num>
  <w:num w:numId="12">
    <w:abstractNumId w:val="21"/>
  </w:num>
  <w:num w:numId="13">
    <w:abstractNumId w:val="9"/>
  </w:num>
  <w:num w:numId="14">
    <w:abstractNumId w:val="18"/>
  </w:num>
  <w:num w:numId="15">
    <w:abstractNumId w:val="2"/>
  </w:num>
  <w:num w:numId="16">
    <w:abstractNumId w:val="23"/>
  </w:num>
  <w:num w:numId="17">
    <w:abstractNumId w:val="7"/>
  </w:num>
  <w:num w:numId="18">
    <w:abstractNumId w:val="14"/>
  </w:num>
  <w:num w:numId="19">
    <w:abstractNumId w:val="13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17"/>
  </w:num>
  <w:num w:numId="25">
    <w:abstractNumId w:val="20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897"/>
    <w:link w:val="888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897"/>
    <w:link w:val="889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897"/>
    <w:link w:val="890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897"/>
    <w:link w:val="891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897"/>
    <w:link w:val="892"/>
    <w:uiPriority w:val="9"/>
    <w:rPr>
      <w:rFonts w:ascii="Arial" w:hAnsi="Arial" w:eastAsia="Arial" w:cs="Arial"/>
      <w:b/>
      <w:bCs/>
      <w:sz w:val="24"/>
      <w:szCs w:val="24"/>
    </w:rPr>
  </w:style>
  <w:style w:type="character" w:styleId="747">
    <w:name w:val="Heading 6 Char"/>
    <w:basedOn w:val="897"/>
    <w:link w:val="893"/>
    <w:uiPriority w:val="9"/>
    <w:rPr>
      <w:rFonts w:ascii="Arial" w:hAnsi="Arial" w:eastAsia="Arial" w:cs="Arial"/>
      <w:b/>
      <w:bCs/>
      <w:sz w:val="22"/>
      <w:szCs w:val="22"/>
    </w:rPr>
  </w:style>
  <w:style w:type="character" w:styleId="748">
    <w:name w:val="Heading 7 Char"/>
    <w:basedOn w:val="897"/>
    <w:link w:val="8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8 Char"/>
    <w:basedOn w:val="897"/>
    <w:link w:val="895"/>
    <w:uiPriority w:val="9"/>
    <w:rPr>
      <w:rFonts w:ascii="Arial" w:hAnsi="Arial" w:eastAsia="Arial" w:cs="Arial"/>
      <w:i/>
      <w:iCs/>
      <w:sz w:val="22"/>
      <w:szCs w:val="22"/>
    </w:rPr>
  </w:style>
  <w:style w:type="character" w:styleId="750">
    <w:name w:val="Heading 9 Char"/>
    <w:basedOn w:val="897"/>
    <w:link w:val="896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Title"/>
    <w:basedOn w:val="887"/>
    <w:next w:val="88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897"/>
    <w:link w:val="751"/>
    <w:uiPriority w:val="10"/>
    <w:rPr>
      <w:sz w:val="48"/>
      <w:szCs w:val="48"/>
    </w:rPr>
  </w:style>
  <w:style w:type="character" w:styleId="753">
    <w:name w:val="Subtitle Char"/>
    <w:basedOn w:val="897"/>
    <w:link w:val="951"/>
    <w:uiPriority w:val="11"/>
    <w:rPr>
      <w:sz w:val="24"/>
      <w:szCs w:val="24"/>
    </w:rPr>
  </w:style>
  <w:style w:type="character" w:styleId="754">
    <w:name w:val="Quote Char"/>
    <w:link w:val="955"/>
    <w:uiPriority w:val="29"/>
    <w:rPr>
      <w:i/>
    </w:rPr>
  </w:style>
  <w:style w:type="character" w:styleId="755">
    <w:name w:val="Intense Quote Char"/>
    <w:link w:val="957"/>
    <w:uiPriority w:val="30"/>
    <w:rPr>
      <w:i/>
    </w:rPr>
  </w:style>
  <w:style w:type="character" w:styleId="756">
    <w:name w:val="Header Char"/>
    <w:basedOn w:val="897"/>
    <w:link w:val="909"/>
    <w:uiPriority w:val="99"/>
  </w:style>
  <w:style w:type="character" w:styleId="757">
    <w:name w:val="Footer Char"/>
    <w:basedOn w:val="897"/>
    <w:link w:val="912"/>
    <w:uiPriority w:val="99"/>
  </w:style>
  <w:style w:type="character" w:styleId="758">
    <w:name w:val="Caption Char"/>
    <w:basedOn w:val="949"/>
    <w:link w:val="912"/>
    <w:uiPriority w:val="99"/>
  </w:style>
  <w:style w:type="table" w:styleId="759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8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2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2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6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Footnote Text Char"/>
    <w:link w:val="903"/>
    <w:uiPriority w:val="99"/>
    <w:rPr>
      <w:sz w:val="18"/>
    </w:rPr>
  </w:style>
  <w:style w:type="character" w:styleId="885">
    <w:name w:val="Endnote Text Char"/>
    <w:link w:val="997"/>
    <w:uiPriority w:val="99"/>
    <w:rPr>
      <w:sz w:val="20"/>
    </w:rPr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sz w:val="28"/>
      <w:szCs w:val="28"/>
    </w:rPr>
  </w:style>
  <w:style w:type="paragraph" w:styleId="888">
    <w:name w:val="Heading 1"/>
    <w:basedOn w:val="890"/>
    <w:next w:val="887"/>
    <w:link w:val="941"/>
    <w:qFormat/>
    <w:pPr>
      <w:numPr>
        <w:ilvl w:val="0"/>
      </w:numPr>
      <w:outlineLvl w:val="0"/>
    </w:pPr>
    <w:rPr>
      <w:sz w:val="28"/>
      <w:szCs w:val="28"/>
    </w:rPr>
  </w:style>
  <w:style w:type="paragraph" w:styleId="889">
    <w:name w:val="Heading 2"/>
    <w:basedOn w:val="891"/>
    <w:next w:val="887"/>
    <w:link w:val="943"/>
    <w:qFormat/>
    <w:pPr>
      <w:outlineLvl w:val="1"/>
    </w:pPr>
  </w:style>
  <w:style w:type="paragraph" w:styleId="890">
    <w:name w:val="Heading 3"/>
    <w:basedOn w:val="887"/>
    <w:next w:val="887"/>
    <w:link w:val="94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91">
    <w:name w:val="Heading 4"/>
    <w:basedOn w:val="890"/>
    <w:next w:val="887"/>
    <w:link w:val="945"/>
    <w:qFormat/>
    <w:pPr>
      <w:numPr>
        <w:ilvl w:val="1"/>
      </w:numPr>
      <w:ind w:left="432"/>
      <w:outlineLvl w:val="3"/>
    </w:pPr>
    <w:rPr>
      <w:bCs/>
    </w:rPr>
  </w:style>
  <w:style w:type="paragraph" w:styleId="892">
    <w:name w:val="Heading 5"/>
    <w:basedOn w:val="887"/>
    <w:next w:val="887"/>
    <w:link w:val="94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3">
    <w:name w:val="Heading 6"/>
    <w:basedOn w:val="887"/>
    <w:next w:val="887"/>
    <w:link w:val="93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4">
    <w:name w:val="Heading 7"/>
    <w:basedOn w:val="887"/>
    <w:next w:val="887"/>
    <w:link w:val="93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5">
    <w:name w:val="Heading 8"/>
    <w:basedOn w:val="887"/>
    <w:next w:val="887"/>
    <w:link w:val="94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6">
    <w:name w:val="Heading 9"/>
    <w:basedOn w:val="887"/>
    <w:next w:val="887"/>
    <w:link w:val="94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paragraph" w:styleId="900" w:customStyle="1">
    <w:name w:val="Название раздела инструкции"/>
    <w:basedOn w:val="887"/>
    <w:pPr>
      <w:jc w:val="center"/>
    </w:pPr>
    <w:rPr>
      <w:b/>
    </w:rPr>
  </w:style>
  <w:style w:type="paragraph" w:styleId="901" w:customStyle="1">
    <w:name w:val="Раздел положения"/>
    <w:basedOn w:val="887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2" w:customStyle="1">
    <w:name w:val="Подраздел раздела положения"/>
    <w:basedOn w:val="887"/>
    <w:pPr>
      <w:numPr>
        <w:ilvl w:val="1"/>
        <w:numId w:val="1"/>
      </w:numPr>
      <w:jc w:val="both"/>
      <w:spacing w:before="80" w:after="80"/>
    </w:pPr>
  </w:style>
  <w:style w:type="paragraph" w:styleId="903">
    <w:name w:val="footnote text"/>
    <w:basedOn w:val="887"/>
    <w:link w:val="977"/>
    <w:uiPriority w:val="99"/>
    <w:rPr>
      <w:sz w:val="20"/>
      <w:szCs w:val="20"/>
    </w:rPr>
  </w:style>
  <w:style w:type="character" w:styleId="904">
    <w:name w:val="footnote reference"/>
    <w:rPr>
      <w:vertAlign w:val="superscript"/>
    </w:rPr>
  </w:style>
  <w:style w:type="paragraph" w:styleId="905" w:customStyle="1">
    <w:name w:val="Шапка 1"/>
    <w:basedOn w:val="887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6" w:customStyle="1">
    <w:name w:val="Шапка 2"/>
    <w:basedOn w:val="887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7" w:customStyle="1">
    <w:name w:val="Шапка 3"/>
    <w:basedOn w:val="887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8" w:customStyle="1">
    <w:name w:val="Название1"/>
    <w:basedOn w:val="887"/>
    <w:link w:val="950"/>
    <w:uiPriority w:val="10"/>
    <w:qFormat/>
    <w:pPr>
      <w:jc w:val="center"/>
    </w:pPr>
    <w:rPr>
      <w:szCs w:val="20"/>
    </w:rPr>
  </w:style>
  <w:style w:type="paragraph" w:styleId="909">
    <w:name w:val="Header"/>
    <w:basedOn w:val="887"/>
    <w:link w:val="99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0">
    <w:name w:val="Body Text Indent"/>
    <w:basedOn w:val="887"/>
    <w:pPr>
      <w:ind w:left="360"/>
    </w:pPr>
    <w:rPr>
      <w:sz w:val="24"/>
      <w:szCs w:val="24"/>
    </w:rPr>
  </w:style>
  <w:style w:type="table" w:styleId="911">
    <w:name w:val="Table Grid"/>
    <w:basedOn w:val="898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>
    <w:name w:val="Footer"/>
    <w:basedOn w:val="887"/>
    <w:link w:val="1012"/>
    <w:uiPriority w:val="99"/>
    <w:pPr>
      <w:tabs>
        <w:tab w:val="center" w:pos="4677" w:leader="none"/>
        <w:tab w:val="right" w:pos="9355" w:leader="none"/>
      </w:tabs>
    </w:pPr>
  </w:style>
  <w:style w:type="paragraph" w:styleId="913">
    <w:name w:val="Body Text"/>
    <w:basedOn w:val="887"/>
    <w:link w:val="980"/>
    <w:pPr>
      <w:spacing w:after="120"/>
    </w:pPr>
  </w:style>
  <w:style w:type="paragraph" w:styleId="914">
    <w:name w:val="Body Text Indent 2"/>
    <w:basedOn w:val="887"/>
    <w:pPr>
      <w:ind w:left="283"/>
      <w:spacing w:after="120" w:line="480" w:lineRule="auto"/>
    </w:pPr>
  </w:style>
  <w:style w:type="paragraph" w:styleId="915">
    <w:name w:val="Body Text 3"/>
    <w:basedOn w:val="887"/>
    <w:pPr>
      <w:spacing w:after="120"/>
    </w:pPr>
    <w:rPr>
      <w:sz w:val="16"/>
      <w:szCs w:val="16"/>
    </w:rPr>
  </w:style>
  <w:style w:type="paragraph" w:styleId="916">
    <w:name w:val="Body Text Indent 3"/>
    <w:basedOn w:val="887"/>
    <w:link w:val="1011"/>
    <w:uiPriority w:val="99"/>
    <w:pPr>
      <w:ind w:left="283"/>
      <w:spacing w:after="120"/>
    </w:pPr>
    <w:rPr>
      <w:sz w:val="16"/>
      <w:szCs w:val="16"/>
    </w:rPr>
  </w:style>
  <w:style w:type="paragraph" w:styleId="917">
    <w:name w:val="Body Text 2"/>
    <w:basedOn w:val="887"/>
    <w:pPr>
      <w:spacing w:after="120" w:line="480" w:lineRule="auto"/>
    </w:pPr>
  </w:style>
  <w:style w:type="paragraph" w:styleId="918">
    <w:name w:val="Block Text"/>
    <w:basedOn w:val="887"/>
    <w:pPr>
      <w:ind w:left="-567" w:right="-766"/>
      <w:jc w:val="center"/>
    </w:pPr>
    <w:rPr>
      <w:b/>
      <w:bCs/>
      <w:sz w:val="24"/>
      <w:szCs w:val="20"/>
    </w:rPr>
  </w:style>
  <w:style w:type="paragraph" w:styleId="919" w:customStyle="1">
    <w:name w:val="Подпункт"/>
    <w:basedOn w:val="887"/>
    <w:link w:val="97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0" w:customStyle="1">
    <w:name w:val="Пункт2"/>
    <w:basedOn w:val="887"/>
    <w:link w:val="100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1">
    <w:name w:val="page number"/>
    <w:basedOn w:val="897"/>
  </w:style>
  <w:style w:type="paragraph" w:styleId="922">
    <w:name w:val="toc 1"/>
    <w:basedOn w:val="887"/>
    <w:next w:val="887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23">
    <w:name w:val="toc 3"/>
    <w:basedOn w:val="887"/>
    <w:next w:val="887"/>
    <w:uiPriority w:val="39"/>
    <w:pPr>
      <w:ind w:left="280"/>
    </w:pPr>
    <w:rPr>
      <w:rFonts w:cstheme="minorHAnsi"/>
      <w:sz w:val="20"/>
      <w:szCs w:val="20"/>
    </w:rPr>
  </w:style>
  <w:style w:type="character" w:styleId="924">
    <w:name w:val="Hyperlink"/>
    <w:uiPriority w:val="99"/>
    <w:rPr>
      <w:color w:val="0000ff"/>
      <w:u w:val="single"/>
    </w:rPr>
  </w:style>
  <w:style w:type="paragraph" w:styleId="925" w:customStyle="1">
    <w:name w:val="Раздел регламента"/>
    <w:basedOn w:val="887"/>
  </w:style>
  <w:style w:type="paragraph" w:styleId="926" w:customStyle="1">
    <w:name w:val="Приложение к регламенту"/>
    <w:basedOn w:val="887"/>
    <w:pPr>
      <w:jc w:val="right"/>
    </w:pPr>
  </w:style>
  <w:style w:type="paragraph" w:styleId="927">
    <w:name w:val="toc 2"/>
    <w:basedOn w:val="887"/>
    <w:next w:val="887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8">
    <w:name w:val="Balloon Text"/>
    <w:basedOn w:val="887"/>
    <w:semiHidden/>
    <w:rPr>
      <w:rFonts w:ascii="Tahoma" w:hAnsi="Tahoma" w:cs="Tahoma"/>
      <w:sz w:val="16"/>
      <w:szCs w:val="16"/>
    </w:rPr>
  </w:style>
  <w:style w:type="character" w:styleId="929">
    <w:name w:val="annotation reference"/>
    <w:uiPriority w:val="99"/>
    <w:semiHidden/>
    <w:rPr>
      <w:sz w:val="16"/>
      <w:szCs w:val="16"/>
    </w:rPr>
  </w:style>
  <w:style w:type="paragraph" w:styleId="930">
    <w:name w:val="annotation text"/>
    <w:basedOn w:val="887"/>
    <w:link w:val="995"/>
    <w:semiHidden/>
    <w:rPr>
      <w:sz w:val="20"/>
      <w:szCs w:val="20"/>
    </w:rPr>
  </w:style>
  <w:style w:type="paragraph" w:styleId="931">
    <w:name w:val="annotation subject"/>
    <w:basedOn w:val="930"/>
    <w:next w:val="930"/>
    <w:semiHidden/>
    <w:rPr>
      <w:b/>
      <w:bCs/>
    </w:rPr>
  </w:style>
  <w:style w:type="paragraph" w:styleId="932" w:customStyle="1">
    <w:name w:val="Обычный (веб)1"/>
    <w:basedOn w:val="887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3">
    <w:name w:val="toc 9"/>
    <w:basedOn w:val="887"/>
    <w:next w:val="887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4">
    <w:name w:val="toc 5"/>
    <w:basedOn w:val="887"/>
    <w:next w:val="887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5">
    <w:name w:val="toc 4"/>
    <w:basedOn w:val="887"/>
    <w:next w:val="887"/>
    <w:uiPriority w:val="39"/>
    <w:pPr>
      <w:ind w:left="560"/>
    </w:pPr>
    <w:rPr>
      <w:rFonts w:cstheme="minorHAnsi"/>
      <w:sz w:val="20"/>
      <w:szCs w:val="20"/>
    </w:rPr>
  </w:style>
  <w:style w:type="paragraph" w:styleId="936" w:customStyle="1">
    <w:name w:val="Раздел положения 2"/>
    <w:basedOn w:val="887"/>
    <w:pPr>
      <w:jc w:val="both"/>
      <w:pageBreakBefore/>
      <w:outlineLvl w:val="0"/>
    </w:pPr>
    <w:rPr>
      <w:b/>
    </w:rPr>
  </w:style>
  <w:style w:type="character" w:styleId="937">
    <w:name w:val="Strong"/>
    <w:qFormat/>
    <w:rPr>
      <w:b/>
      <w:bCs/>
    </w:rPr>
  </w:style>
  <w:style w:type="character" w:styleId="938" w:customStyle="1">
    <w:name w:val="Заголовок 6 Знак"/>
    <w:link w:val="893"/>
    <w:uiPriority w:val="9"/>
    <w:rPr>
      <w:rFonts w:ascii="Cambria" w:hAnsi="Cambria"/>
      <w:i/>
      <w:iCs/>
      <w:color w:val="243f60"/>
    </w:rPr>
  </w:style>
  <w:style w:type="character" w:styleId="939" w:customStyle="1">
    <w:name w:val="Заголовок 7 Знак"/>
    <w:link w:val="894"/>
    <w:uiPriority w:val="9"/>
    <w:rPr>
      <w:rFonts w:ascii="Cambria" w:hAnsi="Cambria"/>
      <w:i/>
      <w:iCs/>
      <w:color w:val="404040"/>
    </w:rPr>
  </w:style>
  <w:style w:type="character" w:styleId="940" w:customStyle="1">
    <w:name w:val="Заголовок 8 Знак"/>
    <w:link w:val="895"/>
    <w:uiPriority w:val="9"/>
    <w:rPr>
      <w:rFonts w:ascii="Cambria" w:hAnsi="Cambria"/>
      <w:color w:val="4f81bd"/>
    </w:rPr>
  </w:style>
  <w:style w:type="character" w:styleId="941" w:customStyle="1">
    <w:name w:val="Заголовок 1 Знак"/>
    <w:link w:val="888"/>
    <w:rPr>
      <w:rFonts w:eastAsia="Calibri"/>
      <w:b/>
      <w:sz w:val="28"/>
      <w:szCs w:val="28"/>
    </w:rPr>
  </w:style>
  <w:style w:type="paragraph" w:styleId="942" w:customStyle="1">
    <w:name w:val="Знак Знак Знак Знак Знак Знак Знак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3" w:customStyle="1">
    <w:name w:val="Заголовок 2 Знак"/>
    <w:link w:val="889"/>
    <w:rPr>
      <w:rFonts w:eastAsia="Calibri"/>
      <w:b/>
      <w:bCs/>
      <w:sz w:val="24"/>
      <w:szCs w:val="24"/>
    </w:rPr>
  </w:style>
  <w:style w:type="character" w:styleId="944" w:customStyle="1">
    <w:name w:val="Заголовок 3 Знак"/>
    <w:link w:val="890"/>
    <w:rPr>
      <w:rFonts w:eastAsia="Calibri"/>
      <w:b/>
      <w:sz w:val="24"/>
      <w:szCs w:val="24"/>
    </w:rPr>
  </w:style>
  <w:style w:type="character" w:styleId="945" w:customStyle="1">
    <w:name w:val="Заголовок 4 Знак"/>
    <w:link w:val="891"/>
    <w:rPr>
      <w:rFonts w:eastAsia="Calibri"/>
      <w:b/>
      <w:bCs/>
      <w:sz w:val="24"/>
      <w:szCs w:val="24"/>
    </w:rPr>
  </w:style>
  <w:style w:type="character" w:styleId="946" w:customStyle="1">
    <w:name w:val="Заголовок 5 Знак"/>
    <w:link w:val="892"/>
    <w:uiPriority w:val="9"/>
    <w:rPr>
      <w:b/>
      <w:bCs/>
      <w:i/>
      <w:iCs/>
      <w:sz w:val="26"/>
      <w:szCs w:val="26"/>
    </w:rPr>
  </w:style>
  <w:style w:type="character" w:styleId="947" w:customStyle="1">
    <w:name w:val="Заголовок 9 Знак"/>
    <w:link w:val="896"/>
    <w:uiPriority w:val="9"/>
    <w:rPr>
      <w:rFonts w:ascii="Arial" w:hAnsi="Arial" w:cs="Arial"/>
      <w:sz w:val="22"/>
      <w:szCs w:val="22"/>
    </w:rPr>
  </w:style>
  <w:style w:type="paragraph" w:styleId="948">
    <w:name w:val="No Spacing"/>
    <w:basedOn w:val="88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9">
    <w:name w:val="Caption"/>
    <w:basedOn w:val="887"/>
    <w:next w:val="887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0" w:customStyle="1">
    <w:name w:val="Название Знак"/>
    <w:link w:val="908"/>
    <w:uiPriority w:val="10"/>
    <w:rPr>
      <w:sz w:val="28"/>
    </w:rPr>
  </w:style>
  <w:style w:type="paragraph" w:styleId="951">
    <w:name w:val="Subtitle"/>
    <w:basedOn w:val="887"/>
    <w:next w:val="887"/>
    <w:link w:val="95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2" w:customStyle="1">
    <w:name w:val="Подзаголовок Знак"/>
    <w:link w:val="95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3">
    <w:name w:val="Emphasis"/>
    <w:uiPriority w:val="20"/>
    <w:qFormat/>
    <w:rPr>
      <w:i/>
      <w:iCs/>
    </w:rPr>
  </w:style>
  <w:style w:type="paragraph" w:styleId="954">
    <w:name w:val="List Paragraph"/>
    <w:basedOn w:val="887"/>
    <w:link w:val="98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5">
    <w:name w:val="Quote"/>
    <w:basedOn w:val="887"/>
    <w:next w:val="887"/>
    <w:link w:val="95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6" w:customStyle="1">
    <w:name w:val="Цитата 2 Знак"/>
    <w:link w:val="955"/>
    <w:uiPriority w:val="29"/>
    <w:rPr>
      <w:rFonts w:ascii="Calibri" w:hAnsi="Calibri" w:eastAsia="Calibri"/>
      <w:i/>
      <w:iCs/>
      <w:color w:val="000000"/>
    </w:rPr>
  </w:style>
  <w:style w:type="paragraph" w:styleId="957">
    <w:name w:val="Intense Quote"/>
    <w:basedOn w:val="887"/>
    <w:next w:val="887"/>
    <w:link w:val="95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8" w:customStyle="1">
    <w:name w:val="Выделенная цитата Знак"/>
    <w:link w:val="957"/>
    <w:uiPriority w:val="30"/>
    <w:rPr>
      <w:rFonts w:ascii="Calibri" w:hAnsi="Calibri" w:eastAsia="Calibri"/>
      <w:b/>
      <w:bCs/>
      <w:i/>
      <w:iCs/>
      <w:color w:val="4f81bd"/>
    </w:rPr>
  </w:style>
  <w:style w:type="character" w:styleId="959">
    <w:name w:val="Subtle Emphasis"/>
    <w:uiPriority w:val="19"/>
    <w:qFormat/>
    <w:rPr>
      <w:i/>
      <w:iCs/>
      <w:color w:val="808080"/>
    </w:rPr>
  </w:style>
  <w:style w:type="character" w:styleId="960">
    <w:name w:val="Intense Emphasis"/>
    <w:uiPriority w:val="21"/>
    <w:qFormat/>
    <w:rPr>
      <w:b/>
      <w:bCs/>
      <w:i/>
      <w:iCs/>
      <w:color w:val="4f81bd"/>
    </w:rPr>
  </w:style>
  <w:style w:type="character" w:styleId="961">
    <w:name w:val="Subtle Reference"/>
    <w:uiPriority w:val="31"/>
    <w:qFormat/>
    <w:rPr>
      <w:smallCaps/>
      <w:color w:val="c0504d"/>
      <w:u w:val="single"/>
    </w:rPr>
  </w:style>
  <w:style w:type="character" w:styleId="96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3">
    <w:name w:val="Book Title"/>
    <w:uiPriority w:val="33"/>
    <w:qFormat/>
    <w:rPr>
      <w:b/>
      <w:bCs/>
      <w:smallCaps/>
      <w:spacing w:val="5"/>
    </w:rPr>
  </w:style>
  <w:style w:type="paragraph" w:styleId="964">
    <w:name w:val="TOC Heading"/>
    <w:basedOn w:val="888"/>
    <w:next w:val="887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5">
    <w:name w:val="E-mail Signature"/>
    <w:basedOn w:val="887"/>
    <w:link w:val="966"/>
    <w:uiPriority w:val="99"/>
    <w:unhideWhenUsed/>
    <w:rPr>
      <w:rFonts w:eastAsia="Calibri"/>
      <w:sz w:val="24"/>
      <w:szCs w:val="24"/>
    </w:rPr>
  </w:style>
  <w:style w:type="character" w:styleId="966" w:customStyle="1">
    <w:name w:val="Электронная подпись Знак"/>
    <w:link w:val="965"/>
    <w:uiPriority w:val="99"/>
    <w:rPr>
      <w:rFonts w:eastAsia="Calibri"/>
      <w:sz w:val="24"/>
      <w:szCs w:val="24"/>
    </w:rPr>
  </w:style>
  <w:style w:type="paragraph" w:styleId="967" w:customStyle="1">
    <w:name w:val="Знак"/>
    <w:basedOn w:val="8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8" w:customStyle="1">
    <w:name w:val="Нумерованный список ур3"/>
    <w:basedOn w:val="887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9" w:customStyle="1">
    <w:name w:val="Нумерованный список 1"/>
    <w:basedOn w:val="887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0" w:customStyle="1">
    <w:name w:val="Нумерованный список ур2"/>
    <w:basedOn w:val="887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1">
    <w:name w:val="Revision"/>
    <w:hidden/>
    <w:uiPriority w:val="99"/>
    <w:semiHidden/>
    <w:rPr>
      <w:rFonts w:eastAsia="Calibri"/>
      <w:sz w:val="24"/>
      <w:szCs w:val="24"/>
    </w:rPr>
  </w:style>
  <w:style w:type="paragraph" w:styleId="97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3" w:customStyle="1">
    <w:name w:val="Знак Знак3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4" w:customStyle="1">
    <w:name w:val="Пункт"/>
    <w:basedOn w:val="887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5" w:customStyle="1">
    <w:name w:val="Подпункт Знак1"/>
    <w:link w:val="919"/>
    <w:rPr>
      <w:sz w:val="28"/>
    </w:rPr>
  </w:style>
  <w:style w:type="paragraph" w:styleId="976" w:customStyle="1">
    <w:name w:val="Абзац списка1"/>
    <w:basedOn w:val="887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7" w:customStyle="1">
    <w:name w:val="Текст сноски Знак"/>
    <w:link w:val="903"/>
    <w:uiPriority w:val="99"/>
  </w:style>
  <w:style w:type="numbering" w:styleId="978" w:customStyle="1">
    <w:name w:val="Стиль1"/>
    <w:uiPriority w:val="99"/>
    <w:pPr>
      <w:numPr>
        <w:ilvl w:val="0"/>
        <w:numId w:val="3"/>
      </w:numPr>
    </w:pPr>
  </w:style>
  <w:style w:type="paragraph" w:styleId="979" w:customStyle="1">
    <w:name w:val="Таблица"/>
    <w:basedOn w:val="88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0" w:customStyle="1">
    <w:name w:val="Основной текст Знак"/>
    <w:link w:val="913"/>
    <w:rPr>
      <w:sz w:val="28"/>
      <w:szCs w:val="28"/>
    </w:rPr>
  </w:style>
  <w:style w:type="character" w:styleId="981" w:customStyle="1">
    <w:name w:val="blk"/>
  </w:style>
  <w:style w:type="numbering" w:styleId="982" w:customStyle="1">
    <w:name w:val="Стиль2"/>
    <w:uiPriority w:val="99"/>
    <w:pPr>
      <w:numPr>
        <w:ilvl w:val="0"/>
        <w:numId w:val="5"/>
      </w:numPr>
    </w:pPr>
  </w:style>
  <w:style w:type="paragraph" w:styleId="983" w:customStyle="1">
    <w:name w:val="Таблица шапка"/>
    <w:basedOn w:val="887"/>
    <w:pPr>
      <w:ind w:left="57" w:right="57"/>
      <w:keepNext/>
      <w:spacing w:before="40" w:after="40"/>
    </w:pPr>
    <w:rPr>
      <w:sz w:val="22"/>
      <w:szCs w:val="26"/>
    </w:rPr>
  </w:style>
  <w:style w:type="character" w:styleId="984" w:customStyle="1">
    <w:name w:val="Абзац списка Знак"/>
    <w:link w:val="954"/>
    <w:uiPriority w:val="34"/>
    <w:rPr>
      <w:rFonts w:eastAsia="Calibri"/>
      <w:sz w:val="24"/>
      <w:szCs w:val="24"/>
    </w:rPr>
  </w:style>
  <w:style w:type="character" w:styleId="985" w:customStyle="1">
    <w:name w:val="комментарий"/>
    <w:rPr>
      <w:b/>
      <w:i/>
      <w:shd w:val="clear" w:color="auto" w:fill="ffff99"/>
    </w:rPr>
  </w:style>
  <w:style w:type="paragraph" w:styleId="986" w:customStyle="1">
    <w:name w:val="Подподпункт"/>
    <w:basedOn w:val="919"/>
    <w:link w:val="98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7" w:customStyle="1">
    <w:name w:val="Подподпункт Знак"/>
    <w:link w:val="986"/>
    <w:rPr>
      <w:sz w:val="26"/>
      <w:szCs w:val="26"/>
    </w:rPr>
  </w:style>
  <w:style w:type="paragraph" w:styleId="988" w:customStyle="1">
    <w:name w:val="УРОВЕНЬ_(а)"/>
    <w:basedOn w:val="95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9" w:customStyle="1">
    <w:name w:val="УРОВЕНЬ_-"/>
    <w:basedOn w:val="95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0" w:customStyle="1">
    <w:name w:val="УРОВЕНЬ_Абзац_тип2"/>
    <w:basedOn w:val="95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1" w:customStyle="1">
    <w:name w:val="УРОВЕНЬ_Абзац_тип3"/>
    <w:basedOn w:val="954"/>
    <w:link w:val="99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2" w:customStyle="1">
    <w:name w:val="УРОВЕНЬ_Подпись"/>
    <w:basedOn w:val="95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3" w:customStyle="1">
    <w:name w:val="УРОВЕНЬ_Абзац_тип3 Знак"/>
    <w:link w:val="991"/>
    <w:rPr>
      <w:rFonts w:eastAsia="Calibri"/>
      <w:sz w:val="26"/>
      <w:szCs w:val="28"/>
      <w:lang w:eastAsia="en-US"/>
    </w:rPr>
  </w:style>
  <w:style w:type="character" w:styleId="994" w:customStyle="1">
    <w:name w:val="Верхний колонтитул Знак"/>
    <w:link w:val="909"/>
    <w:uiPriority w:val="99"/>
    <w:rPr>
      <w:sz w:val="24"/>
      <w:szCs w:val="24"/>
    </w:rPr>
  </w:style>
  <w:style w:type="character" w:styleId="995" w:customStyle="1">
    <w:name w:val="Текст примечания Знак"/>
    <w:link w:val="930"/>
    <w:semiHidden/>
  </w:style>
  <w:style w:type="paragraph" w:styleId="996" w:customStyle="1">
    <w:name w:val="Стиль Заголовок 1 + по ширине"/>
    <w:basedOn w:val="888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7">
    <w:name w:val="endnote text"/>
    <w:basedOn w:val="887"/>
    <w:link w:val="998"/>
    <w:rPr>
      <w:sz w:val="20"/>
      <w:szCs w:val="20"/>
    </w:rPr>
  </w:style>
  <w:style w:type="character" w:styleId="998" w:customStyle="1">
    <w:name w:val="Текст концевой сноски Знак"/>
    <w:basedOn w:val="897"/>
    <w:link w:val="997"/>
  </w:style>
  <w:style w:type="character" w:styleId="999">
    <w:name w:val="endnote reference"/>
    <w:basedOn w:val="897"/>
    <w:rPr>
      <w:vertAlign w:val="superscript"/>
    </w:rPr>
  </w:style>
  <w:style w:type="paragraph" w:styleId="1000" w:customStyle="1">
    <w:name w:val="Заголовок 2 КВВ"/>
    <w:basedOn w:val="887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1" w:customStyle="1">
    <w:name w:val="Пункт2 Знак"/>
    <w:link w:val="920"/>
    <w:rPr>
      <w:b/>
      <w:sz w:val="28"/>
    </w:rPr>
  </w:style>
  <w:style w:type="paragraph" w:styleId="1002" w:customStyle="1">
    <w:name w:val="Таблица текст"/>
    <w:basedOn w:val="887"/>
    <w:pPr>
      <w:ind w:left="57" w:right="57"/>
      <w:spacing w:before="40" w:after="40"/>
    </w:pPr>
    <w:rPr>
      <w:sz w:val="24"/>
      <w:szCs w:val="26"/>
    </w:rPr>
  </w:style>
  <w:style w:type="paragraph" w:styleId="1003">
    <w:name w:val="Normal (Web)"/>
    <w:basedOn w:val="88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4" w:customStyle="1">
    <w:name w:val="УРОВЕНЬ_1."/>
    <w:basedOn w:val="954"/>
    <w:link w:val="100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5" w:customStyle="1">
    <w:name w:val="УРОВЕНЬ_1. Знак"/>
    <w:link w:val="1004"/>
    <w:rPr>
      <w:rFonts w:eastAsia="Calibri"/>
      <w:caps/>
      <w:sz w:val="28"/>
      <w:szCs w:val="28"/>
      <w:lang w:eastAsia="en-US"/>
    </w:rPr>
  </w:style>
  <w:style w:type="table" w:styleId="1006" w:customStyle="1">
    <w:name w:val="Сетка таблицы1"/>
    <w:basedOn w:val="898"/>
    <w:next w:val="91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7">
    <w:name w:val="toc 6"/>
    <w:basedOn w:val="887"/>
    <w:next w:val="887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8">
    <w:name w:val="toc 7"/>
    <w:basedOn w:val="887"/>
    <w:next w:val="887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9">
    <w:name w:val="toc 8"/>
    <w:basedOn w:val="887"/>
    <w:next w:val="887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0" w:customStyle="1">
    <w:name w:val="Неразрешенное упоминание1"/>
    <w:basedOn w:val="897"/>
    <w:uiPriority w:val="99"/>
    <w:semiHidden/>
    <w:unhideWhenUsed/>
    <w:rPr>
      <w:color w:val="605e5c"/>
      <w:shd w:val="clear" w:color="auto" w:fill="e1dfdd"/>
    </w:rPr>
  </w:style>
  <w:style w:type="character" w:styleId="1011" w:customStyle="1">
    <w:name w:val="Основной текст с отступом 3 Знак"/>
    <w:link w:val="916"/>
    <w:uiPriority w:val="99"/>
    <w:rPr>
      <w:sz w:val="16"/>
      <w:szCs w:val="16"/>
    </w:rPr>
  </w:style>
  <w:style w:type="character" w:styleId="1012" w:customStyle="1">
    <w:name w:val="Нижний колонтитул Знак"/>
    <w:link w:val="912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2511-6B6F-4522-95EC-43ED5A33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revision>43</cp:revision>
  <dcterms:created xsi:type="dcterms:W3CDTF">2022-12-19T07:57:00Z</dcterms:created>
  <dcterms:modified xsi:type="dcterms:W3CDTF">2024-09-09T07:09:03Z</dcterms:modified>
</cp:coreProperties>
</file>