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46"/>
        <w:ind w:left="4819"/>
        <w:keepNext/>
      </w:pPr>
      <w:r>
        <w:t xml:space="preserve">«УТВЕРЖДАЮ»</w:t>
      </w:r>
      <w:r/>
    </w:p>
    <w:p>
      <w:pPr>
        <w:pStyle w:val="1146"/>
        <w:ind w:left="4819"/>
        <w:keepNext/>
      </w:pPr>
      <w:r>
        <w:t xml:space="preserve">Председатель закупочной комиссии 1-го уровня – Заместитель генерального директора по управлению ресурсами АО «ДГК»</w:t>
      </w:r>
      <w:r/>
    </w:p>
    <w:p>
      <w:pPr>
        <w:pStyle w:val="1146"/>
        <w:ind w:left="4819"/>
        <w:keepNext/>
      </w:pPr>
      <w:r>
        <w:t xml:space="preserve">__________________Д. А. </w:t>
      </w:r>
      <w:r>
        <w:t xml:space="preserve">Богонатов</w:t>
      </w:r>
      <w:r/>
    </w:p>
    <w:p>
      <w:pPr>
        <w:pStyle w:val="1146"/>
        <w:ind w:left="4819"/>
        <w:keepNext/>
      </w:pPr>
      <w:r>
        <w:t xml:space="preserve">«___» _______________ 2026г </w:t>
      </w:r>
      <w:r/>
    </w:p>
    <w:p>
      <w:pPr>
        <w:pStyle w:val="1146"/>
      </w:pPr>
      <w:r/>
      <w:r/>
    </w:p>
    <w:p>
      <w:pPr>
        <w:pStyle w:val="1146"/>
      </w:pPr>
      <w:r/>
      <w:r/>
    </w:p>
    <w:p>
      <w:pPr>
        <w:pStyle w:val="1146"/>
      </w:pPr>
      <w:r/>
      <w:r/>
    </w:p>
    <w:p>
      <w:pPr>
        <w:pStyle w:val="1146"/>
      </w:pPr>
      <w:r/>
      <w:r/>
    </w:p>
    <w:p>
      <w:pPr>
        <w:pStyle w:val="1146"/>
      </w:pPr>
      <w:r/>
      <w:r/>
    </w:p>
    <w:p>
      <w:pPr>
        <w:pStyle w:val="1146"/>
        <w:jc w:val="center"/>
        <w:keepNext/>
        <w:rPr>
          <w:b/>
          <w:bCs/>
          <w:caps/>
        </w:rPr>
        <w:outlineLvl w:val="2"/>
      </w:pPr>
      <w:r>
        <w:rPr>
          <w:b/>
          <w:bCs/>
          <w:caps/>
        </w:rPr>
        <w:t xml:space="preserve">Документация о закупке</w:t>
      </w:r>
      <w:r>
        <w:rPr>
          <w:b/>
          <w:bCs/>
          <w:caps/>
        </w:rPr>
      </w:r>
      <w:r>
        <w:rPr>
          <w:b/>
          <w:bCs/>
          <w:caps/>
        </w:rPr>
      </w:r>
    </w:p>
    <w:p>
      <w:pPr>
        <w:pStyle w:val="1146"/>
        <w:jc w:val="center"/>
        <w:keepNext/>
        <w:spacing w:before="240"/>
        <w:rPr>
          <w:rStyle w:val="1151"/>
        </w:rPr>
      </w:pPr>
      <w:r>
        <w:t xml:space="preserve">Запрос предложений в электронной форме,</w:t>
      </w:r>
      <w:r>
        <w:br/>
        <w:t xml:space="preserve">на право заключения договора на </w:t>
      </w:r>
      <w:r>
        <w:t xml:space="preserve">ОКПД2 71.11.31.000 Оказание услуг по проведению топографической съемки реконструируемых участков теплотрасс для Хабаровских тепловых сетей, в г. Хабаровске</w:t>
      </w:r>
      <w:r>
        <w:rPr>
          <w:rStyle w:val="1151"/>
        </w:rPr>
      </w:r>
      <w:r>
        <w:rPr>
          <w:rStyle w:val="1151"/>
        </w:rPr>
      </w:r>
    </w:p>
    <w:p>
      <w:pPr>
        <w:pStyle w:val="1146"/>
        <w:jc w:val="center"/>
        <w:keepNext/>
        <w:spacing w:before="240"/>
      </w:pPr>
      <w:r>
        <w:t xml:space="preserve">(Лот № </w:t>
      </w:r>
      <w:r>
        <w:rPr>
          <w:rFonts w:cs="Times New Roman"/>
          <w:sz w:val="24"/>
          <w:szCs w:val="24"/>
          <w:highlight w:val="white"/>
        </w:rPr>
        <w:t xml:space="preserve">41026020-ЭКСП ПРОД-2026-ДГК-ХТС</w:t>
      </w:r>
      <w:r>
        <w:t xml:space="preserve">)</w:t>
      </w:r>
      <w:r/>
    </w:p>
    <w:p>
      <w:pPr>
        <w:pStyle w:val="1146"/>
        <w:keepNext/>
      </w:pPr>
      <w:r/>
      <w:r/>
    </w:p>
    <w:p>
      <w:pPr>
        <w:pStyle w:val="1146"/>
        <w:sectPr>
          <w:footerReference w:type="default" r:id="rId10"/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5"/>
        <w:outlineLvl w:val="2"/>
      </w:pPr>
      <w:r>
        <w:t xml:space="preserve">Содержание</w:t>
      </w:r>
      <w:r/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tooltip="#_Toc228976075" w:anchor="_Toc228976075" w:history="1">
        <w:r>
          <w:rPr>
            <w:rStyle w:val="1156"/>
          </w:rPr>
          <w:t xml:space="preserve">Сокращения</w:t>
        </w:r>
        <w:r>
          <w:tab/>
        </w:r>
        <w:r>
          <w:fldChar w:fldCharType="begin"/>
        </w:r>
        <w:r>
          <w:instrText xml:space="preserve"> PAGEREF _Toc228976075 \h </w:instrText>
        </w:r>
        <w:r>
          <w:fldChar w:fldCharType="separate"/>
        </w:r>
        <w:r>
          <w:rPr>
            <w:rStyle w:val="1156"/>
          </w:rPr>
          <w:t xml:space="preserve">5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076" w:anchor="_Toc228976076" w:history="1">
        <w:r>
          <w:rPr>
            <w:rStyle w:val="1156"/>
          </w:rPr>
          <w:t xml:space="preserve">Термины и определения</w:t>
        </w:r>
        <w:r>
          <w:tab/>
        </w:r>
        <w:r>
          <w:fldChar w:fldCharType="begin"/>
        </w:r>
        <w:r>
          <w:instrText xml:space="preserve"> PAGEREF _Toc228976076 \h </w:instrText>
        </w:r>
        <w:r>
          <w:fldChar w:fldCharType="separate"/>
        </w:r>
        <w:r>
          <w:rPr>
            <w:rStyle w:val="1156"/>
          </w:rPr>
          <w:t xml:space="preserve">7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077" w:anchor="_Toc228976077" w:history="1">
        <w:r>
          <w:rPr>
            <w:rStyle w:val="1156"/>
          </w:rPr>
          <w:t xml:space="preserve">1.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Основные сведения о закупке</w:t>
        </w:r>
        <w:r>
          <w:tab/>
        </w:r>
        <w:r>
          <w:fldChar w:fldCharType="begin"/>
        </w:r>
        <w:r>
          <w:instrText xml:space="preserve"> PAGEREF _Toc228976077 \h </w:instrText>
        </w:r>
        <w:r>
          <w:fldChar w:fldCharType="separate"/>
        </w:r>
        <w:r>
          <w:rPr>
            <w:rStyle w:val="1156"/>
          </w:rPr>
          <w:t xml:space="preserve">11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78" w:anchor="_Toc228976078" w:history="1">
        <w:r>
          <w:rPr>
            <w:rStyle w:val="1156"/>
          </w:rPr>
          <w:t xml:space="preserve">1.1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Статус настоящего раздела</w:t>
        </w:r>
        <w:r>
          <w:tab/>
        </w:r>
        <w:r>
          <w:fldChar w:fldCharType="begin"/>
        </w:r>
        <w:r>
          <w:instrText xml:space="preserve"> PAGEREF _Toc228976078 \h </w:instrText>
        </w:r>
        <w:r>
          <w:fldChar w:fldCharType="separate"/>
        </w:r>
        <w:r>
          <w:rPr>
            <w:rStyle w:val="1156"/>
          </w:rPr>
          <w:t xml:space="preserve">11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79" w:anchor="_Toc228976079" w:history="1">
        <w:r>
          <w:rPr>
            <w:rStyle w:val="1156"/>
          </w:rPr>
          <w:t xml:space="preserve">1.2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Информация о проводимой закупке</w:t>
        </w:r>
        <w:r>
          <w:tab/>
        </w:r>
        <w:r>
          <w:fldChar w:fldCharType="begin"/>
        </w:r>
        <w:r>
          <w:instrText xml:space="preserve"> PAGEREF _Toc228976079 \h </w:instrText>
        </w:r>
        <w:r>
          <w:fldChar w:fldCharType="separate"/>
        </w:r>
        <w:r>
          <w:rPr>
            <w:rStyle w:val="1156"/>
          </w:rPr>
          <w:t xml:space="preserve">11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080" w:anchor="_Toc228976080" w:history="1">
        <w:r>
          <w:rPr>
            <w:rStyle w:val="1156"/>
          </w:rPr>
          <w:t xml:space="preserve">2.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Общие положения</w:t>
        </w:r>
        <w:r>
          <w:tab/>
        </w:r>
        <w:r>
          <w:fldChar w:fldCharType="begin"/>
        </w:r>
        <w:r>
          <w:instrText xml:space="preserve"> PAGEREF _Toc228976080 \h </w:instrText>
        </w:r>
        <w:r>
          <w:fldChar w:fldCharType="separate"/>
        </w:r>
        <w:r>
          <w:rPr>
            <w:rStyle w:val="1156"/>
          </w:rPr>
          <w:t xml:space="preserve">16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1" w:anchor="_Toc228976081" w:history="1">
        <w:r>
          <w:rPr>
            <w:rStyle w:val="1156"/>
          </w:rPr>
          <w:t xml:space="preserve">2.1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Общи</w:t>
        </w:r>
        <w:r>
          <w:rPr>
            <w:rStyle w:val="1156"/>
          </w:rPr>
          <w:t xml:space="preserve">е сведения о закупке</w:t>
        </w:r>
        <w:r>
          <w:tab/>
        </w:r>
        <w:r>
          <w:fldChar w:fldCharType="begin"/>
        </w:r>
        <w:r>
          <w:instrText xml:space="preserve"> PAGEREF _Toc228976081 \h </w:instrText>
        </w:r>
        <w:r>
          <w:fldChar w:fldCharType="separate"/>
        </w:r>
        <w:r>
          <w:rPr>
            <w:rStyle w:val="1156"/>
          </w:rPr>
          <w:t xml:space="preserve">16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2" w:anchor="_Toc228976082" w:history="1">
        <w:r>
          <w:rPr>
            <w:rStyle w:val="1156"/>
          </w:rPr>
          <w:t xml:space="preserve">2.2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Правовой статус документов</w:t>
        </w:r>
        <w:r>
          <w:tab/>
        </w:r>
        <w:r>
          <w:fldChar w:fldCharType="begin"/>
        </w:r>
        <w:r>
          <w:instrText xml:space="preserve"> PAGEREF _Toc228976082 \h </w:instrText>
        </w:r>
        <w:r>
          <w:fldChar w:fldCharType="separate"/>
        </w:r>
        <w:r>
          <w:rPr>
            <w:rStyle w:val="1156"/>
          </w:rPr>
          <w:t xml:space="preserve">16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3" w:anchor="_Toc228976083" w:history="1">
        <w:r>
          <w:rPr>
            <w:rStyle w:val="1156"/>
          </w:rPr>
          <w:t xml:space="preserve">2.3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Обжалование</w:t>
        </w:r>
        <w:r>
          <w:tab/>
        </w:r>
        <w:r>
          <w:fldChar w:fldCharType="begin"/>
        </w:r>
        <w:r>
          <w:instrText xml:space="preserve"> PAGEREF _Toc228976083 \h </w:instrText>
        </w:r>
        <w:r>
          <w:fldChar w:fldCharType="separate"/>
        </w:r>
        <w:r>
          <w:rPr>
            <w:rStyle w:val="1156"/>
          </w:rPr>
          <w:t xml:space="preserve">17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4" w:anchor="_Toc228976084" w:history="1">
        <w:r>
          <w:rPr>
            <w:rStyle w:val="1156"/>
          </w:rPr>
          <w:t xml:space="preserve">2.4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Особые положения при проведении закупки с использованием ЭП</w:t>
        </w:r>
        <w:r>
          <w:tab/>
        </w:r>
        <w:r>
          <w:fldChar w:fldCharType="begin"/>
        </w:r>
        <w:r>
          <w:instrText xml:space="preserve"> PAGEREF _Toc228976084 \h </w:instrText>
        </w:r>
        <w:r>
          <w:fldChar w:fldCharType="separate"/>
        </w:r>
        <w:r>
          <w:rPr>
            <w:rStyle w:val="1156"/>
          </w:rPr>
          <w:t xml:space="preserve">18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5" w:anchor="_Toc228976085" w:history="1">
        <w:r>
          <w:rPr>
            <w:rStyle w:val="1156"/>
          </w:rPr>
          <w:t xml:space="preserve">2.5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Прочие положения</w:t>
        </w:r>
        <w:r>
          <w:tab/>
        </w:r>
        <w:r>
          <w:fldChar w:fldCharType="begin"/>
        </w:r>
        <w:r>
          <w:instrText xml:space="preserve"> PAGEREF _Toc228976085 \h </w:instrText>
        </w:r>
        <w:r>
          <w:fldChar w:fldCharType="separate"/>
        </w:r>
        <w:r>
          <w:rPr>
            <w:rStyle w:val="1156"/>
          </w:rPr>
          <w:t xml:space="preserve">18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086" w:anchor="_Toc228976086" w:history="1">
        <w:r>
          <w:rPr>
            <w:rStyle w:val="1156"/>
          </w:rPr>
          <w:t xml:space="preserve">3.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Требова</w:t>
        </w:r>
        <w:r>
          <w:rPr>
            <w:rStyle w:val="1156"/>
          </w:rPr>
          <w:t xml:space="preserve">ния к Участникам</w:t>
        </w:r>
        <w:r>
          <w:tab/>
        </w:r>
        <w:r>
          <w:fldChar w:fldCharType="begin"/>
        </w:r>
        <w:r>
          <w:instrText xml:space="preserve"> PAGEREF _Toc228976086 \h </w:instrText>
        </w:r>
        <w:r>
          <w:fldChar w:fldCharType="separate"/>
        </w:r>
        <w:r>
          <w:rPr>
            <w:rStyle w:val="1156"/>
          </w:rPr>
          <w:t xml:space="preserve">19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7" w:anchor="_Toc228976087" w:history="1">
        <w:r>
          <w:rPr>
            <w:rStyle w:val="1156"/>
          </w:rPr>
          <w:t xml:space="preserve">3.1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Общие требования к Участникам</w:t>
        </w:r>
        <w:r>
          <w:tab/>
        </w:r>
        <w:r>
          <w:fldChar w:fldCharType="begin"/>
        </w:r>
        <w:r>
          <w:instrText xml:space="preserve"> PAGEREF _Toc228976087 \h </w:instrText>
        </w:r>
        <w:r>
          <w:fldChar w:fldCharType="separate"/>
        </w:r>
        <w:r>
          <w:rPr>
            <w:rStyle w:val="1156"/>
          </w:rPr>
          <w:t xml:space="preserve">19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8" w:anchor="_Toc228976088" w:history="1">
        <w:r>
          <w:rPr>
            <w:rStyle w:val="1156"/>
          </w:rPr>
          <w:t xml:space="preserve">3.2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Коллективные участники</w:t>
        </w:r>
        <w:r>
          <w:tab/>
        </w:r>
        <w:r>
          <w:fldChar w:fldCharType="begin"/>
        </w:r>
        <w:r>
          <w:instrText xml:space="preserve"> PAGEREF _Toc228976088 \h </w:instrText>
        </w:r>
        <w:r>
          <w:fldChar w:fldCharType="separate"/>
        </w:r>
        <w:r>
          <w:rPr>
            <w:rStyle w:val="1156"/>
          </w:rPr>
          <w:t xml:space="preserve">19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9" w:anchor="_Toc228976089" w:history="1">
        <w:r>
          <w:rPr>
            <w:rStyle w:val="1156"/>
          </w:rPr>
          <w:t xml:space="preserve">3.3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Генеральные подрядчики</w:t>
        </w:r>
        <w:r>
          <w:tab/>
        </w:r>
        <w:r>
          <w:fldChar w:fldCharType="begin"/>
        </w:r>
        <w:r>
          <w:instrText xml:space="preserve"> PAGEREF _Toc228976089 \h </w:instrText>
        </w:r>
        <w:r>
          <w:fldChar w:fldCharType="separate"/>
        </w:r>
        <w:r>
          <w:rPr>
            <w:rStyle w:val="1156"/>
          </w:rPr>
          <w:t xml:space="preserve">21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0" w:anchor="_Toc228976090" w:history="1">
        <w:r>
          <w:rPr>
            <w:rStyle w:val="1156"/>
          </w:rPr>
          <w:t xml:space="preserve">3.4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Привлечение субподрядчиков (соисполнит</w:t>
        </w:r>
        <w:r>
          <w:rPr>
            <w:rStyle w:val="1156"/>
          </w:rPr>
          <w:t xml:space="preserve">елей) из числа субъектов МСП</w:t>
        </w:r>
        <w:r>
          <w:tab/>
        </w:r>
        <w:r>
          <w:fldChar w:fldCharType="begin"/>
        </w:r>
        <w:r>
          <w:instrText xml:space="preserve"> PAGEREF _Toc228976090 \h </w:instrText>
        </w:r>
        <w:r>
          <w:fldChar w:fldCharType="separate"/>
        </w:r>
        <w:r>
          <w:rPr>
            <w:rStyle w:val="1156"/>
          </w:rPr>
          <w:t xml:space="preserve">23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091" w:anchor="_Toc228976091" w:history="1">
        <w:r>
          <w:rPr>
            <w:rStyle w:val="1156"/>
          </w:rPr>
          <w:t xml:space="preserve">4.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Порядок проведения закупки</w:t>
        </w:r>
        <w:r>
          <w:tab/>
        </w:r>
        <w:r>
          <w:fldChar w:fldCharType="begin"/>
        </w:r>
        <w:r>
          <w:instrText xml:space="preserve"> PAGEREF _Toc228976091 \h </w:instrText>
        </w:r>
        <w:r>
          <w:fldChar w:fldCharType="separate"/>
        </w:r>
        <w:r>
          <w:rPr>
            <w:rStyle w:val="1156"/>
          </w:rPr>
          <w:t xml:space="preserve">24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2" w:anchor="_Toc228976092" w:history="1">
        <w:r>
          <w:rPr>
            <w:rStyle w:val="1156"/>
          </w:rPr>
          <w:t xml:space="preserve">4.1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Общий порядок проведения закупки</w:t>
        </w:r>
        <w:r>
          <w:tab/>
        </w:r>
        <w:r>
          <w:fldChar w:fldCharType="begin"/>
        </w:r>
        <w:r>
          <w:instrText xml:space="preserve"> PAGEREF _Toc228976092 \h </w:instrText>
        </w:r>
        <w:r>
          <w:fldChar w:fldCharType="separate"/>
        </w:r>
        <w:r>
          <w:rPr>
            <w:rStyle w:val="1156"/>
          </w:rPr>
          <w:t xml:space="preserve">24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3" w:anchor="_Toc228976093" w:history="1">
        <w:r>
          <w:rPr>
            <w:rStyle w:val="1156"/>
          </w:rPr>
          <w:t xml:space="preserve">4.2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Официальное размещение Извещения и Документации о закупке</w:t>
        </w:r>
        <w:r>
          <w:tab/>
        </w:r>
        <w:r>
          <w:fldChar w:fldCharType="begin"/>
        </w:r>
        <w:r>
          <w:instrText xml:space="preserve"> PAGEREF _Toc228976093 \h </w:instrText>
        </w:r>
        <w:r>
          <w:fldChar w:fldCharType="separate"/>
        </w:r>
        <w:r>
          <w:rPr>
            <w:rStyle w:val="1156"/>
          </w:rPr>
          <w:t xml:space="preserve">25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4" w:anchor="_Toc228976094" w:history="1">
        <w:r>
          <w:rPr>
            <w:rStyle w:val="1156"/>
          </w:rPr>
          <w:t xml:space="preserve">4.3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Подготовка заявки</w:t>
        </w:r>
        <w:r>
          <w:tab/>
        </w:r>
        <w:r>
          <w:fldChar w:fldCharType="begin"/>
        </w:r>
        <w:r>
          <w:instrText xml:space="preserve"> PAGEREF _Toc228976094 \h </w:instrText>
        </w:r>
        <w:r>
          <w:fldChar w:fldCharType="separate"/>
        </w:r>
        <w:r>
          <w:rPr>
            <w:rStyle w:val="1156"/>
          </w:rPr>
          <w:t xml:space="preserve">25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5" w:anchor="_Toc228976095" w:history="1">
        <w:r>
          <w:rPr>
            <w:rStyle w:val="1156"/>
          </w:rPr>
          <w:t xml:space="preserve">4.4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Разъяс</w:t>
        </w:r>
        <w:r>
          <w:rPr>
            <w:rStyle w:val="1156"/>
          </w:rPr>
          <w:t xml:space="preserve">нение Документации о закупке</w:t>
        </w:r>
        <w:r>
          <w:tab/>
        </w:r>
        <w:r>
          <w:fldChar w:fldCharType="begin"/>
        </w:r>
        <w:r>
          <w:instrText xml:space="preserve"> PAGEREF _Toc228976095 \h </w:instrText>
        </w:r>
        <w:r>
          <w:fldChar w:fldCharType="separate"/>
        </w:r>
        <w:r>
          <w:rPr>
            <w:rStyle w:val="1156"/>
          </w:rPr>
          <w:t xml:space="preserve">27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6" w:anchor="_Toc228976096" w:history="1">
        <w:r>
          <w:rPr>
            <w:rStyle w:val="1156"/>
          </w:rPr>
          <w:t xml:space="preserve">4.5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Изменения Извещения и (или) Документации о закупке</w:t>
        </w:r>
        <w:r>
          <w:tab/>
        </w:r>
        <w:r>
          <w:fldChar w:fldCharType="begin"/>
        </w:r>
        <w:r>
          <w:instrText xml:space="preserve"> PAGEREF _Toc228976096 </w:instrText>
        </w:r>
        <w:r>
          <w:instrText xml:space="preserve">\h </w:instrText>
        </w:r>
        <w:r>
          <w:fldChar w:fldCharType="separate"/>
        </w:r>
        <w:r>
          <w:rPr>
            <w:rStyle w:val="1156"/>
          </w:rPr>
          <w:t xml:space="preserve">28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7" w:anchor="_Toc228976097" w:history="1">
        <w:r>
          <w:rPr>
            <w:rStyle w:val="1156"/>
          </w:rPr>
          <w:t xml:space="preserve">4.6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Подача заявок и их прием</w:t>
        </w:r>
        <w:r>
          <w:tab/>
        </w:r>
        <w:r>
          <w:fldChar w:fldCharType="begin"/>
        </w:r>
        <w:r>
          <w:instrText xml:space="preserve"> PAGEREF _Toc228976097 \h </w:instrText>
        </w:r>
        <w:r>
          <w:fldChar w:fldCharType="separate"/>
        </w:r>
        <w:r>
          <w:rPr>
            <w:rStyle w:val="1156"/>
          </w:rPr>
          <w:t xml:space="preserve">28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8" w:anchor="_Toc228976098" w:history="1">
        <w:r>
          <w:rPr>
            <w:rStyle w:val="1156"/>
          </w:rPr>
          <w:t xml:space="preserve">4.7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Изменение и отзыв заявок</w:t>
        </w:r>
        <w:r>
          <w:tab/>
        </w:r>
        <w:r>
          <w:fldChar w:fldCharType="begin"/>
        </w:r>
        <w:r>
          <w:instrText xml:space="preserve"> PAGEREF _Toc228976098 \h </w:instrText>
        </w:r>
        <w:r>
          <w:fldChar w:fldCharType="separate"/>
        </w:r>
        <w:r>
          <w:rPr>
            <w:rStyle w:val="1156"/>
          </w:rPr>
          <w:t xml:space="preserve">29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9" w:anchor="_Toc228976099" w:history="1">
        <w:r>
          <w:rPr>
            <w:rStyle w:val="1156"/>
          </w:rPr>
          <w:t xml:space="preserve">4.8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Открытие доступа к заявкам</w:t>
        </w:r>
        <w:r>
          <w:tab/>
        </w:r>
        <w:r>
          <w:fldChar w:fldCharType="begin"/>
        </w:r>
        <w:r>
          <w:instrText xml:space="preserve"> PAGEREF _Toc228976099 \h </w:instrText>
        </w:r>
        <w:r>
          <w:fldChar w:fldCharType="separate"/>
        </w:r>
        <w:r>
          <w:rPr>
            <w:rStyle w:val="1156"/>
          </w:rPr>
          <w:t xml:space="preserve">29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0" w:anchor="_Toc228976100" w:history="1">
        <w:r>
          <w:rPr>
            <w:rStyle w:val="1156"/>
          </w:rPr>
          <w:t xml:space="preserve">4.9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Рассмотрение заявок (отборочная стадия), в том числе (при необходимости) проведение аккредитации</w:t>
        </w:r>
        <w:r>
          <w:tab/>
        </w:r>
        <w:r>
          <w:fldChar w:fldCharType="begin"/>
        </w:r>
        <w:r>
          <w:instrText xml:space="preserve"> PAGEREF _Toc228976100 \h </w:instrText>
        </w:r>
        <w:r>
          <w:fldChar w:fldCharType="separate"/>
        </w:r>
        <w:r>
          <w:rPr>
            <w:rStyle w:val="1156"/>
          </w:rPr>
          <w:t xml:space="preserve">30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1" w:anchor="_Toc228976101" w:history="1">
        <w:r>
          <w:rPr>
            <w:rStyle w:val="1156"/>
          </w:rPr>
          <w:t xml:space="preserve">4.10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Дополнительные запросы разъяснений заявок</w:t>
        </w:r>
        <w:r>
          <w:tab/>
        </w:r>
        <w:r>
          <w:fldChar w:fldCharType="begin"/>
        </w:r>
        <w:r>
          <w:instrText xml:space="preserve"> PAGEREF _Toc228976101 \h </w:instrText>
        </w:r>
        <w:r>
          <w:fldChar w:fldCharType="separate"/>
        </w:r>
        <w:r>
          <w:rPr>
            <w:rStyle w:val="1156"/>
          </w:rPr>
          <w:t xml:space="preserve">32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2" w:anchor="_Toc228976102" w:history="1">
        <w:r>
          <w:rPr>
            <w:rStyle w:val="1156"/>
          </w:rPr>
          <w:t xml:space="preserve">4.11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Переторжка</w:t>
        </w:r>
        <w:r>
          <w:tab/>
        </w:r>
        <w:r>
          <w:fldChar w:fldCharType="begin"/>
        </w:r>
        <w:r>
          <w:instrText xml:space="preserve"> PAGEREF</w:instrText>
        </w:r>
        <w:r>
          <w:instrText xml:space="preserve"> _Toc228976102 \h </w:instrText>
        </w:r>
        <w:r>
          <w:fldChar w:fldCharType="separate"/>
        </w:r>
        <w:r>
          <w:rPr>
            <w:rStyle w:val="1156"/>
          </w:rPr>
          <w:t xml:space="preserve">34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3" w:anchor="_Toc228976103" w:history="1">
        <w:r>
          <w:rPr>
            <w:rStyle w:val="1156"/>
          </w:rPr>
          <w:t xml:space="preserve">4.12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Оценка и сопоставление заявок</w:t>
        </w:r>
        <w:r>
          <w:tab/>
        </w:r>
        <w:r>
          <w:fldChar w:fldCharType="begin"/>
        </w:r>
        <w:r>
          <w:instrText xml:space="preserve"> PAGEREF _Toc228976103 \h </w:instrText>
        </w:r>
        <w:r>
          <w:fldChar w:fldCharType="separate"/>
        </w:r>
        <w:r>
          <w:rPr>
            <w:rStyle w:val="1156"/>
          </w:rPr>
          <w:t xml:space="preserve">36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4" w:anchor="_Toc228976104" w:history="1">
        <w:r>
          <w:rPr>
            <w:rStyle w:val="1156"/>
          </w:rPr>
          <w:t xml:space="preserve">4.13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Применение законодательства о национальном режиме</w:t>
        </w:r>
        <w:r>
          <w:tab/>
        </w:r>
        <w:r>
          <w:fldChar w:fldCharType="begin"/>
        </w:r>
        <w:r>
          <w:instrText xml:space="preserve"> PAGEREF _Toc228976104 \h </w:instrText>
        </w:r>
        <w:r>
          <w:fldChar w:fldCharType="separate"/>
        </w:r>
        <w:r>
          <w:rPr>
            <w:rStyle w:val="1156"/>
          </w:rPr>
          <w:t xml:space="preserve">37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6" w:anchor="_Toc228976106" w:history="1">
        <w:r>
          <w:rPr>
            <w:rStyle w:val="1156"/>
          </w:rPr>
          <w:t xml:space="preserve">4.14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Подведение итогов закупки (определение Победителя)</w:t>
        </w:r>
        <w:r>
          <w:tab/>
        </w:r>
        <w:r>
          <w:fldChar w:fldCharType="begin"/>
        </w:r>
        <w:r>
          <w:instrText xml:space="preserve"> PAGEREF _Toc228976106 \h </w:instrText>
        </w:r>
        <w:r>
          <w:fldChar w:fldCharType="separate"/>
        </w:r>
        <w:r>
          <w:rPr>
            <w:rStyle w:val="1156"/>
          </w:rPr>
          <w:t xml:space="preserve">39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7" w:anchor="_Toc228976107" w:history="1">
        <w:r>
          <w:rPr>
            <w:rStyle w:val="1156"/>
          </w:rPr>
          <w:t xml:space="preserve">4.15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Признание закупки несостоявшейся</w:t>
        </w:r>
        <w:r>
          <w:tab/>
        </w:r>
        <w:r>
          <w:fldChar w:fldCharType="begin"/>
        </w:r>
        <w:r>
          <w:instrText xml:space="preserve"> PAGEREF _Toc228976107 \h </w:instrText>
        </w:r>
        <w:r>
          <w:fldChar w:fldCharType="separate"/>
        </w:r>
        <w:r>
          <w:rPr>
            <w:rStyle w:val="1156"/>
          </w:rPr>
          <w:t xml:space="preserve">41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8" w:anchor="_Toc228976108" w:history="1">
        <w:r>
          <w:rPr>
            <w:rStyle w:val="1156"/>
          </w:rPr>
          <w:t xml:space="preserve">4.16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Отказ от проведения закупки (отмена закупки)</w:t>
        </w:r>
        <w:r>
          <w:tab/>
        </w:r>
        <w:r>
          <w:fldChar w:fldCharType="begin"/>
        </w:r>
        <w:r>
          <w:instrText xml:space="preserve"> PAGEREF _Toc228976108 \h </w:instrText>
        </w:r>
        <w:r>
          <w:fldChar w:fldCharType="separate"/>
        </w:r>
        <w:r>
          <w:rPr>
            <w:rStyle w:val="1156"/>
          </w:rPr>
          <w:t xml:space="preserve">42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9" w:anchor="_Toc228976109" w:history="1">
        <w:r>
          <w:rPr>
            <w:rStyle w:val="1156"/>
          </w:rPr>
          <w:t xml:space="preserve">4.17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Особенности проведения закупки с необходимостью обе</w:t>
        </w:r>
        <w:r>
          <w:rPr>
            <w:rStyle w:val="1156"/>
          </w:rPr>
          <w:t xml:space="preserve">спечения заявки</w:t>
        </w:r>
        <w:r>
          <w:tab/>
        </w:r>
        <w:r>
          <w:fldChar w:fldCharType="begin"/>
        </w:r>
        <w:r>
          <w:instrText xml:space="preserve"> PAGEREF _Toc228976109 \h </w:instrText>
        </w:r>
        <w:r>
          <w:fldChar w:fldCharType="separate"/>
        </w:r>
        <w:r>
          <w:rPr>
            <w:rStyle w:val="1156"/>
          </w:rPr>
          <w:t xml:space="preserve">42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0" w:anchor="_Toc228976110" w:history="1">
        <w:r>
          <w:rPr>
            <w:rStyle w:val="1156"/>
          </w:rPr>
          <w:t xml:space="preserve">4.18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Особенности проведения многолотовой закупки</w:t>
        </w:r>
        <w:r>
          <w:tab/>
        </w:r>
        <w:r>
          <w:fldChar w:fldCharType="begin"/>
        </w:r>
        <w:r>
          <w:instrText xml:space="preserve"> PAGEREF _Toc228976110 \h </w:instrText>
        </w:r>
        <w:r>
          <w:fldChar w:fldCharType="separate"/>
        </w:r>
        <w:r>
          <w:rPr>
            <w:rStyle w:val="1156"/>
          </w:rPr>
          <w:t xml:space="preserve">45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1" w:anchor="_Toc228976111" w:history="1">
        <w:r>
          <w:rPr>
            <w:rStyle w:val="1156"/>
          </w:rPr>
          <w:t xml:space="preserve">4.19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Особенности проведения закупки с возможностью подачи альтернативных предложений</w:t>
        </w:r>
        <w:r>
          <w:tab/>
        </w:r>
        <w:r>
          <w:fldChar w:fldCharType="begin"/>
        </w:r>
        <w:r>
          <w:instrText xml:space="preserve"> PAGEREF _Toc228976111 \h </w:instrText>
        </w:r>
        <w:r>
          <w:fldChar w:fldCharType="separate"/>
        </w:r>
        <w:r>
          <w:rPr>
            <w:rStyle w:val="1156"/>
          </w:rPr>
          <w:t xml:space="preserve">46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13" w:anchor="_Toc228976113" w:history="1">
        <w:r>
          <w:rPr>
            <w:rStyle w:val="1156"/>
          </w:rPr>
          <w:t xml:space="preserve">5.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Порядок заключения Договора</w:t>
        </w:r>
        <w:r>
          <w:tab/>
        </w:r>
        <w:r>
          <w:fldChar w:fldCharType="begin"/>
        </w:r>
        <w:r>
          <w:instrText xml:space="preserve"> PAGEREF _Toc228976113 \h </w:instrText>
        </w:r>
        <w:r>
          <w:fldChar w:fldCharType="separate"/>
        </w:r>
        <w:r>
          <w:rPr>
            <w:rStyle w:val="1156"/>
          </w:rPr>
          <w:t xml:space="preserve">48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4" w:anchor="_Toc228976114" w:history="1">
        <w:r>
          <w:rPr>
            <w:rStyle w:val="1156"/>
          </w:rPr>
          <w:t xml:space="preserve">5.1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Общие положения</w:t>
        </w:r>
        <w:r>
          <w:tab/>
        </w:r>
        <w:r>
          <w:fldChar w:fldCharType="begin"/>
        </w:r>
        <w:r>
          <w:instrText xml:space="preserve"> PAGEREF _Toc228976114 \h </w:instrText>
        </w:r>
        <w:r>
          <w:fldChar w:fldCharType="separate"/>
        </w:r>
        <w:r>
          <w:rPr>
            <w:rStyle w:val="1156"/>
          </w:rPr>
          <w:t xml:space="preserve">48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5" w:anchor="_Toc228976115" w:history="1">
        <w:r>
          <w:rPr>
            <w:rStyle w:val="1156"/>
          </w:rPr>
          <w:t xml:space="preserve">5.2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Заключение Договора</w:t>
        </w:r>
        <w:r>
          <w:tab/>
        </w:r>
        <w:r>
          <w:fldChar w:fldCharType="begin"/>
        </w:r>
        <w:r>
          <w:instrText xml:space="preserve"> PAGEREF _Toc2289761</w:instrText>
        </w:r>
        <w:r>
          <w:instrText xml:space="preserve">15 \h </w:instrText>
        </w:r>
        <w:r>
          <w:fldChar w:fldCharType="separate"/>
        </w:r>
        <w:r>
          <w:rPr>
            <w:rStyle w:val="1156"/>
          </w:rPr>
          <w:t xml:space="preserve">48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6" w:anchor="_Toc228976116" w:history="1">
        <w:r>
          <w:rPr>
            <w:rStyle w:val="1156"/>
          </w:rPr>
          <w:t xml:space="preserve">5.3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Преддоговорные переговоры</w:t>
        </w:r>
        <w:r>
          <w:tab/>
        </w:r>
        <w:r>
          <w:fldChar w:fldCharType="begin"/>
        </w:r>
        <w:r>
          <w:instrText xml:space="preserve"> PAGEREF _Toc228976116 \h </w:instrText>
        </w:r>
        <w:r>
          <w:fldChar w:fldCharType="separate"/>
        </w:r>
        <w:r>
          <w:rPr>
            <w:rStyle w:val="1156"/>
          </w:rPr>
          <w:t xml:space="preserve">51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7" w:anchor="_Toc228976117" w:history="1">
        <w:r>
          <w:rPr>
            <w:rStyle w:val="1156"/>
          </w:rPr>
          <w:t xml:space="preserve">5.4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Уклонение Победителя от заключения Договора</w:t>
        </w:r>
        <w:r>
          <w:tab/>
        </w:r>
        <w:r>
          <w:fldChar w:fldCharType="begin"/>
        </w:r>
        <w:r>
          <w:instrText xml:space="preserve"> PAGEREF _Toc228976117 \h </w:instrText>
        </w:r>
        <w:r>
          <w:fldChar w:fldCharType="separate"/>
        </w:r>
        <w:r>
          <w:rPr>
            <w:rStyle w:val="1156"/>
          </w:rPr>
          <w:t xml:space="preserve">52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18" w:anchor="_Toc228976118" w:history="1">
        <w:r>
          <w:rPr>
            <w:rStyle w:val="1156"/>
          </w:rPr>
          <w:t xml:space="preserve">6.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Приложение № 1 – Технические требования</w:t>
        </w:r>
        <w:r>
          <w:tab/>
        </w:r>
        <w:r>
          <w:fldChar w:fldCharType="begin"/>
        </w:r>
        <w:r>
          <w:instrText xml:space="preserve"> PAGEREF _Toc228976118 \h </w:instrText>
        </w:r>
        <w:r>
          <w:fldChar w:fldCharType="separate"/>
        </w:r>
        <w:r>
          <w:rPr>
            <w:rStyle w:val="1156"/>
          </w:rPr>
          <w:t xml:space="preserve">53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9" w:anchor="_Toc228976119" w:history="1">
        <w:r>
          <w:rPr>
            <w:rStyle w:val="1156"/>
          </w:rPr>
          <w:t xml:space="preserve">6.1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Пояснения к Техническим требованиям</w:t>
        </w:r>
        <w:r>
          <w:tab/>
        </w:r>
        <w:r>
          <w:fldChar w:fldCharType="begin"/>
        </w:r>
        <w:r>
          <w:instrText xml:space="preserve"> PAGEREF _Toc228976119 \h </w:instrText>
        </w:r>
        <w:r>
          <w:fldChar w:fldCharType="separate"/>
        </w:r>
        <w:r>
          <w:rPr>
            <w:rStyle w:val="1156"/>
          </w:rPr>
          <w:t xml:space="preserve">53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20" w:anchor="_Toc228976120" w:history="1">
        <w:r>
          <w:rPr>
            <w:rStyle w:val="1156"/>
          </w:rPr>
          <w:t xml:space="preserve">7.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</w:t>
        </w:r>
        <w:r>
          <w:rPr>
            <w:rStyle w:val="1156"/>
          </w:rPr>
          <w:t xml:space="preserve">е № 2 – Проект договора</w:t>
        </w:r>
        <w:r>
          <w:tab/>
        </w:r>
        <w:r>
          <w:fldChar w:fldCharType="begin"/>
        </w:r>
        <w:r>
          <w:instrText xml:space="preserve"> PAGEREF _Toc228976120 \h </w:instrText>
        </w:r>
        <w:r>
          <w:fldChar w:fldCharType="separate"/>
        </w:r>
        <w:r>
          <w:rPr>
            <w:rStyle w:val="1156"/>
          </w:rPr>
          <w:t xml:space="preserve">54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1" w:anchor="_Toc228976121" w:history="1">
        <w:r>
          <w:rPr>
            <w:rStyle w:val="1156"/>
          </w:rPr>
          <w:t xml:space="preserve">7.1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Пояснения к Проекту договора</w:t>
        </w:r>
        <w:r>
          <w:tab/>
        </w:r>
        <w:r>
          <w:fldChar w:fldCharType="begin"/>
        </w:r>
        <w:r>
          <w:instrText xml:space="preserve"> PAGEREF _Toc228976121 \h </w:instrText>
        </w:r>
        <w:r>
          <w:fldChar w:fldCharType="separate"/>
        </w:r>
        <w:r>
          <w:rPr>
            <w:rStyle w:val="1156"/>
          </w:rPr>
          <w:t xml:space="preserve">54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22" w:anchor="_Toc228976122" w:history="1">
        <w:r>
          <w:rPr>
            <w:rStyle w:val="1156"/>
          </w:rPr>
          <w:t xml:space="preserve">8.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Приложение № 3 – Требования к Участникам</w:t>
        </w:r>
        <w:r>
          <w:tab/>
        </w:r>
        <w:r>
          <w:fldChar w:fldCharType="begin"/>
        </w:r>
        <w:r>
          <w:instrText xml:space="preserve"> PAGEREF _Toc228976122 \h </w:instrText>
        </w:r>
        <w:r>
          <w:fldChar w:fldCharType="separate"/>
        </w:r>
        <w:r>
          <w:rPr>
            <w:rStyle w:val="1156"/>
          </w:rPr>
          <w:t xml:space="preserve">55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3" w:anchor="_Toc228976123" w:history="1">
        <w:r>
          <w:rPr>
            <w:rStyle w:val="1156"/>
          </w:rPr>
          <w:t xml:space="preserve">8.1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Пояснения к требованиям к Участникам</w:t>
        </w:r>
        <w:r>
          <w:tab/>
        </w:r>
        <w:r>
          <w:fldChar w:fldCharType="begin"/>
        </w:r>
        <w:r>
          <w:instrText xml:space="preserve"> PAGEREF _Toc228976123 \h </w:instrText>
        </w:r>
        <w:r>
          <w:fldChar w:fldCharType="separate"/>
        </w:r>
        <w:r>
          <w:rPr>
            <w:rStyle w:val="1156"/>
          </w:rPr>
          <w:t xml:space="preserve">55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4" w:anchor="_Toc228976124" w:history="1">
        <w:r>
          <w:rPr>
            <w:rStyle w:val="1156"/>
          </w:rPr>
          <w:t xml:space="preserve">8.2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Обязательные требования</w:t>
        </w:r>
        <w:r>
          <w:tab/>
        </w:r>
        <w:r>
          <w:fldChar w:fldCharType="begin"/>
        </w:r>
        <w:r>
          <w:instrText xml:space="preserve"> PAGEREF _Toc228976124 \h </w:instrText>
        </w:r>
        <w:r>
          <w:fldChar w:fldCharType="separate"/>
        </w:r>
        <w:r>
          <w:rPr>
            <w:rStyle w:val="1156"/>
          </w:rPr>
          <w:t xml:space="preserve">55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5" w:anchor="_Toc228976125" w:history="1">
        <w:r>
          <w:rPr>
            <w:rStyle w:val="1156"/>
          </w:rPr>
          <w:t xml:space="preserve">8.3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Специальные требования</w:t>
        </w:r>
        <w:r>
          <w:tab/>
        </w:r>
        <w:r>
          <w:fldChar w:fldCharType="begin"/>
        </w:r>
        <w:r>
          <w:instrText xml:space="preserve"> PAGEREF _Toc228976125 \h </w:instrText>
        </w:r>
        <w:r>
          <w:fldChar w:fldCharType="separate"/>
        </w:r>
        <w:r>
          <w:rPr>
            <w:rStyle w:val="1156"/>
          </w:rPr>
          <w:t xml:space="preserve">58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6" w:anchor="_Toc228976126" w:history="1">
        <w:r>
          <w:rPr>
            <w:rStyle w:val="1156"/>
          </w:rPr>
          <w:t xml:space="preserve">8.4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Квалификационные требования</w:t>
        </w:r>
        <w:r>
          <w:tab/>
        </w:r>
        <w:r>
          <w:fldChar w:fldCharType="begin"/>
        </w:r>
        <w:r>
          <w:instrText xml:space="preserve"> PAGEREF _Toc228976126 \h </w:instrText>
        </w:r>
        <w:r>
          <w:fldChar w:fldCharType="separate"/>
        </w:r>
        <w:r>
          <w:rPr>
            <w:rStyle w:val="1156"/>
          </w:rPr>
          <w:t xml:space="preserve">59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7" w:anchor="_Toc228976127" w:history="1">
        <w:r>
          <w:rPr>
            <w:rStyle w:val="1156"/>
          </w:rPr>
          <w:t xml:space="preserve">8.5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Дополнительные требования к Коллективным участникам</w:t>
        </w:r>
        <w:r>
          <w:tab/>
        </w:r>
        <w:r>
          <w:fldChar w:fldCharType="begin"/>
        </w:r>
        <w:r>
          <w:instrText xml:space="preserve"> PAGEREF _Toc228976127 \h </w:instrText>
        </w:r>
        <w:r>
          <w:fldChar w:fldCharType="separate"/>
        </w:r>
        <w:r>
          <w:rPr>
            <w:rStyle w:val="1156"/>
          </w:rPr>
          <w:t xml:space="preserve">59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8" w:anchor="_Toc228976128" w:history="1">
        <w:r>
          <w:rPr>
            <w:rStyle w:val="1156"/>
          </w:rPr>
          <w:t xml:space="preserve">8.6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Дополнительные требования к Генеральным подрядчикам</w:t>
        </w:r>
        <w:r>
          <w:tab/>
        </w:r>
        <w:r>
          <w:fldChar w:fldCharType="begin"/>
        </w:r>
        <w:r>
          <w:instrText xml:space="preserve"> PAGEREF _Toc228976128 \h </w:instrText>
        </w:r>
        <w:r>
          <w:fldChar w:fldCharType="separate"/>
        </w:r>
        <w:r>
          <w:rPr>
            <w:rStyle w:val="1156"/>
          </w:rPr>
          <w:t xml:space="preserve">60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9" w:anchor="_Toc228976129" w:history="1">
        <w:r>
          <w:rPr>
            <w:rStyle w:val="1156"/>
          </w:rPr>
          <w:t xml:space="preserve">8.7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Дополнительные требования в отношении Генеральных подрядчиков с обязательным привлечением субподрядчиков (соисполнителей) из числа субъектов МСП</w:t>
        </w:r>
        <w:r>
          <w:tab/>
        </w:r>
        <w:r>
          <w:fldChar w:fldCharType="begin"/>
        </w:r>
        <w:r>
          <w:instrText xml:space="preserve"> PAGEREF _Toc228976129 \h </w:instrText>
        </w:r>
        <w:r>
          <w:fldChar w:fldCharType="separate"/>
        </w:r>
        <w:r>
          <w:rPr>
            <w:rStyle w:val="1156"/>
          </w:rPr>
          <w:t xml:space="preserve">60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30" w:anchor="_Toc228976130" w:history="1">
        <w:r>
          <w:rPr>
            <w:rStyle w:val="1156"/>
          </w:rPr>
          <w:t xml:space="preserve">9.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Приложение № 4 – Образцы форм документов, включаемых в состав заявки</w:t>
        </w:r>
        <w:r>
          <w:tab/>
        </w:r>
        <w:r>
          <w:fldChar w:fldCharType="begin"/>
        </w:r>
        <w:r>
          <w:instrText xml:space="preserve"> PAGEREF _Toc228976130 \h </w:instrText>
        </w:r>
        <w:r>
          <w:fldChar w:fldCharType="separate"/>
        </w:r>
        <w:r>
          <w:rPr>
            <w:rStyle w:val="1156"/>
          </w:rPr>
          <w:t xml:space="preserve">62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1" w:anchor="_Toc228976131" w:history="1">
        <w:r>
          <w:rPr>
            <w:rStyle w:val="1156"/>
          </w:rPr>
          <w:t xml:space="preserve">9.1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Пояснения к Образцам форм документов, включаемых в состав заявки</w:t>
        </w:r>
        <w:r>
          <w:tab/>
        </w:r>
        <w:r>
          <w:fldChar w:fldCharType="begin"/>
        </w:r>
        <w:r>
          <w:instrText xml:space="preserve"> PAGEREF _Toc228976131 \h </w:instrText>
        </w:r>
        <w:r>
          <w:fldChar w:fldCharType="separate"/>
        </w:r>
        <w:r>
          <w:rPr>
            <w:rStyle w:val="1156"/>
          </w:rPr>
          <w:t xml:space="preserve">62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32" w:anchor="_Toc228976132" w:history="1">
        <w:r>
          <w:rPr>
            <w:rStyle w:val="1156"/>
          </w:rPr>
          <w:t xml:space="preserve">10.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Приложение № 5 – Образцы ф</w:t>
        </w:r>
        <w:r>
          <w:rPr>
            <w:rStyle w:val="1156"/>
          </w:rPr>
          <w:t xml:space="preserve">орм документов, предоставляемых Победителем</w:t>
        </w:r>
        <w:r>
          <w:tab/>
        </w:r>
        <w:r>
          <w:fldChar w:fldCharType="begin"/>
        </w:r>
        <w:r>
          <w:instrText xml:space="preserve"> PAGEREF _Toc228976132 \h </w:instrText>
        </w:r>
        <w:r>
          <w:fldChar w:fldCharType="separate"/>
        </w:r>
        <w:r>
          <w:rPr>
            <w:rStyle w:val="1156"/>
          </w:rPr>
          <w:t xml:space="preserve">63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3" w:anchor="_Toc228976133" w:history="1">
        <w:r>
          <w:rPr>
            <w:rStyle w:val="1156"/>
          </w:rPr>
          <w:t xml:space="preserve">10.1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Пояснения к Образцам форм документов, предоставляемых Победителем</w:t>
        </w:r>
        <w:r>
          <w:tab/>
        </w:r>
        <w:r>
          <w:fldChar w:fldCharType="begin"/>
        </w:r>
        <w:r>
          <w:instrText xml:space="preserve"> PAGEREF _Toc228976133 \h </w:instrText>
        </w:r>
        <w:r>
          <w:fldChar w:fldCharType="separate"/>
        </w:r>
        <w:r>
          <w:rPr>
            <w:rStyle w:val="1156"/>
          </w:rPr>
          <w:t xml:space="preserve">63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4" w:anchor="_Toc228976134" w:history="1">
        <w:r>
          <w:rPr>
            <w:rStyle w:val="1156"/>
          </w:rPr>
          <w:t xml:space="preserve">10.2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Форма справки «Сведения о цепочке собственников, включая бенефициаров (в том числе конечных)»</w:t>
        </w:r>
        <w:r>
          <w:tab/>
        </w:r>
        <w:r>
          <w:fldChar w:fldCharType="begin"/>
        </w:r>
        <w:r>
          <w:instrText xml:space="preserve"> PAGEREF _Toc228976134 \h </w:instrText>
        </w:r>
        <w:r>
          <w:fldChar w:fldCharType="separate"/>
        </w:r>
        <w:r>
          <w:rPr>
            <w:rStyle w:val="1156"/>
          </w:rPr>
          <w:t xml:space="preserve">63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5" w:anchor="_Toc228976135" w:history="1">
        <w:r>
          <w:rPr>
            <w:rStyle w:val="1156"/>
          </w:rPr>
          <w:t xml:space="preserve">10.3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Форма «Заверение об обстоятельствах»</w:t>
        </w:r>
        <w:r>
          <w:tab/>
        </w:r>
        <w:r>
          <w:fldChar w:fldCharType="begin"/>
        </w:r>
        <w:r>
          <w:instrText xml:space="preserve"> PAGEREF _Toc228976135 \h </w:instrText>
        </w:r>
        <w:r>
          <w:fldChar w:fldCharType="separate"/>
        </w:r>
        <w:r>
          <w:rPr>
            <w:rStyle w:val="1156"/>
          </w:rPr>
          <w:t xml:space="preserve">63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36" w:anchor="_Toc228976136" w:history="1">
        <w:r>
          <w:rPr>
            <w:rStyle w:val="1156"/>
          </w:rPr>
          <w:t xml:space="preserve">11.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Приложение № 6 – Состав заявки</w:t>
        </w:r>
        <w:r>
          <w:tab/>
        </w:r>
        <w:r>
          <w:fldChar w:fldCharType="begin"/>
        </w:r>
        <w:r>
          <w:instrText xml:space="preserve"> PAGEREF _Toc228976136 \h </w:instrText>
        </w:r>
        <w:r>
          <w:fldChar w:fldCharType="separate"/>
        </w:r>
        <w:r>
          <w:rPr>
            <w:rStyle w:val="1156"/>
          </w:rPr>
          <w:t xml:space="preserve">65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7" w:anchor="_Toc228976137" w:history="1">
        <w:r>
          <w:rPr>
            <w:rStyle w:val="1156"/>
          </w:rPr>
          <w:t xml:space="preserve">11.1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Состав заявки</w:t>
        </w:r>
        <w:r>
          <w:tab/>
        </w:r>
        <w:r>
          <w:fldChar w:fldCharType="begin"/>
        </w:r>
        <w:r>
          <w:instrText xml:space="preserve"> PAGEREF _Toc228976137 \h </w:instrText>
        </w:r>
        <w:r>
          <w:fldChar w:fldCharType="separate"/>
        </w:r>
        <w:r>
          <w:rPr>
            <w:rStyle w:val="1156"/>
          </w:rPr>
          <w:t xml:space="preserve">65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38" w:anchor="_Toc228976138" w:history="1">
        <w:r>
          <w:rPr>
            <w:rStyle w:val="1156"/>
          </w:rPr>
          <w:t xml:space="preserve">12.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Приложение № 7 – Отборочные критерии рассмотрения заявок</w:t>
        </w:r>
        <w:r>
          <w:tab/>
        </w:r>
        <w:r>
          <w:fldChar w:fldCharType="begin"/>
        </w:r>
        <w:r>
          <w:instrText xml:space="preserve"> PAGEREF _Toc228976138 \h </w:instrText>
        </w:r>
        <w:r>
          <w:fldChar w:fldCharType="separate"/>
        </w:r>
        <w:r>
          <w:rPr>
            <w:rStyle w:val="1156"/>
          </w:rPr>
          <w:t xml:space="preserve">68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9" w:anchor="_Toc228976139" w:history="1">
        <w:r>
          <w:rPr>
            <w:rStyle w:val="1156"/>
          </w:rPr>
          <w:t xml:space="preserve">12.1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Отборочные критерии рассмотрения заявок</w:t>
        </w:r>
        <w:r>
          <w:tab/>
        </w:r>
        <w:r>
          <w:fldChar w:fldCharType="begin"/>
        </w:r>
        <w:r>
          <w:instrText xml:space="preserve"> PAGEREF _Toc228976139 \h </w:instrText>
        </w:r>
        <w:r>
          <w:fldChar w:fldCharType="separate"/>
        </w:r>
        <w:r>
          <w:rPr>
            <w:rStyle w:val="1156"/>
          </w:rPr>
          <w:t xml:space="preserve">68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41" w:anchor="_Toc228976141" w:history="1">
        <w:r>
          <w:rPr>
            <w:rStyle w:val="1156"/>
          </w:rPr>
          <w:t xml:space="preserve">13.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Приложение № 8 – Порядок и критерии оценки и сопоставления заявок</w:t>
        </w:r>
        <w:r>
          <w:tab/>
        </w:r>
        <w:r>
          <w:fldChar w:fldCharType="begin"/>
        </w:r>
        <w:r>
          <w:instrText xml:space="preserve"> PAGEREF _Toc228976141 \h </w:instrText>
        </w:r>
        <w:r>
          <w:fldChar w:fldCharType="separate"/>
        </w:r>
        <w:r>
          <w:rPr>
            <w:rStyle w:val="1156"/>
          </w:rPr>
          <w:t xml:space="preserve">75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42" w:anchor="_Toc228976142" w:history="1">
        <w:r>
          <w:rPr>
            <w:rStyle w:val="1156"/>
          </w:rPr>
          <w:t xml:space="preserve">13.1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Порядок и критерии оц</w:t>
        </w:r>
        <w:r>
          <w:rPr>
            <w:rStyle w:val="1156"/>
          </w:rPr>
          <w:t xml:space="preserve">енки и сопоставления заявок</w:t>
        </w:r>
        <w:r>
          <w:tab/>
        </w:r>
        <w:r>
          <w:fldChar w:fldCharType="begin"/>
        </w:r>
        <w:r>
          <w:instrText xml:space="preserve"> PAGEREF _Toc228976142 \h </w:instrText>
        </w:r>
        <w:r>
          <w:fldChar w:fldCharType="separate"/>
        </w:r>
        <w:r>
          <w:rPr>
            <w:rStyle w:val="1156"/>
          </w:rPr>
          <w:t xml:space="preserve">75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43" w:anchor="_Toc228976143" w:history="1">
        <w:r>
          <w:rPr>
            <w:rStyle w:val="1156"/>
          </w:rPr>
          <w:t xml:space="preserve">14.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Приложение № 9 – Обоснование НМЦ</w:t>
        </w:r>
        <w:r>
          <w:tab/>
        </w:r>
        <w:r>
          <w:fldChar w:fldCharType="begin"/>
        </w:r>
        <w:r>
          <w:instrText xml:space="preserve"> PAGEREF _Toc228976143 \h </w:instrText>
        </w:r>
        <w:r>
          <w:fldChar w:fldCharType="separate"/>
        </w:r>
        <w:r>
          <w:rPr>
            <w:rStyle w:val="1156"/>
          </w:rPr>
          <w:t xml:space="preserve">80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44" w:anchor="_Toc228976144" w:history="1">
        <w:r>
          <w:rPr>
            <w:rStyle w:val="1156"/>
          </w:rPr>
          <w:t xml:space="preserve">14.1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Пояснения к Обоснованию НМЦ</w:t>
        </w:r>
        <w:r>
          <w:tab/>
        </w:r>
        <w:r>
          <w:fldChar w:fldCharType="begin"/>
        </w:r>
        <w:r>
          <w:instrText xml:space="preserve"> PAGEREF _Toc228976144 \h </w:instrText>
        </w:r>
        <w:r>
          <w:fldChar w:fldCharType="separate"/>
        </w:r>
        <w:r>
          <w:rPr>
            <w:rStyle w:val="1156"/>
          </w:rPr>
          <w:t xml:space="preserve">80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45" w:anchor="_Toc228976145" w:history="1">
        <w:r>
          <w:rPr>
            <w:rStyle w:val="1156"/>
          </w:rPr>
          <w:t xml:space="preserve">15.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Приложение № 10 – Форма Заявки на аккредитацию</w:t>
        </w:r>
        <w:r>
          <w:tab/>
        </w:r>
        <w:r>
          <w:fldChar w:fldCharType="begin"/>
        </w:r>
        <w:r>
          <w:instrText xml:space="preserve"> PAGEREF _Toc228976145 \h </w:instrText>
        </w:r>
        <w:r>
          <w:fldChar w:fldCharType="separate"/>
        </w:r>
        <w:r>
          <w:rPr>
            <w:rStyle w:val="1156"/>
          </w:rPr>
          <w:t xml:space="preserve">81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46" w:anchor="_Toc228976146" w:history="1">
        <w:r>
          <w:rPr>
            <w:rStyle w:val="1156"/>
          </w:rPr>
          <w:t xml:space="preserve">15.1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Пояснен</w:t>
        </w:r>
        <w:r>
          <w:rPr>
            <w:rStyle w:val="1156"/>
          </w:rPr>
          <w:t xml:space="preserve">ия к форме Заявки на аккредитацию</w:t>
        </w:r>
        <w:r>
          <w:tab/>
        </w:r>
        <w:r>
          <w:fldChar w:fldCharType="begin"/>
        </w:r>
        <w:r>
          <w:instrText xml:space="preserve"> PAGEREF _Toc228976146 \h </w:instrText>
        </w:r>
        <w:r>
          <w:fldChar w:fldCharType="separate"/>
        </w:r>
        <w:r>
          <w:rPr>
            <w:rStyle w:val="1156"/>
          </w:rPr>
          <w:t xml:space="preserve">81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5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47" w:anchor="_Toc228976147" w:history="1">
        <w:r>
          <w:rPr>
            <w:rStyle w:val="1156"/>
          </w:rPr>
          <w:t xml:space="preserve">16.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Приложение № 11 – форма Данных бухгалтерской (финансовой) отчетности</w:t>
        </w:r>
        <w:r>
          <w:tab/>
        </w:r>
        <w:r>
          <w:fldChar w:fldCharType="begin"/>
        </w:r>
        <w:r>
          <w:instrText xml:space="preserve"> PAGEREF _Toc228976147 \h </w:instrText>
        </w:r>
        <w:r>
          <w:fldChar w:fldCharType="separate"/>
        </w:r>
        <w:r>
          <w:rPr>
            <w:rStyle w:val="1156"/>
          </w:rPr>
          <w:t xml:space="preserve">82</w:t>
        </w:r>
        <w:r>
          <w:fldChar w:fldCharType="end"/>
        </w:r>
      </w:hyperlink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5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48" w:anchor="_Toc228976148" w:history="1">
        <w:r>
          <w:rPr>
            <w:rStyle w:val="1156"/>
          </w:rPr>
          <w:t xml:space="preserve">16.1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56"/>
          </w:rPr>
          <w:t xml:space="preserve">Пояснения к форме Данных бухгалтерской (финансовой) отчетности</w:t>
        </w:r>
        <w:r>
          <w:tab/>
        </w:r>
        <w:r>
          <w:fldChar w:fldCharType="begin"/>
        </w:r>
        <w:r>
          <w:instrText xml:space="preserve"> PAGEREF _Toc228976148 \h </w:instrText>
        </w:r>
        <w:r>
          <w:fldChar w:fldCharType="separate"/>
        </w:r>
        <w:r>
          <w:rPr>
            <w:rStyle w:val="1156"/>
          </w:rPr>
          <w:t xml:space="preserve">82</w:t>
        </w:r>
        <w:r>
          <w:fldChar w:fldCharType="end"/>
        </w:r>
      </w:hyperlink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46"/>
      </w:pPr>
      <w:r>
        <w:fldChar w:fldCharType="end"/>
      </w:r>
      <w:r/>
    </w:p>
    <w:p>
      <w:pPr>
        <w:pStyle w:val="1146"/>
        <w:keepNext/>
        <w:spacing w:before="60"/>
        <w:rPr>
          <w:rStyle w:val="1177"/>
        </w:rPr>
      </w:pPr>
      <w:r>
        <w:rPr>
          <w:rStyle w:val="1177"/>
        </w:rPr>
        <w:t xml:space="preserve">[Примечание (дополнительные удобства работы с Документацией о закупке; </w:t>
      </w:r>
      <w:r>
        <w:rPr>
          <w:rStyle w:val="1177"/>
        </w:rPr>
        <w:t xml:space="preserve">Microsoft</w:t>
      </w:r>
      <w:r>
        <w:rPr>
          <w:rStyle w:val="1177"/>
        </w:rPr>
        <w:t xml:space="preserve"> </w:t>
      </w:r>
      <w:r>
        <w:rPr>
          <w:rStyle w:val="1177"/>
        </w:rPr>
        <w:t xml:space="preserve">Word</w:t>
      </w:r>
      <w:r>
        <w:rPr>
          <w:rStyle w:val="1177"/>
        </w:rPr>
        <w:t xml:space="preserve"> | </w:t>
      </w:r>
      <w:r>
        <w:rPr>
          <w:rStyle w:val="1177"/>
          <w:color w:val="4472c4" w:themeColor="accent1"/>
        </w:rPr>
        <w:t xml:space="preserve">AlterOffice</w:t>
      </w:r>
      <w:r>
        <w:rPr>
          <w:rStyle w:val="1177"/>
          <w:color w:val="4472c4" w:themeColor="accent1"/>
        </w:rPr>
        <w:t xml:space="preserve"> </w:t>
      </w:r>
      <w:r>
        <w:rPr>
          <w:rStyle w:val="1177"/>
          <w:color w:val="4472c4" w:themeColor="accent1"/>
        </w:rPr>
        <w:t xml:space="preserve">AText</w:t>
      </w:r>
      <w:r>
        <w:rPr>
          <w:rStyle w:val="1177"/>
          <w:color w:val="4472c4" w:themeColor="accent1"/>
        </w:rPr>
        <w:t xml:space="preserve"> – отмечены отличая для данного текстового редактора</w:t>
      </w:r>
      <w:r>
        <w:rPr>
          <w:rStyle w:val="1177"/>
        </w:rPr>
        <w:t xml:space="preserve">):</w:t>
      </w:r>
      <w:r>
        <w:rPr>
          <w:rStyle w:val="1177"/>
        </w:rPr>
      </w:r>
      <w:r>
        <w:rPr>
          <w:rStyle w:val="1177"/>
        </w:rPr>
      </w:r>
    </w:p>
    <w:p>
      <w:pPr>
        <w:pStyle w:val="1146"/>
        <w:numPr>
          <w:ilvl w:val="0"/>
          <w:numId w:val="13"/>
        </w:numPr>
        <w:ind w:left="284" w:hanging="284"/>
        <w:spacing w:before="60"/>
        <w:rPr>
          <w:rStyle w:val="1177"/>
        </w:rPr>
      </w:pPr>
      <w:r>
        <w:rPr>
          <w:rStyle w:val="1177"/>
        </w:rPr>
        <w:t xml:space="preserve">для навигации рекомендуется</w:t>
      </w:r>
      <w:r>
        <w:rPr>
          <w:rStyle w:val="1177"/>
        </w:rPr>
        <w:t xml:space="preserve"> использовать боковое меню – включается на вкладке «Вид» в разделе «Отображение» опцией «Область навигации» | </w:t>
      </w:r>
      <w:r>
        <w:rPr>
          <w:rStyle w:val="1177"/>
          <w:color w:val="4472c4" w:themeColor="accent1"/>
        </w:rPr>
        <w:t xml:space="preserve">включается на вкладке «Вид» опцией «Навигатор»</w:t>
      </w:r>
      <w:r>
        <w:rPr>
          <w:rStyle w:val="1177"/>
        </w:rPr>
        <w:t xml:space="preserve">;</w:t>
      </w:r>
      <w:r>
        <w:rPr>
          <w:rStyle w:val="1177"/>
        </w:rPr>
      </w:r>
      <w:r>
        <w:rPr>
          <w:rStyle w:val="1177"/>
        </w:rPr>
      </w:r>
    </w:p>
    <w:p>
      <w:pPr>
        <w:pStyle w:val="1146"/>
        <w:numPr>
          <w:ilvl w:val="0"/>
          <w:numId w:val="13"/>
        </w:numPr>
        <w:ind w:left="284" w:hanging="284"/>
        <w:spacing w:before="60"/>
        <w:rPr>
          <w:rStyle w:val="1177"/>
        </w:rPr>
      </w:pPr>
      <w:r>
        <w:rPr>
          <w:rStyle w:val="1177"/>
        </w:rPr>
        <w:t xml:space="preserve">переход по перекрестным и другим ссылкам осуществляется левым кликом мыши с</w:t>
      </w:r>
      <w:r>
        <w:rPr>
          <w:rStyle w:val="1177"/>
          <w:lang w:val="en-US"/>
        </w:rPr>
        <w:t xml:space="preserve"> </w:t>
      </w:r>
      <w:r>
        <w:rPr>
          <w:rStyle w:val="1177"/>
        </w:rPr>
        <w:t xml:space="preserve">зажатой клавишей </w:t>
      </w:r>
      <w:r>
        <w:rPr>
          <w:rStyle w:val="1177"/>
        </w:rPr>
        <w:t xml:space="preserve">Ctrl</w:t>
      </w:r>
      <w:r>
        <w:rPr>
          <w:rStyle w:val="1177"/>
        </w:rPr>
        <w:t xml:space="preserve">,</w:t>
      </w:r>
      <w:r>
        <w:rPr>
          <w:rStyle w:val="1177"/>
        </w:rPr>
        <w:t xml:space="preserve"> обратный возврат на место в тексте, с которого был сделан переход, осуществляется нажатием стрелки влево (←) с зажатой левой клавишей </w:t>
      </w:r>
      <w:r>
        <w:rPr>
          <w:rStyle w:val="1177"/>
        </w:rPr>
        <w:t xml:space="preserve">Alt</w:t>
      </w:r>
      <w:r>
        <w:rPr>
          <w:rStyle w:val="1177"/>
        </w:rPr>
        <w:t xml:space="preserve"> </w:t>
      </w:r>
      <w:r>
        <w:rPr>
          <w:rStyle w:val="1177"/>
          <w:color w:val="4472c4" w:themeColor="accent1"/>
        </w:rPr>
        <w:t xml:space="preserve">(обратный переход функционально не реализован в </w:t>
      </w:r>
      <w:r>
        <w:rPr>
          <w:rStyle w:val="1177"/>
          <w:color w:val="4472c4" w:themeColor="accent1"/>
        </w:rPr>
        <w:t xml:space="preserve">AlterOffice</w:t>
      </w:r>
      <w:r>
        <w:rPr>
          <w:rStyle w:val="1177"/>
          <w:color w:val="4472c4" w:themeColor="accent1"/>
        </w:rPr>
        <w:t xml:space="preserve"> </w:t>
      </w:r>
      <w:r>
        <w:rPr>
          <w:rStyle w:val="1177"/>
          <w:color w:val="4472c4" w:themeColor="accent1"/>
        </w:rPr>
        <w:t xml:space="preserve">AText</w:t>
      </w:r>
      <w:r>
        <w:rPr>
          <w:rStyle w:val="1177"/>
          <w:color w:val="4472c4" w:themeColor="accent1"/>
        </w:rPr>
        <w:t xml:space="preserve">, пользуйтесь функциональностью «Навигатор»)</w:t>
      </w:r>
      <w:r>
        <w:rPr>
          <w:rStyle w:val="1177"/>
        </w:rPr>
        <w:t xml:space="preserve">;</w:t>
      </w:r>
      <w:r>
        <w:rPr>
          <w:rStyle w:val="1177"/>
        </w:rPr>
      </w:r>
      <w:r>
        <w:rPr>
          <w:rStyle w:val="1177"/>
        </w:rPr>
      </w:r>
    </w:p>
    <w:p>
      <w:pPr>
        <w:pStyle w:val="1146"/>
        <w:numPr>
          <w:ilvl w:val="0"/>
          <w:numId w:val="13"/>
        </w:numPr>
        <w:ind w:left="284" w:hanging="284"/>
        <w:spacing w:before="60"/>
        <w:rPr>
          <w:rStyle w:val="1177"/>
        </w:rPr>
      </w:pPr>
      <w:r>
        <w:rPr>
          <w:rStyle w:val="1177"/>
        </w:rPr>
        <w:t xml:space="preserve">открыт</w:t>
      </w:r>
      <w:r>
        <w:rPr>
          <w:rStyle w:val="1177"/>
        </w:rPr>
        <w:t xml:space="preserve">ие внедренного в текст документа (файла) осуществляется по двойному клику левой клавиши мыши по соответствующей иконке документа (файла) в</w:t>
      </w:r>
      <w:r>
        <w:rPr>
          <w:rStyle w:val="1177"/>
          <w:lang w:val="en-US"/>
        </w:rPr>
        <w:t xml:space="preserve"> </w:t>
      </w:r>
      <w:r>
        <w:rPr>
          <w:rStyle w:val="1177"/>
        </w:rPr>
        <w:t xml:space="preserve">тексте;</w:t>
      </w:r>
      <w:r>
        <w:rPr>
          <w:rStyle w:val="1177"/>
        </w:rPr>
      </w:r>
      <w:r>
        <w:rPr>
          <w:rStyle w:val="1177"/>
        </w:rPr>
      </w:r>
    </w:p>
    <w:p>
      <w:pPr>
        <w:pStyle w:val="1146"/>
        <w:numPr>
          <w:ilvl w:val="0"/>
          <w:numId w:val="13"/>
        </w:numPr>
        <w:ind w:left="284" w:hanging="284"/>
        <w:spacing w:before="60"/>
        <w:rPr>
          <w:rStyle w:val="1177"/>
        </w:rPr>
      </w:pPr>
      <w:r>
        <w:rPr>
          <w:rStyle w:val="1177"/>
          <w:color w:val="4472c4" w:themeColor="accent1"/>
        </w:rPr>
        <w:t xml:space="preserve">отключение затенения серыми блоками по тексту объектов, в том числе некоторых неразрывных пробелов и перекрес</w:t>
      </w:r>
      <w:r>
        <w:rPr>
          <w:rStyle w:val="1177"/>
          <w:color w:val="4472c4" w:themeColor="accent1"/>
        </w:rPr>
        <w:t xml:space="preserve">тных ссылок: </w:t>
      </w:r>
      <w:r>
        <w:rPr>
          <w:rStyle w:val="1177"/>
          <w:color w:val="4472c4" w:themeColor="accent1"/>
        </w:rPr>
        <w:t xml:space="preserve">Ctrl</w:t>
      </w:r>
      <w:r>
        <w:rPr>
          <w:rStyle w:val="1177"/>
          <w:color w:val="4472c4" w:themeColor="accent1"/>
        </w:rPr>
        <w:t xml:space="preserve"> + F8 (только для </w:t>
      </w:r>
      <w:r>
        <w:rPr>
          <w:rStyle w:val="1177"/>
          <w:color w:val="4472c4" w:themeColor="accent1"/>
        </w:rPr>
        <w:t xml:space="preserve">AlterOffice</w:t>
      </w:r>
      <w:r>
        <w:rPr>
          <w:rStyle w:val="1177"/>
          <w:color w:val="4472c4" w:themeColor="accent1"/>
        </w:rPr>
        <w:t xml:space="preserve"> </w:t>
      </w:r>
      <w:r>
        <w:rPr>
          <w:rStyle w:val="1177"/>
          <w:color w:val="4472c4" w:themeColor="accent1"/>
        </w:rPr>
        <w:t xml:space="preserve">AText</w:t>
      </w:r>
      <w:r>
        <w:rPr>
          <w:rStyle w:val="1177"/>
          <w:color w:val="4472c4" w:themeColor="accent1"/>
        </w:rPr>
        <w:t xml:space="preserve">)</w:t>
      </w:r>
      <w:r>
        <w:rPr>
          <w:rStyle w:val="1177"/>
        </w:rPr>
        <w:t xml:space="preserve">.]</w:t>
      </w:r>
      <w:r>
        <w:rPr>
          <w:rStyle w:val="1177"/>
        </w:rPr>
      </w:r>
      <w:r>
        <w:rPr>
          <w:rStyle w:val="1177"/>
        </w:rPr>
      </w:r>
    </w:p>
    <w:p>
      <w:pPr>
        <w:pStyle w:val="1145"/>
        <w:outlineLvl w:val="0"/>
      </w:pPr>
      <w:r/>
      <w:bookmarkStart w:id="0" w:name="_Toc228976075"/>
      <w:r>
        <w:t xml:space="preserve">Сокращения</w:t>
      </w:r>
      <w:bookmarkEnd w:id="0"/>
      <w:r/>
      <w:r/>
    </w:p>
    <w:p>
      <w:pPr>
        <w:pStyle w:val="1146"/>
        <w:ind w:firstLine="567"/>
      </w:pPr>
      <w:r>
        <w:rPr>
          <w:b/>
          <w:bCs/>
        </w:rPr>
        <w:t xml:space="preserve">ГК РФ</w:t>
      </w:r>
      <w:r>
        <w:t xml:space="preserve"> – Гражданской кодекс Российской Федерации.</w:t>
      </w:r>
      <w:r/>
    </w:p>
    <w:p>
      <w:pPr>
        <w:pStyle w:val="1146"/>
        <w:ind w:firstLine="567"/>
      </w:pPr>
      <w:r>
        <w:rPr>
          <w:b/>
          <w:bCs/>
        </w:rPr>
        <w:t xml:space="preserve">Декларация ПИРААП</w:t>
      </w:r>
      <w:r>
        <w:t xml:space="preserve"> – декларация о подтверждении использования при изготовлении продукции российского алюминия и (или) его полуфабрикатов с ук</w:t>
      </w:r>
      <w:r>
        <w:t xml:space="preserve">азанием их доли в общем объеме используемого алюминия и (или) его полуфабрикатов в натуральном выражении.</w:t>
      </w:r>
      <w:r/>
    </w:p>
    <w:p>
      <w:pPr>
        <w:pStyle w:val="1146"/>
        <w:ind w:firstLine="567"/>
      </w:pPr>
      <w:r>
        <w:rPr>
          <w:b/>
          <w:bCs/>
        </w:rPr>
        <w:t xml:space="preserve">ЕАЭС</w:t>
      </w:r>
      <w:r>
        <w:t xml:space="preserve"> – Евразийский экономический союз.</w:t>
      </w:r>
      <w:r/>
    </w:p>
    <w:p>
      <w:pPr>
        <w:pStyle w:val="1146"/>
        <w:ind w:firstLine="567"/>
      </w:pPr>
      <w:r>
        <w:rPr>
          <w:b/>
          <w:bCs/>
        </w:rPr>
        <w:t xml:space="preserve">ЕГРИП</w:t>
      </w:r>
      <w:r>
        <w:t xml:space="preserve"> – Единый государственный реестр индивидуальных предпринимателей.</w:t>
      </w:r>
      <w:r/>
    </w:p>
    <w:p>
      <w:pPr>
        <w:pStyle w:val="1146"/>
        <w:ind w:firstLine="567"/>
      </w:pPr>
      <w:r>
        <w:rPr>
          <w:b/>
          <w:bCs/>
        </w:rPr>
        <w:t xml:space="preserve">ЕГРЮЛ</w:t>
      </w:r>
      <w:r>
        <w:t xml:space="preserve"> – Единый государственный реестр юр</w:t>
      </w:r>
      <w:r>
        <w:t xml:space="preserve">идических лиц.</w:t>
      </w:r>
      <w:r/>
    </w:p>
    <w:p>
      <w:pPr>
        <w:pStyle w:val="1146"/>
        <w:ind w:firstLine="567"/>
      </w:pPr>
      <w:r>
        <w:rPr>
          <w:b/>
          <w:bCs/>
        </w:rPr>
        <w:t xml:space="preserve">ЕИС</w:t>
      </w:r>
      <w:r>
        <w:t xml:space="preserve"> – Единая информационная система в сфере закупок.</w:t>
      </w:r>
      <w:r/>
    </w:p>
    <w:p>
      <w:pPr>
        <w:pStyle w:val="1146"/>
        <w:ind w:firstLine="567"/>
      </w:pPr>
      <w:r>
        <w:rPr>
          <w:b/>
          <w:bCs/>
        </w:rPr>
        <w:t xml:space="preserve">Закон 209-ФЗ</w:t>
      </w:r>
      <w:r>
        <w:t xml:space="preserve"> – Федеральный закон от 24.07.2007 № 209-ФЗ «О развитии малого и среднего предпринимательства в Российской Федерации».</w:t>
      </w:r>
      <w:r/>
    </w:p>
    <w:p>
      <w:pPr>
        <w:pStyle w:val="1146"/>
        <w:ind w:firstLine="567"/>
      </w:pPr>
      <w:r>
        <w:rPr>
          <w:b/>
          <w:bCs/>
        </w:rPr>
        <w:t xml:space="preserve">Закон 223-ФЗ</w:t>
      </w:r>
      <w:r>
        <w:t xml:space="preserve"> – Федеральный закон от 18.07.2011 № 223-ФЗ «О закупках товаров, работ, услуг отдельными видами юридических лиц».</w:t>
      </w:r>
      <w:r/>
    </w:p>
    <w:p>
      <w:pPr>
        <w:pStyle w:val="1146"/>
        <w:ind w:firstLine="567"/>
      </w:pPr>
      <w:r>
        <w:rPr>
          <w:b/>
          <w:bCs/>
        </w:rPr>
        <w:t xml:space="preserve">Закон 255-ФЗ</w:t>
      </w:r>
      <w:r>
        <w:t xml:space="preserve"> – Федеральный закон от 14.07.2022 № 255-ФЗ «О контроле за деятельностью лиц, находящихся под иностранным влиянием».</w:t>
      </w:r>
      <w:r/>
    </w:p>
    <w:p>
      <w:pPr>
        <w:pStyle w:val="1146"/>
        <w:ind w:firstLine="567"/>
      </w:pPr>
      <w:r>
        <w:rPr>
          <w:b/>
          <w:bCs/>
        </w:rPr>
        <w:t xml:space="preserve">Закон 422-ФЗ</w:t>
      </w:r>
      <w:r>
        <w:t xml:space="preserve"> </w:t>
      </w:r>
      <w:r>
        <w:t xml:space="preserve">– Федеральный закон от 27.11.2018 № 422-ФЗ «О проведении эксперимента по установлению специального налогового режима «Налог на профессиональный доход».</w:t>
      </w:r>
      <w:r/>
    </w:p>
    <w:p>
      <w:pPr>
        <w:pStyle w:val="1146"/>
        <w:ind w:firstLine="567"/>
      </w:pPr>
      <w:r>
        <w:rPr>
          <w:b/>
          <w:bCs/>
        </w:rPr>
        <w:t xml:space="preserve">Законодательство</w:t>
      </w:r>
      <w:r>
        <w:t xml:space="preserve"> – законодательство Российской Федерации (если в тексте настоящей Документации о закупке</w:t>
      </w:r>
      <w:r>
        <w:t xml:space="preserve"> прямо не указано иное).</w:t>
      </w:r>
      <w:r/>
    </w:p>
    <w:p>
      <w:pPr>
        <w:pStyle w:val="1146"/>
        <w:ind w:firstLine="567"/>
      </w:pPr>
      <w:r>
        <w:rPr>
          <w:b/>
          <w:bCs/>
        </w:rPr>
        <w:t xml:space="preserve">Извещение</w:t>
      </w:r>
      <w:r>
        <w:t xml:space="preserve"> – извещение о проведении настоящей закупки.</w:t>
      </w:r>
      <w:r/>
    </w:p>
    <w:p>
      <w:pPr>
        <w:pStyle w:val="1146"/>
        <w:ind w:firstLine="567"/>
      </w:pPr>
      <w:r>
        <w:rPr>
          <w:b/>
          <w:bCs/>
        </w:rPr>
        <w:t xml:space="preserve">ИНН</w:t>
      </w:r>
      <w:r>
        <w:t xml:space="preserve"> – идентификационный номер налогоплательщика.</w:t>
      </w:r>
      <w:r/>
    </w:p>
    <w:p>
      <w:pPr>
        <w:pStyle w:val="1146"/>
        <w:ind w:firstLine="567"/>
      </w:pPr>
      <w:r>
        <w:rPr>
          <w:b/>
          <w:bCs/>
        </w:rPr>
        <w:t xml:space="preserve">ИФНС</w:t>
      </w:r>
      <w:r>
        <w:t xml:space="preserve"> – инспекция Федеральной налоговой службы Российской Федерации.</w:t>
      </w:r>
      <w:r/>
    </w:p>
    <w:p>
      <w:pPr>
        <w:pStyle w:val="1146"/>
        <w:ind w:firstLine="567"/>
      </w:pPr>
      <w:r>
        <w:rPr>
          <w:b/>
          <w:bCs/>
        </w:rPr>
        <w:t xml:space="preserve">МТР</w:t>
      </w:r>
      <w:r>
        <w:t xml:space="preserve"> – материально-технические ресурсы.</w:t>
      </w:r>
      <w:r/>
    </w:p>
    <w:p>
      <w:pPr>
        <w:pStyle w:val="1146"/>
        <w:ind w:firstLine="567"/>
      </w:pPr>
      <w:r>
        <w:rPr>
          <w:b/>
          <w:bCs/>
        </w:rPr>
        <w:t xml:space="preserve">НДС</w:t>
      </w:r>
      <w:r>
        <w:t xml:space="preserve"> – налог на добавленную стоимость.</w:t>
      </w:r>
      <w:r/>
    </w:p>
    <w:p>
      <w:pPr>
        <w:pStyle w:val="1146"/>
        <w:ind w:firstLine="567"/>
      </w:pPr>
      <w:r>
        <w:rPr>
          <w:b/>
          <w:bCs/>
        </w:rPr>
        <w:t xml:space="preserve">НМЦ</w:t>
      </w:r>
      <w:r>
        <w:t xml:space="preserve"> – начальная (максимальная) цена договора.</w:t>
      </w:r>
      <w:r/>
    </w:p>
    <w:p>
      <w:pPr>
        <w:pStyle w:val="1146"/>
        <w:ind w:firstLine="567"/>
      </w:pPr>
      <w:r>
        <w:rPr>
          <w:b/>
          <w:bCs/>
        </w:rPr>
        <w:t xml:space="preserve">Оператор ЭП</w:t>
      </w:r>
      <w:r>
        <w:t xml:space="preserve"> – оператор электронной площадки.</w:t>
      </w:r>
      <w:r/>
    </w:p>
    <w:p>
      <w:pPr>
        <w:pStyle w:val="1146"/>
        <w:ind w:firstLine="567"/>
      </w:pPr>
      <w:r>
        <w:rPr>
          <w:b/>
          <w:bCs/>
        </w:rPr>
        <w:t xml:space="preserve">Официальный сайт</w:t>
      </w:r>
      <w:r>
        <w:t xml:space="preserve"> – официальный сайт Единой информационной системы в сфере закупок, расположенный в сети Интернет по </w:t>
      </w:r>
      <w:r>
        <w:rPr>
          <w:lang w:val="en-US"/>
        </w:rPr>
        <w:t xml:space="preserve">URL</w:t>
      </w:r>
      <w:r>
        <w:t xml:space="preserve">-адресу htt</w:t>
      </w:r>
      <w:r>
        <w:t xml:space="preserve">ps://zakupki.gov.ru/.</w:t>
      </w:r>
      <w:r/>
    </w:p>
    <w:p>
      <w:pPr>
        <w:pStyle w:val="1146"/>
        <w:ind w:firstLine="567"/>
      </w:pPr>
      <w:r>
        <w:rPr>
          <w:b/>
          <w:bCs/>
        </w:rPr>
        <w:t xml:space="preserve">Положение о закупке</w:t>
      </w:r>
      <w:r>
        <w:t xml:space="preserve"> – Единое Положение о закупке продукции для нужд Группы </w:t>
      </w:r>
      <w:r>
        <w:t xml:space="preserve">РусГидро</w:t>
      </w:r>
      <w:r>
        <w:t xml:space="preserve">.</w:t>
      </w:r>
      <w:r/>
    </w:p>
    <w:p>
      <w:pPr>
        <w:pStyle w:val="1146"/>
        <w:ind w:firstLine="567"/>
      </w:pPr>
      <w:r>
        <w:rPr>
          <w:b/>
          <w:bCs/>
        </w:rPr>
        <w:t xml:space="preserve">Положение об аккредитации</w:t>
      </w:r>
      <w:r>
        <w:t xml:space="preserve"> – Единое Положение об аккредитации поставщиков продукции в Группе </w:t>
      </w:r>
      <w:r>
        <w:t xml:space="preserve">РусГидро</w:t>
      </w:r>
      <w:r>
        <w:t xml:space="preserve">, размещенное на Официальном сайте (в составе Пол</w:t>
      </w:r>
      <w:r>
        <w:t xml:space="preserve">ожения о закупке).</w:t>
      </w:r>
      <w:r/>
    </w:p>
    <w:p>
      <w:pPr>
        <w:pStyle w:val="1146"/>
        <w:ind w:firstLine="567"/>
      </w:pPr>
      <w:r>
        <w:rPr>
          <w:b/>
          <w:bCs/>
        </w:rPr>
        <w:t xml:space="preserve">ПП 325</w:t>
      </w:r>
      <w:r>
        <w:t xml:space="preserve"> – постановление Правительства Российской Федерации от 23.03.2017 № 325 «Об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</w:t>
      </w:r>
      <w:r>
        <w:t xml:space="preserve">ограммного обеспечения, и внесении изменений в Правила формирования и </w:t>
      </w:r>
      <w:r>
        <w:t xml:space="preserve">ведения единого реестра российских программ для электронных вычислительных машин и баз данных».</w:t>
      </w:r>
      <w:r/>
    </w:p>
    <w:p>
      <w:pPr>
        <w:pStyle w:val="1146"/>
        <w:ind w:firstLine="567"/>
      </w:pPr>
      <w:r>
        <w:rPr>
          <w:b/>
          <w:bCs/>
        </w:rPr>
        <w:t xml:space="preserve">ПП 719</w:t>
      </w:r>
      <w:r>
        <w:t xml:space="preserve"> – постановление Правительства Российской Федерации от 17.07. 2014 № 719 «О подтверж</w:t>
      </w:r>
      <w:r>
        <w:t xml:space="preserve">дении производства российской промышленной продукции».</w:t>
      </w:r>
      <w:r/>
    </w:p>
    <w:p>
      <w:pPr>
        <w:pStyle w:val="1146"/>
        <w:ind w:firstLine="567"/>
      </w:pPr>
      <w:r>
        <w:rPr>
          <w:b/>
          <w:bCs/>
        </w:rPr>
        <w:t xml:space="preserve">ПП 1352</w:t>
      </w:r>
      <w:r>
        <w:t xml:space="preserve"> – постановление Правительства Российской Федерации от 11.12.2014 № 1352 «Об особенностях участия субъектов малого и среднего предпринимательства в закупках товаров, работ, услуг отдельными вида</w:t>
      </w:r>
      <w:r>
        <w:t xml:space="preserve">ми юридических лиц».</w:t>
      </w:r>
      <w:r/>
    </w:p>
    <w:p>
      <w:pPr>
        <w:pStyle w:val="1146"/>
        <w:ind w:firstLine="567"/>
      </w:pPr>
      <w:r>
        <w:rPr>
          <w:b/>
          <w:bCs/>
        </w:rPr>
        <w:t xml:space="preserve">ПП 1875</w:t>
      </w:r>
      <w:r>
        <w:t xml:space="preserve"> – постановление Правительства Российской Федерации от 23.12.2024 №</w:t>
      </w:r>
      <w:r>
        <w:rPr>
          <w:lang w:val="en-US"/>
        </w:rPr>
        <w:t xml:space="preserve"> </w:t>
      </w:r>
      <w:r>
        <w:t xml:space="preserve">1875 «О мерах по</w:t>
      </w:r>
      <w:r>
        <w:rPr>
          <w:lang w:val="en-US"/>
        </w:rPr>
        <w:t xml:space="preserve"> </w:t>
      </w:r>
      <w:r>
        <w:t xml:space="preserve">предоставлению национального режима при осуществлении закупок товаров, работ, услуг для обеспечения государственных и муниципальных нужд, закуп</w:t>
      </w:r>
      <w:r>
        <w:t xml:space="preserve">ок товаров, работ, услуг отдельными видами юридических лиц».</w:t>
      </w:r>
      <w:r/>
    </w:p>
    <w:p>
      <w:pPr>
        <w:pStyle w:val="1146"/>
        <w:ind w:firstLine="567"/>
      </w:pPr>
      <w:r>
        <w:rPr>
          <w:b/>
          <w:bCs/>
        </w:rPr>
        <w:t xml:space="preserve">Реестр МСП</w:t>
      </w:r>
      <w:r>
        <w:t xml:space="preserve"> – единый реестр субъектов малого и среднего предпринимательства, ведение которого осуществляется в соответствии с Законом 209-ФЗ.</w:t>
      </w:r>
      <w:r/>
    </w:p>
    <w:p>
      <w:pPr>
        <w:pStyle w:val="1146"/>
        <w:ind w:firstLine="567"/>
      </w:pPr>
      <w:r>
        <w:rPr>
          <w:b/>
          <w:bCs/>
        </w:rPr>
        <w:t xml:space="preserve">Система ЭДО</w:t>
      </w:r>
      <w:r>
        <w:rPr>
          <w:rStyle w:val="1154"/>
          <w:b/>
          <w:bCs/>
        </w:rPr>
        <w:footnoteReference w:id="2"/>
      </w:r>
      <w:r>
        <w:t xml:space="preserve"> – информационная система, посредством кот</w:t>
      </w:r>
      <w:r>
        <w:t xml:space="preserve">орой осуществляется обмен информацией в электронной форме между участниками информационного взаимодействия.</w:t>
      </w:r>
      <w:r/>
    </w:p>
    <w:p>
      <w:pPr>
        <w:pStyle w:val="1146"/>
        <w:ind w:firstLine="567"/>
      </w:pPr>
      <w:r>
        <w:rPr>
          <w:b/>
          <w:bCs/>
        </w:rPr>
        <w:t xml:space="preserve">Стороны</w:t>
      </w:r>
      <w:r>
        <w:t xml:space="preserve"> – Организатор, Заказчик и Участники, являющиеся сторонами данной закупки (при совместном упоминании).</w:t>
      </w:r>
      <w:r/>
    </w:p>
    <w:p>
      <w:pPr>
        <w:pStyle w:val="1146"/>
        <w:ind w:firstLine="567"/>
      </w:pPr>
      <w:r>
        <w:rPr>
          <w:b/>
          <w:bCs/>
        </w:rPr>
        <w:t xml:space="preserve">Субъект МСП</w:t>
      </w:r>
      <w:r>
        <w:t xml:space="preserve"> – субъект малого и среднег</w:t>
      </w:r>
      <w:r>
        <w:t xml:space="preserve">о предпринимательства.</w:t>
      </w:r>
      <w:r/>
    </w:p>
    <w:p>
      <w:pPr>
        <w:pStyle w:val="1146"/>
        <w:ind w:firstLine="567"/>
      </w:pPr>
      <w:r>
        <w:rPr>
          <w:b/>
          <w:bCs/>
        </w:rPr>
        <w:t xml:space="preserve">ЭП</w:t>
      </w:r>
      <w:r>
        <w:t xml:space="preserve"> – электронная площадка.</w:t>
      </w:r>
      <w:r/>
    </w:p>
    <w:p>
      <w:pPr>
        <w:pStyle w:val="1145"/>
        <w:outlineLvl w:val="0"/>
      </w:pPr>
      <w:r/>
      <w:bookmarkStart w:id="1" w:name="_Toc228976076"/>
      <w:r>
        <w:t xml:space="preserve">Термины и определения</w:t>
      </w:r>
      <w:bookmarkEnd w:id="1"/>
      <w:r/>
      <w:r/>
    </w:p>
    <w:p>
      <w:pPr>
        <w:pStyle w:val="1146"/>
        <w:ind w:firstLine="567"/>
      </w:pPr>
      <w:r>
        <w:rPr>
          <w:b/>
          <w:bCs/>
        </w:rPr>
        <w:t xml:space="preserve">Аккредитация</w:t>
      </w:r>
      <w:r>
        <w:t xml:space="preserve"> – процедура проверки заявителей (потенциальных поставщиков) на соответствие требованиям в отношении их правоспособности, благонадежности и деловой репутации, с целью включ</w:t>
      </w:r>
      <w:r>
        <w:t xml:space="preserve">ения их в Реестр аккредитации для обеспечения (в этой части) допуска к участию в закупках, проводимых в Группе </w:t>
      </w:r>
      <w:r>
        <w:t xml:space="preserve">РусГидро</w:t>
      </w:r>
      <w:r>
        <w:t xml:space="preserve">. Аккредитация проводится с целью защиты интересов Заказчика от действий недобросовестных лиц и неблагонадежных поставщиков продукции при</w:t>
      </w:r>
      <w:r>
        <w:t xml:space="preserve"> проведении закупочных процедур и выборе Победителя и является проявлением коммерческой осмотрительности Заказчика при заключении договора (-</w:t>
      </w:r>
      <w:r>
        <w:t xml:space="preserve">ов</w:t>
      </w:r>
      <w:r>
        <w:t xml:space="preserve">) по результатам закупки. Порядок проведения данной процедуры представлен в Положении об аккредитации.</w:t>
      </w:r>
      <w:r/>
    </w:p>
    <w:p>
      <w:pPr>
        <w:pStyle w:val="1146"/>
        <w:ind w:firstLine="567"/>
      </w:pPr>
      <w:r>
        <w:rPr>
          <w:b/>
          <w:bCs/>
        </w:rPr>
        <w:t xml:space="preserve">Актуализац</w:t>
      </w:r>
      <w:r>
        <w:rPr>
          <w:b/>
          <w:bCs/>
        </w:rPr>
        <w:t xml:space="preserve">ия статуса (аккредитации)</w:t>
      </w:r>
      <w:r>
        <w:t xml:space="preserve"> – процедура повторной проверки определенного (конкретного) ранее аккредитованного Поставщика на предмет соответствия его установленным критериям аккредитации (или наличия оснований, по которым прохождение аккредитации не требуется</w:t>
      </w:r>
      <w:r>
        <w:t xml:space="preserve">), с продлением срока действия его аккредитации в случае положительного результата такой проверки; при этом от Поставщика (Участника) не требуется повторное заполнение Заявки на аккредитацию.</w:t>
      </w:r>
      <w:r/>
    </w:p>
    <w:p>
      <w:pPr>
        <w:pStyle w:val="1146"/>
        <w:ind w:firstLine="567"/>
      </w:pPr>
      <w:r>
        <w:rPr>
          <w:b/>
          <w:bCs/>
        </w:rPr>
        <w:t xml:space="preserve">Альтернативное предложение</w:t>
      </w:r>
      <w:r>
        <w:t xml:space="preserve"> – </w:t>
      </w:r>
      <w:r>
        <w:t xml:space="preserve">предложение Участника, подаваемое в составе заявки дополнительно к основному и содержащее одно или несколько условий, отличающихся от заявленных в основном предложении.</w:t>
      </w:r>
      <w:r/>
    </w:p>
    <w:p>
      <w:pPr>
        <w:pStyle w:val="1146"/>
        <w:ind w:firstLine="567"/>
      </w:pPr>
      <w:r>
        <w:rPr>
          <w:b/>
          <w:bCs/>
        </w:rPr>
        <w:t xml:space="preserve">Генеральный подрядчик</w:t>
      </w:r>
      <w:r>
        <w:t xml:space="preserve"> – подрядчик, привлекающий к исполнению своих обязательств по дого</w:t>
      </w:r>
      <w:r>
        <w:t xml:space="preserve">вору с Заказчиком третьих лиц (субподрядчиков). Под генеральным подрядчиком и субподрядчиками понимаются соответственно также генеральный исполнитель и соисполнители, генеральный поставщик и субпоставщики, в зависимости от предмета закупки.</w:t>
      </w:r>
      <w:r/>
    </w:p>
    <w:p>
      <w:pPr>
        <w:pStyle w:val="1146"/>
        <w:ind w:firstLine="567"/>
      </w:pPr>
      <w:r>
        <w:rPr>
          <w:b/>
          <w:bCs/>
        </w:rPr>
        <w:t xml:space="preserve">Документация о </w:t>
      </w:r>
      <w:r>
        <w:rPr>
          <w:b/>
          <w:bCs/>
        </w:rPr>
        <w:t xml:space="preserve">закупке</w:t>
      </w:r>
      <w:r>
        <w:t xml:space="preserve"> – комплект документов, содержащий всю необходимую согласно законодательству информацию о закупке и условиях ее проведения.</w:t>
      </w:r>
      <w:r/>
    </w:p>
    <w:p>
      <w:pPr>
        <w:pStyle w:val="1146"/>
        <w:ind w:firstLine="567"/>
      </w:pPr>
      <w:r>
        <w:rPr>
          <w:b/>
          <w:bCs/>
        </w:rPr>
        <w:t xml:space="preserve">Единая информационная система в сфере закупок</w:t>
      </w:r>
      <w:r>
        <w:t xml:space="preserve"> – совокупность информации, содержащейся в базах данных, информационных технолог</w:t>
      </w:r>
      <w:r>
        <w:t xml:space="preserve">ий и технических средств, обеспечивающих формирование, обработку, хранение такой информации,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</w:t>
      </w:r>
      <w:r>
        <w:t xml:space="preserve">фере закупок.</w:t>
      </w:r>
      <w:r/>
    </w:p>
    <w:p>
      <w:pPr>
        <w:pStyle w:val="1146"/>
        <w:ind w:firstLine="567"/>
      </w:pPr>
      <w:r>
        <w:rPr>
          <w:b/>
          <w:bCs/>
        </w:rPr>
        <w:t xml:space="preserve">Единый реестр субъектов малого и среднего предпринимательства</w:t>
      </w:r>
      <w:r>
        <w:t xml:space="preserve"> – реестр, являющийся официальным источником сведений о юридических лицах и об индивидуальных предпринимателях, отнесенных по законодательству к таковым, и размещенный в сети Интерн</w:t>
      </w:r>
      <w:r>
        <w:t xml:space="preserve">ет на официальном сайте федерального органа исполнительной власти Российской Федерации, осуществляющего функции по контролю и надзору за соблюдением законодательства о налогах и сборах.</w:t>
      </w:r>
      <w:r/>
    </w:p>
    <w:p>
      <w:pPr>
        <w:pStyle w:val="1146"/>
        <w:ind w:firstLine="567"/>
      </w:pPr>
      <w:r>
        <w:rPr>
          <w:b/>
          <w:bCs/>
        </w:rPr>
        <w:t xml:space="preserve">Заказчик</w:t>
      </w:r>
      <w:r>
        <w:t xml:space="preserve"> – юридическое лицо, в интересах и за счет средств, которого о</w:t>
      </w:r>
      <w:r>
        <w:t xml:space="preserve">существляется закупка.</w:t>
      </w:r>
      <w:r/>
    </w:p>
    <w:p>
      <w:pPr>
        <w:pStyle w:val="1146"/>
        <w:ind w:firstLine="567"/>
      </w:pPr>
      <w:r>
        <w:rPr>
          <w:b/>
          <w:bCs/>
        </w:rPr>
        <w:t xml:space="preserve">Закупка</w:t>
      </w:r>
      <w:r>
        <w:t xml:space="preserve"> – последовательность действий, осуществляемая в соответствии с требованиями законодательства, Положением о закупке, иными локальными нормативными документами (актами) Заказчика, а для конкурентной закупки (и неконкурентной, п</w:t>
      </w:r>
      <w:r>
        <w:t xml:space="preserve">роводимой способом состязательный отбор) дополнительно – </w:t>
      </w:r>
      <w:r>
        <w:t xml:space="preserve">правилами, установленными Извещением и Документацией о закупке, в результате которой производится выбор поставщика с целью заключения договора на приобретение продукции.</w:t>
      </w:r>
      <w:r/>
    </w:p>
    <w:p>
      <w:pPr>
        <w:pStyle w:val="1146"/>
        <w:ind w:firstLine="567"/>
      </w:pPr>
      <w:r>
        <w:rPr>
          <w:b/>
          <w:bCs/>
        </w:rPr>
        <w:t xml:space="preserve">Закупочная комиссия</w:t>
      </w:r>
      <w:r>
        <w:t xml:space="preserve"> – коллеги</w:t>
      </w:r>
      <w:r>
        <w:t xml:space="preserve">альный орган, принимающий решения о ходе проведения соответствующей закупки (в том числе по выбору ее победителя).</w:t>
      </w:r>
      <w:r/>
    </w:p>
    <w:p>
      <w:pPr>
        <w:pStyle w:val="1146"/>
        <w:ind w:firstLine="567"/>
      </w:pPr>
      <w:r>
        <w:rPr>
          <w:b/>
          <w:bCs/>
        </w:rPr>
        <w:t xml:space="preserve">Заявка (заявка на участие в закупке)</w:t>
      </w:r>
      <w:r>
        <w:t xml:space="preserve"> – </w:t>
      </w:r>
      <w:bookmarkStart w:id="2" w:name="_Hlk187326951"/>
      <w:r>
        <w:t xml:space="preserve">документ (комплект документов), содержащий предложения Участника, направленный Организатору с намерени</w:t>
      </w:r>
      <w:r>
        <w:t xml:space="preserve">ем принять участие в процедурах соответствующей закупки и впоследствии заключить договор на поставку продукции на условиях, определенных Заказчиком: для</w:t>
      </w:r>
      <w:r>
        <w:rPr>
          <w:lang w:val="en-US"/>
        </w:rPr>
        <w:t xml:space="preserve"> </w:t>
      </w:r>
      <w:r>
        <w:t xml:space="preserve">конкурентных закупок – в Извещении и</w:t>
      </w:r>
      <w:r>
        <w:rPr>
          <w:lang w:val="en-US"/>
        </w:rPr>
        <w:t xml:space="preserve"> </w:t>
      </w:r>
      <w:r>
        <w:t xml:space="preserve">(или) Документацией о закупке.</w:t>
      </w:r>
      <w:bookmarkEnd w:id="2"/>
      <w:r/>
      <w:r/>
    </w:p>
    <w:p>
      <w:pPr>
        <w:pStyle w:val="1146"/>
        <w:ind w:firstLine="567"/>
      </w:pPr>
      <w:r>
        <w:rPr>
          <w:b/>
          <w:bCs/>
        </w:rPr>
        <w:t xml:space="preserve">Заявка на аккредитацию</w:t>
      </w:r>
      <w:r>
        <w:t xml:space="preserve"> – </w:t>
      </w:r>
      <w:r>
        <w:t xml:space="preserve">сведения, которые Заявитель предоставляет в установленном Положением об аккредитации порядке для прохождения аккредитации.</w:t>
      </w:r>
      <w:r/>
    </w:p>
    <w:p>
      <w:pPr>
        <w:pStyle w:val="1146"/>
        <w:ind w:firstLine="567"/>
        <w:rPr>
          <w:szCs w:val="26"/>
        </w:rPr>
      </w:pPr>
      <w:r>
        <w:rPr>
          <w:b/>
          <w:bCs/>
        </w:rPr>
        <w:t xml:space="preserve">Извещение о закупке (Извещение)</w:t>
      </w:r>
      <w:r>
        <w:t xml:space="preserve"> – документ, предназначенный для потенциальных Участников, публикация (размещение) которого означает о</w:t>
      </w:r>
      <w:r>
        <w:t xml:space="preserve">фициальное объявление о начале закупки (информация в объеме, определенном частью 9 статьи 4 Закона 223-ФЗ и Положением о закупке); под данным документом и соответственно его размещением также подразумевается заполнение и создание на Официальном сайте (ЕИС)</w:t>
      </w:r>
      <w:r>
        <w:t xml:space="preserve"> и (или) ЭП соответствующей страницы на указанных ресурсах с информацией об объявленной закупке.</w:t>
      </w:r>
      <w:r>
        <w:rPr>
          <w:szCs w:val="26"/>
        </w:rPr>
      </w:r>
      <w:r>
        <w:rPr>
          <w:szCs w:val="26"/>
        </w:rPr>
      </w:r>
    </w:p>
    <w:p>
      <w:pPr>
        <w:pStyle w:val="1146"/>
        <w:ind w:firstLine="567"/>
      </w:pPr>
      <w:r>
        <w:rPr>
          <w:b/>
          <w:bCs/>
        </w:rPr>
        <w:t xml:space="preserve">Интеллектуальные системы управления электросетевым хозяйством</w:t>
      </w:r>
      <w:r>
        <w:t xml:space="preserve"> – системы удаленного мониторинга и диагностики, интеллектуальные системы учета электрической энер</w:t>
      </w:r>
      <w:r>
        <w:t xml:space="preserve">гии (мощности), автоматизированные системы управления технологическими процессами подстанций, автоматизированные системы технологического управления центров управления сетями.</w:t>
      </w:r>
      <w:r/>
    </w:p>
    <w:p>
      <w:pPr>
        <w:pStyle w:val="1146"/>
        <w:ind w:firstLine="567"/>
      </w:pPr>
      <w:r>
        <w:rPr>
          <w:b/>
          <w:bCs/>
        </w:rPr>
        <w:t xml:space="preserve">Коллективный участник</w:t>
      </w:r>
      <w:r>
        <w:t xml:space="preserve"> – объединение юридических и (или) физических лиц, в том чи</w:t>
      </w:r>
      <w:r>
        <w:t xml:space="preserve">сле индивидуальных предпринимателей, выступающих на стороне одного Участника и несущих солидарную ответственность по обязательствам, вытекающим из участия в закупке и дальнейшего заключения и исполнения договора.</w:t>
      </w:r>
      <w:r/>
    </w:p>
    <w:p>
      <w:pPr>
        <w:pStyle w:val="1146"/>
        <w:ind w:firstLine="567"/>
      </w:pPr>
      <w:r>
        <w:rPr>
          <w:b/>
          <w:bCs/>
        </w:rPr>
        <w:t xml:space="preserve">Лот</w:t>
      </w:r>
      <w:r>
        <w:t xml:space="preserve"> – продукция, на которую в рамках закупк</w:t>
      </w:r>
      <w:r>
        <w:t xml:space="preserve">и допускаются подача отдельного предложения и заключение отдельного договора.</w:t>
      </w:r>
      <w:r/>
    </w:p>
    <w:p>
      <w:pPr>
        <w:pStyle w:val="1146"/>
        <w:ind w:firstLine="567"/>
      </w:pPr>
      <w:r>
        <w:rPr>
          <w:b/>
          <w:bCs/>
        </w:rPr>
        <w:t xml:space="preserve">Мониторинг аккредитованных поставщиков</w:t>
      </w:r>
      <w:r>
        <w:t xml:space="preserve"> – процедура выборочной повторной проверки любого ранее аккредитованного Поставщика на предмет соответствия его установленным критериям аккр</w:t>
      </w:r>
      <w:r>
        <w:t xml:space="preserve">едитации (или наличия оснований, по которым прохождение аккредитации не требуется), без продления срока действия его аккредитации в случае положительного результата такой проверки; при этом от Поставщика (Участника) не требуется повторное заполнение Заявки</w:t>
      </w:r>
      <w:r>
        <w:t xml:space="preserve"> на аккредитацию.</w:t>
      </w:r>
      <w:r/>
    </w:p>
    <w:p>
      <w:pPr>
        <w:pStyle w:val="1146"/>
        <w:ind w:firstLine="567"/>
      </w:pPr>
      <w:r>
        <w:rPr>
          <w:b/>
          <w:bCs/>
        </w:rPr>
        <w:t xml:space="preserve">Начальная (максимальная) цена договора</w:t>
      </w:r>
      <w:r>
        <w:t xml:space="preserve"> – предельно допустимая цена договора (лота, единицы продукции), превышение которой исключает возможность заключения договора / недопустимо для заключения договора по итогам проведения закупки.</w:t>
      </w:r>
      <w:r/>
    </w:p>
    <w:p>
      <w:pPr>
        <w:pStyle w:val="1146"/>
        <w:ind w:firstLine="567"/>
      </w:pPr>
      <w:r>
        <w:rPr>
          <w:b/>
          <w:bCs/>
        </w:rPr>
        <w:t xml:space="preserve">Операт</w:t>
      </w:r>
      <w:r>
        <w:rPr>
          <w:b/>
          <w:bCs/>
        </w:rPr>
        <w:t xml:space="preserve">ор электронной площадки</w:t>
      </w:r>
      <w:r>
        <w:t xml:space="preserve"> – юридическое лицо, соответствующее требованиям законодательства, владеющее электронной площадкой и обеспечивающее проведение закупок в электронной форме в соответствии с положениями законодательства.</w:t>
      </w:r>
      <w:r/>
    </w:p>
    <w:p>
      <w:pPr>
        <w:pStyle w:val="1146"/>
        <w:ind w:firstLine="567"/>
      </w:pPr>
      <w:r>
        <w:rPr>
          <w:b/>
          <w:bCs/>
        </w:rPr>
        <w:t xml:space="preserve">Организатор</w:t>
      </w:r>
      <w:r>
        <w:t xml:space="preserve"> – Заказчик или дейс</w:t>
      </w:r>
      <w:r>
        <w:t xml:space="preserve">твующее по договору с ним юридическое лицо, выступающее Сторонним организатором закупки.</w:t>
      </w:r>
      <w:r/>
    </w:p>
    <w:p>
      <w:pPr>
        <w:pStyle w:val="1146"/>
        <w:ind w:firstLine="567"/>
      </w:pPr>
      <w:r>
        <w:rPr>
          <w:b/>
          <w:bCs/>
        </w:rPr>
        <w:t xml:space="preserve">Официальное размещение</w:t>
      </w:r>
      <w:r>
        <w:t xml:space="preserve"> – размещение информации о закупке в ЕИС, на</w:t>
      </w:r>
      <w:r>
        <w:rPr>
          <w:lang w:val="en-US"/>
        </w:rPr>
        <w:t xml:space="preserve"> </w:t>
      </w:r>
      <w:r>
        <w:t xml:space="preserve">Официальном сайте (с размещением копий на ЭП). Если окончание срока размещения </w:t>
      </w:r>
      <w:r>
        <w:t xml:space="preserve">приходится на нерабоч</w:t>
      </w:r>
      <w:r>
        <w:t xml:space="preserve">ий день согласно законодательству, сведения размещаются в первый рабочий день, следующий за нерабочими днями.</w:t>
      </w:r>
      <w:r/>
    </w:p>
    <w:p>
      <w:pPr>
        <w:pStyle w:val="1146"/>
        <w:ind w:firstLine="567"/>
      </w:pPr>
      <w:r>
        <w:rPr>
          <w:b/>
          <w:bCs/>
        </w:rPr>
        <w:t xml:space="preserve">Переторжка</w:t>
      </w:r>
      <w:r>
        <w:t xml:space="preserve"> – опциональный этап закупки, представляющий собой процедуру подачи Участниками дополнительных предложений с целью повысить их предпочти</w:t>
      </w:r>
      <w:r>
        <w:t xml:space="preserve">тельность для Заказчика.</w:t>
      </w:r>
      <w:r/>
    </w:p>
    <w:p>
      <w:pPr>
        <w:pStyle w:val="1146"/>
        <w:ind w:firstLine="567"/>
        <w:rPr>
          <w:szCs w:val="26"/>
        </w:rPr>
      </w:pPr>
      <w:r>
        <w:rPr>
          <w:b/>
          <w:bCs/>
          <w:szCs w:val="26"/>
        </w:rPr>
        <w:t xml:space="preserve">Победитель</w:t>
      </w:r>
      <w:r>
        <w:rPr>
          <w:szCs w:val="26"/>
        </w:rPr>
        <w:t xml:space="preserve"> – Участник,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закупке. В случае признан</w:t>
      </w:r>
      <w:r>
        <w:rPr>
          <w:szCs w:val="26"/>
        </w:rPr>
        <w:t xml:space="preserve">ия закупки несостоявшейся Единственный участник такой закупки, с которым Заказчик принял решение заключить договор по результатам закупки, в оговоренных Положением о закупке случаях приобретает обязательства Победителя по заключению договора.</w:t>
      </w:r>
      <w:r>
        <w:rPr>
          <w:szCs w:val="26"/>
        </w:rPr>
      </w:r>
      <w:r>
        <w:rPr>
          <w:szCs w:val="26"/>
        </w:rPr>
      </w:r>
    </w:p>
    <w:p>
      <w:pPr>
        <w:pStyle w:val="1146"/>
        <w:ind w:firstLine="567"/>
      </w:pPr>
      <w:r>
        <w:rPr>
          <w:b/>
          <w:bCs/>
        </w:rPr>
        <w:t xml:space="preserve">Поставщик</w:t>
      </w:r>
      <w:r>
        <w:t xml:space="preserve"> – л</w:t>
      </w:r>
      <w:r>
        <w:t xml:space="preserve">юбое юридическое или физическое лицо, а также объединение этих лиц, способное на законных основаниях поставить Заказчику требуемую продукцию. Под поставщиком продукции при закупке работ / услуг понимается соответственно подрядчик / исполнитель.</w:t>
      </w:r>
      <w:r/>
    </w:p>
    <w:p>
      <w:pPr>
        <w:pStyle w:val="1146"/>
        <w:ind w:firstLine="567"/>
      </w:pPr>
      <w:r>
        <w:rPr>
          <w:b/>
          <w:bCs/>
        </w:rPr>
        <w:t xml:space="preserve">Постквалифи</w:t>
      </w:r>
      <w:r>
        <w:rPr>
          <w:b/>
          <w:bCs/>
        </w:rPr>
        <w:t xml:space="preserve">кация</w:t>
      </w:r>
      <w:r>
        <w:t xml:space="preserve"> – процедура дополнительной проверки Участника перед выбором его Победителем на подтверждения его соответствия квалификационным требованиям, установленным в Документации о закупке.</w:t>
      </w:r>
      <w:r/>
    </w:p>
    <w:p>
      <w:pPr>
        <w:pStyle w:val="1146"/>
        <w:ind w:firstLine="567"/>
      </w:pPr>
      <w:r>
        <w:rPr>
          <w:b/>
          <w:bCs/>
        </w:rPr>
        <w:t xml:space="preserve">Предмет закупки / предмет договора</w:t>
      </w:r>
      <w:r>
        <w:t xml:space="preserve"> – конкретная продукция, которую пре</w:t>
      </w:r>
      <w:r>
        <w:t xml:space="preserve">дполагается закупить в объеме и на условиях, определенных Заказчиком.</w:t>
      </w:r>
      <w:r/>
    </w:p>
    <w:p>
      <w:pPr>
        <w:pStyle w:val="1146"/>
        <w:ind w:firstLine="567"/>
      </w:pPr>
      <w:r>
        <w:rPr>
          <w:b/>
          <w:bCs/>
        </w:rPr>
        <w:t xml:space="preserve">Преференция</w:t>
      </w:r>
      <w:r>
        <w:t xml:space="preserve"> – преимущество, которое Заказчик предоставляет определенным группам поставщиков при проведении закупок в соответствии с Единым Положением о закупке продукции для нужд Группы </w:t>
      </w:r>
      <w:r>
        <w:t xml:space="preserve">РусГидро</w:t>
      </w:r>
      <w:r>
        <w:t xml:space="preserve">.</w:t>
      </w:r>
      <w:r/>
    </w:p>
    <w:p>
      <w:pPr>
        <w:pStyle w:val="1146"/>
        <w:ind w:firstLine="567"/>
      </w:pPr>
      <w:r/>
      <w:bookmarkStart w:id="3" w:name="_Hlk187326985"/>
      <w:r>
        <w:rPr>
          <w:b/>
          <w:bCs/>
        </w:rPr>
        <w:t xml:space="preserve">Применение законодательства о национальном режиме</w:t>
      </w:r>
      <w:r>
        <w:t xml:space="preserve"> – обеспечение (либо необеспечение)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</w:t>
      </w:r>
      <w:r>
        <w:t xml:space="preserve">ом или иностранным юридическим лицом, равных условий с</w:t>
      </w:r>
      <w:r>
        <w:rPr>
          <w:lang w:val="en-US"/>
        </w:rPr>
        <w:t xml:space="preserve"> </w:t>
      </w:r>
      <w:r>
        <w:t xml:space="preserve">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в</w:t>
      </w:r>
      <w:r>
        <w:rPr>
          <w:lang w:val="en-US"/>
        </w:rPr>
        <w:t xml:space="preserve"> </w:t>
      </w:r>
      <w:r>
        <w:t xml:space="preserve">соответствии с нормами, установленными законодател</w:t>
      </w:r>
      <w:r>
        <w:t xml:space="preserve">ьством.</w:t>
      </w:r>
      <w:bookmarkEnd w:id="3"/>
      <w:r/>
      <w:r/>
    </w:p>
    <w:p>
      <w:pPr>
        <w:pStyle w:val="1146"/>
        <w:ind w:firstLine="567"/>
      </w:pPr>
      <w:r>
        <w:rPr>
          <w:b/>
          <w:bCs/>
        </w:rPr>
        <w:t xml:space="preserve">Программное обеспечение</w:t>
      </w:r>
      <w:r>
        <w:t xml:space="preserve"> – программное обеспечение, включенное в единый реестр </w:t>
      </w:r>
      <w:r>
        <w:t xml:space="preserve">Минцифры</w:t>
      </w:r>
      <w:r>
        <w:t xml:space="preserve"> России российских программ для электронных вычислительных машин и баз данных, используемое в качестве компонента интеллектуальных систем управления электросетевы</w:t>
      </w:r>
      <w:r>
        <w:t xml:space="preserve">м хозяйством.</w:t>
      </w:r>
      <w:r/>
    </w:p>
    <w:p>
      <w:pPr>
        <w:pStyle w:val="1146"/>
        <w:ind w:firstLine="567"/>
      </w:pPr>
      <w:r>
        <w:rPr>
          <w:b/>
          <w:bCs/>
        </w:rPr>
        <w:t xml:space="preserve">Продукция</w:t>
      </w:r>
      <w:r>
        <w:t xml:space="preserve"> – товары, работы, услуги, приобретаемые Заказчиком на возмездной основе; в том числе в контексте «поставка продукции»: поставка товаров, выполнение работ, оказание услуг.</w:t>
      </w:r>
      <w:r/>
    </w:p>
    <w:p>
      <w:pPr>
        <w:pStyle w:val="1146"/>
        <w:ind w:firstLine="567"/>
      </w:pPr>
      <w:r>
        <w:rPr>
          <w:b/>
          <w:bCs/>
        </w:rPr>
        <w:t xml:space="preserve">Реестр аккредитации</w:t>
      </w:r>
      <w:r>
        <w:t xml:space="preserve"> – перечень лиц – Заявителей, подававших З</w:t>
      </w:r>
      <w:r>
        <w:t xml:space="preserve">аявки на аккредитацию с указанием в отношении них результатов процедуры аккредитации.</w:t>
      </w:r>
      <w:r/>
    </w:p>
    <w:p>
      <w:pPr>
        <w:pStyle w:val="1146"/>
        <w:ind w:firstLine="567"/>
      </w:pPr>
      <w:r>
        <w:rPr>
          <w:b/>
          <w:bCs/>
        </w:rPr>
        <w:t xml:space="preserve">Субъект малого и среднего предпринимательства</w:t>
      </w:r>
      <w:r>
        <w:t xml:space="preserve"> – определяется в соответствии с Законом</w:t>
      </w:r>
      <w:r>
        <w:t xml:space="preserve"> 209-ФЗ. Все условия и требования данной Документации о закупке, относящиеся к субъектам МСП, распространяются также на физических лиц, не являющихся </w:t>
      </w:r>
      <w:r>
        <w:t xml:space="preserve">индивидуальными предпринимателями и применяющих специальный налоговый режим «Налог на профессиональный дох</w:t>
      </w:r>
      <w:r>
        <w:t xml:space="preserve">од»</w:t>
      </w:r>
      <w:r>
        <w:rPr>
          <w:rStyle w:val="1154"/>
        </w:rPr>
        <w:footnoteReference w:id="3"/>
      </w:r>
      <w:r>
        <w:t xml:space="preserve">, если иное не установлено в Документации о закупке.</w:t>
      </w:r>
      <w:r/>
    </w:p>
    <w:p>
      <w:pPr>
        <w:pStyle w:val="1146"/>
        <w:ind w:firstLine="567"/>
      </w:pPr>
      <w:r>
        <w:rPr>
          <w:b/>
          <w:bCs/>
        </w:rPr>
        <w:t xml:space="preserve">Уполномоченное лицо</w:t>
      </w:r>
      <w:r>
        <w:t xml:space="preserve"> – руководитель организации, действующий на основании устава, или уполномоченное им лицо, действующее на основании доверенности на осуществление действий, </w:t>
      </w:r>
      <w:r>
        <w:rPr>
          <w:rFonts w:eastAsia="Calibri" w:cs="Times New Roman"/>
          <w:shd w:val="clear" w:color="auto" w:fill="ffffff" w:themeFill="background1"/>
        </w:rPr>
        <w:t xml:space="preserve">в том числе выданной в по</w:t>
      </w:r>
      <w:r>
        <w:rPr>
          <w:rFonts w:eastAsia="Calibri" w:cs="Times New Roman"/>
          <w:shd w:val="clear" w:color="auto" w:fill="ffffff" w:themeFill="background1"/>
        </w:rPr>
        <w:t xml:space="preserve">рядке передоверия,</w:t>
      </w:r>
      <w:r>
        <w:t xml:space="preserve"> от имени организации, полномочия которых подтверждены соответствующими документами.</w:t>
      </w:r>
      <w:r/>
    </w:p>
    <w:p>
      <w:pPr>
        <w:pStyle w:val="1146"/>
        <w:ind w:firstLine="567"/>
      </w:pPr>
      <w:r>
        <w:rPr>
          <w:b/>
          <w:bCs/>
        </w:rPr>
        <w:t xml:space="preserve">Участник</w:t>
      </w:r>
      <w:r>
        <w:t xml:space="preserve"> – любое юридическое лицо или несколько юридических лиц, выступающих на стороне одного участника закупки, независимо от организационно-правовой ф</w:t>
      </w:r>
      <w:r>
        <w:t xml:space="preserve">ормы, формы собственности, места нахождения и места происхождения капитала (за исключением юридического лица, являющегося иностранным агентом в соответствии с Законом 255-ФЗ), либо любое физическое лицо или несколько физических лиц, выступающих на стороне </w:t>
      </w:r>
      <w:r>
        <w:t xml:space="preserve">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 (за исключением физического лица, являющегося иностранным агентом в соответствии с Законом 2</w:t>
      </w:r>
      <w:r>
        <w:t xml:space="preserve">55-ФЗ), выразившее заинтересованность в участии в закупке (посредством получения Документации о закупке, направления запроса о разъяснении Документации о закупке, внесения обеспечения заявки или подачи заявки на участие в закупке).</w:t>
      </w:r>
      <w:r/>
    </w:p>
    <w:p>
      <w:pPr>
        <w:pStyle w:val="1140"/>
      </w:pPr>
      <w:r/>
      <w:bookmarkStart w:id="4" w:name="_Ref125359988"/>
      <w:r/>
      <w:bookmarkStart w:id="5" w:name="_Toc228976077"/>
      <w:r>
        <w:t xml:space="preserve">Основные сведения о заку</w:t>
      </w:r>
      <w:r>
        <w:t xml:space="preserve">пке</w:t>
      </w:r>
      <w:bookmarkEnd w:id="4"/>
      <w:r/>
      <w:bookmarkEnd w:id="5"/>
      <w:r/>
      <w:r/>
    </w:p>
    <w:p>
      <w:pPr>
        <w:pStyle w:val="1141"/>
      </w:pPr>
      <w:r/>
      <w:bookmarkStart w:id="6" w:name="_Toc228976078"/>
      <w:r>
        <w:t xml:space="preserve">Статус настоящего раздела</w:t>
      </w:r>
      <w:bookmarkEnd w:id="6"/>
      <w:r/>
      <w:r/>
    </w:p>
    <w:p>
      <w:pPr>
        <w:pStyle w:val="1142"/>
      </w:pPr>
      <w:r>
        <w:t xml:space="preserve">В настоящем разделе содержатся основные сведения о предмете, способе и иных ключевых условиях проводимой закупки.</w:t>
      </w:r>
      <w:r/>
    </w:p>
    <w:p>
      <w:pPr>
        <w:pStyle w:val="1142"/>
      </w:pPr>
      <w:r>
        <w:t xml:space="preserve">Здесь и далее все используемые </w:t>
      </w:r>
      <w:r>
        <w:t xml:space="preserve">ссылки относятся к соответствующим пунктам, разделам и подразделам Документации о закупке, если прямо не указано иное; ссылки на приложения относятся к соответствующим приложениям к Документации о закупке, если прямо не указано иное. Ссылки на статьи, пунк</w:t>
      </w:r>
      <w:r>
        <w:t xml:space="preserve">ты и разделы, используемые в </w:t>
      </w:r>
      <w:hyperlink w:tooltip="#Прил01_ТехТребования" w:anchor="Прил01_ТехТребования" w:history="1">
        <w:r>
          <w:rPr>
            <w:rStyle w:val="1170"/>
          </w:rPr>
          <w:t xml:space="preserve">Технических требованиях (Приложение № 1)</w:t>
        </w:r>
      </w:hyperlink>
      <w:r>
        <w:rPr>
          <w:rStyle w:val="1170"/>
        </w:rPr>
        <w:t xml:space="preserve">,</w:t>
      </w:r>
      <w:r>
        <w:t xml:space="preserve"> в </w:t>
      </w:r>
      <w:hyperlink w:tooltip="#Прил02_ПроектДоговора" w:anchor="Прил02_ПроектДоговора" w:history="1">
        <w:r>
          <w:rPr>
            <w:rStyle w:val="1170"/>
          </w:rPr>
          <w:t xml:space="preserve">Проекте договора (Приложение № 2)</w:t>
        </w:r>
      </w:hyperlink>
      <w:r>
        <w:t xml:space="preserve"> и иных прилож</w:t>
      </w:r>
      <w:r>
        <w:t xml:space="preserve">ениях к Документации о закупке, относятся соответственно к статьям, пунктам и разделам этих приложений к Документации о закупке. Все приложения к Документации о закупке являются ее неотъемлемыми частями.</w:t>
      </w:r>
      <w:r/>
    </w:p>
    <w:p>
      <w:pPr>
        <w:pStyle w:val="1142"/>
      </w:pPr>
      <w:r/>
      <w:bookmarkStart w:id="7" w:name="_Ref136768031"/>
      <w:r>
        <w:t xml:space="preserve">Информация о проводимой закупке, указанная в подразд</w:t>
      </w:r>
      <w:r>
        <w:t xml:space="preserve">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в объеме, определенном частью 9 статьи 4 Закона 223-ФЗ, составляет Извещение о закупке.</w:t>
      </w:r>
      <w:bookmarkEnd w:id="7"/>
      <w:r/>
      <w:r/>
    </w:p>
    <w:p>
      <w:pPr>
        <w:pStyle w:val="1141"/>
        <w:spacing w:after="120"/>
      </w:pPr>
      <w:r/>
      <w:bookmarkStart w:id="8" w:name="_Ref125359973"/>
      <w:r/>
      <w:bookmarkStart w:id="9" w:name="_Ref127270076"/>
      <w:r/>
      <w:bookmarkStart w:id="10" w:name="_Toc228976079"/>
      <w:r>
        <w:t xml:space="preserve">Информация о проводимой закупке</w:t>
      </w:r>
      <w:bookmarkEnd w:id="8"/>
      <w:r/>
      <w:bookmarkEnd w:id="9"/>
      <w:r/>
      <w:bookmarkEnd w:id="10"/>
      <w:r/>
      <w:r/>
    </w:p>
    <w:tbl>
      <w:tblPr>
        <w:tblStyle w:val="1167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2976"/>
        <w:gridCol w:w="6520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Наименование пункта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Содержан</w:t>
            </w:r>
            <w:r>
              <w:t xml:space="preserve">ие пункта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11" w:name="_Ref125360980"/>
            <w:r/>
            <w:bookmarkEnd w:id="11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Способ закупки: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Запрос предложений в электронной форме.</w:t>
            </w:r>
            <w:r/>
          </w:p>
        </w:tc>
      </w:tr>
      <w:tr>
        <w:tblPrEx/>
        <w:trPr>
          <w:trHeight w:val="1795"/>
        </w:trPr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12" w:name="_Ref125360996"/>
            <w:r/>
            <w:bookmarkEnd w:id="12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Предмет Договора</w:t>
            </w:r>
            <w:r>
              <w:br/>
              <w:t xml:space="preserve">(в том числе номер лота):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Лот № </w:t>
            </w:r>
            <w:r>
              <w:rPr>
                <w:rFonts w:cs="Times New Roman"/>
                <w:sz w:val="24"/>
                <w:szCs w:val="24"/>
                <w:highlight w:val="white"/>
              </w:rPr>
              <w:t xml:space="preserve">41026020-ЭКСП ПРОД-2026-ДГК-ХТС</w:t>
            </w:r>
            <w:r>
              <w:t xml:space="preserve">:</w:t>
            </w:r>
            <w:r/>
          </w:p>
          <w:p>
            <w:pPr>
              <w:pStyle w:val="1146"/>
            </w:pPr>
            <w:r>
              <w:t xml:space="preserve">ОКПД2 71.11.31.000 Оказание услуг по проведению топографической съемки реконструируемых участков теплотрасс для Хабаровских тепловых сетей, в г. Хабаровске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13" w:name="_Ref135729276"/>
            <w:r/>
            <w:bookmarkEnd w:id="13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Описание</w:t>
            </w:r>
            <w:r>
              <w:br/>
              <w:t xml:space="preserve">предмета закупки: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Подробное описание предмета закупки, в том числе функциональные характеристики (потребительские свойства), технические и качественные характеристики, а также эксплу</w:t>
            </w:r>
            <w:r>
              <w:t xml:space="preserve">атационные характеристики (при необходимости) предмета закупки, информация о количестве поставляемого товара, объема выполняемых работ, оказываемых услуг, а также место поставки товара, выполнения работы, оказания услуги, содержится в </w:t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Технических требованиях (Приложении № 1)</w:t>
              </w:r>
            </w:hyperlink>
            <w:r>
              <w:t xml:space="preserve">, в части требований, обусловленных законодательством о национальном режиме дополнительно в Структуре НМЦ (в составе Коммерческого предложения (форма 3)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)).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14" w:name="_Ref125367124"/>
            <w:r/>
            <w:bookmarkEnd w:id="14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Многолотовая</w:t>
            </w:r>
            <w:r>
              <w:t xml:space="preserve"> закупка: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Нет.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15" w:name="_Ref125360764"/>
            <w:r/>
            <w:bookmarkEnd w:id="15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Наименование и адрес ЭП, на которой проводится закупка: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  <w:rPr>
                <w:szCs w:val="26"/>
              </w:rPr>
            </w:pPr>
            <w:r>
              <w:rPr>
                <w:szCs w:val="26"/>
              </w:rPr>
              <w:t xml:space="preserve">Электронная площадка: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pStyle w:val="1146"/>
              <w:rPr>
                <w:szCs w:val="26"/>
              </w:rPr>
            </w:pPr>
            <w:r>
              <w:rPr>
                <w:szCs w:val="26"/>
              </w:rPr>
              <w:t xml:space="preserve">https://rushydro.roseltorg.ru/  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pStyle w:val="1146"/>
              <w:rPr>
                <w:szCs w:val="26"/>
              </w:rPr>
            </w:pPr>
            <w:r>
              <w:rPr>
                <w:szCs w:val="26"/>
              </w:rPr>
              <w:t xml:space="preserve">Регламент ЕЭТП </w:t>
            </w:r>
            <w:r>
              <w:rPr>
                <w:szCs w:val="26"/>
              </w:rPr>
              <w:t xml:space="preserve">Росэлторг</w:t>
            </w:r>
            <w:r>
              <w:rPr>
                <w:szCs w:val="26"/>
              </w:rPr>
              <w:t xml:space="preserve">, в соответствии с которым проводится закупка, размещен по адресу: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  <w:p>
            <w:pPr>
              <w:pStyle w:val="1146"/>
              <w:rPr>
                <w:szCs w:val="26"/>
              </w:rPr>
            </w:pPr>
            <w:r>
              <w:rPr>
                <w:szCs w:val="26"/>
              </w:rPr>
              <w:t xml:space="preserve">https://www.roseltorg.ru/knowledge_db/docs/documents</w:t>
            </w:r>
            <w:r>
              <w:rPr>
                <w:szCs w:val="26"/>
              </w:rPr>
            </w:r>
            <w:r>
              <w:rPr>
                <w:szCs w:val="26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16" w:name="_Ref125360970"/>
            <w:r/>
            <w:bookmarkEnd w:id="16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Участники: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Участвовать в закупке могут любые лица, заинтересованные в предмете закупки.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17" w:name="_Ref125360988"/>
            <w:r/>
            <w:bookmarkEnd w:id="17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Заказчик: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Наименование (полное и сокращенное</w:t>
            </w:r>
            <w:r>
              <w:t xml:space="preserve">): Акционерного общества «Дальневосточная генерирующая компания» (АО «ДГК»)</w:t>
            </w:r>
            <w:r/>
          </w:p>
          <w:p>
            <w:pPr>
              <w:pStyle w:val="1146"/>
            </w:pPr>
            <w:r>
              <w:t xml:space="preserve">Место нахождения: 680000, г. Хабаровск, ул. Фрунзе, д. 49</w:t>
            </w:r>
            <w:r/>
          </w:p>
          <w:p>
            <w:pPr>
              <w:pStyle w:val="1146"/>
            </w:pPr>
            <w:r>
              <w:t xml:space="preserve">Почтовый адрес: 680000, г. Хабаровск, ул. Фрунзе, д. 49</w:t>
            </w:r>
            <w:r/>
          </w:p>
          <w:p>
            <w:pPr>
              <w:pStyle w:val="1146"/>
            </w:pPr>
            <w:r>
              <w:t xml:space="preserve">Адрес электронной почты: dgk@dgk.ru</w:t>
            </w:r>
            <w:r/>
          </w:p>
          <w:p>
            <w:pPr>
              <w:pStyle w:val="1146"/>
            </w:pPr>
            <w:r>
              <w:t xml:space="preserve">Контактный телефон: +7 (4212) </w:t>
            </w:r>
            <w:r>
              <w:t xml:space="preserve">26-42-54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18" w:name="_Ref125360954"/>
            <w:r/>
            <w:bookmarkEnd w:id="18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Организатор: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Наименование (полное и сокращенное): Акционерного общества «Дальневосточная генерирующая компания» (АО «ДГК»)</w:t>
            </w:r>
            <w:r/>
          </w:p>
          <w:p>
            <w:pPr>
              <w:pStyle w:val="1146"/>
            </w:pPr>
            <w:r>
              <w:t xml:space="preserve">Место нахождения: 680000, г. Хабаровск, ул. Фрунзе, д. 49</w:t>
            </w:r>
            <w:r/>
          </w:p>
          <w:p>
            <w:pPr>
              <w:pStyle w:val="1146"/>
            </w:pPr>
            <w:r>
              <w:t xml:space="preserve">Почтовый адрес: 680000, г. Хабаровск, ул. Фрунзе, д. 49</w:t>
            </w:r>
            <w:r/>
          </w:p>
          <w:p>
            <w:pPr>
              <w:pStyle w:val="1146"/>
            </w:pPr>
            <w:r>
              <w:t xml:space="preserve">Адрес электронной почты: dgk@dgk.ru</w:t>
            </w:r>
            <w:r/>
          </w:p>
          <w:p>
            <w:pPr>
              <w:pStyle w:val="1146"/>
            </w:pPr>
            <w:r>
              <w:t xml:space="preserve">Контактный телефон: +7 (4212) 26-42-54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19" w:name="_Ref125361238"/>
            <w:r/>
            <w:bookmarkEnd w:id="19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Представитель Организатора: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Контактное лицо (Ф.И.О.): Корнева Оксана Андреевна</w:t>
            </w:r>
            <w:r/>
          </w:p>
          <w:p>
            <w:pPr>
              <w:pStyle w:val="1146"/>
            </w:pPr>
            <w:r>
              <w:t xml:space="preserve">Контактный телефон: +7 (4212) 26-46-23</w:t>
            </w:r>
            <w:r/>
          </w:p>
          <w:p>
            <w:pPr>
              <w:pStyle w:val="1146"/>
            </w:pPr>
            <w:r>
              <w:t xml:space="preserve">Адрес электронной почты: </w:t>
            </w:r>
            <w:r>
              <w:t xml:space="preserve">korneva-oa@dgk.ru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20" w:name="_Ref125362694"/>
            <w:r/>
            <w:bookmarkEnd w:id="20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Официальный ис</w:t>
            </w:r>
            <w:r>
              <w:t xml:space="preserve">точник размещения информации о проведении закупки / срок, место и порядок предоставления Документации о закупке: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Документация о закупке официально размещена в ЕИС и доступна на Официальном сайте для ознакомления любым заинтересованным лицам. Официальным ис</w:t>
            </w:r>
            <w:r>
              <w:t xml:space="preserve">точником информации о ходе проведения закупки является Официальный сайт (zakupki.gov.ru).</w:t>
            </w:r>
            <w:r/>
          </w:p>
          <w:p>
            <w:pPr>
              <w:pStyle w:val="1146"/>
            </w:pPr>
            <w:r>
              <w:t xml:space="preserve">Документация о закупке доступна (без взимания платы) в форме электронного документа в любое время с момента официального размещения Извещения. Предоставление Документ</w:t>
            </w:r>
            <w:r>
              <w:t xml:space="preserve">ации о закупке на бумажном носителе не предусмотрено.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21" w:name="_Ref125360963"/>
            <w:r/>
            <w:bookmarkEnd w:id="21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Дата размещения Извещения о проведении закупки: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«05» августа 2026 г.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22" w:name="_Ref125362837"/>
            <w:r/>
            <w:bookmarkEnd w:id="22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Начальная (максимальная) цена договора (цена лота):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НМЦ составляет 859 098,36 руб., без учета НДС.</w:t>
            </w:r>
            <w:r/>
          </w:p>
          <w:p>
            <w:pPr>
              <w:pStyle w:val="1146"/>
            </w:pPr>
            <w:r>
              <w:t xml:space="preserve">Обоснование НМЦ представлено в </w:t>
            </w:r>
            <w:hyperlink w:tooltip="#Прил09_ОбоснованиеНМЦ" w:anchor="Прил09_ОбоснованиеНМЦ" w:history="1">
              <w:r>
                <w:rPr>
                  <w:rStyle w:val="1170"/>
                </w:rPr>
                <w:t xml:space="preserve">Приложении № 9</w:t>
              </w:r>
            </w:hyperlink>
            <w:r>
              <w:t xml:space="preserve">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23" w:name="_Ref125363076"/>
            <w:r/>
            <w:bookmarkEnd w:id="23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Обеспечение заявки на участие в закупке: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Не требуется.</w:t>
            </w:r>
            <w:r/>
          </w:p>
          <w:p>
            <w:pPr>
              <w:pStyle w:val="1146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1146"/>
              <w:rPr>
                <w:highlight w:val="none"/>
              </w:rPr>
            </w:pPr>
            <w:r>
              <w:t xml:space="preserve">Внимание! Для того, чтобы иметь возможность подать заявку на участие в закупке, в соответствии с Регламентом ЭП на индивидуальный счет Участника, открытом ему Оператором ЭП, должна быть внесена сумма в размере не менее установленной платы, в </w:t>
            </w:r>
            <w:r>
              <w:t xml:space="preserve">соответствии с тарифами Оператора ЭП.</w:t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24" w:name="_Ref125362995"/>
            <w:r/>
            <w:bookmarkEnd w:id="24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Требования</w:t>
            </w:r>
            <w:r>
              <w:br/>
              <w:t xml:space="preserve">к описанию продукции: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Согласие (декларация) Участника на поставку продукции по установленной форме Технического предложения (форма 4)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</w:t>
              </w:r>
              <w:r>
                <w:rPr>
                  <w:rStyle w:val="1170"/>
                </w:rPr>
                <w:t xml:space="preserve">ние № 4</w:t>
              </w:r>
            </w:hyperlink>
            <w:r>
              <w:t xml:space="preserve">) на условиях, указанных в Документации о закупке и не подлежащих изменению по результатам проведения закупки, без направления Участником собственных подробных предложений.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Применение законодательства о национальном режиме: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Национальный режим пред</w:t>
            </w:r>
            <w:r>
              <w:t xml:space="preserve">оставляется.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25" w:name="_Ref125533737"/>
            <w:r/>
            <w:bookmarkEnd w:id="25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r>
              <w:t xml:space="preserve">Возможность подачи альтернативных предложений: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Не предусмотрена.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26" w:name="_Ref125475086"/>
            <w:r/>
            <w:bookmarkEnd w:id="26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Место и порядок подачи заявок: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Заявки подаются посредством функционала ЭП, по адресу ЭП, указанному в пункте </w:t>
            </w:r>
            <w:r>
              <w:fldChar w:fldCharType="begin"/>
            </w:r>
            <w:r>
              <w:instrText xml:space="preserve"> REF _Ref125360764 \r \h  \* MERGEFORMAT </w:instrText>
            </w:r>
            <w:r>
              <w:fldChar w:fldCharType="separate"/>
            </w:r>
            <w:r>
              <w:t xml:space="preserve">1.2.5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27" w:name="_Ref125360779"/>
            <w:r/>
            <w:bookmarkEnd w:id="27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Дата начала; дата и время окончания срока подачи заявок: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Дата начала подачи заявок:</w:t>
            </w:r>
            <w:r/>
          </w:p>
          <w:p>
            <w:pPr>
              <w:pStyle w:val="1146"/>
              <w:rPr>
                <w:b/>
                <w:bCs/>
              </w:rPr>
            </w:pPr>
            <w:r>
              <w:rPr>
                <w:b/>
                <w:bCs/>
              </w:rPr>
              <w:t xml:space="preserve">«05» августа 2026 г.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146"/>
            </w:pPr>
            <w:r>
              <w:t xml:space="preserve">Дата и время окончания срока подачи заявок:</w:t>
            </w:r>
            <w:r/>
          </w:p>
          <w:p>
            <w:pPr>
              <w:pStyle w:val="1146"/>
              <w:rPr>
                <w:b/>
                <w:bCs/>
              </w:rPr>
            </w:pPr>
            <w:r>
              <w:rPr>
                <w:b/>
                <w:bCs/>
              </w:rPr>
              <w:t xml:space="preserve">«17» августа 2026 г. в 16 ч. 00 мин.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146"/>
            </w:pPr>
            <w:r>
              <w:t xml:space="preserve">(по мест</w:t>
            </w:r>
            <w:r>
              <w:t xml:space="preserve">ному времени Организатора).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Срок предоставления Участникам разъяснений Документации о закупке: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Дата и время окончания срока предоставления разъяснений:</w:t>
            </w:r>
            <w:r/>
          </w:p>
          <w:p>
            <w:pPr>
              <w:pStyle w:val="1146"/>
              <w:rPr>
                <w:b/>
                <w:bCs/>
              </w:rPr>
            </w:pPr>
            <w:r>
              <w:rPr>
                <w:b/>
                <w:bCs/>
              </w:rPr>
              <w:t xml:space="preserve">«17» августа</w:t>
            </w:r>
            <w:r>
              <w:rPr>
                <w:b/>
                <w:bCs/>
              </w:rPr>
              <w:t xml:space="preserve"> 2026 г. в 16 ч. 00 мин.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146"/>
              <w:rPr>
                <w:b/>
                <w:bCs/>
              </w:rPr>
            </w:pPr>
            <w:r>
              <w:rPr>
                <w:b/>
                <w:bCs/>
              </w:rPr>
              <w:t xml:space="preserve">(по местному времени Организатора).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1146"/>
            </w:pPr>
            <w:r>
              <w:t xml:space="preserve">Организатор вправе не предоставл</w:t>
            </w:r>
            <w:r>
              <w:t xml:space="preserve">ять разъяснение, если запрос от Участника поступил позднее чем за 3 (три) рабочих дня до даты окончания срока подачи заявок, установленной в пункте </w:t>
            </w:r>
            <w:r>
              <w:fldChar w:fldCharType="begin"/>
            </w:r>
            <w:r>
              <w:instrText xml:space="preserve"> REF _Ref125360779 \r \h  \* MERGEFORMAT </w:instrText>
            </w:r>
            <w:r>
              <w:fldChar w:fldCharType="separate"/>
            </w:r>
            <w:r>
              <w:t xml:space="preserve">1.2.18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28" w:name="_Ref125476197"/>
            <w:r/>
            <w:bookmarkEnd w:id="28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Место открытия</w:t>
            </w:r>
            <w:r>
              <w:br/>
              <w:t xml:space="preserve">доступа к заявкам: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Открытие доступа к заявкам осуществляется автоматически на ЭП, расположенной по адресу согласно пункту </w:t>
            </w:r>
            <w:r>
              <w:fldChar w:fldCharType="begin"/>
            </w:r>
            <w:r>
              <w:instrText xml:space="preserve"> REF _Ref125360764 \r \h  \* MERGEFORMAT </w:instrText>
            </w:r>
            <w:r>
              <w:fldChar w:fldCharType="separate"/>
            </w:r>
            <w:r>
              <w:t xml:space="preserve">1.2.5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29" w:name="_Ref125362733"/>
            <w:r/>
            <w:bookmarkEnd w:id="29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Дата окончания рассмотрения заявок: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  <w:rPr>
                <w:b/>
                <w:bCs/>
              </w:rPr>
            </w:pPr>
            <w:r>
              <w:rPr>
                <w:b/>
                <w:bCs/>
              </w:rPr>
              <w:t xml:space="preserve">«31» августа 2026 г.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Возможность проведения процедуры переторжки: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Не предусмотрено.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30" w:name="_Ref125362757"/>
            <w:r/>
            <w:bookmarkEnd w:id="30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Дата подведения</w:t>
            </w:r>
            <w:r>
              <w:br/>
              <w:t xml:space="preserve">итогов закупки: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  <w:rPr>
                <w:b/>
                <w:bCs/>
              </w:rPr>
            </w:pPr>
            <w:r>
              <w:rPr>
                <w:b/>
                <w:bCs/>
              </w:rPr>
              <w:t xml:space="preserve">«31» августа 2026 г.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31" w:name="_Ref125366047"/>
            <w:r/>
            <w:bookmarkEnd w:id="31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Преференц</w:t>
            </w:r>
            <w:r>
              <w:t xml:space="preserve">ия продукции, изготовленной с использованием российского алюминия и (или) алюминиевых полуфабрикатов: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Не предоставляется.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32" w:name="_Ref125361769"/>
            <w:r/>
            <w:bookmarkEnd w:id="32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Рассмотрение, оценка и сопоставление заявок Участников с учетом привлекаемых субподрядчиков: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Не предусмотрено.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Порядок подведения</w:t>
            </w:r>
            <w:r>
              <w:br/>
            </w:r>
            <w:r>
              <w:t xml:space="preserve">итогов закупки: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Победителем закупки признается Участник, заявка которого соответствует требованиям Документации о </w:t>
            </w:r>
            <w:r>
              <w:t xml:space="preserve">закупке и содержит лучшие условия исполнения Договора на основании установленных критериев оценки согласно Документации о закупке.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33" w:name="_Ref125366606"/>
            <w:r/>
            <w:bookmarkEnd w:id="33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Количество победителей закупки (в рамках одного лота):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Один победитель.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34" w:name="_Ref125533374"/>
            <w:r/>
            <w:bookmarkEnd w:id="34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Форма заключения Договора: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В бумажной или электронной форме (подробный порядок заключения Договора содержится в разделе </w:t>
            </w:r>
            <w:r>
              <w:fldChar w:fldCharType="begin"/>
            </w:r>
            <w:r>
              <w:instrText xml:space="preserve"> REF _Ref126142429 \r \h </w:instrText>
            </w:r>
            <w:r>
              <w:fldChar w:fldCharType="separate"/>
            </w:r>
            <w:r>
              <w:t xml:space="preserve">5</w:t>
            </w:r>
            <w:r>
              <w:fldChar w:fldCharType="end"/>
            </w:r>
            <w:r>
              <w:t xml:space="preserve">).</w:t>
            </w:r>
            <w:r/>
          </w:p>
          <w:p>
            <w:pPr>
              <w:pStyle w:val="1146"/>
            </w:pPr>
            <w:r>
              <w:t xml:space="preserve">Если договор будет заключаться в электронной форме посредством информационной системы электронного документооборота АО «ПФ «СКБ Контур» с использованием </w:t>
            </w:r>
            <w:r>
              <w:t xml:space="preserve">web</w:t>
            </w:r>
            <w:r>
              <w:t xml:space="preserve">-решения </w:t>
            </w:r>
            <w:r>
              <w:t xml:space="preserve">Диадок</w:t>
            </w:r>
            <w:r>
              <w:t xml:space="preserve"> (https://diadoc.kontur.ru), то Победителю будет н</w:t>
            </w:r>
            <w:r>
              <w:t xml:space="preserve">еобходимо заключить соглашение с оператором информационной системы электронного документооборота, посредством которой Победитель будет осуществлять обмен договорными документами в электронной форме. Для заключения договора необходимо наличие у Победителя у</w:t>
            </w:r>
            <w:r>
              <w:t xml:space="preserve">силенной квалифицированной электронной подписи, выданной аккредитованным удостоверяющим центром. Победителю будет необходимо принять приглашение о переходе на электронный юридически значимый документооборот посредством акцепта полученного от используемой З</w:t>
            </w:r>
            <w:r>
              <w:t xml:space="preserve">аказчиком системы электронного документооборота соответствующего соглашения, направленного Заказчиком.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35" w:name="_Ref125366813"/>
            <w:r/>
            <w:bookmarkEnd w:id="35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Место подачи документов в отношении цепочки собственников, включая конечных бенефициаров: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  <w:keepNext/>
            </w:pPr>
            <w:r>
              <w:t xml:space="preserve">Для подачи документов в бумажной форме:</w:t>
            </w:r>
            <w:r/>
          </w:p>
          <w:p>
            <w:pPr>
              <w:pStyle w:val="1146"/>
              <w:keepNext/>
            </w:pPr>
            <w:r>
              <w:t xml:space="preserve">Контактное лицо (Ф.И.О.):</w:t>
            </w:r>
            <w:r/>
          </w:p>
          <w:p>
            <w:pPr>
              <w:pStyle w:val="1146"/>
            </w:pPr>
            <w:r>
              <w:t xml:space="preserve">Ведущий специалист Диспетчерской службы</w:t>
            </w:r>
            <w:r>
              <w:t xml:space="preserve"> СП «Хабаровские тепловые сети» Гнедошенко Дарья Андреевна</w:t>
            </w:r>
            <w:r/>
          </w:p>
          <w:p>
            <w:pPr>
              <w:pStyle w:val="1146"/>
              <w:keepNext/>
            </w:pPr>
            <w:r>
              <w:t xml:space="preserve">Почтовый адрес:</w:t>
            </w:r>
            <w:r/>
          </w:p>
          <w:p>
            <w:pPr>
              <w:pStyle w:val="1146"/>
            </w:pPr>
            <w:r>
              <w:t xml:space="preserve">680000, Хабаровский край, г. Хабаровск, ул. Флегонтова 13а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bookmarkStart w:id="37" w:name="_Ref125368490"/>
            <w:r/>
            <w:bookmarkEnd w:id="37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Некритичные пункты Проекта договора: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Отсутств</w:t>
            </w:r>
            <w:r>
              <w:t xml:space="preserve">уют.</w:t>
            </w:r>
            <w:r/>
          </w:p>
          <w:p>
            <w:pPr>
              <w:pStyle w:val="1146"/>
            </w:pPr>
            <w:r>
              <w:t xml:space="preserve">Внимание! Корректировка пунктов Проекта договора, не указанных в настоящем разделе, не допускается. Договор заключается в редакции </w:t>
            </w:r>
            <w:hyperlink w:tooltip="#Прил02_ПроектДоговора" w:anchor="Прил02_ПроектДоговора" w:history="1">
              <w:r>
                <w:rPr>
                  <w:rStyle w:val="1170"/>
                </w:rPr>
                <w:t xml:space="preserve">Приложения № 2</w:t>
              </w:r>
            </w:hyperlink>
            <w:r>
              <w:t xml:space="preserve">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2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46"/>
              <w:jc w:val="left"/>
            </w:pPr>
            <w:r>
              <w:t xml:space="preserve">Обеспечение</w:t>
            </w:r>
            <w:r>
              <w:br/>
              <w:t xml:space="preserve">исполнения Договора: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46"/>
            </w:pPr>
            <w:r>
              <w:t xml:space="preserve">Не требуется.</w:t>
            </w:r>
            <w:r/>
          </w:p>
        </w:tc>
      </w:tr>
    </w:tbl>
    <w:p>
      <w:pPr>
        <w:pStyle w:val="1140"/>
      </w:pPr>
      <w:r/>
      <w:bookmarkStart w:id="38" w:name="_Ref125360073"/>
      <w:r/>
      <w:bookmarkStart w:id="39" w:name="_Ref125360337"/>
      <w:r/>
      <w:bookmarkStart w:id="40" w:name="_Toc228976080"/>
      <w:r>
        <w:t xml:space="preserve">Общие положения</w:t>
      </w:r>
      <w:bookmarkEnd w:id="38"/>
      <w:r/>
      <w:bookmarkEnd w:id="39"/>
      <w:r/>
      <w:bookmarkEnd w:id="40"/>
      <w:r/>
      <w:r/>
    </w:p>
    <w:p>
      <w:pPr>
        <w:pStyle w:val="1141"/>
      </w:pPr>
      <w:r/>
      <w:bookmarkStart w:id="41" w:name="_Toc228976081"/>
      <w:r>
        <w:t xml:space="preserve">Общие сведения о закупке</w:t>
      </w:r>
      <w:bookmarkEnd w:id="41"/>
      <w:r/>
      <w:r/>
    </w:p>
    <w:p>
      <w:pPr>
        <w:pStyle w:val="1142"/>
      </w:pPr>
      <w:r>
        <w:t xml:space="preserve">Организатор официально размещенным Извещением приглашает лиц,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к участию в закупке на право заключения договора, предмет которого указан в том же подразделе.</w:t>
      </w:r>
      <w:r/>
    </w:p>
    <w:p>
      <w:pPr>
        <w:pStyle w:val="1142"/>
      </w:pPr>
      <w:r>
        <w:t xml:space="preserve">Требования к Участникам, а также к документам, подтверждающим соответствие установленным требов</w:t>
      </w:r>
      <w:r>
        <w:t xml:space="preserve">аниям, приведены в разделе </w:t>
      </w:r>
      <w:r>
        <w:fldChar w:fldCharType="begin"/>
      </w:r>
      <w:r>
        <w:instrText xml:space="preserve"> REF _Ref125361210 \r \h </w:instrText>
      </w:r>
      <w:r>
        <w:fldChar w:fldCharType="separate"/>
      </w:r>
      <w:r>
        <w:t xml:space="preserve">3</w:t>
      </w:r>
      <w:r>
        <w:fldChar w:fldCharType="end"/>
      </w:r>
      <w:r>
        <w:t xml:space="preserve"> Документации о закупке.</w:t>
      </w:r>
      <w:r/>
    </w:p>
    <w:p>
      <w:pPr>
        <w:pStyle w:val="1142"/>
      </w:pPr>
      <w:r>
        <w:t xml:space="preserve">Требования к поставляемой продукции, включая срок, объем и место поставки продукции, изложены в </w:t>
      </w:r>
      <w:hyperlink w:tooltip="#Прил01_ТехТребования" w:anchor="Прил01_ТехТребования" w:history="1">
        <w:r>
          <w:rPr>
            <w:rStyle w:val="1170"/>
          </w:rPr>
          <w:t xml:space="preserve">Технических требованиях (Приложение № 1)</w:t>
        </w:r>
      </w:hyperlink>
      <w:r>
        <w:t xml:space="preserve">. </w:t>
      </w:r>
      <w:hyperlink w:tooltip="#Прил02_ПроектДоговора" w:anchor="Прил02_ПроектДоговора" w:history="1">
        <w:r>
          <w:rPr>
            <w:rStyle w:val="1170"/>
          </w:rPr>
          <w:t xml:space="preserve">Проект договора</w:t>
        </w:r>
      </w:hyperlink>
      <w:r>
        <w:t xml:space="preserve">, который планируется заключить по результатам закупки, в том числе содержащий</w:t>
      </w:r>
      <w:r>
        <w:t xml:space="preserve"> условия по форме, срокам и порядку оплаты, приведен в </w:t>
      </w:r>
      <w:hyperlink w:tooltip="#Прил02_ПроектДоговора" w:anchor="Прил02_ПроектДоговора" w:history="1">
        <w:r>
          <w:rPr>
            <w:rStyle w:val="1170"/>
          </w:rPr>
          <w:t xml:space="preserve">Приложении № 2</w:t>
        </w:r>
      </w:hyperlink>
      <w:r>
        <w:t xml:space="preserve">. 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национальный режим не предоставляется, то требования к закупаемой продукции (в части страны происхождения товара) также могут быть установлены в Структуре НМЦ (в составе Коммерческого предложения (форма 3)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)).</w:t>
      </w:r>
      <w:r/>
    </w:p>
    <w:p>
      <w:pPr>
        <w:pStyle w:val="1142"/>
      </w:pPr>
      <w:r>
        <w:t xml:space="preserve">Подробная информация о порядке проведения закупки и участия в ней, а также о порядке заключения Договора, приведены в разделах </w:t>
      </w:r>
      <w:r>
        <w:fldChar w:fldCharType="begin"/>
      </w:r>
      <w:r>
        <w:instrText xml:space="preserve"> REF _Ref125361211 \r \h </w:instrText>
      </w:r>
      <w:r>
        <w:fldChar w:fldCharType="separate"/>
      </w:r>
      <w:r>
        <w:t xml:space="preserve">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, образцы основных форм документов, включаемых в заявку или предоставляемых Победителем, приведены в Приложениях </w:t>
      </w:r>
      <w:hyperlink w:tooltip="#Прил04_ФормыЗаявки" w:anchor="Прил04_ФормыЗаявки" w:history="1">
        <w:r>
          <w:rPr>
            <w:rStyle w:val="1170"/>
          </w:rPr>
          <w:t xml:space="preserve">№ 4</w:t>
        </w:r>
      </w:hyperlink>
      <w:r>
        <w:t xml:space="preserve">, </w:t>
      </w:r>
      <w:hyperlink w:tooltip="#Прил05_ФормыПобедителя" w:anchor="Прил05_ФормыПобедителя" w:history="1">
        <w:r>
          <w:rPr>
            <w:rStyle w:val="1170"/>
          </w:rPr>
          <w:t xml:space="preserve">№ 5</w:t>
        </w:r>
      </w:hyperlink>
      <w:r>
        <w:t xml:space="preserve">.</w:t>
      </w:r>
      <w:r/>
    </w:p>
    <w:p>
      <w:pPr>
        <w:pStyle w:val="1141"/>
      </w:pPr>
      <w:r/>
      <w:bookmarkStart w:id="42" w:name="_Toc228976082"/>
      <w:r>
        <w:t xml:space="preserve">Правовой статус документов</w:t>
      </w:r>
      <w:bookmarkEnd w:id="42"/>
      <w:r/>
      <w:r/>
    </w:p>
    <w:p>
      <w:pPr>
        <w:pStyle w:val="1142"/>
      </w:pPr>
      <w:r>
        <w:t xml:space="preserve">Документация о закупке вместе с Извещением, являющимся ее неотъемлемой частью, являются публичной офертой Организатора</w:t>
      </w:r>
      <w:r>
        <w:t xml:space="preserve"> в соответствии со статьей 437 ГК РФ и должны рассматриваться Участниками в соответствии с этим до подведения итогов закупки. При наличии противоречий между положениями Извещения и Документации о закупке применяются положения Извещения.</w:t>
      </w:r>
      <w:r/>
    </w:p>
    <w:p>
      <w:pPr>
        <w:pStyle w:val="1142"/>
      </w:pPr>
      <w:r>
        <w:t xml:space="preserve">Заявка Участника им</w:t>
      </w:r>
      <w:r>
        <w:t xml:space="preserve">еет правовой статус оферты и будет рассматриваться Организатором в течение указанного в ней срока ее действия.</w:t>
      </w:r>
      <w:r/>
    </w:p>
    <w:p>
      <w:pPr>
        <w:pStyle w:val="1142"/>
        <w:keepNext/>
      </w:pPr>
      <w:r/>
      <w:bookmarkStart w:id="43" w:name="_Ref125366985"/>
      <w:r>
        <w:t xml:space="preserve">При определении условий Договора по результатам закупки используется иерархия документов, установленная в пункте </w:t>
      </w:r>
      <w:r>
        <w:fldChar w:fldCharType="begin"/>
      </w:r>
      <w:r>
        <w:instrText xml:space="preserve"> REF _Ref132288402 \r \h </w:instrText>
      </w:r>
      <w:r>
        <w:fldChar w:fldCharType="separate"/>
      </w:r>
      <w:r>
        <w:t xml:space="preserve">5.2.9</w:t>
      </w:r>
      <w:r>
        <w:fldChar w:fldCharType="end"/>
      </w:r>
      <w:bookmarkEnd w:id="43"/>
      <w:r>
        <w:t xml:space="preserve">.</w:t>
      </w:r>
      <w:r/>
    </w:p>
    <w:p>
      <w:pPr>
        <w:pStyle w:val="1142"/>
      </w:pPr>
      <w:r>
        <w:t xml:space="preserve">Заключенный по результатам закупки Договор, в том числе, фиксирует все достигнутые сторонами в результате преддоговорных переговоров договоренности (при проведении таковых).</w:t>
      </w:r>
      <w:r/>
    </w:p>
    <w:p>
      <w:pPr>
        <w:pStyle w:val="1142"/>
      </w:pPr>
      <w:r>
        <w:t xml:space="preserve">Во всем, что н</w:t>
      </w:r>
      <w:r>
        <w:t xml:space="preserve">е урегулировано Извещением и Документацией о закупке, стороны руководствуются Законом 223-ФЗ и Положением о закупке (в редакции, действующей на дату официального размещения Извещения).</w:t>
      </w:r>
      <w:r/>
    </w:p>
    <w:p>
      <w:pPr>
        <w:pStyle w:val="1142"/>
      </w:pPr>
      <w:r>
        <w:t xml:space="preserve">Если в отношении сторон Договора, заключаемого по результатам закупки, </w:t>
      </w:r>
      <w:r>
        <w:t xml:space="preserve">действуют также специальные нормативные правовые акты, зарегистрированные в установленном порядке, Документация о закупке и заявка Победителя будут считаться приоритетными по отношению к диспозитивным нормам указанных документов.</w:t>
      </w:r>
      <w:r/>
    </w:p>
    <w:p>
      <w:pPr>
        <w:pStyle w:val="1142"/>
      </w:pPr>
      <w:r>
        <w:t xml:space="preserve">Иные документы Организатор</w:t>
      </w:r>
      <w:r>
        <w:t xml:space="preserve">а и Участников не определяют права и обязанности сторон в связи с данной закупкой.</w:t>
      </w:r>
      <w:r/>
    </w:p>
    <w:p>
      <w:pPr>
        <w:pStyle w:val="1142"/>
      </w:pPr>
      <w:r>
        <w:t xml:space="preserve">Любые уведомления, письма, предложения, иная переписка и действия председателя, заместителя председателя, членов, секретаря Закупочной комиссии и иных работников Заказчика и</w:t>
      </w:r>
      <w:r>
        <w:t xml:space="preserve"> Организатора относительно условий, сроков проведения, предмета настоящей закупки (за исключением информации, представляемой Участникам в соответствии с Положением о закупке), носят исключительно информационный характер и не являются офертой либо акцептом </w:t>
      </w:r>
      <w:r>
        <w:t xml:space="preserve">Организатора или Заказчика.</w:t>
      </w:r>
      <w:r/>
    </w:p>
    <w:p>
      <w:pPr>
        <w:pStyle w:val="1141"/>
      </w:pPr>
      <w:r/>
      <w:bookmarkStart w:id="44" w:name="_Ref125363536"/>
      <w:r/>
      <w:bookmarkStart w:id="45" w:name="_Toc228976083"/>
      <w:r>
        <w:t xml:space="preserve">Обжалование</w:t>
      </w:r>
      <w:bookmarkEnd w:id="44"/>
      <w:r/>
      <w:bookmarkEnd w:id="45"/>
      <w:r/>
      <w:r/>
    </w:p>
    <w:p>
      <w:pPr>
        <w:pStyle w:val="1142"/>
      </w:pPr>
      <w:r>
        <w:t xml:space="preserve">Любой Участник, который заявляет, что понес или может понести убытки в результате нарушения его прав Заказчиком и (или) Организатором, отдельными членами Закупочной комиссии или Оператором ЭП, имеет право подать заяв</w:t>
      </w:r>
      <w:r>
        <w:t xml:space="preserve">ление о рассмотрении разногласий, связанных с проведением закупки.</w:t>
      </w:r>
      <w:r/>
    </w:p>
    <w:p>
      <w:pPr>
        <w:pStyle w:val="1142"/>
      </w:pPr>
      <w:r>
        <w:t xml:space="preserve">До заключения Договора с Победителем заявления о рассмотрении разногласий направляются Участниками через круглосуточную «Линию доверия», посредством заполнения специальной формы на корпорат</w:t>
      </w:r>
      <w:r>
        <w:t xml:space="preserve">ивном сайте ПАО «</w:t>
      </w:r>
      <w:r>
        <w:t xml:space="preserve">РусГидро</w:t>
      </w:r>
      <w:r>
        <w:t xml:space="preserve">» (вкладка «Линия доверия»), или сообщения информации по указанному на корпоративном сайте телефону. На время рассмотрения разногласий процедура проведения закупки приостанавливается до вынесения решения, если тому нет явных препят</w:t>
      </w:r>
      <w:r>
        <w:t xml:space="preserve">ствий юридического или экономического характера.</w:t>
      </w:r>
      <w:r/>
    </w:p>
    <w:p>
      <w:pPr>
        <w:pStyle w:val="1142"/>
        <w:keepNext/>
      </w:pPr>
      <w:r>
        <w:t xml:space="preserve">Если разногласия не разрешены по взаимному согласию представившего их Участника и Заказчика, может быть принято одно из следующих решений:</w:t>
      </w:r>
      <w:r/>
    </w:p>
    <w:p>
      <w:pPr>
        <w:pStyle w:val="1143"/>
      </w:pPr>
      <w:r>
        <w:t xml:space="preserve">обязать Заказчика, Организатора, членов Закупочной комиссии, соверши</w:t>
      </w:r>
      <w:r>
        <w:t xml:space="preserve">вших неправомерные действия, применивших неправомерные процедуры либо принявших незаконное решение, совершить действия, соответствующие законодательству и Положению о закупке (в том числе, но не ограничиваясь, отменить составленные в ходе закупки протоколы</w:t>
      </w:r>
      <w:r>
        <w:t xml:space="preserve">, повторно рассмотреть заявки Участников);</w:t>
      </w:r>
      <w:r/>
    </w:p>
    <w:p>
      <w:pPr>
        <w:pStyle w:val="1143"/>
      </w:pPr>
      <w:r>
        <w:t xml:space="preserve">признать заявление Участника необоснованным.</w:t>
      </w:r>
      <w:r/>
    </w:p>
    <w:p>
      <w:pPr>
        <w:pStyle w:val="1142"/>
      </w:pPr>
      <w:r>
        <w:t xml:space="preserve">Участник вправе обжаловать действия (бездействие) Заказчика и (или) Организатора, Закупочной комиссии, Оператора ЭП при проведении настоящей закупки в антимонопольном о</w:t>
      </w:r>
      <w:r>
        <w:t xml:space="preserve">ргане в порядке, установленном законодательством. Если обжалуемые действия (бездействие) совершены после окончания установленного срока подачи заявок (подраздел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обжалование таких действий (бездействия) может осуществляться только Участником, подавшим заявку на участие в такой закупке.</w:t>
      </w:r>
      <w:r/>
    </w:p>
    <w:p>
      <w:pPr>
        <w:pStyle w:val="1142"/>
      </w:pPr>
      <w:r>
        <w:t xml:space="preserve">Все споры и разногласия, возникающие в связи с проведением закупки, касающиеся исполнения Организатором, Заказчи</w:t>
      </w:r>
      <w:r>
        <w:t xml:space="preserve">ком и Участниками своих обязательств, в том числе не урегулированные путем обращения на «Линию доверия» и (или) антимонопольные органы, подлежат разрешению следующим образом:</w:t>
      </w:r>
      <w:r/>
    </w:p>
    <w:p>
      <w:pPr>
        <w:pStyle w:val="1143"/>
      </w:pPr>
      <w:r>
        <w:t xml:space="preserve">по закупкам, проводимым закупочными комиссиями 1-го уровня – в Арбитражном суде п</w:t>
      </w:r>
      <w:r>
        <w:t xml:space="preserve">о месту нахождения Заказчика (либо соответствующего филиала Заказчика, для нужд которого проводится настоящая закупка);</w:t>
      </w:r>
      <w:r/>
    </w:p>
    <w:p>
      <w:pPr>
        <w:pStyle w:val="1143"/>
      </w:pPr>
      <w:r>
        <w:t xml:space="preserve">по закупкам, проводимым закупочными комиссиями 2-го уровня, специальными закупочными комиссиями, закупочными комиссиями исполнительного </w:t>
      </w:r>
      <w:r>
        <w:t xml:space="preserve">аппарата ПАО «</w:t>
      </w:r>
      <w:r>
        <w:t xml:space="preserve">РусГидро</w:t>
      </w:r>
      <w:r>
        <w:t xml:space="preserve">» – в Арбитражном суде Красноярского края.</w:t>
      </w:r>
      <w:r/>
    </w:p>
    <w:p>
      <w:pPr>
        <w:pStyle w:val="1146"/>
        <w:ind w:left="1134"/>
      </w:pPr>
      <w:r>
        <w:t xml:space="preserve">Закупочная комиссия определяется в соответствии с Положением о закупке.</w:t>
      </w:r>
      <w:r/>
    </w:p>
    <w:p>
      <w:pPr>
        <w:pStyle w:val="1141"/>
      </w:pPr>
      <w:r/>
      <w:bookmarkStart w:id="46" w:name="_Ref125472658"/>
      <w:r/>
      <w:bookmarkStart w:id="47" w:name="_Toc228976084"/>
      <w:r>
        <w:t xml:space="preserve">Особые положения при проведении закупки с использованием ЭП</w:t>
      </w:r>
      <w:bookmarkEnd w:id="46"/>
      <w:r/>
      <w:bookmarkEnd w:id="47"/>
      <w:r/>
      <w:r/>
    </w:p>
    <w:p>
      <w:pPr>
        <w:pStyle w:val="1142"/>
      </w:pPr>
      <w:r>
        <w:t xml:space="preserve">Наименование ЭП, посредством которой проводится закупка, указано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До подачи заявки Участник обязан ознакомиться с Регламентом ЭП, опубликованными </w:t>
      </w:r>
      <w:r>
        <w:t xml:space="preserve">на сайте соответствующей ЭП.</w:t>
      </w:r>
      <w:r/>
    </w:p>
    <w:p>
      <w:pPr>
        <w:pStyle w:val="1142"/>
      </w:pPr>
      <w:r>
        <w:t xml:space="preserve">Для участия в закупке Участник должен пройти процедуру регистрации на ЭП. Регистрация осуществляется Оператором ЭП, и Организатор (Заказчик) не несет ответственности за </w:t>
      </w:r>
      <w:r>
        <w:t xml:space="preserve">результат ее прохождения Участником, в том числе понесенные им затраты.</w:t>
      </w:r>
      <w:r/>
    </w:p>
    <w:p>
      <w:pPr>
        <w:pStyle w:val="1142"/>
      </w:pPr>
      <w:r/>
      <w:bookmarkStart w:id="48" w:name="_Ref135748672"/>
      <w:r>
        <w:t xml:space="preserve">Обмен всей информацией, связанной с проведением закупки (между Участником, Организатором (Заказчиком) и Оператором ЭП) осуществляется на ЭП в форме электронных документов, подписанных </w:t>
      </w:r>
      <w:r>
        <w:t xml:space="preserve">усиленной квалифицированной электронной подписью уполномоченного лица.</w:t>
      </w:r>
      <w:bookmarkEnd w:id="48"/>
      <w:r/>
      <w:r/>
    </w:p>
    <w:p>
      <w:pPr>
        <w:pStyle w:val="1142"/>
      </w:pPr>
      <w:r/>
      <w:bookmarkStart w:id="49" w:name="_Ref135748741"/>
      <w:r>
        <w:t xml:space="preserve">Стоимость заявки (цена Договора) и иные условия закупки, указанные Участниками в специальных электронных формах на ЭП, имеют преимущество перед сведениями, указанными в загруженных на Э</w:t>
      </w:r>
      <w:r>
        <w:t xml:space="preserve">П электронных документах.</w:t>
      </w:r>
      <w:bookmarkEnd w:id="49"/>
      <w:r/>
      <w:r/>
    </w:p>
    <w:p>
      <w:pPr>
        <w:pStyle w:val="1141"/>
      </w:pPr>
      <w:r/>
      <w:bookmarkStart w:id="50" w:name="_Toc228976085"/>
      <w:r>
        <w:t xml:space="preserve">Прочие положения</w:t>
      </w:r>
      <w:bookmarkEnd w:id="50"/>
      <w:r/>
      <w:r/>
    </w:p>
    <w:p>
      <w:pPr>
        <w:pStyle w:val="1142"/>
      </w:pPr>
      <w:r>
        <w:t xml:space="preserve">Заказчик, Организатор и Оператор ЭП обеспечивают конфиденциальность относительно всех полученных от Участников сведений, в том числе содержащихся в заявках. Предоставление этой информации другим Участникам или тре</w:t>
      </w:r>
      <w:r>
        <w:t xml:space="preserve">тьим лицам возможно только в случаях, прямо предусмотренных законодательством или Документацией о закупке.</w:t>
      </w:r>
      <w:r/>
    </w:p>
    <w:p>
      <w:pPr>
        <w:pStyle w:val="1142"/>
      </w:pPr>
      <w:r/>
      <w:bookmarkStart w:id="51" w:name="_Ref136257236"/>
      <w:r>
        <w:t xml:space="preserve">Организатор (по решению Закупочной комиссии), вправе отклонить заявку, если будет установлено, что Участник каким-либо способом повлиял на рассмотрен</w:t>
      </w:r>
      <w:r>
        <w:t xml:space="preserve">ие заявок, их оценку и сопоставление, подведение итогов закупки (определение Победителя), в том числе прямо или косвенно дал, согласился дать или предложил работнику Организатора, Заказчика, члену Закупочной комиссии или эксперту, осуществлявшему экспертиз</w:t>
      </w:r>
      <w:r>
        <w:t xml:space="preserve">у заявок, вознаграждение в любой форме: работу, услугу, какую-либо ценность в качестве стимула, и (или) оказал каким-либо иным образом давление на указанных лиц.</w:t>
      </w:r>
      <w:bookmarkEnd w:id="51"/>
      <w:r/>
      <w:r/>
    </w:p>
    <w:p>
      <w:pPr>
        <w:pStyle w:val="1142"/>
      </w:pPr>
      <w:r>
        <w:t xml:space="preserve">С целью предупреждения и противодействия противоправным действиям в Группе </w:t>
      </w:r>
      <w:r>
        <w:t xml:space="preserve">РусГидро</w:t>
      </w:r>
      <w:r>
        <w:t xml:space="preserve"> организова</w:t>
      </w:r>
      <w:r>
        <w:t xml:space="preserve">на круглосуточная «Линия доверия», обратиться на которую можно по телефону +7 (495) 785 09 37 (круглосуточно), или заполнив соответствующую форму на корпоративном сайте ПАО «</w:t>
      </w:r>
      <w:r>
        <w:t xml:space="preserve">РусГидро</w:t>
      </w:r>
      <w:r>
        <w:t xml:space="preserve">», вкладка «Линия доверия».</w:t>
      </w:r>
      <w:r/>
    </w:p>
    <w:p>
      <w:pPr>
        <w:pStyle w:val="1140"/>
      </w:pPr>
      <w:r/>
      <w:bookmarkStart w:id="52" w:name="_Ref125361210"/>
      <w:r/>
      <w:bookmarkStart w:id="53" w:name="_Toc228976086"/>
      <w:r>
        <w:t xml:space="preserve">Требования к Участникам</w:t>
      </w:r>
      <w:bookmarkEnd w:id="52"/>
      <w:r/>
      <w:bookmarkEnd w:id="53"/>
      <w:r/>
      <w:r/>
    </w:p>
    <w:p>
      <w:pPr>
        <w:pStyle w:val="1141"/>
      </w:pPr>
      <w:r/>
      <w:bookmarkStart w:id="54" w:name="_Ref127524530"/>
      <w:r/>
      <w:bookmarkStart w:id="55" w:name="_Toc228976087"/>
      <w:r>
        <w:t xml:space="preserve">Общие требования к Уча</w:t>
      </w:r>
      <w:r>
        <w:t xml:space="preserve">стникам</w:t>
      </w:r>
      <w:bookmarkEnd w:id="54"/>
      <w:r/>
      <w:bookmarkEnd w:id="55"/>
      <w:r/>
      <w:r/>
    </w:p>
    <w:p>
      <w:pPr>
        <w:pStyle w:val="1142"/>
      </w:pPr>
      <w:r/>
      <w:bookmarkStart w:id="56" w:name="_Ref125361514"/>
      <w:r>
        <w:t xml:space="preserve">Из лиц,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участвовать в закупке может любое юридическое / физическое лицо (в том числе индивидуальный предприниматель), или нескол</w:t>
      </w:r>
      <w:r>
        <w:t xml:space="preserve">ько юридических / физических лиц, в том числе несколько индивидуальных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капитала. </w:t>
      </w:r>
      <w:r>
        <w:t xml:space="preserve">Исключение составляют юридические / физические лица, являющиеся иностранным агентом в соответствии с Законом 255-ФЗ – они не могут быть Участником, в том числе в составе группы лиц.</w:t>
      </w:r>
      <w:bookmarkEnd w:id="56"/>
      <w:r/>
      <w:r/>
    </w:p>
    <w:p>
      <w:pPr>
        <w:pStyle w:val="1142"/>
      </w:pPr>
      <w:r>
        <w:t xml:space="preserve">Однако, чтобы претендовать на победу в закупке Участник самостоятельно или</w:t>
      </w:r>
      <w:r>
        <w:t xml:space="preserve"> Коллективный участник (подраздел </w:t>
      </w:r>
      <w:r>
        <w:fldChar w:fldCharType="begin"/>
      </w:r>
      <w:r>
        <w:instrText xml:space="preserve"> REF _Ref130308062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 в целом должен отвечать требованиям, установленным в Документации о закупке.</w:t>
      </w:r>
      <w:r/>
    </w:p>
    <w:p>
      <w:pPr>
        <w:pStyle w:val="1142"/>
      </w:pPr>
      <w:r>
        <w:t xml:space="preserve">Требования к Участникам установлены с учетом пр</w:t>
      </w:r>
      <w:r>
        <w:t xml:space="preserve">едмета договора, </w:t>
      </w:r>
      <w:hyperlink w:tooltip="#Прил01_ТехТребования" w:anchor="Прил01_ТехТребования" w:history="1">
        <w:r>
          <w:rPr>
            <w:rStyle w:val="1170"/>
          </w:rPr>
          <w:t xml:space="preserve">Технических требований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rStyle w:val="1170"/>
          </w:rPr>
          <w:t xml:space="preserve">Проекта договора (Приложение № 2)</w:t>
        </w:r>
      </w:hyperlink>
      <w:r>
        <w:t xml:space="preserve">. Если в подразделе </w:t>
      </w:r>
      <w:r>
        <w:fldChar w:fldCharType="begin"/>
      </w:r>
      <w:r>
        <w:instrText xml:space="preserve"> REF _Re</w:instrText>
      </w:r>
      <w:r>
        <w:instrText xml:space="preserve">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национальный режим не предоставляется, то требования к Участникам (в части страны его регистрации) также могут быть установлены в Структуре НМЦ (в сос</w:t>
      </w:r>
      <w:r>
        <w:t xml:space="preserve">таве Коммерческого предложения (форма 3)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)).</w:t>
      </w:r>
      <w:r/>
    </w:p>
    <w:p>
      <w:pPr>
        <w:pStyle w:val="1142"/>
        <w:keepNext/>
      </w:pPr>
      <w:r>
        <w:t xml:space="preserve">Установлены следующие требования к Участникам, которые приведены в </w:t>
      </w:r>
      <w:hyperlink w:tooltip="#Прил03_ТребованияУчастникам" w:anchor="Прил03_ТребованияУчастникам" w:history="1">
        <w:r>
          <w:rPr>
            <w:rStyle w:val="1170"/>
          </w:rPr>
          <w:t xml:space="preserve">Приложении № 3</w:t>
        </w:r>
      </w:hyperlink>
      <w:r>
        <w:t xml:space="preserve">:</w:t>
      </w:r>
      <w:r/>
    </w:p>
    <w:p>
      <w:pPr>
        <w:pStyle w:val="1143"/>
      </w:pPr>
      <w:r>
        <w:t xml:space="preserve">обязательные требования 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 – Участники должны им соответствовать;</w:t>
      </w:r>
      <w:r/>
    </w:p>
    <w:p>
      <w:pPr>
        <w:pStyle w:val="1143"/>
      </w:pPr>
      <w:r>
        <w:t xml:space="preserve">специальные требования – Участники должны им соответс</w:t>
      </w:r>
      <w:r>
        <w:t xml:space="preserve">твовать, если они установлены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);</w:t>
      </w:r>
      <w:r/>
    </w:p>
    <w:p>
      <w:pPr>
        <w:pStyle w:val="1143"/>
      </w:pPr>
      <w:r>
        <w:t xml:space="preserve">квалификационные требования – Участники должны им соответствовать, если они установлены (подраздел </w:t>
      </w:r>
      <w:r>
        <w:fldChar w:fldCharType="begin"/>
      </w:r>
      <w:r>
        <w:instrText xml:space="preserve"> REF _Ref125709154</w:instrText>
      </w:r>
      <w:r>
        <w:instrText xml:space="preserve">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).</w:t>
      </w:r>
      <w:r/>
    </w:p>
    <w:p>
      <w:pPr>
        <w:pStyle w:val="1142"/>
        <w:keepNext/>
      </w:pPr>
      <w:r>
        <w:t xml:space="preserve">В рамках требований к Участникам могут быть установлены дополнительные требования:</w:t>
      </w:r>
      <w:r/>
    </w:p>
    <w:p>
      <w:pPr>
        <w:pStyle w:val="1143"/>
      </w:pPr>
      <w:r>
        <w:t xml:space="preserve">к Коллективным участникам (подраздел </w:t>
      </w:r>
      <w:r>
        <w:fldChar w:fldCharType="begin"/>
      </w:r>
      <w:r>
        <w:instrText xml:space="preserve"> REF _Ref130308111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);</w:t>
      </w:r>
      <w:r/>
    </w:p>
    <w:p>
      <w:pPr>
        <w:pStyle w:val="1143"/>
      </w:pPr>
      <w:r>
        <w:t xml:space="preserve">к Генеральным подрядчикам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3.3</w:t>
      </w:r>
      <w:r>
        <w:fldChar w:fldCharType="end"/>
      </w:r>
      <w:r>
        <w:t xml:space="preserve">);</w:t>
      </w:r>
      <w:r/>
    </w:p>
    <w:p>
      <w:pPr>
        <w:pStyle w:val="1143"/>
      </w:pPr>
      <w:r>
        <w:t xml:space="preserve">к привлечению субподрядчиков (соисполнителей) из числа субъектов МСП (подраздел </w:t>
      </w:r>
      <w:r>
        <w:fldChar w:fldCharType="begin"/>
      </w:r>
      <w:r>
        <w:instrText xml:space="preserve"> REF _Ref127524203 \r \h </w:instrText>
      </w:r>
      <w:r>
        <w:fldChar w:fldCharType="separate"/>
      </w:r>
      <w:r>
        <w:t xml:space="preserve">3.4</w:t>
      </w:r>
      <w:r>
        <w:fldChar w:fldCharType="end"/>
      </w:r>
      <w:r>
        <w:t xml:space="preserve">).</w:t>
      </w:r>
      <w:r/>
    </w:p>
    <w:p>
      <w:pPr>
        <w:pStyle w:val="1142"/>
      </w:pPr>
      <w:r/>
      <w:bookmarkStart w:id="57" w:name="_Ref125361969"/>
      <w:r/>
      <w:bookmarkStart w:id="58" w:name="_Ref125361976"/>
      <w:r>
        <w:t xml:space="preserve">Для подтвер</w:t>
      </w:r>
      <w:r>
        <w:t xml:space="preserve">ждения соответствия установленным требованиям Участник обязан приложить в составе заявки документы, перечисленные в </w:t>
      </w:r>
      <w:hyperlink w:tooltip="#Прил03_ТребованияУчастникам" w:anchor="Прил03_ТребованияУчастникам" w:history="1">
        <w:r>
          <w:rPr>
            <w:rStyle w:val="1170"/>
          </w:rPr>
          <w:t xml:space="preserve">Требованиях к Участникам (Приложение № 3)</w:t>
        </w:r>
      </w:hyperlink>
      <w:r>
        <w:t xml:space="preserve">, если иное не уст</w:t>
      </w:r>
      <w:r>
        <w:t xml:space="preserve">ановлено в Документации о закупке.</w:t>
      </w:r>
      <w:r/>
    </w:p>
    <w:p>
      <w:pPr>
        <w:pStyle w:val="1141"/>
      </w:pPr>
      <w:r/>
      <w:bookmarkStart w:id="59" w:name="_Ref130305355"/>
      <w:r/>
      <w:bookmarkStart w:id="60" w:name="_Ref130308062"/>
      <w:r/>
      <w:bookmarkStart w:id="61" w:name="_Ref130308111"/>
      <w:r/>
      <w:bookmarkStart w:id="62" w:name="_Ref130308203"/>
      <w:r/>
      <w:bookmarkStart w:id="63" w:name="_Ref130308255"/>
      <w:r/>
      <w:bookmarkStart w:id="64" w:name="_Toc228976088"/>
      <w:r>
        <w:t xml:space="preserve">Коллективные участники</w:t>
      </w:r>
      <w:bookmarkEnd w:id="57"/>
      <w:r/>
      <w:bookmarkEnd w:id="58"/>
      <w:r/>
      <w:bookmarkEnd w:id="59"/>
      <w:r/>
      <w:bookmarkEnd w:id="60"/>
      <w:r/>
      <w:bookmarkEnd w:id="61"/>
      <w:r/>
      <w:bookmarkEnd w:id="62"/>
      <w:r/>
      <w:bookmarkEnd w:id="63"/>
      <w:r/>
      <w:bookmarkEnd w:id="64"/>
      <w:r/>
      <w:r/>
    </w:p>
    <w:p>
      <w:pPr>
        <w:pStyle w:val="1142"/>
      </w:pPr>
      <w:r>
        <w:t xml:space="preserve">В закупке могут участвовать объединения юридических и (или) физических лиц (в том числе индивидуальные предприниматели), способные на законных </w:t>
      </w:r>
      <w:r>
        <w:t xml:space="preserve">основаниях выполнить требуемую поставку продукции – Кол</w:t>
      </w:r>
      <w:r>
        <w:t xml:space="preserve">лективный участник.</w:t>
      </w:r>
      <w:r/>
    </w:p>
    <w:p>
      <w:pPr>
        <w:pStyle w:val="1142"/>
      </w:pPr>
      <w:r>
        <w:t xml:space="preserve">Если заявка подается Коллективным участником, дополнительно должны быть выполнены требования настоящего подраздела, а также требования к дополнительным документам, предоставляемым Коллективными участниками в составе заявки, установленны</w:t>
      </w:r>
      <w:r>
        <w:t xml:space="preserve">е в подразделе </w:t>
      </w:r>
      <w:r>
        <w:fldChar w:fldCharType="begin"/>
      </w:r>
      <w:r>
        <w:instrText xml:space="preserve"> REF _Ref125552455 \r \h </w:instrText>
      </w:r>
      <w:r>
        <w:fldChar w:fldCharType="separate"/>
      </w:r>
      <w:r>
        <w:t xml:space="preserve">8.5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70"/>
          </w:rPr>
          <w:t xml:space="preserve">Требований к Участникам (Приложение № 3)</w:t>
        </w:r>
      </w:hyperlink>
      <w:r>
        <w:t xml:space="preserve">.</w:t>
      </w:r>
      <w:r/>
    </w:p>
    <w:p>
      <w:pPr>
        <w:pStyle w:val="1142"/>
        <w:keepNext/>
      </w:pPr>
      <w:r/>
      <w:bookmarkStart w:id="65" w:name="_Ref125366972"/>
      <w:r>
        <w:t xml:space="preserve">Члены Коллективного уч</w:t>
      </w:r>
      <w:r>
        <w:t xml:space="preserve">астника заключают между собой соглашение, соответствующее нормам ГК РФ, и отвечающее следующим требованиям:</w:t>
      </w:r>
      <w:bookmarkEnd w:id="65"/>
      <w:r/>
      <w:r/>
    </w:p>
    <w:p>
      <w:pPr>
        <w:pStyle w:val="1143"/>
      </w:pPr>
      <w:r>
        <w:t xml:space="preserve">в соглашении должны быть определены права и обязанности сторон как в рамках участия в закупке, так и в рамках исполнения Договора;</w:t>
      </w:r>
      <w:r/>
    </w:p>
    <w:p>
      <w:pPr>
        <w:pStyle w:val="1143"/>
      </w:pPr>
      <w:r>
        <w:t xml:space="preserve">в соглашении долж</w:t>
      </w:r>
      <w:r>
        <w:t xml:space="preserve">но быть приведено распределение номенклатуры, объемов и стоимости, а также сроков поставки продукции между членами Коллективного участника;</w:t>
      </w:r>
      <w:r/>
    </w:p>
    <w:p>
      <w:pPr>
        <w:pStyle w:val="1143"/>
      </w:pPr>
      <w:r>
        <w:t xml:space="preserve">в соглашении должен быть определен лидер, который в дальнейшем представляет интересы каждого члена Коллективного участника во взаимоотношениях с Организатором и Заказчиком в процессе участия в закупке, заключения и последующего исполнения Договора;</w:t>
      </w:r>
      <w:r/>
    </w:p>
    <w:p>
      <w:pPr>
        <w:pStyle w:val="1143"/>
      </w:pPr>
      <w:r>
        <w:t xml:space="preserve">в согла</w:t>
      </w:r>
      <w:r>
        <w:t xml:space="preserve">шении должна быть установлена солидарная ответственность каждого члена Коллективного участника по обязательствам, связанным с участием в закупке, заключением и последующим исполнением Договора;</w:t>
      </w:r>
      <w:r/>
    </w:p>
    <w:p>
      <w:pPr>
        <w:pStyle w:val="1143"/>
      </w:pPr>
      <w:r>
        <w:t xml:space="preserve">срок действия соглашения должен быть не менее срока исполнения</w:t>
      </w:r>
      <w:r>
        <w:t xml:space="preserve"> обязательств Участника по Договору, предлагаемого в составе заявки;</w:t>
      </w:r>
      <w:r/>
    </w:p>
    <w:p>
      <w:pPr>
        <w:pStyle w:val="1143"/>
      </w:pPr>
      <w:r>
        <w:t xml:space="preserve">соглашением должно быть предусмотрено, что все операции по выполнению Договора в целом, включая платежи, совершаются исключительно с лидером, однако, по инициативе Заказчика и соглашению </w:t>
      </w:r>
      <w:r>
        <w:t xml:space="preserve">сторон, данная схема может быть изменена.</w:t>
      </w:r>
      <w:r/>
    </w:p>
    <w:p>
      <w:pPr>
        <w:pStyle w:val="1142"/>
      </w:pPr>
      <w:r>
        <w:t xml:space="preserve">Заявка подготавливается и подается лидером от своего имени со ссылкой в Письме о подаче оферты (форма 2)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 на то, что он представляет ин</w:t>
      </w:r>
      <w:r>
        <w:t xml:space="preserve">тересы Коллективного участника.</w:t>
      </w:r>
      <w:r/>
    </w:p>
    <w:p>
      <w:pPr>
        <w:pStyle w:val="1142"/>
      </w:pPr>
      <w:r/>
      <w:bookmarkStart w:id="66" w:name="_Ref125368791"/>
      <w:r>
        <w:t xml:space="preserve">Каждый член Коллективного участника (включая лидера Коллективного участника) должен отвечать всем обязательным требованиям к Участникам 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).</w:t>
      </w:r>
      <w:bookmarkEnd w:id="66"/>
      <w:r/>
      <w:r/>
    </w:p>
    <w:p>
      <w:pPr>
        <w:pStyle w:val="1142"/>
      </w:pPr>
      <w:r>
        <w:t xml:space="preserve">При рассмотрении и оценке Коллективного участника на соответствие специальным требованиям к Участникам (подраздел </w:t>
      </w:r>
      <w:r>
        <w:fldChar w:fldCharType="begin"/>
      </w:r>
      <w:r>
        <w:instrText xml:space="preserve"> REF _Ref125709153 \r \h  \* MERGEFORMAT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 показате</w:t>
      </w:r>
      <w:r>
        <w:t xml:space="preserve">ли, в том числе относящиеся к наличию специальных допусков, лицензий, членства в саморегулируемых организациях, других разрешительных документов, должны быть в наличии у каждого из членов Коллективного участника, которым в соответствии с Планом распределен</w:t>
      </w:r>
      <w:r>
        <w:t xml:space="preserve">ия объемов поставки продукции (форма 11)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 будет поручена непосредственная поставка продукции, требующая наличия необходимого статуса в соответствии с законодательством (для член</w:t>
      </w:r>
      <w:r>
        <w:t xml:space="preserve">ства в саморегулируемых организациях – с уровнем ответственности соответствующего члена Коллективного участника пропорционально заявляемому объему поставки продукции).</w:t>
      </w:r>
      <w:r/>
    </w:p>
    <w:p>
      <w:pPr>
        <w:pStyle w:val="1142"/>
      </w:pPr>
      <w:r/>
      <w:bookmarkStart w:id="67" w:name="_Ref134705077"/>
      <w:r>
        <w:t xml:space="preserve">При рассмотрении и оценке Коллективного участника на соответствие квалификационным требо</w:t>
      </w:r>
      <w:r>
        <w:t xml:space="preserve">ваниям (подраздел </w:t>
      </w:r>
      <w:r>
        <w:fldChar w:fldCharType="begin"/>
      </w:r>
      <w:r>
        <w:instrText xml:space="preserve"> REF _Ref125550270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), параметры деятельности членов Коллективного участника, такие как наличие требуемого опыта, обеспеченность материально-техническими ресурсам</w:t>
      </w:r>
      <w:r>
        <w:t xml:space="preserve">и и кадровыми ресурсами, суммируются по каждому такому показателю (Коллективный участник должен в совокупности отвечать установленным квалификационным требованиям по каждому показателю). При этом в части определения требуемого опыта к суммированию принимае</w:t>
      </w:r>
      <w:r>
        <w:t xml:space="preserve">тся опыт только тех членов Коллективного участника, которым в соответствии с Планом распределения объемов поставки продукции (форма 10)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 будет поручена непосредственная поставка продукции, требующая наличия указанного опыта.</w:t>
      </w:r>
      <w:bookmarkEnd w:id="67"/>
      <w:r/>
      <w:r/>
    </w:p>
    <w:p>
      <w:pPr>
        <w:pStyle w:val="1142"/>
        <w:keepNext/>
      </w:pPr>
      <w:r/>
      <w:bookmarkStart w:id="68" w:name="_Ref125361726"/>
      <w:r>
        <w:t xml:space="preserve">Любое юридическое или физическое лицо (в том числе индивидуальный предприниматель) может входить в состав только одного Коллективного участника и при этом не имеет пр</w:t>
      </w:r>
      <w:r>
        <w:t xml:space="preserve">ава одновременно:</w:t>
      </w:r>
      <w:bookmarkEnd w:id="68"/>
      <w:r/>
      <w:r/>
    </w:p>
    <w:p>
      <w:pPr>
        <w:pStyle w:val="1143"/>
      </w:pPr>
      <w:r>
        <w:t xml:space="preserve">принимать участие в этой же закупке самостоятельно;</w:t>
      </w:r>
      <w:r/>
    </w:p>
    <w:p>
      <w:pPr>
        <w:pStyle w:val="1143"/>
      </w:pPr>
      <w:r>
        <w:t xml:space="preserve">принимать участие в этой же закупке в качестве Генерального подрядчика или субподрядчика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3.3</w:t>
      </w:r>
      <w:r>
        <w:fldChar w:fldCharType="end"/>
      </w:r>
      <w:r>
        <w:t xml:space="preserve">).</w:t>
      </w:r>
      <w:r/>
    </w:p>
    <w:p>
      <w:pPr>
        <w:pStyle w:val="1146"/>
        <w:ind w:left="1134"/>
      </w:pPr>
      <w:r>
        <w:t xml:space="preserve">В случае невыполнения данного требования все заявки с участием таких лиц будут отклонены.</w:t>
      </w:r>
      <w:r/>
    </w:p>
    <w:p>
      <w:pPr>
        <w:pStyle w:val="1142"/>
      </w:pPr>
      <w:r>
        <w:t xml:space="preserve">В случае несоответствия какого-либо из заявленных членов Коллективного участника установленным требованиям (</w:t>
      </w:r>
      <w:hyperlink w:tooltip="#Прил03_ТребованияУчастникам" w:anchor="Прил03_ТребованияУчастникам" w:history="1">
        <w:r>
          <w:rPr>
            <w:rStyle w:val="1170"/>
          </w:rPr>
          <w:t xml:space="preserve">Приложение № 3</w:t>
        </w:r>
      </w:hyperlink>
      <w:r>
        <w:rPr>
          <w:rStyle w:val="1170"/>
        </w:rPr>
        <w:t xml:space="preserve">)</w:t>
      </w:r>
      <w:r>
        <w:t xml:space="preserve">, а также при несоблюдении вышеуказанных норм настоящего подраздела, заявка такого Коллективного участника отклоняется.</w:t>
      </w:r>
      <w:r/>
    </w:p>
    <w:p>
      <w:pPr>
        <w:pStyle w:val="1142"/>
      </w:pPr>
      <w:r>
        <w:t xml:space="preserve">Заявка, которую подает Коллективный участник, может быть отклонена, если в процессе з</w:t>
      </w:r>
      <w:r>
        <w:t xml:space="preserve">акупки до выбора Победителя выяснится, что из состава Коллективного участника вышел один или несколько его членов.</w:t>
      </w:r>
      <w:r/>
    </w:p>
    <w:p>
      <w:pPr>
        <w:pStyle w:val="1142"/>
      </w:pPr>
      <w:r>
        <w:t xml:space="preserve">Заказчик имеет право на одностороннее расторжение / </w:t>
      </w:r>
      <w:r>
        <w:t xml:space="preserve">незаключение</w:t>
      </w:r>
      <w:r>
        <w:t xml:space="preserve"> Договора, если из состава Коллективного участника вышел один или несколько е</w:t>
      </w:r>
      <w:r>
        <w:t xml:space="preserve">го членов.</w:t>
      </w:r>
      <w:r/>
    </w:p>
    <w:p>
      <w:pPr>
        <w:pStyle w:val="1141"/>
      </w:pPr>
      <w:r/>
      <w:bookmarkStart w:id="69" w:name="_Ref125361702"/>
      <w:r/>
      <w:bookmarkStart w:id="70" w:name="_Toc228976089"/>
      <w:r>
        <w:t xml:space="preserve">Генеральные подрядчики</w:t>
      </w:r>
      <w:bookmarkEnd w:id="69"/>
      <w:r/>
      <w:bookmarkEnd w:id="70"/>
      <w:r/>
      <w:r/>
    </w:p>
    <w:p>
      <w:pPr>
        <w:pStyle w:val="1142"/>
      </w:pPr>
      <w:r>
        <w:t xml:space="preserve">Нормы настоящего подраздела применяются только,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предусмотрено рассмотрение и оценка заявок Участников с учето</w:t>
      </w:r>
      <w:r>
        <w:t xml:space="preserve">м привлекаемых субподрядчиков.</w:t>
      </w:r>
      <w:r/>
    </w:p>
    <w:p>
      <w:pPr>
        <w:pStyle w:val="1142"/>
      </w:pPr>
      <w:r>
        <w:t xml:space="preserve">Если заявка подается Участником от лица Генерального подрядчика, дополнительно должны быть выполнены требования настоящего подраздела, а также требования к дополнительным документам, предоставляемым таким Участником в составе</w:t>
      </w:r>
      <w:r>
        <w:t xml:space="preserve"> заявки, установленные в подразделе </w:t>
      </w:r>
      <w:r>
        <w:fldChar w:fldCharType="begin"/>
      </w:r>
      <w:r>
        <w:instrText xml:space="preserve"> REF _Ref125709777 \r \h </w:instrText>
      </w:r>
      <w:r>
        <w:fldChar w:fldCharType="separate"/>
      </w:r>
      <w:r>
        <w:t xml:space="preserve">8.6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70"/>
          </w:rPr>
          <w:t xml:space="preserve">Требований к Участникам (Приложение № 3)</w:t>
        </w:r>
      </w:hyperlink>
      <w:r>
        <w:t xml:space="preserve">.</w:t>
      </w:r>
      <w:r/>
    </w:p>
    <w:p>
      <w:pPr>
        <w:pStyle w:val="1142"/>
        <w:keepNext/>
      </w:pPr>
      <w:r>
        <w:t xml:space="preserve">Генеральный подрядчик:</w:t>
      </w:r>
      <w:r/>
    </w:p>
    <w:p>
      <w:pPr>
        <w:pStyle w:val="1143"/>
      </w:pPr>
      <w:r>
        <w:t xml:space="preserve">должен самостоятельно отвечать всем обязательным требованиям к Участникам 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);</w:t>
      </w:r>
      <w:r/>
    </w:p>
    <w:p>
      <w:pPr>
        <w:pStyle w:val="1143"/>
      </w:pPr>
      <w:r>
        <w:t xml:space="preserve">в рамках специальных требований (подраздел </w:t>
      </w:r>
      <w:r>
        <w:fldChar w:fldCharType="begin"/>
      </w:r>
      <w:r>
        <w:instrText xml:space="preserve"> REF _</w:instrText>
      </w:r>
      <w:r>
        <w:instrText xml:space="preserve">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), касающихся членства в саморегулируемых организациях (в случае их установления), должен иметь </w:t>
      </w:r>
      <w:r>
        <w:t xml:space="preserve">соответствующее членство с учетом требований законодательства к такому</w:t>
      </w:r>
      <w:r>
        <w:t xml:space="preserve"> членству;</w:t>
      </w:r>
      <w:r/>
    </w:p>
    <w:p>
      <w:pPr>
        <w:pStyle w:val="1143"/>
      </w:pPr>
      <w:r>
        <w:t xml:space="preserve">в рамках остальных специальных требований и квалификационных требований (подраздел </w:t>
      </w:r>
      <w:r>
        <w:fldChar w:fldCharType="begin"/>
      </w:r>
      <w:r>
        <w:instrText xml:space="preserve"> REF _Ref125709154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) (в случае их установления) должен отвечать им только в части объ</w:t>
      </w:r>
      <w:r>
        <w:t xml:space="preserve">ема поставки продукции, который ему предполагается поручить в соответствии с Планом распределения объемов поставки продукции (форма 10)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).</w:t>
      </w:r>
      <w:r/>
    </w:p>
    <w:p>
      <w:pPr>
        <w:pStyle w:val="1142"/>
        <w:keepNext/>
      </w:pPr>
      <w:r/>
      <w:bookmarkStart w:id="71" w:name="_Ref125368863"/>
      <w:r>
        <w:t xml:space="preserve">Каждый субподрядчик из привлекаемых Ген</w:t>
      </w:r>
      <w:r>
        <w:t xml:space="preserve">еральным подрядчиком должен отвечать:</w:t>
      </w:r>
      <w:r/>
    </w:p>
    <w:p>
      <w:pPr>
        <w:pStyle w:val="1143"/>
      </w:pPr>
      <w:r>
        <w:t xml:space="preserve">обязательным требованиям (подраздел </w:t>
      </w:r>
      <w:r>
        <w:fldChar w:fldCharType="begin"/>
      </w:r>
      <w:r>
        <w:instrText xml:space="preserve"> REF _Ref125361435 \r \h  \* MERGEFORMAT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);</w:t>
      </w:r>
      <w:r/>
    </w:p>
    <w:p>
      <w:pPr>
        <w:pStyle w:val="1143"/>
      </w:pPr>
      <w:r>
        <w:t xml:space="preserve">специальным требованиям (подраздел </w:t>
      </w:r>
      <w:r>
        <w:fldChar w:fldCharType="begin"/>
      </w:r>
      <w:r>
        <w:instrText xml:space="preserve"> REF _Ref125709153 \r \h  \* MER</w:instrText>
      </w:r>
      <w:r>
        <w:instrText xml:space="preserve">GEFORMAT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 (в случае их установления), за исключением требования о наличии членства в саморегулируемых организациях;</w:t>
      </w:r>
      <w:r/>
    </w:p>
    <w:p>
      <w:pPr>
        <w:pStyle w:val="1143"/>
      </w:pPr>
      <w:r>
        <w:t xml:space="preserve">квалификационным требованиям (подраздел </w:t>
      </w:r>
      <w:r>
        <w:fldChar w:fldCharType="begin"/>
      </w:r>
      <w:r>
        <w:instrText xml:space="preserve"> REF _Ref125709154 \r \h  \* MERGEFORMAT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) (в случае их установления).</w:t>
      </w:r>
      <w:r/>
    </w:p>
    <w:p>
      <w:pPr>
        <w:pStyle w:val="1146"/>
        <w:ind w:left="1134"/>
      </w:pPr>
      <w:r>
        <w:t xml:space="preserve">При этом соответствовать специальным и квалификационным требованиям субподрядчик должен только в части объема поставки продукции, который ему поручен </w:t>
      </w:r>
      <w:bookmarkEnd w:id="71"/>
      <w:r>
        <w:t xml:space="preserve">в соотве</w:t>
      </w:r>
      <w:r>
        <w:t xml:space="preserve">тствии с Планом распределения объемов поставки продукции (форма 10)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).</w:t>
      </w:r>
      <w:r/>
    </w:p>
    <w:p>
      <w:pPr>
        <w:pStyle w:val="1142"/>
      </w:pPr>
      <w:r>
        <w:t xml:space="preserve">При оценке и сопоставлении заявки Генерального подрядчика по квалификационным критериям (если они установле</w:t>
      </w:r>
      <w:r>
        <w:t xml:space="preserve">ны в </w:t>
      </w:r>
      <w:hyperlink w:tooltip="#Прил08_ПорядокОценки" w:anchor="Прил08_ПорядокОценки" w:history="1">
        <w:r>
          <w:rPr>
            <w:rStyle w:val="1170"/>
          </w:rPr>
          <w:t xml:space="preserve">Порядке и критериях оценки и сопоставления заявок (Приложение № 8)</w:t>
        </w:r>
      </w:hyperlink>
      <w:r>
        <w:t xml:space="preserve">) количественные параметры деятельности Генерального подрядчика и субподрядчиков суммируются (наличие требуемого опыта</w:t>
      </w:r>
      <w:r>
        <w:t xml:space="preserve">, обеспеченность материально-техническими ресурсами и кадровыми ресурсами).</w:t>
      </w:r>
      <w:r/>
    </w:p>
    <w:p>
      <w:pPr>
        <w:pStyle w:val="1142"/>
      </w:pPr>
      <w:r/>
      <w:bookmarkStart w:id="72" w:name="_Ref125361799"/>
      <w:r>
        <w:t xml:space="preserve">Любое юридическое или физическое лицо (в том числе </w:t>
      </w:r>
      <w:r>
        <w:t xml:space="preserve">индивидуальный предприниматель) может являться субподрядчиком у произвольного числа Генеральных подрядчиков, а также имеет право самостоятельно принимать участие в закупке. При этом субподрядчики не могут входить в состав Коллективных участников (подраздел</w:t>
      </w:r>
      <w:r>
        <w:t xml:space="preserve"> </w:t>
      </w:r>
      <w:r>
        <w:fldChar w:fldCharType="begin"/>
      </w:r>
      <w:r>
        <w:instrText xml:space="preserve"> REF _Ref130308203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). Каждый Генеральный подрядчик может подать только одну заявку и не может быть субподрядчиком у других Генеральных подрядчиков, а также не может входить в сост</w:t>
      </w:r>
      <w:r>
        <w:t xml:space="preserve">ав Коллективных участников. В случае невыполнения этих требований заявки с участием таких лиц будут отклонены.</w:t>
      </w:r>
      <w:bookmarkEnd w:id="72"/>
      <w:r/>
      <w:r/>
    </w:p>
    <w:p>
      <w:pPr>
        <w:pStyle w:val="1142"/>
      </w:pPr>
      <w:r>
        <w:t xml:space="preserve">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не предусмотрены рассмотрение и</w:t>
      </w:r>
      <w:r>
        <w:t xml:space="preserve"> оценка заявок Участников с учетом привлекаемых субподрядчиков, то при рассмотрении и оценке заявок к учету принимаются исключительно сведения о самом Участнике, в связи с чем Участник не обязан предоставлять документы на привлекаемых им субподрядчиков, ук</w:t>
      </w:r>
      <w:r>
        <w:t xml:space="preserve">азанные в подразделе </w:t>
      </w:r>
      <w:r>
        <w:fldChar w:fldCharType="begin"/>
      </w:r>
      <w:r>
        <w:instrText xml:space="preserve"> REF _Ref125709973 \r \h </w:instrText>
      </w:r>
      <w:r>
        <w:fldChar w:fldCharType="separate"/>
      </w:r>
      <w:r>
        <w:t xml:space="preserve">8.6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70"/>
          </w:rPr>
          <w:t xml:space="preserve">Требований к Участникам (Приложение № 3)</w:t>
        </w:r>
      </w:hyperlink>
      <w:r>
        <w:t xml:space="preserve">.Ответственность з</w:t>
      </w:r>
      <w:r>
        <w:t xml:space="preserve">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Участника.</w:t>
      </w:r>
      <w:r/>
    </w:p>
    <w:p>
      <w:pPr>
        <w:pStyle w:val="1141"/>
      </w:pPr>
      <w:r/>
      <w:bookmarkStart w:id="73" w:name="_Ref127524203"/>
      <w:r/>
      <w:bookmarkStart w:id="74" w:name="_Toc228976090"/>
      <w:r>
        <w:t xml:space="preserve">Привлечение субподрядчиков (соисполнителей) из числа субъектов МСП</w:t>
      </w:r>
      <w:bookmarkEnd w:id="73"/>
      <w:r/>
      <w:bookmarkEnd w:id="74"/>
      <w:r/>
      <w:r/>
    </w:p>
    <w:p>
      <w:pPr>
        <w:pStyle w:val="1142"/>
      </w:pPr>
      <w:r>
        <w:t xml:space="preserve">Нормы настоящего подр</w:t>
      </w:r>
      <w:r>
        <w:t xml:space="preserve">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предусмотрена обязанность Участников по привлечению к исполнению Договора субподрядчиков (соисполнителей) из числа субъекто</w:t>
      </w:r>
      <w:r>
        <w:t xml:space="preserve">в МСП.</w:t>
      </w:r>
      <w:r/>
    </w:p>
    <w:p>
      <w:pPr>
        <w:pStyle w:val="1142"/>
      </w:pPr>
      <w:r>
        <w:t xml:space="preserve">Помимо требований настоящего подраздела, Участник также должен выполнить требования к дополнительным документам, предоставляемым им в составе заявки, установленные в подразделе </w:t>
      </w:r>
      <w:r>
        <w:fldChar w:fldCharType="begin"/>
      </w:r>
      <w:r>
        <w:instrText xml:space="preserve"> REF _Ref125550523 \r \h </w:instrText>
      </w:r>
      <w:r>
        <w:fldChar w:fldCharType="separate"/>
      </w:r>
      <w:r>
        <w:t xml:space="preserve">8.7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70"/>
          </w:rPr>
          <w:t xml:space="preserve">Требований к Участникам (Приложение № 3)</w:t>
        </w:r>
      </w:hyperlink>
      <w:r>
        <w:t xml:space="preserve">. При этом в Плане распределения объемов поставки продукции (форма 10)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 Участник должен указать привлекаемых им субподрядчиков (соисполнителей) из числа субъектов МСП, а также является ли самостоятельно Участник субъектом МСП.</w:t>
      </w:r>
      <w:r/>
    </w:p>
    <w:p>
      <w:pPr>
        <w:pStyle w:val="1142"/>
      </w:pPr>
      <w:r>
        <w:t xml:space="preserve">При этом требования подраздела </w:t>
      </w:r>
      <w:r>
        <w:fldChar w:fldCharType="begin"/>
      </w:r>
      <w:r>
        <w:instrText xml:space="preserve"> REF _Ref125550523 \r \h </w:instrText>
      </w:r>
      <w:r>
        <w:fldChar w:fldCharType="separate"/>
      </w:r>
      <w:r>
        <w:t xml:space="preserve">8.7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70"/>
          </w:rPr>
          <w:t xml:space="preserve">Требований к Участникам (Приложение № 3)</w:t>
        </w:r>
      </w:hyperlink>
      <w:r>
        <w:t xml:space="preserve"> применяются вне </w:t>
      </w:r>
      <w:r>
        <w:t xml:space="preserve">зависимости от порядка рассмотрения и оценки заявок участников, являющихся Генеральными подрядчиками (с учетом субподрядчиков, или без учета субподрядчиков)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3.3</w:t>
      </w:r>
      <w:r>
        <w:fldChar w:fldCharType="end"/>
      </w:r>
      <w:r>
        <w:t xml:space="preserve">).</w:t>
      </w:r>
      <w:r/>
    </w:p>
    <w:p>
      <w:pPr>
        <w:pStyle w:val="1142"/>
      </w:pPr>
      <w:r/>
      <w:bookmarkStart w:id="75" w:name="_Ref125473377"/>
      <w:r>
        <w:t xml:space="preserve">Участник считается выполнившим требование по привлечению к исполнению Договора субподрядчиков (соисполнителей) из числа субъектов МСП, при условии предоставления информации, указанной в Плане распределения объемов поставки продукции (форма 10)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).</w:t>
      </w:r>
      <w:bookmarkEnd w:id="75"/>
      <w:r>
        <w:t xml:space="preserve"> В случае </w:t>
      </w:r>
      <w:r>
        <w:t xml:space="preserve">непредоставления</w:t>
      </w:r>
      <w:r>
        <w:t xml:space="preserve"> этой информации или несоответствия привлекаемых субподрядчиков (соисполнителей) установленным требованиям, заявка такого Участника будет отклонена от </w:t>
      </w:r>
      <w:r>
        <w:t xml:space="preserve">участия в закупке.</w:t>
      </w:r>
      <w:r/>
    </w:p>
    <w:p>
      <w:pPr>
        <w:pStyle w:val="1142"/>
      </w:pPr>
      <w:r>
        <w:t xml:space="preserve">Если привлекаемые субъекты МСП входят в состав Коллективного участника (подраздел </w:t>
      </w:r>
      <w:r>
        <w:fldChar w:fldCharType="begin"/>
      </w:r>
      <w:r>
        <w:instrText xml:space="preserve"> REF _Ref130308255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), то объем исполнения Договора таким Коллективным участнико</w:t>
      </w:r>
      <w:r>
        <w:t xml:space="preserve">м засчитывается в исполнение требования по привлечению субъектов МСП в качестве субподрядчиков (соисполнителей), при условии выполнения остальных требований настоящего подраздела.</w:t>
      </w:r>
      <w:r/>
    </w:p>
    <w:p>
      <w:pPr>
        <w:pStyle w:val="1142"/>
        <w:sectPr>
          <w:headerReference w:type="default" r:id="rId9"/>
          <w:footerReference w:type="default" r:id="rId11"/>
          <w:footnotePr/>
          <w:endnotePr/>
          <w:type w:val="nextPage"/>
          <w:pgSz w:w="11906" w:h="16838" w:orient="portrait"/>
          <w:pgMar w:top="851" w:right="567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0"/>
      </w:pPr>
      <w:r/>
      <w:bookmarkStart w:id="76" w:name="_Ref125361211"/>
      <w:r/>
      <w:bookmarkStart w:id="77" w:name="_Ref125367098"/>
      <w:r/>
      <w:bookmarkStart w:id="78" w:name="_Ref125367107"/>
      <w:r/>
      <w:bookmarkStart w:id="79" w:name="_Ref125367974"/>
      <w:r/>
      <w:bookmarkStart w:id="80" w:name="_Toc228976091"/>
      <w:r>
        <w:t xml:space="preserve">Порядок проведения закупк</w:t>
      </w:r>
      <w:r>
        <w:t xml:space="preserve">и</w:t>
      </w:r>
      <w:bookmarkEnd w:id="76"/>
      <w:r/>
      <w:bookmarkEnd w:id="77"/>
      <w:r/>
      <w:bookmarkEnd w:id="78"/>
      <w:r/>
      <w:bookmarkEnd w:id="79"/>
      <w:r/>
      <w:bookmarkEnd w:id="80"/>
      <w:r/>
      <w:r/>
    </w:p>
    <w:p>
      <w:pPr>
        <w:pStyle w:val="1141"/>
      </w:pPr>
      <w:r/>
      <w:bookmarkStart w:id="81" w:name="_Ref126141932"/>
      <w:r/>
      <w:bookmarkStart w:id="82" w:name="_Toc228976092"/>
      <w:r>
        <w:t xml:space="preserve">Общий порядок проведения закупки</w:t>
      </w:r>
      <w:bookmarkEnd w:id="81"/>
      <w:r/>
      <w:bookmarkEnd w:id="82"/>
      <w:r/>
      <w:r/>
    </w:p>
    <w:p>
      <w:pPr>
        <w:pStyle w:val="1142"/>
        <w:keepNext/>
        <w:spacing w:after="120"/>
      </w:pPr>
      <w:r>
        <w:t xml:space="preserve">Закупка проводится в следующем порядке:</w:t>
      </w:r>
      <w:r/>
    </w:p>
    <w:tbl>
      <w:tblPr>
        <w:tblStyle w:val="1167"/>
        <w:tblW w:w="14319" w:type="dxa"/>
        <w:tblInd w:w="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843"/>
        <w:gridCol w:w="850"/>
        <w:gridCol w:w="1748"/>
        <w:gridCol w:w="2079"/>
        <w:gridCol w:w="2551"/>
        <w:gridCol w:w="2693"/>
        <w:gridCol w:w="2126"/>
      </w:tblGrid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 w:val="0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right w:val="none" w:color="000000" w:sz="4" w:space="0"/>
            </w:tcBorders>
            <w:tcW w:w="13890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Официальное размещение Извещения и Документации о закупке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 w:val="0"/>
                <w:bCs/>
                <w:sz w:val="24"/>
                <w:szCs w:val="24"/>
              </w:rPr>
              <w:instrText xml:space="preserve"> REF _Ref130286532 \r \h </w:instrText>
            </w:r>
            <w:r>
              <w:rPr>
                <w:bCs/>
                <w:sz w:val="24"/>
                <w:szCs w:val="24"/>
              </w:rPr>
              <w:instrText xml:space="preserve">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 w:val="0"/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4"/>
            <w:tcW w:w="6520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заявки (раздел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_Ref130281199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Предоставление разъяснений положений Документации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_Ref130394802 \r \h </w:instrText>
            </w:r>
            <w:r>
              <w:rPr>
                <w:bCs/>
                <w:sz w:val="24"/>
                <w:szCs w:val="24"/>
              </w:rPr>
              <w:instrText xml:space="preserve">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Внесение изменений в Извещение и (или) Документацию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_Ref125362076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_Ref126141962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Подача заявок и их прием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_Ref125362119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3827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Изменение и отзыв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_Ref125362130 \</w:instrText>
            </w:r>
            <w:r>
              <w:rPr>
                <w:bCs/>
                <w:sz w:val="24"/>
                <w:szCs w:val="24"/>
              </w:rPr>
              <w:instrText xml:space="preserve">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7F7F7F" w:themeColor="text1" w:themeTint="80" w:sz="4" w:space="0"/>
              <w:right w:val="none" w:color="000000" w:sz="4" w:space="0"/>
            </w:tcBorders>
            <w:tcW w:w="2126" w:type="dxa"/>
            <w:vAlign w:val="bottom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6"/>
            <w:tcW w:w="11764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Открытие доступа к заявкам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_Ref130221619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4.8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 по обстоятельствам непреодолимой силы в соответствии с гражданским законодательством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_Ref126141962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заявок (отборочная стадия), в том числе (при необходимости) проведение аккредитации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_Ref125362364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4.9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3827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 национальном режиме</w:t>
            </w:r>
            <w:r>
              <w:rPr>
                <w:bCs/>
                <w:sz w:val="24"/>
                <w:szCs w:val="24"/>
              </w:rPr>
              <w:br/>
              <w:t xml:space="preserve">(предоставление</w:t>
            </w:r>
            <w:r>
              <w:rPr>
                <w:bCs/>
                <w:sz w:val="24"/>
                <w:szCs w:val="24"/>
              </w:rPr>
              <w:br/>
              <w:t xml:space="preserve">национального режима / запрета, ограничения)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_Ref130985951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Направление дополнительных запросов разъяснений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_Ref125362381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4.10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Признание з</w:t>
            </w:r>
            <w:r>
              <w:rPr>
                <w:bCs/>
                <w:sz w:val="24"/>
                <w:szCs w:val="24"/>
              </w:rPr>
              <w:t xml:space="preserve">акупки</w:t>
            </w:r>
            <w:r>
              <w:rPr>
                <w:bCs/>
                <w:sz w:val="24"/>
                <w:szCs w:val="24"/>
              </w:rPr>
              <w:br/>
              <w:t xml:space="preserve">несостоявшейся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_Ref125364149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4"/>
            <w:tcW w:w="6520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Переторжка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_Ref127536359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4.11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 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881"/>
        </w:trPr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Оценка и сопоставление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_Ref125362626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4677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 национальном режиме</w:t>
            </w:r>
            <w:r>
              <w:rPr>
                <w:bCs/>
                <w:sz w:val="24"/>
                <w:szCs w:val="24"/>
              </w:rPr>
              <w:br/>
              <w:t xml:space="preserve">(в части учета установленного преимущества в цене предложения, если применимо)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_Ref130985951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W w:w="9071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Подведение итогов закупки (определение Победителя)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_Ref125362658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  <w:u w:val="single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  <w:u w:val="single"/>
              </w:rPr>
              <w:t xml:space="preserve"></w:t>
            </w:r>
            <w:r>
              <w:rPr>
                <w:bCs/>
                <w:sz w:val="24"/>
                <w:szCs w:val="24"/>
                <w:u w:val="single"/>
              </w:rPr>
            </w:r>
            <w:r>
              <w:rPr>
                <w:bCs/>
                <w:sz w:val="24"/>
                <w:szCs w:val="24"/>
                <w:u w:val="single"/>
              </w:rPr>
            </w:r>
          </w:p>
        </w:tc>
        <w:tc>
          <w:tcPr>
            <w:gridSpan w:val="3"/>
            <w:tcW w:w="4441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Заключение Договора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_Ref138232981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5.2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630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преддоговорных переговоров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_Ref125552570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5.3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</w:t>
            </w:r>
            <w:r>
              <w:rPr>
                <w:bCs/>
                <w:i/>
                <w:iCs/>
                <w:sz w:val="24"/>
                <w:szCs w:val="24"/>
              </w:rPr>
              <w:t xml:space="preserve">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Уклонение Победителя</w:t>
            </w:r>
            <w:r>
              <w:rPr>
                <w:bCs/>
                <w:sz w:val="24"/>
                <w:szCs w:val="24"/>
              </w:rPr>
              <w:br/>
              <w:t xml:space="preserve">от заключения Договора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_Ref125367068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5.4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 закупки)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1146"/>
      </w:pPr>
      <w:r/>
      <w:bookmarkStart w:id="83" w:name="_Ref125362061"/>
      <w:r/>
      <w:r/>
    </w:p>
    <w:p>
      <w:pPr>
        <w:pStyle w:val="1146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1"/>
      </w:pPr>
      <w:r/>
      <w:bookmarkStart w:id="84" w:name="_Ref130286532"/>
      <w:r/>
      <w:bookmarkStart w:id="85" w:name="_Toc228976093"/>
      <w:r>
        <w:t xml:space="preserve">Официальное размещение Извещения и Документации о закупке</w:t>
      </w:r>
      <w:bookmarkEnd w:id="83"/>
      <w:r/>
      <w:bookmarkEnd w:id="84"/>
      <w:r/>
      <w:bookmarkEnd w:id="85"/>
      <w:r/>
      <w:r/>
    </w:p>
    <w:p>
      <w:pPr>
        <w:pStyle w:val="1142"/>
      </w:pPr>
      <w:r>
        <w:t xml:space="preserve">Извещение и Документация о закупке официально размещены на Официальном сайт</w:t>
      </w:r>
      <w:r>
        <w:t xml:space="preserve">е (ЕИС) и доступны для ознакомления без взимания платы. Иные публикации не влекут для Организатора никаких последствий.</w:t>
      </w:r>
      <w:r/>
    </w:p>
    <w:p>
      <w:pPr>
        <w:pStyle w:val="1142"/>
      </w:pPr>
      <w:r>
        <w:t xml:space="preserve">При возникновении технических или иных неполадок, блокирующих доступ к Официальному сайту (ЕИС) в течение более чем 1 (одного) рабочего </w:t>
      </w:r>
      <w:r>
        <w:t xml:space="preserve">дня, информация размещается на официальном сайте Заказчика с последующим размещением ее на Официальном сайте (ЕИС) в течение 1 (одного) рабочего дня со дня устранения указанных неполадок.</w:t>
      </w:r>
      <w:r/>
    </w:p>
    <w:p>
      <w:pPr>
        <w:pStyle w:val="1142"/>
      </w:pPr>
      <w:r/>
      <w:bookmarkStart w:id="86" w:name="_Ref125362785"/>
      <w:r>
        <w:t xml:space="preserve">Участники могут получить Документацию о закупке также через ЭП. Поря</w:t>
      </w:r>
      <w:r>
        <w:t xml:space="preserve">док получения информации через ЭП определяется Регламентом ЭП, с использованием которой проводится закупка.</w:t>
      </w:r>
      <w:bookmarkEnd w:id="86"/>
      <w:r/>
      <w:r/>
    </w:p>
    <w:p>
      <w:pPr>
        <w:pStyle w:val="1142"/>
      </w:pPr>
      <w:r>
        <w:t xml:space="preserve">Участники обязаны самостоятельно отслеживать официально размещенные разъяснения и изменения Извещения, Документации о закупке, а также информацию о </w:t>
      </w:r>
      <w:r>
        <w:t xml:space="preserve">принятых в ходе проведения закупки решениях.</w:t>
      </w:r>
      <w:r/>
    </w:p>
    <w:p>
      <w:pPr>
        <w:pStyle w:val="1141"/>
      </w:pPr>
      <w:r/>
      <w:bookmarkStart w:id="87" w:name="_Ref130281199"/>
      <w:r/>
      <w:bookmarkStart w:id="88" w:name="_Ref130394681"/>
      <w:r/>
      <w:bookmarkStart w:id="89" w:name="_Toc228976094"/>
      <w:r>
        <w:t xml:space="preserve">Подготовка заявки</w:t>
      </w:r>
      <w:bookmarkEnd w:id="87"/>
      <w:r/>
      <w:bookmarkEnd w:id="88"/>
      <w:r/>
      <w:bookmarkEnd w:id="89"/>
      <w:r/>
      <w:r/>
    </w:p>
    <w:p>
      <w:pPr>
        <w:pStyle w:val="1142"/>
      </w:pPr>
      <w:r>
        <w:t xml:space="preserve">Участник должен подготовить заявку с учетом требований Документации о закупке.</w:t>
      </w:r>
      <w:r/>
    </w:p>
    <w:p>
      <w:pPr>
        <w:pStyle w:val="1142"/>
      </w:pPr>
      <w:r>
        <w:t xml:space="preserve">Участник самостоятельно несет все расходы, связанные с подготовкой и подачей заявки (подраздел </w:t>
      </w:r>
      <w:r>
        <w:fldChar w:fldCharType="begin"/>
      </w:r>
      <w:r>
        <w:instrText xml:space="preserve"> REF _Ref125362119 </w:instrText>
      </w:r>
      <w:r>
        <w:instrText xml:space="preserve">\r \h </w:instrText>
      </w:r>
      <w:r>
        <w:fldChar w:fldCharType="separate"/>
      </w:r>
      <w:r>
        <w:t xml:space="preserve">4.6</w:t>
      </w:r>
      <w:r>
        <w:fldChar w:fldCharType="end"/>
      </w:r>
      <w:r>
        <w:t xml:space="preserve">), а Организатор (Заказчик) по этим расходам не отвечает и не имеет обязательств (в том числе по возврату Участнику материалов и документов, входящих в состав его заявки), независи</w:t>
      </w:r>
      <w:r>
        <w:t xml:space="preserve">мо от хода и результатов закупки, за исключением случаев, прямо предусмотренных Положением о закупке или Документацией о закупке.</w:t>
      </w:r>
      <w:r/>
    </w:p>
    <w:p>
      <w:pPr>
        <w:pStyle w:val="1142"/>
      </w:pPr>
      <w:r/>
      <w:bookmarkStart w:id="90" w:name="_Ref125365866"/>
      <w:r>
        <w:t xml:space="preserve">Участник должен подготовить заявку, включающую в себя полный комплект документов согласно перечню, определенному </w:t>
      </w:r>
      <w:hyperlink w:tooltip="#Прил06_СоставЗаявки" w:anchor="Прил06_СоставЗаявки" w:history="1">
        <w:r>
          <w:rPr>
            <w:rStyle w:val="1170"/>
          </w:rPr>
          <w:t xml:space="preserve">Приложением № 6 – Состав заявки</w:t>
        </w:r>
      </w:hyperlink>
      <w:r>
        <w:t xml:space="preserve">. Образцы форм документов, включаемых в состав заявки, а также инструкции по их подготовке, приведены в 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</w:t>
        </w:r>
        <w:r>
          <w:rPr>
            <w:rStyle w:val="1170"/>
          </w:rPr>
          <w:t xml:space="preserve">ение № 4</w:t>
        </w:r>
      </w:hyperlink>
      <w:r>
        <w:t xml:space="preserve">.</w:t>
      </w:r>
      <w:r/>
    </w:p>
    <w:p>
      <w:pPr>
        <w:pStyle w:val="1142"/>
      </w:pPr>
      <w:r/>
      <w:bookmarkStart w:id="91" w:name="_Ref130394854"/>
      <w:r>
        <w:t xml:space="preserve">Участник имеет право подать только одну заявку. При этом не допускается подача заявки на часть лота по отдельным видам или объемам продукции. В случае нарушения этого требования (при получении заявки на часть лота и (или) при получении двух и бол</w:t>
      </w:r>
      <w:r>
        <w:t xml:space="preserve">ее заявок от одного Участника в рамках одного лота) все поданные им заявки подлежат отклонению.</w:t>
      </w:r>
      <w:bookmarkEnd w:id="90"/>
      <w:r/>
      <w:bookmarkEnd w:id="91"/>
      <w:r/>
      <w:r/>
    </w:p>
    <w:p>
      <w:pPr>
        <w:pStyle w:val="1142"/>
      </w:pPr>
      <w:r/>
      <w:bookmarkStart w:id="92" w:name="_Ref125361260"/>
      <w:r/>
      <w:bookmarkStart w:id="93" w:name="_Ref125362071"/>
      <w:r/>
      <w:bookmarkStart w:id="94" w:name="_Ref125366672"/>
      <w:r>
        <w:t xml:space="preserve">Заявка должна быть действительна в течение срока проведения закупки и до истечения срока, отведенного на заключение Договора (пункт </w:t>
      </w:r>
      <w:r>
        <w:fldChar w:fldCharType="begin"/>
      </w:r>
      <w:r>
        <w:instrText xml:space="preserve"> REF _Ref130293821 \r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). В любом случае этот срок должен быть не менее чем 90 (девяносто) календарных дней с даты окончания срока подачи заявок (подраздел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Указание меньшего срока действия заявки в Письме о подаче оферты (форма 2)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 может служить основанием для отклонени</w:t>
      </w:r>
      <w:r>
        <w:t xml:space="preserve">я заявки.</w:t>
      </w:r>
      <w:r/>
    </w:p>
    <w:p>
      <w:pPr>
        <w:pStyle w:val="1142"/>
      </w:pPr>
      <w:r>
        <w:t xml:space="preserve">Все документы, входящие в состав заявки, должны быть подготовлены на русском языке. Исключение составляют документы, оригиналы которых выданы Участнику третьими лицами на ином языке: они могут быть представлены на языке оригинала при условии, что</w:t>
      </w:r>
      <w:r>
        <w:t xml:space="preserve"> к ним приложен перевод </w:t>
      </w:r>
      <w:r>
        <w:t xml:space="preserve">этих документов на русский язык (в специально оговоренных случаях – с </w:t>
      </w:r>
      <w:r>
        <w:t xml:space="preserve">апостилем</w:t>
      </w:r>
      <w:r>
        <w:t xml:space="preserve"> согласно Гаагской конвенции 1961 года). Наличие противоречий между оригиналом документа и его переводом, которые искажают содержание представленного док</w:t>
      </w:r>
      <w:r>
        <w:t xml:space="preserve">умента, будет расцениваться Организатором как предоставление недостоверных сведений. Организатор вправе не рассматривать документы, не переведенные на русский язык.</w:t>
      </w:r>
      <w:r/>
    </w:p>
    <w:p>
      <w:pPr>
        <w:pStyle w:val="1142"/>
      </w:pPr>
      <w:r>
        <w:t xml:space="preserve">Все суммы денежных средств в документах, входящих в состав заявки, должны быть выражены в р</w:t>
      </w:r>
      <w:r>
        <w:t xml:space="preserve">оссийских рублях. Исключение составляют документы, оригиналы которых выданы Участнику третьими лицами с выражением сумм денежных средств в иных валютах: они могут быть представлены в валюте оригинала при условии, что к ним будут приложены комментарии с пер</w:t>
      </w:r>
      <w:r>
        <w:t xml:space="preserve">еводом этих сумм в российские рубли (по официальному курсу валюты, установленному Центральным банком Российской Федерации на дату выдачи документа, с указанием такого курса).</w:t>
      </w:r>
      <w:r/>
    </w:p>
    <w:p>
      <w:pPr>
        <w:pStyle w:val="1142"/>
      </w:pPr>
      <w:r/>
      <w:bookmarkStart w:id="95" w:name="_Ref125370700"/>
      <w:r/>
      <w:bookmarkStart w:id="96" w:name="_Ref125370708"/>
      <w:r>
        <w:t xml:space="preserve">Итоговая стоимость заявки (цена Договора) без учета НДС не должна превышать устан</w:t>
      </w:r>
      <w:r>
        <w:t xml:space="preserve">овленную Заказчиком НМЦ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в противном случае заявка будет отклонена.</w:t>
      </w:r>
      <w:r/>
    </w:p>
    <w:p>
      <w:pPr>
        <w:pStyle w:val="1142"/>
      </w:pPr>
      <w:r>
        <w:t xml:space="preserve">Итоговая стоимость заявки (цена Договора) должна включать в себя сумму всех расх</w:t>
      </w:r>
      <w:r>
        <w:t xml:space="preserve">одов, предусмотренных </w:t>
      </w:r>
      <w:hyperlink w:tooltip="#Прил01_ТехТребования" w:anchor="Прил01_ТехТребования" w:history="1">
        <w:r>
          <w:rPr>
            <w:rStyle w:val="1170"/>
          </w:rPr>
          <w:t xml:space="preserve">Техническими требованиями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rStyle w:val="1170"/>
          </w:rPr>
          <w:t xml:space="preserve">Проектом договора (Приложение № 2)</w:t>
        </w:r>
      </w:hyperlink>
      <w:r>
        <w:t xml:space="preserve">, а также сумму налогов (</w:t>
      </w:r>
      <w:r>
        <w:rPr>
          <w:rFonts w:cs="Times New Roman"/>
        </w:rPr>
        <w:t xml:space="preserve">за исключением НДС, в случае его уплаты)</w:t>
      </w:r>
      <w:r>
        <w:t xml:space="preserve"> и других обязательных платежей, подлежащих уплате в соответствии с нормами законодательства (если иное не установлено Документацией о закупке). При этом сумма НДС (в случае его уплаты) выдел</w:t>
      </w:r>
      <w:r>
        <w:t xml:space="preserve">яется отдельно и не входит в итоговую стоимость заявки Участника, являющегося плательщиком НДС.</w:t>
      </w:r>
      <w:bookmarkEnd w:id="95"/>
      <w:r/>
      <w:bookmarkEnd w:id="96"/>
      <w:r/>
      <w:r/>
    </w:p>
    <w:p>
      <w:pPr>
        <w:pStyle w:val="1142"/>
      </w:pPr>
      <w:r>
        <w:t xml:space="preserve">В качестве Технического предложения Участник в составе заявки предоставляет по установленной форме (форма 4; 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 согласие (декларацию) на поставку продукции на условиях, указанных в Документации о закупке, в том числе в </w:t>
      </w:r>
      <w:hyperlink w:tooltip="#Прил01_ТехТребования" w:anchor="Прил01_ТехТребования" w:history="1">
        <w:r>
          <w:rPr>
            <w:rStyle w:val="1170"/>
          </w:rPr>
          <w:t xml:space="preserve">Технических требованиях (Приложение № 1)</w:t>
        </w:r>
      </w:hyperlink>
      <w:r>
        <w:t xml:space="preserve">, и не подлежа</w:t>
      </w:r>
      <w:r>
        <w:t xml:space="preserve">щих изменению по результатам проведения закупки (без подробных предложений). В случае нарушения Участником требований к описанию продукции Организатор вправе отклонить заявку такого Участника от дальнейшего участия в закупке.</w:t>
      </w:r>
      <w:r/>
    </w:p>
    <w:p>
      <w:pPr>
        <w:pStyle w:val="1142"/>
        <w:keepNext/>
      </w:pPr>
      <w:r/>
      <w:bookmarkStart w:id="97" w:name="_Ref125370398"/>
      <w:r/>
      <w:bookmarkStart w:id="98" w:name="_Ref125714384"/>
      <w:r>
        <w:t xml:space="preserve">При подготовке заявки необходи</w:t>
      </w:r>
      <w:r>
        <w:t xml:space="preserve">мо также учитывать требования в отношении применения законодательства о национальном режиме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</w:t>
      </w:r>
      <w:r/>
    </w:p>
    <w:p>
      <w:pPr>
        <w:pStyle w:val="1142"/>
        <w:keepNext/>
      </w:pPr>
      <w:r>
        <w:t xml:space="preserve">Документы, входящие в заявку, не должны содержать недос</w:t>
      </w:r>
      <w:r>
        <w:t xml:space="preserve">товерные сведения или намеренно искаженную информацию. Также должны отсутствовать:</w:t>
      </w:r>
      <w:r/>
    </w:p>
    <w:p>
      <w:pPr>
        <w:pStyle w:val="1143"/>
      </w:pPr>
      <w:r>
        <w:t xml:space="preserve">внутренние противоречия между различными частями и (или) документами заявки, в том числе по тексту внутри одного документа;</w:t>
      </w:r>
      <w:r/>
    </w:p>
    <w:p>
      <w:pPr>
        <w:pStyle w:val="1143"/>
      </w:pPr>
      <w:r>
        <w:t xml:space="preserve">противоречия между документами заявки и сведениям</w:t>
      </w:r>
      <w:r>
        <w:t xml:space="preserve">и, указанными Участником в структурированных формах на ЭП.</w:t>
      </w:r>
      <w:bookmarkEnd w:id="97"/>
      <w:r/>
      <w:bookmarkEnd w:id="98"/>
      <w:r/>
      <w:r/>
    </w:p>
    <w:p>
      <w:pPr>
        <w:pStyle w:val="1142"/>
      </w:pPr>
      <w:r>
        <w:t xml:space="preserve">Представленные в составе заявки документы, оформленные / выданные государственными, лицензирующими, сертификационными, </w:t>
      </w:r>
      <w:r>
        <w:t xml:space="preserve">аккредитационными</w:t>
      </w:r>
      <w:r>
        <w:t xml:space="preserve"> органами и (или) саморегулируемыми организациями, должны соо</w:t>
      </w:r>
      <w:r>
        <w:t xml:space="preserve">тветствовать императивным требованиям (при наличии) законодательства в отношении:</w:t>
      </w:r>
      <w:r/>
    </w:p>
    <w:p>
      <w:pPr>
        <w:pStyle w:val="1143"/>
      </w:pPr>
      <w:r>
        <w:t xml:space="preserve">полномочий таких органов / лиц на оформление этих документов;</w:t>
      </w:r>
      <w:r/>
    </w:p>
    <w:p>
      <w:pPr>
        <w:pStyle w:val="1143"/>
      </w:pPr>
      <w:r>
        <w:t xml:space="preserve">формы, объема и содержания этих документов.</w:t>
      </w:r>
      <w:r/>
    </w:p>
    <w:p>
      <w:pPr>
        <w:pStyle w:val="1142"/>
        <w:keepNext/>
      </w:pPr>
      <w:r>
        <w:t xml:space="preserve">Участник должен подготовить заявку с соблюдением следующих условий:</w:t>
      </w:r>
      <w:r/>
    </w:p>
    <w:p>
      <w:pPr>
        <w:pStyle w:val="1143"/>
      </w:pPr>
      <w:r>
        <w:t xml:space="preserve">документы заявки могут предоставляться как в графическом виде (в том числе в виде скан-копии; рекомендуемый формат </w:t>
      </w:r>
      <w:r>
        <w:t xml:space="preserve">Portable</w:t>
      </w:r>
      <w:r>
        <w:t xml:space="preserve"> </w:t>
      </w:r>
      <w:r>
        <w:t xml:space="preserve">Document</w:t>
      </w:r>
      <w:r>
        <w:t xml:space="preserve"> </w:t>
      </w:r>
      <w:r>
        <w:t xml:space="preserve">Format</w:t>
      </w:r>
      <w:r>
        <w:t xml:space="preserve"> (*.</w:t>
      </w:r>
      <w:r>
        <w:rPr>
          <w:lang w:val="en-US"/>
        </w:rPr>
        <w:t xml:space="preserve">pdf</w:t>
      </w:r>
      <w:r>
        <w:t xml:space="preserve">)), так и в электронном виде (в формате </w:t>
      </w:r>
      <w:r>
        <w:t xml:space="preserve">Microsoft</w:t>
      </w:r>
      <w:r>
        <w:t xml:space="preserve"> </w:t>
      </w:r>
      <w:r>
        <w:t xml:space="preserve">Word</w:t>
      </w:r>
      <w:r>
        <w:t xml:space="preserve"> (*.</w:t>
      </w:r>
      <w:r>
        <w:t xml:space="preserve">doc</w:t>
      </w:r>
      <w:r>
        <w:rPr>
          <w:lang w:val="en-US"/>
        </w:rPr>
        <w:t xml:space="preserve">x</w:t>
      </w:r>
      <w:r>
        <w:t xml:space="preserve">), </w:t>
      </w:r>
      <w:r>
        <w:t xml:space="preserve">Microsoft</w:t>
      </w:r>
      <w:r>
        <w:t xml:space="preserve"> </w:t>
      </w:r>
      <w:r>
        <w:t xml:space="preserve">Excel</w:t>
      </w:r>
      <w:r>
        <w:t xml:space="preserve"> (*.</w:t>
      </w:r>
      <w:r>
        <w:t xml:space="preserve">xls</w:t>
      </w:r>
      <w:r>
        <w:rPr>
          <w:lang w:val="en-US"/>
        </w:rPr>
        <w:t xml:space="preserve">x</w:t>
      </w:r>
      <w:r>
        <w:t xml:space="preserve">), и других). Исключен</w:t>
      </w:r>
      <w:r>
        <w:t xml:space="preserve">ие составляют Письмо о подаче оферты, а также документы, выданные Участнику третьими лицами (в том числе, бухгалтерская (финансовая) отчетность, соглашение о создании коллективного участника и т.п.), которые должны быть предоставлены только в графическом в</w:t>
      </w:r>
      <w:r>
        <w:t xml:space="preserve">иде (в том числе в виде скан-копии; рекомендуемый формат: </w:t>
      </w:r>
      <w:r>
        <w:t xml:space="preserve">Portable</w:t>
      </w:r>
      <w:r>
        <w:t xml:space="preserve"> </w:t>
      </w:r>
      <w:r>
        <w:t xml:space="preserve">Document</w:t>
      </w:r>
      <w:r>
        <w:t xml:space="preserve"> </w:t>
      </w:r>
      <w:r>
        <w:t xml:space="preserve">Format</w:t>
      </w:r>
      <w:r>
        <w:t xml:space="preserve"> (*.</w:t>
      </w:r>
      <w:r>
        <w:rPr>
          <w:lang w:val="en-US"/>
        </w:rPr>
        <w:t xml:space="preserve">pdf</w:t>
      </w:r>
      <w:r>
        <w:t xml:space="preserve">));</w:t>
      </w:r>
      <w:r/>
    </w:p>
    <w:p>
      <w:pPr>
        <w:pStyle w:val="1143"/>
      </w:pPr>
      <w:r>
        <w:t xml:space="preserve">электронные копии документов, заверенные третьей стороной, должны включать в себя, в том числе, страницы с требуемой отметкой по форме заверения документа (электро</w:t>
      </w:r>
      <w:r>
        <w:t xml:space="preserve">нная подпись / отметка ИФНС / отметка нотариуса и т.п.);</w:t>
      </w:r>
      <w:r/>
    </w:p>
    <w:p>
      <w:pPr>
        <w:pStyle w:val="1143"/>
      </w:pPr>
      <w:r>
        <w:t xml:space="preserve">все файлы не должны иметь защиты от их открытия, изменения, копирования их содержимого или их печати;</w:t>
      </w:r>
      <w:r/>
    </w:p>
    <w:p>
      <w:pPr>
        <w:pStyle w:val="1143"/>
      </w:pPr>
      <w:r>
        <w:t xml:space="preserve">файлы электронной заявки рекомендуется именовать так, чтобы было можно идентифицировать содержани</w:t>
      </w:r>
      <w:r>
        <w:t xml:space="preserve">е данного файла заявки (указать в названии файла содержащийся в нем документ). Каждый документ рекомендуется размещать в отдельном файле;</w:t>
      </w:r>
      <w:r/>
    </w:p>
    <w:p>
      <w:pPr>
        <w:pStyle w:val="1143"/>
      </w:pPr>
      <w:r>
        <w:t xml:space="preserve">если какой-либо документ представлен в нечитаемом виде, данный документ считается непредставленным.</w:t>
      </w:r>
      <w:r/>
    </w:p>
    <w:p>
      <w:pPr>
        <w:pStyle w:val="1142"/>
      </w:pPr>
      <w:r>
        <w:t xml:space="preserve">Никакие исправлени</w:t>
      </w:r>
      <w:r>
        <w:t xml:space="preserve">я в документах заявки не имеют силу, за исключением тех случаев, когда эти исправления заверены надписью «исправленному верить» и собственноручной подписью уполномоченного лица Участника, расположенной рядом с каждым исправлением.</w:t>
      </w:r>
      <w:r/>
    </w:p>
    <w:p>
      <w:pPr>
        <w:pStyle w:val="1141"/>
      </w:pPr>
      <w:r/>
      <w:bookmarkStart w:id="99" w:name="_Ref130394205"/>
      <w:r/>
      <w:bookmarkStart w:id="100" w:name="_Ref130394785"/>
      <w:r/>
      <w:bookmarkStart w:id="101" w:name="_Ref130394802"/>
      <w:r/>
      <w:bookmarkStart w:id="102" w:name="_Toc228976095"/>
      <w:r>
        <w:t xml:space="preserve">Разъяснение Документации </w:t>
      </w:r>
      <w:r>
        <w:t xml:space="preserve">о закупке</w:t>
      </w:r>
      <w:bookmarkEnd w:id="92"/>
      <w:r/>
      <w:bookmarkEnd w:id="93"/>
      <w:r/>
      <w:bookmarkEnd w:id="94"/>
      <w:r/>
      <w:bookmarkEnd w:id="99"/>
      <w:r/>
      <w:bookmarkEnd w:id="100"/>
      <w:r/>
      <w:bookmarkEnd w:id="101"/>
      <w:r/>
      <w:bookmarkEnd w:id="102"/>
      <w:r/>
      <w:r/>
    </w:p>
    <w:p>
      <w:pPr>
        <w:pStyle w:val="1142"/>
      </w:pPr>
      <w:r>
        <w:t xml:space="preserve">Участники вправе обратиться к Организатору за разъяснениями Документации о закупке.</w:t>
      </w:r>
      <w:r/>
    </w:p>
    <w:p>
      <w:pPr>
        <w:pStyle w:val="1142"/>
      </w:pPr>
      <w:r>
        <w:t xml:space="preserve">Запросы подаются в соответствии с Регламентами и инструкциями Оператора ЭП, опубликованными на сайте соответствующей ЭП.</w:t>
      </w:r>
      <w:r/>
    </w:p>
    <w:p>
      <w:pPr>
        <w:pStyle w:val="1142"/>
      </w:pPr>
      <w:r>
        <w:t xml:space="preserve">Организатор обязуется ответить на любой в</w:t>
      </w:r>
      <w:r>
        <w:t xml:space="preserve">опрос, поступивший не позднее чем за 3 (три) рабочих дня до даты окончания срока подачи заявок. В случае поступления вопросов с нарушением установленного срока Организатор вправе не предоставлять разъяснения.</w:t>
      </w:r>
      <w:r/>
    </w:p>
    <w:p>
      <w:pPr>
        <w:pStyle w:val="1142"/>
      </w:pPr>
      <w:r>
        <w:t xml:space="preserve">Ответы на поступившие вопросы официально размещ</w:t>
      </w:r>
      <w:r>
        <w:t xml:space="preserve">аются (с указанием предмета запроса, но без указания Участника, от которого поступил вопрос) в сроки, установленные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но в любом случае не позднее ч</w:t>
      </w:r>
      <w:r>
        <w:t xml:space="preserve">ем в течение 3 (трех) рабочих дней с даты поступления такого запроса. Копия ответа размещается Организатором на ЭП.</w:t>
      </w:r>
      <w:r/>
    </w:p>
    <w:p>
      <w:pPr>
        <w:pStyle w:val="1142"/>
      </w:pPr>
      <w:r>
        <w:t xml:space="preserve">Организатор также вправе по собственной инициативе (без получения запросов от Участников) официально разместить разъяснения Документации о з</w:t>
      </w:r>
      <w:r>
        <w:t xml:space="preserve">акупке.</w:t>
      </w:r>
      <w:r/>
    </w:p>
    <w:p>
      <w:pPr>
        <w:pStyle w:val="1142"/>
      </w:pPr>
      <w:r>
        <w:t xml:space="preserve">Разъяснения Документации о закупке носят справочный характер и не могут изменять предмет закупки и условия </w:t>
      </w:r>
      <w:hyperlink w:tooltip="#Прил02_ПроектДоговора" w:anchor="Прил02_ПроектДоговора" w:history="1">
        <w:r>
          <w:rPr>
            <w:rStyle w:val="1170"/>
          </w:rPr>
          <w:t xml:space="preserve">Проекта договора (Приложения № 2)</w:t>
        </w:r>
      </w:hyperlink>
      <w:r>
        <w:rPr>
          <w:rStyle w:val="1170"/>
        </w:rPr>
        <w:t xml:space="preserve">,</w:t>
      </w:r>
      <w:r>
        <w:t xml:space="preserve"> в противном случае вносятся изменения</w:t>
      </w:r>
      <w:r>
        <w:t xml:space="preserve"> в Документацию о закупке. При этом Участники обязаны учитывать разъяснения Организатора при подготовке своих заявок. Все риски и последствия за подачу заявки без учета официально размещенных разъяснений несет Участник.</w:t>
      </w:r>
      <w:r/>
    </w:p>
    <w:p>
      <w:pPr>
        <w:pStyle w:val="1142"/>
      </w:pPr>
      <w:r>
        <w:t xml:space="preserve">В случае получения Участником любой </w:t>
      </w:r>
      <w:r>
        <w:t xml:space="preserve">иной информации в отношении условий проводимой закупки в порядке, не предусмотренном настоящим подразделом, такая информация не считается официальной, и Участник не вправе на нее ссылаться.</w:t>
      </w:r>
      <w:r/>
    </w:p>
    <w:p>
      <w:pPr>
        <w:pStyle w:val="1141"/>
      </w:pPr>
      <w:r/>
      <w:bookmarkStart w:id="103" w:name="_Ref125362076"/>
      <w:r/>
      <w:bookmarkStart w:id="104" w:name="_Ref125363891"/>
      <w:r/>
      <w:bookmarkStart w:id="105" w:name="_Ref125364404"/>
      <w:r/>
      <w:bookmarkStart w:id="106" w:name="_Toc228976096"/>
      <w:r>
        <w:t xml:space="preserve">Изменения Извещения и (или) Документации о закупке</w:t>
      </w:r>
      <w:bookmarkEnd w:id="103"/>
      <w:r/>
      <w:bookmarkEnd w:id="104"/>
      <w:r/>
      <w:bookmarkEnd w:id="105"/>
      <w:r/>
      <w:bookmarkEnd w:id="106"/>
      <w:r/>
      <w:r/>
    </w:p>
    <w:p>
      <w:pPr>
        <w:pStyle w:val="1142"/>
      </w:pPr>
      <w:r>
        <w:t xml:space="preserve">Организатор в любой момент до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вправе внести изменения в Извещение и (или) Документацию о закупке. При этом официальном</w:t>
      </w:r>
      <w:r>
        <w:t xml:space="preserve">у размещению подлежит обновленная редакция Извещения и (или) Документации о закупке, а также перечень внесенных изменений в них.</w:t>
      </w:r>
      <w:r/>
    </w:p>
    <w:p>
      <w:pPr>
        <w:pStyle w:val="1142"/>
      </w:pPr>
      <w:r/>
      <w:bookmarkStart w:id="107" w:name="_Ref125550844"/>
      <w:r>
        <w:t xml:space="preserve">После окончания срока подачи заявок допускается изменение только в части установленных Документацией о закупке дат рассмотрения</w:t>
      </w:r>
      <w:r>
        <w:t xml:space="preserve"> заявок и подведения итогов закупки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в пределах срока действия заявок и с уведомлением Участников, подавших заявки.</w:t>
      </w:r>
      <w:bookmarkEnd w:id="107"/>
      <w:r/>
      <w:r/>
    </w:p>
    <w:p>
      <w:pPr>
        <w:pStyle w:val="1142"/>
      </w:pPr>
      <w:r>
        <w:t xml:space="preserve">Текст изменений официально размещ</w:t>
      </w:r>
      <w:r>
        <w:t xml:space="preserve">ается в течение 3 (трех) календарных дней со дня принятия решения о внесении указанных изменений. Все Участники, официально получившие Документацию о закупке через ЭП, получат соответствующие уведомления в порядке, установленном Регламентом ЭП.</w:t>
      </w:r>
      <w:r/>
    </w:p>
    <w:p>
      <w:pPr>
        <w:pStyle w:val="1142"/>
      </w:pPr>
      <w:r>
        <w:t xml:space="preserve">При внесени</w:t>
      </w:r>
      <w:r>
        <w:t xml:space="preserve">и изменений в Документацию о закупке (за исключением указанного в пункте </w:t>
      </w:r>
      <w:r>
        <w:fldChar w:fldCharType="begin"/>
      </w:r>
      <w:r>
        <w:instrText xml:space="preserve"> REF _Ref125550844 \r \h  \* MERGEFORMAT </w:instrText>
      </w:r>
      <w:r>
        <w:fldChar w:fldCharType="separate"/>
      </w:r>
      <w:r>
        <w:t xml:space="preserve">4.5.2</w:t>
      </w:r>
      <w:r>
        <w:fldChar w:fldCharType="end"/>
      </w:r>
      <w:r>
        <w:t xml:space="preserve">), срок подачи заявок будет продлен таким образом, чтобы со дня официа</w:t>
      </w:r>
      <w:r>
        <w:t xml:space="preserve">льного размещения таких изменений до даты окончания подачи заявок оставалось не менее половины от минимального срока подачи заявок, установленного в Положении о закупке для данного способа, а именно не менее 4</w:t>
      </w:r>
      <w:r>
        <w:rPr>
          <w:lang w:val="en-US"/>
        </w:rPr>
        <w:t xml:space="preserve"> </w:t>
      </w:r>
      <w:r>
        <w:t xml:space="preserve">(четырех) рабочих дней.</w:t>
      </w:r>
      <w:r/>
    </w:p>
    <w:p>
      <w:pPr>
        <w:pStyle w:val="1142"/>
      </w:pPr>
      <w:r>
        <w:t xml:space="preserve">Участники обязаны учит</w:t>
      </w:r>
      <w:r>
        <w:t xml:space="preserve">ывать внесенные изменения при подготовке своих заявок. Все риски и последствия за подачу заявки без учета официально размещенных изменений несет Участник.</w:t>
      </w:r>
      <w:r/>
    </w:p>
    <w:p>
      <w:pPr>
        <w:pStyle w:val="1141"/>
      </w:pPr>
      <w:r/>
      <w:bookmarkStart w:id="108" w:name="_Ref125362119"/>
      <w:r/>
      <w:bookmarkStart w:id="109" w:name="_Toc228976097"/>
      <w:r>
        <w:t xml:space="preserve">Подача заявок и их прием</w:t>
      </w:r>
      <w:bookmarkEnd w:id="108"/>
      <w:r/>
      <w:bookmarkEnd w:id="109"/>
      <w:r/>
      <w:r/>
    </w:p>
    <w:p>
      <w:pPr>
        <w:pStyle w:val="1142"/>
      </w:pPr>
      <w:r>
        <w:t xml:space="preserve">Участник вправе подать одну подготовленную заявку на участие в закупке в люб</w:t>
      </w:r>
      <w:r>
        <w:t xml:space="preserve">ое время начиная с даты официального размещения Извещения и до 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Заявки, поданные позднее установленного срока, не мог</w:t>
      </w:r>
      <w:r>
        <w:t xml:space="preserve">ут быть приняты Организатором, независимо от причин опоздания.</w:t>
      </w:r>
      <w:r/>
    </w:p>
    <w:p>
      <w:pPr>
        <w:pStyle w:val="1142"/>
      </w:pPr>
      <w:r>
        <w:t xml:space="preserve">Подача Участником заявки означает его безоговорочное согласие с условиями участия в закупке, содержащимися в Документации о закупке, а также изучение </w:t>
      </w:r>
      <w:r>
        <w:t xml:space="preserve">им Положения о закупке Заказчика и Документ</w:t>
      </w:r>
      <w:r>
        <w:t xml:space="preserve">ации о закупке (включая все приложения к ней).</w:t>
      </w:r>
      <w:r/>
    </w:p>
    <w:p>
      <w:pPr>
        <w:pStyle w:val="1142"/>
      </w:pPr>
      <w:r>
        <w:t xml:space="preserve">Заявка должна быть подготовлена в форме электронного документа и подана с использованием функционала ЭП в доступном для прочтения формате. При этом Участник должен сканировать документы после того, как они буд</w:t>
      </w:r>
      <w:r>
        <w:t xml:space="preserve">ут оформлены в соответствии с требованиями Документации о закупке.</w:t>
      </w:r>
      <w:r/>
    </w:p>
    <w:p>
      <w:pPr>
        <w:pStyle w:val="1142"/>
      </w:pPr>
      <w:r>
        <w:t xml:space="preserve">Заявка должна быть подписана усиленной квалифицированной электронной подписью лица, которое является уполномоченным представителем Участника.</w:t>
      </w:r>
      <w:r/>
    </w:p>
    <w:p>
      <w:pPr>
        <w:pStyle w:val="1142"/>
      </w:pPr>
      <w:r>
        <w:t xml:space="preserve">Правила подачи заявок также определяются Реглам</w:t>
      </w:r>
      <w:r>
        <w:t xml:space="preserve">ентом ЭП. Заявки, поданные через ЭП, дублировать в адрес Организатора по почте, электронной почте и другими способами не требуется. Заявки, полученные Организатором не через ЭП, не рассматриваются.</w:t>
      </w:r>
      <w:r/>
    </w:p>
    <w:p>
      <w:pPr>
        <w:pStyle w:val="1142"/>
      </w:pPr>
      <w:r>
        <w:t xml:space="preserve">Если Регламентом ЭП предусмотрено направление в составе за</w:t>
      </w:r>
      <w:r>
        <w:t xml:space="preserve">явки документов, представленных в момент аккредитации Участника на ЭП, Участник обязан обеспечить актуальность направляемых вместе с заявкой сведений.</w:t>
      </w:r>
      <w:r/>
    </w:p>
    <w:p>
      <w:pPr>
        <w:pStyle w:val="1142"/>
      </w:pPr>
      <w:r>
        <w:t xml:space="preserve">Оператор ЭП до окончания срока подачи заявок обеспечивает конфиденциальность информации, содержащейся в п</w:t>
      </w:r>
      <w:r>
        <w:t xml:space="preserve">оданных заявках.</w:t>
      </w:r>
      <w:r/>
    </w:p>
    <w:p>
      <w:pPr>
        <w:pStyle w:val="1141"/>
      </w:pPr>
      <w:r/>
      <w:bookmarkStart w:id="110" w:name="_Ref125362130"/>
      <w:r/>
      <w:bookmarkStart w:id="111" w:name="_Ref125362192"/>
      <w:r/>
      <w:bookmarkStart w:id="112" w:name="_Ref125363819"/>
      <w:r/>
      <w:bookmarkStart w:id="113" w:name="_Ref125365136"/>
      <w:r/>
      <w:bookmarkStart w:id="114" w:name="_Toc228976098"/>
      <w:r>
        <w:t xml:space="preserve">Изменение и отзыв заявок</w:t>
      </w:r>
      <w:bookmarkEnd w:id="110"/>
      <w:r/>
      <w:bookmarkEnd w:id="111"/>
      <w:r/>
      <w:bookmarkEnd w:id="112"/>
      <w:r/>
      <w:bookmarkEnd w:id="113"/>
      <w:r/>
      <w:bookmarkEnd w:id="114"/>
      <w:r/>
      <w:r/>
    </w:p>
    <w:p>
      <w:pPr>
        <w:pStyle w:val="1142"/>
      </w:pPr>
      <w:r>
        <w:t xml:space="preserve">Участник вправе изменить или отозвать поданную им ранее заявку до момента окончания срока подачи заявок. Внесение изменений в заявку, отзыв заявки после этого времени не допускаются, кроме случаев, прямо предусмотр</w:t>
      </w:r>
      <w:r>
        <w:t xml:space="preserve">енных Документацией о закупке.</w:t>
      </w:r>
      <w:r/>
    </w:p>
    <w:p>
      <w:pPr>
        <w:pStyle w:val="1142"/>
      </w:pPr>
      <w:r>
        <w:t xml:space="preserve">Отзыв Участником ранее поданной заявки является отказом от участия в закупке, отозванные заявки не рассматриваются Организатором по существу.</w:t>
      </w:r>
      <w:r/>
    </w:p>
    <w:p>
      <w:pPr>
        <w:pStyle w:val="1142"/>
      </w:pPr>
      <w:r>
        <w:t xml:space="preserve">Изменение и отзыв Участником ранее поданной заявки осуществляется в порядке, аналог</w:t>
      </w:r>
      <w:r>
        <w:t xml:space="preserve">ичном порядку подачи и приема заявок, установленному в подразделе </w:t>
      </w:r>
      <w:r>
        <w:fldChar w:fldCharType="begin"/>
      </w:r>
      <w:r>
        <w:instrText xml:space="preserve"> REF _Ref125362119 \w \h  \* MERGEFORMAT </w:instrText>
      </w:r>
      <w:r>
        <w:fldChar w:fldCharType="separate"/>
      </w:r>
      <w:r>
        <w:t xml:space="preserve">4.6</w:t>
      </w:r>
      <w:r>
        <w:fldChar w:fldCharType="end"/>
      </w:r>
      <w:r>
        <w:t xml:space="preserve">.</w:t>
      </w:r>
      <w:r/>
    </w:p>
    <w:p>
      <w:pPr>
        <w:pStyle w:val="1142"/>
      </w:pPr>
      <w:r>
        <w:t xml:space="preserve">Изменения и отзыв заявки осуществляется посредством функционала ЭП (подробны</w:t>
      </w:r>
      <w:r>
        <w:t xml:space="preserve">й порядок определяется Регламентом ЭП).</w:t>
      </w:r>
      <w:r/>
    </w:p>
    <w:p>
      <w:pPr>
        <w:pStyle w:val="1141"/>
      </w:pPr>
      <w:r/>
      <w:bookmarkStart w:id="115" w:name="_Ref130221619"/>
      <w:r/>
      <w:bookmarkStart w:id="116" w:name="_Toc228976099"/>
      <w:r/>
      <w:bookmarkStart w:id="117" w:name="_Ref125364340"/>
      <w:r>
        <w:t xml:space="preserve">Открытие доступа к заявкам</w:t>
      </w:r>
      <w:bookmarkEnd w:id="115"/>
      <w:r/>
      <w:bookmarkEnd w:id="116"/>
      <w:r/>
      <w:r/>
    </w:p>
    <w:p>
      <w:pPr>
        <w:pStyle w:val="1142"/>
      </w:pPr>
      <w:r>
        <w:t xml:space="preserve">Открытие доступа к заявкам («вскрытие» поступивших электронных конвертов с заявками) не является публичным и происходит автоматически в порядке, предусмотренном Регламентом ЭП, сразу после </w:t>
      </w:r>
      <w:r>
        <w:t xml:space="preserve">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</w:t>
      </w:r>
      <w:r/>
    </w:p>
    <w:p>
      <w:pPr>
        <w:pStyle w:val="1142"/>
      </w:pPr>
      <w:r>
        <w:t xml:space="preserve">Оператор ЭП предоставляет Организатору доступ одновременно ко всем поданным заявкам в полном объеме.</w:t>
      </w:r>
      <w:r/>
    </w:p>
    <w:p>
      <w:pPr>
        <w:pStyle w:val="1142"/>
        <w:keepNext/>
      </w:pPr>
      <w:r>
        <w:t xml:space="preserve">Организатор по р</w:t>
      </w:r>
      <w:r>
        <w:t xml:space="preserve">езультатам открытия доступа к заявкам формирует соответствующий протокол с указанием в нем, как минимум, следующей информации</w:t>
      </w:r>
      <w:r>
        <w:rPr>
          <w:rStyle w:val="1154"/>
        </w:rPr>
        <w:footnoteReference w:id="4"/>
      </w:r>
      <w:r>
        <w:t xml:space="preserve">:</w:t>
      </w:r>
      <w:r/>
    </w:p>
    <w:p>
      <w:pPr>
        <w:pStyle w:val="1143"/>
      </w:pPr>
      <w:r>
        <w:t xml:space="preserve">дата подписания протокола;</w:t>
      </w:r>
      <w:r/>
    </w:p>
    <w:p>
      <w:pPr>
        <w:pStyle w:val="1143"/>
      </w:pPr>
      <w:r>
        <w:t xml:space="preserve">общее количество поступивших заявок, а также дата и время регистрации каждой заявки (по факту последн</w:t>
      </w:r>
      <w:r>
        <w:t xml:space="preserve">его изменения заявки до окончания срока подачи заявок);</w:t>
      </w:r>
      <w:r/>
    </w:p>
    <w:p>
      <w:pPr>
        <w:pStyle w:val="1143"/>
      </w:pPr>
      <w:r>
        <w:t xml:space="preserve">наименование и адрес регистрации Участников, подавших заявки, и (или) их идентификационные номера, присваиваемые Оператором ЭП;</w:t>
      </w:r>
      <w:r/>
    </w:p>
    <w:p>
      <w:pPr>
        <w:pStyle w:val="1143"/>
      </w:pPr>
      <w:r>
        <w:t xml:space="preserve">стоимости заявок (или иное указание на общую стоимость заявки);</w:t>
      </w:r>
      <w:r/>
    </w:p>
    <w:p>
      <w:pPr>
        <w:pStyle w:val="1143"/>
      </w:pPr>
      <w:r>
        <w:t xml:space="preserve">причины, по которым закупка признана несостоявшейся в соответствии с подразделом </w:t>
      </w:r>
      <w:r>
        <w:fldChar w:fldCharType="begin"/>
      </w:r>
      <w:r>
        <w:instrText xml:space="preserve"> REF _Ref125364149 \w \h  \* MERGEFORMAT </w:instrText>
      </w:r>
      <w:r>
        <w:fldChar w:fldCharType="separate"/>
      </w:r>
      <w:r>
        <w:t xml:space="preserve">4.15</w:t>
      </w:r>
      <w:r>
        <w:fldChar w:fldCharType="end"/>
      </w:r>
      <w:r>
        <w:t xml:space="preserve"> (в случае ее признания таковой),</w:t>
      </w:r>
      <w:r/>
    </w:p>
    <w:p>
      <w:pPr>
        <w:pStyle w:val="1146"/>
        <w:ind w:left="1134"/>
      </w:pPr>
      <w:r>
        <w:t xml:space="preserve">после чего официально размещает его в течение 3 (трех) календарных дней с даты подписания такого протокола. Заседание Закупочной комиссии при этом не проводится.</w:t>
      </w:r>
      <w:r/>
    </w:p>
    <w:p>
      <w:pPr>
        <w:pStyle w:val="1142"/>
      </w:pPr>
      <w:r>
        <w:t xml:space="preserve">Протокол открытия доступа к заявкам может формироваться автоматически Оператором ЭП, после чег</w:t>
      </w:r>
      <w:r>
        <w:t xml:space="preserve">о официально размещаться в установленном порядке. В этом случае протокол считается подписанным уполномоченным лицом Организатора.</w:t>
      </w:r>
      <w:r/>
    </w:p>
    <w:p>
      <w:pPr>
        <w:pStyle w:val="1142"/>
      </w:pPr>
      <w:r>
        <w:t xml:space="preserve">Порядок получения Участниками информации о поступивших заявках через ЭП определяется Регламентом ЭП.</w:t>
      </w:r>
      <w:r/>
    </w:p>
    <w:p>
      <w:pPr>
        <w:pStyle w:val="1141"/>
      </w:pPr>
      <w:r/>
      <w:bookmarkStart w:id="118" w:name="_Ref125362364"/>
      <w:r/>
      <w:bookmarkStart w:id="119" w:name="_Ref125366689"/>
      <w:r/>
      <w:bookmarkStart w:id="120" w:name="_Ref135749133"/>
      <w:r/>
      <w:bookmarkStart w:id="121" w:name="_Toc228976100"/>
      <w:r/>
      <w:bookmarkEnd w:id="117"/>
      <w:r>
        <w:t xml:space="preserve">Рассмотрение заявок (отбо</w:t>
      </w:r>
      <w:r>
        <w:t xml:space="preserve">рочная стадия)</w:t>
      </w:r>
      <w:bookmarkEnd w:id="118"/>
      <w:r/>
      <w:bookmarkEnd w:id="119"/>
      <w:r>
        <w:t xml:space="preserve">, в том числе (при необходимости) проведение аккредитации</w:t>
      </w:r>
      <w:bookmarkEnd w:id="120"/>
      <w:r/>
      <w:bookmarkEnd w:id="121"/>
      <w:r/>
      <w:r/>
    </w:p>
    <w:p>
      <w:pPr>
        <w:pStyle w:val="1142"/>
      </w:pPr>
      <w:r>
        <w:t xml:space="preserve">Дата окончания срока рассмотрения заявок 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</w:t>
      </w:r>
      <w:r>
        <w:t xml:space="preserve">сованию с Заказчиком вправе, при необходимости, изменить ее, официально разместив информацию об этом.</w:t>
      </w:r>
      <w:r/>
    </w:p>
    <w:p>
      <w:pPr>
        <w:pStyle w:val="1142"/>
      </w:pPr>
      <w:r>
        <w:t xml:space="preserve">В рамках рассмотрения заявок (отборочной стадии) осуществляется проверка каждой заявки на предмет соответствия </w:t>
      </w:r>
      <w:hyperlink w:tooltip="#Прил07_ОтборочныеКритерии" w:anchor="Прил07_ОтборочныеКритерии" w:history="1">
        <w:r>
          <w:rPr>
            <w:rStyle w:val="1170"/>
          </w:rPr>
          <w:t xml:space="preserve">Отборочным критериям рассмотрения заявок (Приложение № 7)</w:t>
        </w:r>
      </w:hyperlink>
      <w:r>
        <w:t xml:space="preserve">, в том числе проводится процедура аккредитации Участников (при необходимости).</w:t>
      </w:r>
      <w:r/>
    </w:p>
    <w:p>
      <w:pPr>
        <w:pStyle w:val="1142"/>
      </w:pPr>
      <w:r>
        <w:t xml:space="preserve">Рассмотрение заявок проводится на основании представленных в составе заявки документо</w:t>
      </w:r>
      <w:r>
        <w:t xml:space="preserve">в и сведений.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власти, или иным законным способом.</w:t>
      </w:r>
      <w:r/>
    </w:p>
    <w:p>
      <w:pPr>
        <w:pStyle w:val="1142"/>
        <w:keepNext/>
      </w:pPr>
      <w:r/>
      <w:bookmarkStart w:id="122" w:name="_Ref224833939"/>
      <w:r>
        <w:t xml:space="preserve">При выявлении в рамках рассмотрения заявок наличия ар</w:t>
      </w:r>
      <w:r>
        <w:t xml:space="preserve">ифметических ошибок, в том числе:</w:t>
      </w:r>
      <w:bookmarkEnd w:id="122"/>
      <w:r/>
      <w:r/>
    </w:p>
    <w:p>
      <w:pPr>
        <w:pStyle w:val="1143"/>
      </w:pPr>
      <w:r>
        <w:t xml:space="preserve">в результате суммирования единичных расценок;</w:t>
      </w:r>
      <w:r/>
    </w:p>
    <w:p>
      <w:pPr>
        <w:pStyle w:val="1143"/>
      </w:pPr>
      <w:r>
        <w:t xml:space="preserve">в итогах умножения единичных расценок на объем продукции;</w:t>
      </w:r>
      <w:r/>
    </w:p>
    <w:p>
      <w:pPr>
        <w:pStyle w:val="1143"/>
      </w:pPr>
      <w:r>
        <w:t xml:space="preserve">в вычислении суммы НДС и итоговой стоимости заявки с учетом НДС;</w:t>
      </w:r>
      <w:r/>
    </w:p>
    <w:p>
      <w:pPr>
        <w:pStyle w:val="1143"/>
      </w:pPr>
      <w:r>
        <w:t xml:space="preserve">иных внутренних противоречий в составе заявки,</w:t>
      </w:r>
      <w:r/>
    </w:p>
    <w:p>
      <w:pPr>
        <w:pStyle w:val="1146"/>
        <w:ind w:left="1134"/>
      </w:pPr>
      <w:r>
        <w:t xml:space="preserve">Органи</w:t>
      </w:r>
      <w:r>
        <w:t xml:space="preserve">затор исходит из преимущества общей итоговой стоимости (без учета НДС), указанной в структурированных формах на ЭП (последней по времени подачи) и подписанной усиленной квалифицированной электронной подписью уполномоченного лица Участника. При уклонении Уч</w:t>
      </w:r>
      <w:r>
        <w:t xml:space="preserve">астника от заключения договора на вышеуказанных условиях заявка такого Участника подлежит отклонению решением Закупочной комиссии.</w:t>
      </w:r>
      <w:r/>
    </w:p>
    <w:p>
      <w:pPr>
        <w:pStyle w:val="1142"/>
        <w:keepNext/>
      </w:pPr>
      <w:r/>
      <w:bookmarkStart w:id="123" w:name="_Ref125551456"/>
      <w:r>
        <w:t xml:space="preserve">По результатам рассмотрения заявок (проведения отборочной стадии) Закупочная комиссия отклоняет заявки по следующим основания</w:t>
      </w:r>
      <w:r>
        <w:t xml:space="preserve">м:</w:t>
      </w:r>
      <w:bookmarkEnd w:id="123"/>
      <w:r/>
      <w:r/>
    </w:p>
    <w:p>
      <w:pPr>
        <w:pStyle w:val="1143"/>
      </w:pPr>
      <w:r>
        <w:t xml:space="preserve">несоответствие по составу</w:t>
      </w:r>
      <w:r>
        <w:rPr>
          <w:rStyle w:val="1154"/>
        </w:rPr>
        <w:footnoteReference w:id="5"/>
      </w:r>
      <w:r>
        <w:t xml:space="preserve">, содержанию и соблюдению требований Документации о закупке к подготовке (оформлению) заявки, в том числе наличие:</w:t>
      </w:r>
      <w:r/>
    </w:p>
    <w:p>
      <w:pPr>
        <w:pStyle w:val="1144"/>
      </w:pPr>
      <w:r>
        <w:t xml:space="preserve">недостоверных сведений</w:t>
      </w:r>
      <w:r>
        <w:rPr>
          <w:rStyle w:val="1154"/>
        </w:rPr>
        <w:footnoteReference w:id="6"/>
      </w:r>
      <w:r>
        <w:t xml:space="preserve"> или намеренно искаженной информации или документов;</w:t>
      </w:r>
      <w:r/>
    </w:p>
    <w:p>
      <w:pPr>
        <w:pStyle w:val="1144"/>
      </w:pPr>
      <w:r>
        <w:t xml:space="preserve">внутренних противоречий между различ</w:t>
      </w:r>
      <w:r>
        <w:t xml:space="preserve">ными частями и (или) документами заявки, в том числе по тексту внутри одного документа (за исключением ошибок, предусмотренных пунктом </w:t>
      </w:r>
      <w:r>
        <w:fldChar w:fldCharType="begin"/>
      </w:r>
      <w:r>
        <w:instrText xml:space="preserve"> REF _Ref224833939 \r \h </w:instrText>
      </w:r>
      <w:r>
        <w:fldChar w:fldCharType="separate"/>
      </w:r>
      <w:r>
        <w:t xml:space="preserve">4.9.4</w:t>
      </w:r>
      <w:r>
        <w:fldChar w:fldCharType="end"/>
      </w:r>
      <w:r>
        <w:t xml:space="preserve">);</w:t>
      </w:r>
      <w:r/>
    </w:p>
    <w:p>
      <w:pPr>
        <w:pStyle w:val="1143"/>
      </w:pPr>
      <w:r>
        <w:t xml:space="preserve">несоответствие Участн</w:t>
      </w:r>
      <w:r>
        <w:t xml:space="preserve">иков требованиям Документации о закупке;</w:t>
      </w:r>
      <w:r/>
    </w:p>
    <w:p>
      <w:pPr>
        <w:pStyle w:val="1143"/>
      </w:pPr>
      <w:r>
        <w:t xml:space="preserve">несоответствие привлекаемых субподрядчиков (соисполнителей) требованиям Документации о закупке;</w:t>
      </w:r>
      <w:r/>
    </w:p>
    <w:p>
      <w:pPr>
        <w:pStyle w:val="1143"/>
      </w:pPr>
      <w:r>
        <w:t xml:space="preserve">несоответствие предлагаемой продукции требованиям Документации о закупке, в том числе порядка описания такой продукции;</w:t>
      </w:r>
      <w:r/>
    </w:p>
    <w:p>
      <w:pPr>
        <w:pStyle w:val="1143"/>
      </w:pPr>
      <w:r>
        <w:t xml:space="preserve">несоответствие предлагаемых договорных условий требованиям Документации о закупке, в том числе превышение стоимости заявки (цены Договора) над установленным размером НМЦ;</w:t>
      </w:r>
      <w:r/>
    </w:p>
    <w:p>
      <w:pPr>
        <w:pStyle w:val="1143"/>
      </w:pPr>
      <w:r>
        <w:t xml:space="preserve">несоответствие размера, формы, условий и порядка предоставления обеспечения заявки.</w:t>
      </w:r>
      <w:r/>
    </w:p>
    <w:p>
      <w:pPr>
        <w:pStyle w:val="1142"/>
      </w:pPr>
      <w:r>
        <w:t xml:space="preserve">По результатам рассмотрения заявок также может осуществляться предварительная оценка и сопоставление допущенных заявок, если после отборочной стадии планируется проведение переторжки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подраздел </w:t>
      </w:r>
      <w:r>
        <w:fldChar w:fldCharType="begin"/>
      </w:r>
      <w:r>
        <w:instrText xml:space="preserve"> REF _Ref125362430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). В данном случае оценка и сопоставление заявок, а также их предварительная </w:t>
      </w:r>
      <w:r>
        <w:t xml:space="preserve">ранжировка</w:t>
      </w:r>
      <w:r>
        <w:t xml:space="preserve"> осуществляются в соответст</w:t>
      </w:r>
      <w:r>
        <w:t xml:space="preserve">вии с подразделами </w:t>
      </w:r>
      <w:r>
        <w:fldChar w:fldCharType="begin"/>
      </w:r>
      <w:r>
        <w:instrText xml:space="preserve"> REF _Ref125362626 \w \h  \* MERGEFORMAT </w:instrText>
      </w:r>
      <w:r>
        <w:fldChar w:fldCharType="separate"/>
      </w:r>
      <w:r>
        <w:t xml:space="preserve">4.12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_Ref130985951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,</w:t>
      </w:r>
      <w:r>
        <w:t xml:space="preserve"> на основании представленных в составе заявки документов и сведений (включая стоимость заявки (цену Договора)).</w:t>
      </w:r>
      <w:r/>
    </w:p>
    <w:p>
      <w:pPr>
        <w:pStyle w:val="1142"/>
        <w:keepNext/>
      </w:pPr>
      <w:r>
        <w:t xml:space="preserve">Решение Закупочной комиссии по рассмотрению заявок оформляется протоколом, в котором, как минимум, указываются</w:t>
      </w:r>
      <w:r>
        <w:rPr>
          <w:rStyle w:val="1154"/>
        </w:rPr>
        <w:footnoteReference w:id="7"/>
      </w:r>
      <w:r>
        <w:t xml:space="preserve">:</w:t>
      </w:r>
      <w:r/>
    </w:p>
    <w:p>
      <w:pPr>
        <w:pStyle w:val="1143"/>
      </w:pPr>
      <w:r>
        <w:t xml:space="preserve">дата подписания протокола;</w:t>
      </w:r>
      <w:r/>
    </w:p>
    <w:p>
      <w:pPr>
        <w:pStyle w:val="1143"/>
      </w:pPr>
      <w:r>
        <w:t xml:space="preserve">обще</w:t>
      </w:r>
      <w:r>
        <w:t xml:space="preserve">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  <w:r/>
    </w:p>
    <w:p>
      <w:pPr>
        <w:pStyle w:val="1143"/>
      </w:pPr>
      <w:r>
        <w:t xml:space="preserve">наименования Участников, подавших заявки, и (или) их идентификационные номера, присваиваемые Оператором</w:t>
      </w:r>
      <w:r>
        <w:t xml:space="preserve"> ЭП;</w:t>
      </w:r>
      <w:r/>
    </w:p>
    <w:p>
      <w:pPr>
        <w:pStyle w:val="1143"/>
        <w:keepNext/>
      </w:pPr>
      <w:r>
        <w:t xml:space="preserve">результаты рассмотрения заявок с указанием, в том числе:</w:t>
      </w:r>
      <w:r/>
    </w:p>
    <w:p>
      <w:pPr>
        <w:pStyle w:val="1144"/>
      </w:pPr>
      <w:r>
        <w:t xml:space="preserve">количества заявок, которые были отклонены;</w:t>
      </w:r>
      <w:r/>
    </w:p>
    <w:p>
      <w:pPr>
        <w:pStyle w:val="1144"/>
      </w:pPr>
      <w:r>
        <w:t xml:space="preserve">оснований отклонения каждой заявки с указанием положений Документации о закупке, которым не соответствует такая заявка;</w:t>
      </w:r>
      <w:r/>
    </w:p>
    <w:p>
      <w:pPr>
        <w:pStyle w:val="1143"/>
      </w:pPr>
      <w:r>
        <w:t xml:space="preserve">причины, по </w:t>
      </w:r>
      <w:r>
        <w:t xml:space="preserve">которым закупка признана несостоявшейся в соответствии с подразделом </w:t>
      </w:r>
      <w:r>
        <w:fldChar w:fldCharType="begin"/>
      </w:r>
      <w:r>
        <w:instrText xml:space="preserve"> REF _Ref125364149 \w \h  \* MERGEFORMAT </w:instrText>
      </w:r>
      <w:r>
        <w:fldChar w:fldCharType="separate"/>
      </w:r>
      <w:r>
        <w:t xml:space="preserve">4.15</w:t>
      </w:r>
      <w:r>
        <w:fldChar w:fldCharType="end"/>
      </w:r>
      <w:r>
        <w:t xml:space="preserve"> (в случае ее признания таковой);</w:t>
      </w:r>
      <w:r/>
    </w:p>
    <w:p>
      <w:pPr>
        <w:pStyle w:val="1143"/>
        <w:keepNext/>
      </w:pPr>
      <w:r>
        <w:t xml:space="preserve">результаты предварительной оценки и сопо</w:t>
      </w:r>
      <w:r>
        <w:t xml:space="preserve">ставления допущенных заявок – в случае принятия решения о проведении переторжки, с указанием, в том числе:</w:t>
      </w:r>
      <w:r/>
    </w:p>
    <w:p>
      <w:pPr>
        <w:pStyle w:val="1144"/>
      </w:pPr>
      <w:r>
        <w:t xml:space="preserve">значения (в баллах), присвоенного каждой заявке по каждому из предусмотренных критериев оценки, установленных в Документации о закупке;</w:t>
      </w:r>
      <w:r/>
    </w:p>
    <w:p>
      <w:pPr>
        <w:pStyle w:val="1144"/>
      </w:pPr>
      <w:r>
        <w:t xml:space="preserve">порядкового н</w:t>
      </w:r>
      <w:r>
        <w:t xml:space="preserve">омера каждой допущенной заявки в предварительной </w:t>
      </w:r>
      <w:r>
        <w:t xml:space="preserve">ранжировке</w:t>
      </w:r>
      <w:r>
        <w:t xml:space="preserve"> заявок, включая стоимость заявки (цену Договора);</w:t>
      </w:r>
      <w:r/>
    </w:p>
    <w:p>
      <w:pPr>
        <w:pStyle w:val="1143"/>
      </w:pPr>
      <w:r/>
      <w:bookmarkStart w:id="124" w:name="_Ref125551524"/>
      <w:r>
        <w:t xml:space="preserve">решение о проведении или </w:t>
      </w:r>
      <w:r>
        <w:t xml:space="preserve">непроведении</w:t>
      </w:r>
      <w:r>
        <w:t xml:space="preserve"> переторжки,</w:t>
      </w:r>
      <w:bookmarkEnd w:id="124"/>
      <w:r/>
      <w:r/>
    </w:p>
    <w:p>
      <w:pPr>
        <w:pStyle w:val="1146"/>
        <w:ind w:left="1134"/>
      </w:pPr>
      <w:r>
        <w:t xml:space="preserve">после чего Организатор официально размещает его в течение 3 (трех) календарных дней с даты подпи</w:t>
      </w:r>
      <w:r>
        <w:t xml:space="preserve">сания такого протокола.</w:t>
      </w:r>
      <w:r/>
    </w:p>
    <w:p>
      <w:pPr>
        <w:pStyle w:val="1142"/>
      </w:pPr>
      <w:r>
        <w:t xml:space="preserve">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 (или) оценки и сопоставления своей заявки в порядке, аналогичном порядку направ</w:t>
      </w:r>
      <w:r>
        <w:t xml:space="preserve">ления запросов на разъяснение Документации о закупке (подраздел </w:t>
      </w:r>
      <w:r>
        <w:fldChar w:fldCharType="begin"/>
      </w:r>
      <w:r>
        <w:instrText xml:space="preserve"> REF _Ref130394785 \r \h </w:instrText>
      </w:r>
      <w:r>
        <w:fldChar w:fldCharType="separate"/>
      </w:r>
      <w:r>
        <w:t xml:space="preserve">4.4</w:t>
      </w:r>
      <w:r>
        <w:fldChar w:fldCharType="end"/>
      </w:r>
      <w:r>
        <w:t xml:space="preserve">). Организатор в течение 10 (десяти) рабочих дней со дня поступления такого запроса обязан предо</w:t>
      </w:r>
      <w:r>
        <w:t xml:space="preserve">ставить такому Участнику соответствующие разъяснения. При этом в отношении иных Участников разъяснения не предоставляются.</w:t>
      </w:r>
      <w:r/>
    </w:p>
    <w:p>
      <w:pPr>
        <w:pStyle w:val="1142"/>
      </w:pPr>
      <w:r>
        <w:t xml:space="preserve">Если рассмотрение заявок, оценка и сопоставление заявок, а также подведение итогов закупки осуществляются одновременно, отдельный про</w:t>
      </w:r>
      <w:r>
        <w:t xml:space="preserve">токол по результатам рассмотрения заявок может не оформляться, а соответствующая информация подлежит обязательному включению в итоговый протокол по результатам закупки.</w:t>
      </w:r>
      <w:r/>
    </w:p>
    <w:p>
      <w:pPr>
        <w:pStyle w:val="1142"/>
      </w:pPr>
      <w:r>
        <w:t xml:space="preserve">Если основания для отклонения заявки, указанные в пункте </w:t>
      </w:r>
      <w:r>
        <w:fldChar w:fldCharType="begin"/>
      </w:r>
      <w:r>
        <w:instrText xml:space="preserve"> REF _Ref125551456 \w \h  \* M</w:instrText>
      </w:r>
      <w:r>
        <w:instrText xml:space="preserve">ERGEFORMAT </w:instrText>
      </w:r>
      <w:r>
        <w:fldChar w:fldCharType="separate"/>
      </w:r>
      <w:r>
        <w:t xml:space="preserve">4.9.5</w:t>
      </w:r>
      <w:r>
        <w:fldChar w:fldCharType="end"/>
      </w:r>
      <w:r>
        <w:t xml:space="preserve">, обнаружены позже даты проведения рассмотрения заявок, Организатор осуществляет </w:t>
      </w:r>
      <w:r>
        <w:t xml:space="preserve">отклонение такой заявки с внесением соответствующей информации в отдельный или ближайший ко</w:t>
      </w:r>
      <w:r>
        <w:t xml:space="preserve"> времени события протокол закупки.</w:t>
      </w:r>
      <w:r/>
    </w:p>
    <w:p>
      <w:pPr>
        <w:pStyle w:val="1141"/>
      </w:pPr>
      <w:r/>
      <w:bookmarkStart w:id="125" w:name="_Ref125362381"/>
      <w:r/>
      <w:bookmarkStart w:id="126" w:name="_Ref125362425"/>
      <w:r/>
      <w:bookmarkStart w:id="127" w:name="_Ref125362464"/>
      <w:r/>
      <w:bookmarkStart w:id="128" w:name="_Ref125362610"/>
      <w:r/>
      <w:bookmarkStart w:id="129" w:name="_Toc228976101"/>
      <w:r>
        <w:t xml:space="preserve">Дополнительные запросы разъяснений заявок</w:t>
      </w:r>
      <w:bookmarkEnd w:id="125"/>
      <w:r/>
      <w:bookmarkEnd w:id="126"/>
      <w:r/>
      <w:bookmarkEnd w:id="127"/>
      <w:r/>
      <w:bookmarkEnd w:id="128"/>
      <w:r/>
      <w:bookmarkEnd w:id="129"/>
      <w:r/>
      <w:r/>
    </w:p>
    <w:p>
      <w:pPr>
        <w:pStyle w:val="1142"/>
      </w:pPr>
      <w:r/>
      <w:bookmarkStart w:id="130" w:name="_Ref125365611"/>
      <w:r>
        <w:t xml:space="preserve">В рамках процедуры рассмотрения заявок, оценки и сопоставления заявок Организатор вправе направить в адрес Участника дополнительный запрос разъяснений и (или) дополнений его заявк</w:t>
      </w:r>
      <w:r>
        <w:t xml:space="preserve">и, влияющих на отклонение или оценку и сопоставление его заявки, в следующих случаях:</w:t>
      </w:r>
      <w:bookmarkEnd w:id="130"/>
      <w:r/>
      <w:r/>
    </w:p>
    <w:p>
      <w:pPr>
        <w:pStyle w:val="1143"/>
        <w:keepNext/>
      </w:pPr>
      <w:r>
        <w:t xml:space="preserve">в составе заявки отсутствуют, представлены не в полном объеме или в нечитаемом виде документы или сведения, необходимые для определения:</w:t>
      </w:r>
      <w:r/>
    </w:p>
    <w:p>
      <w:pPr>
        <w:pStyle w:val="1144"/>
      </w:pPr>
      <w:r>
        <w:t xml:space="preserve">соответствия Участника требования</w:t>
      </w:r>
      <w:r>
        <w:t xml:space="preserve">м Документации о закупке;</w:t>
      </w:r>
      <w:r/>
    </w:p>
    <w:p>
      <w:pPr>
        <w:pStyle w:val="1144"/>
      </w:pPr>
      <w:r>
        <w:t xml:space="preserve">наличия соответствующих полномочий на подписание заявки от имени Участника у лица, подписавшего заявку;</w:t>
      </w:r>
      <w:r/>
    </w:p>
    <w:p>
      <w:pPr>
        <w:pStyle w:val="1144"/>
      </w:pPr>
      <w:r>
        <w:t xml:space="preserve">соответствия заявки требованиям Документации о закупке в части характеристик предлагаемой продукции, страны происхождения това</w:t>
      </w:r>
      <w:r>
        <w:t xml:space="preserve">ра и (или) страны регистрации Участника (в целях исполнения требований законодательства о национальном режиме (подраздел </w:t>
      </w:r>
      <w:r>
        <w:fldChar w:fldCharType="begin"/>
      </w:r>
      <w:r>
        <w:instrText xml:space="preserve"> REF _Ref186120147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)), договорных условий и расчета цены </w:t>
      </w:r>
      <w:r>
        <w:t xml:space="preserve">Договора;</w:t>
      </w:r>
      <w:r/>
    </w:p>
    <w:p>
      <w:pPr>
        <w:pStyle w:val="1143"/>
      </w:pPr>
      <w:r/>
      <w:bookmarkStart w:id="131" w:name="_Ref134702259"/>
      <w:r>
        <w:t xml:space="preserve">в составе заявки отсутствуют, представлены не в полном объеме или в нечитаемом виде документы или сведения, необходимые для прохождения Участником в рамках рассмотрения заявок процедуры аккредитации (при необходимости);</w:t>
      </w:r>
      <w:r/>
    </w:p>
    <w:p>
      <w:pPr>
        <w:pStyle w:val="1143"/>
      </w:pPr>
      <w:r>
        <w:t xml:space="preserve">в заявке имеются разночтен</w:t>
      </w:r>
      <w:r>
        <w:t xml:space="preserve">ия или положения, допускающие неоднозначное толкование, не позволяющие определить соответствие заявки или Участника (в том числе не позволяющие провести в отношении него процедуру аккредитации (при необходимости)</w:t>
      </w:r>
      <w:r>
        <w:rPr>
          <w:rStyle w:val="1154"/>
        </w:rPr>
        <w:footnoteReference w:id="8"/>
      </w:r>
      <w:r>
        <w:t xml:space="preserve">) требованиям Документации о закупке или ос</w:t>
      </w:r>
      <w:r>
        <w:t xml:space="preserve">уществить оценку и сопоставление заявок.</w:t>
      </w:r>
      <w:bookmarkEnd w:id="131"/>
      <w:r/>
      <w:r/>
    </w:p>
    <w:p>
      <w:pPr>
        <w:pStyle w:val="1142"/>
      </w:pPr>
      <w:r>
        <w:t xml:space="preserve">Если в рамках рассмотрения заявок проводится процедура аккредитации, Организатор вправе направить в адрес Участника дополнительный запрос разъяснений и (или) дополнений его заявки, влияющих на прохождение аккредитац</w:t>
      </w:r>
      <w:r>
        <w:t xml:space="preserve">ии таким Участником (в том числе в случае, указанном в подпункте </w:t>
      </w:r>
      <w:r>
        <w:fldChar w:fldCharType="begin"/>
      </w:r>
      <w:r>
        <w:instrText xml:space="preserve"> REF  _Ref134702259 \d ( \h \r </w:instrText>
      </w:r>
      <w:r>
        <w:fldChar w:fldCharType="separate"/>
      </w:r>
      <w:r>
        <w:t xml:space="preserve">4.10.1(б)</w:t>
      </w:r>
      <w:r>
        <w:fldChar w:fldCharType="end"/>
      </w:r>
      <w:r>
        <w:t xml:space="preserve">).</w:t>
      </w:r>
      <w:r/>
    </w:p>
    <w:p>
      <w:pPr>
        <w:pStyle w:val="1142"/>
      </w:pPr>
      <w:r>
        <w:t xml:space="preserve">Не допускаются запросы со стороны Организатора, а также ответы со стороны Участни</w:t>
      </w:r>
      <w:r>
        <w:t xml:space="preserve">ков, изменяющие суть заявки (предмет, объем, цена, номенклатура предлагаемой Участником продукции).</w:t>
      </w:r>
      <w:r/>
    </w:p>
    <w:p>
      <w:pPr>
        <w:pStyle w:val="1142"/>
      </w:pPr>
      <w:r>
        <w:t xml:space="preserve">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закупки.</w:t>
      </w:r>
      <w:r/>
    </w:p>
    <w:p>
      <w:pPr>
        <w:pStyle w:val="1142"/>
      </w:pPr>
      <w:r>
        <w:t xml:space="preserve">Доп</w:t>
      </w:r>
      <w:r>
        <w:t xml:space="preserve">олнительные запросы направляются одновременно (в один день) всем Участникам, у которых был выявлен факт несоответствий, за исключением следующего – дополнительные запросы не направляются Участнику если в соответствии с пунктом </w:t>
      </w:r>
      <w:r>
        <w:fldChar w:fldCharType="begin"/>
      </w:r>
      <w:r>
        <w:instrText xml:space="preserve"> REF _Ref125551456 \w \h  \* </w:instrText>
      </w:r>
      <w:r>
        <w:instrText xml:space="preserve">MERGEFORMAT </w:instrText>
      </w:r>
      <w:r>
        <w:fldChar w:fldCharType="separate"/>
      </w:r>
      <w:r>
        <w:t xml:space="preserve">4.9.5</w:t>
      </w:r>
      <w:r>
        <w:fldChar w:fldCharType="end"/>
      </w:r>
      <w:r>
        <w:t xml:space="preserve"> имеются прямые основания для отклонения заявки такого Участника, не относящиеся к случаям, перечисленным в пункте </w:t>
      </w:r>
      <w:r>
        <w:fldChar w:fldCharType="begin"/>
      </w:r>
      <w:r>
        <w:instrText xml:space="preserve"> REF _Ref125365611 \w \h </w:instrText>
      </w:r>
      <w:r>
        <w:fldChar w:fldCharType="separate"/>
      </w:r>
      <w:r>
        <w:t xml:space="preserve">4.10.1</w:t>
      </w:r>
      <w:r>
        <w:fldChar w:fldCharType="end"/>
      </w:r>
      <w:r>
        <w:t xml:space="preserve">.</w:t>
      </w:r>
      <w:r/>
    </w:p>
    <w:p>
      <w:pPr>
        <w:pStyle w:val="1142"/>
      </w:pPr>
      <w:r>
        <w:t xml:space="preserve">Срок предоставления Участниками разъяснений своих заявок устанавливается одинаковый для всех и составляет не менее 2 (двух) рабочих дней с момента направления запроса в адрес Участника.</w:t>
      </w:r>
      <w:r/>
    </w:p>
    <w:p>
      <w:pPr>
        <w:pStyle w:val="1142"/>
      </w:pPr>
      <w:r>
        <w:t xml:space="preserve">Направление Организатором дополнительных запро</w:t>
      </w:r>
      <w:r>
        <w:t xml:space="preserve">сов и ответов Участников на данные запросы осуществляется с помощью программных и технических средств ЭП в порядке, предусмотренном Регламентом ЭП (ответы Участников, поступившие не через ЭП, к рассмотрению не принимаются).</w:t>
      </w:r>
      <w:r/>
    </w:p>
    <w:p>
      <w:pPr>
        <w:pStyle w:val="1142"/>
      </w:pPr>
      <w:r>
        <w:t xml:space="preserve">Непредставление или представлени</w:t>
      </w:r>
      <w:r>
        <w:t xml:space="preserve">е не в полном объеме запрашиваемых документов и (или) разъяснений в установленный в запросе срок служит основанием для отклонения заявки такого Участника по условиям пункта </w:t>
      </w:r>
      <w:r>
        <w:fldChar w:fldCharType="begin"/>
      </w:r>
      <w:r>
        <w:instrText xml:space="preserve"> REF _Ref125551456 \w \h  \* MERGEFORMAT </w:instrText>
      </w:r>
      <w:r>
        <w:fldChar w:fldCharType="separate"/>
      </w:r>
      <w:r>
        <w:t xml:space="preserve">4.9.5</w:t>
      </w:r>
      <w:r>
        <w:fldChar w:fldCharType="end"/>
      </w:r>
      <w:r>
        <w:t xml:space="preserve">.</w:t>
      </w:r>
      <w:r/>
    </w:p>
    <w:p>
      <w:pPr>
        <w:pStyle w:val="1141"/>
      </w:pPr>
      <w:r/>
      <w:bookmarkStart w:id="132" w:name="_Ref125362430"/>
      <w:r/>
      <w:bookmarkStart w:id="133" w:name="_Ref125362537"/>
      <w:r/>
      <w:bookmarkStart w:id="134" w:name="_Ref127536359"/>
      <w:r/>
      <w:bookmarkStart w:id="135" w:name="_Toc228976102"/>
      <w:r>
        <w:t xml:space="preserve">Переторжка</w:t>
      </w:r>
      <w:bookmarkEnd w:id="132"/>
      <w:r/>
      <w:bookmarkEnd w:id="133"/>
      <w:r/>
      <w:bookmarkEnd w:id="134"/>
      <w:r/>
      <w:bookmarkEnd w:id="135"/>
      <w:r/>
      <w:r/>
    </w:p>
    <w:p>
      <w:pPr>
        <w:pStyle w:val="1142"/>
      </w:pPr>
      <w:r>
        <w:t xml:space="preserve"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предусмотрено проведение процедуры переторжки и соответствующие решение о проведении процедуры переторжки принято Закупочной комиссией.</w:t>
      </w:r>
      <w:r/>
    </w:p>
    <w:p>
      <w:pPr>
        <w:pStyle w:val="1142"/>
      </w:pPr>
      <w:r>
        <w:t xml:space="preserve">Решение о проведении процедуры переторжки, а также ее п</w:t>
      </w:r>
      <w:r>
        <w:t xml:space="preserve">редмете, сроках и форме ее проведения принимает Закупочная комиссия (и фиксирует в протоколе рассмотрения заявок). Переторжка может проводиться один или несколько раз (далее – многократная переторжка). Каждая процедура переторжки проводится на основании от</w:t>
      </w:r>
      <w:r>
        <w:t xml:space="preserve">дельного решения Закупочной комиссии, оформляемого соответствующим протоколом.</w:t>
      </w:r>
      <w:r/>
    </w:p>
    <w:p>
      <w:pPr>
        <w:pStyle w:val="1142"/>
        <w:keepNext/>
      </w:pPr>
      <w:r>
        <w:t xml:space="preserve">Предметом переторжки могут являться следующие условия (или их сочетания), позволяющие повысить предпочтительность поданных заявок:</w:t>
      </w:r>
      <w:r/>
    </w:p>
    <w:p>
      <w:pPr>
        <w:pStyle w:val="1143"/>
      </w:pPr>
      <w:r>
        <w:t xml:space="preserve">стоимость заявки (цена Договора) / цена за еди</w:t>
      </w:r>
      <w:r>
        <w:t xml:space="preserve">ницу продукции;</w:t>
      </w:r>
      <w:r/>
    </w:p>
    <w:p>
      <w:pPr>
        <w:pStyle w:val="1143"/>
      </w:pPr>
      <w:r>
        <w:t xml:space="preserve">сроки поставки продукции;</w:t>
      </w:r>
      <w:r/>
    </w:p>
    <w:p>
      <w:pPr>
        <w:pStyle w:val="1143"/>
      </w:pPr>
      <w:r>
        <w:t xml:space="preserve">условия оплаты;</w:t>
      </w:r>
      <w:r/>
    </w:p>
    <w:p>
      <w:pPr>
        <w:pStyle w:val="1143"/>
      </w:pPr>
      <w:r>
        <w:t xml:space="preserve">иные условия, которые являются критериями оценки заявок.</w:t>
      </w:r>
      <w:r/>
    </w:p>
    <w:p>
      <w:pPr>
        <w:pStyle w:val="1146"/>
        <w:ind w:left="1134"/>
      </w:pPr>
      <w:r>
        <w:t xml:space="preserve">При этом предметом переторжки не могут быть условия, которые не входят в состав критериев оценки в соответствии с Документацией о закупке.</w:t>
      </w:r>
      <w:r/>
    </w:p>
    <w:p>
      <w:pPr>
        <w:pStyle w:val="1142"/>
      </w:pPr>
      <w:r>
        <w:t xml:space="preserve">Пр</w:t>
      </w:r>
      <w:r>
        <w:t xml:space="preserve">и проведении переторжки по цене у Участника отсутствует обязанность предложить цену обязательно ниже цен иных Участников (т.е. данная процедура не является аукционом или его аналогом, поскольку каждый снижает свою собственную цену независимо от цен, заявле</w:t>
      </w:r>
      <w:r>
        <w:t xml:space="preserve">нных другими Участниками).</w:t>
      </w:r>
      <w:r/>
    </w:p>
    <w:p>
      <w:pPr>
        <w:pStyle w:val="1142"/>
      </w:pPr>
      <w:r>
        <w:t xml:space="preserve">В переторжке может принять участие любой Участник, заявка которого не была отклонена по результатам рассмотрения заявок.</w:t>
      </w:r>
      <w:r/>
    </w:p>
    <w:p>
      <w:pPr>
        <w:pStyle w:val="1142"/>
      </w:pPr>
      <w:r>
        <w:t xml:space="preserve">Участник, допущенный к переторжке, вправе не принимать в ней участия, при этом его заявка не отклоняется и д</w:t>
      </w:r>
      <w:r>
        <w:t xml:space="preserve">ействует на предложенных в ней условиях в течение срока, указанного в Письме о подаче оферты (форма 2)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).</w:t>
      </w:r>
      <w:r/>
    </w:p>
    <w:p>
      <w:pPr>
        <w:pStyle w:val="1142"/>
      </w:pPr>
      <w:r>
        <w:t xml:space="preserve">Предложения Участника по снижению предпочтительности заявки по соответст</w:t>
      </w:r>
      <w:r>
        <w:t xml:space="preserve">вующему предмету переторжки, в том числе по повышению цены, не рассматриваются, такой Участник считается не участвовавшим в переторжке.</w:t>
      </w:r>
      <w:r/>
    </w:p>
    <w:p>
      <w:pPr>
        <w:pStyle w:val="1142"/>
      </w:pPr>
      <w:r>
        <w:t xml:space="preserve">Изменение цены в сторону снижения, а также изменение иных условий заявки по соответствующему предмету переторжки, не дол</w:t>
      </w:r>
      <w:r>
        <w:t xml:space="preserve">жно повлечь за собой отклонения (в сторону ухудшения) от требований, условий Заказчика, описанных в Документации о закупке, коммерческих интересов Заказчика. При наличии таких отклонений заявка Участника рассматривается с ранее заявленными условиями.</w:t>
      </w:r>
      <w:r/>
    </w:p>
    <w:p>
      <w:pPr>
        <w:pStyle w:val="1142"/>
      </w:pPr>
      <w:r>
        <w:t xml:space="preserve">Участ</w:t>
      </w:r>
      <w:r>
        <w:t xml:space="preserve">ник не вправе изменять и (или) отзывать поданные предложения на переторжку после окончания ее проведения.</w:t>
      </w:r>
      <w:r/>
    </w:p>
    <w:p>
      <w:pPr>
        <w:pStyle w:val="1142"/>
      </w:pPr>
      <w:r>
        <w:t xml:space="preserve">Участие в переторжке не расценивается Организатором как нарушение требований о праве подачи Участником не более одной заявки. Предложения, заявленные </w:t>
      </w:r>
      <w:r>
        <w:t xml:space="preserve">Участниками в ходе переторжки, имеют статус разрешенных изменений в ранее поданную заявку.</w:t>
      </w:r>
      <w:r/>
    </w:p>
    <w:p>
      <w:pPr>
        <w:pStyle w:val="1142"/>
      </w:pPr>
      <w:r>
        <w:t xml:space="preserve">Процедура переторжки проводится на ЭП в порядке, предусмотренном настоящим подразделом и Регламентом ЭП.</w:t>
      </w:r>
      <w:r/>
    </w:p>
    <w:p>
      <w:pPr>
        <w:pStyle w:val="1142"/>
        <w:keepNext/>
      </w:pPr>
      <w:r>
        <w:t xml:space="preserve">В зависимости от правил, предусмотренных Регламентом ЭП, пер</w:t>
      </w:r>
      <w:r>
        <w:t xml:space="preserve">еторжка может проводиться:</w:t>
      </w:r>
      <w:r/>
    </w:p>
    <w:p>
      <w:pPr>
        <w:pStyle w:val="1143"/>
      </w:pPr>
      <w:r>
        <w:t xml:space="preserve">в заочной форме путем однократной подачи предложения на переторжку к установленному сроку;</w:t>
      </w:r>
      <w:r/>
    </w:p>
    <w:p>
      <w:pPr>
        <w:pStyle w:val="1143"/>
      </w:pPr>
      <w:r>
        <w:t xml:space="preserve">в очной форме путем неоднократного снижения стоимости заявки (цены Договора) или улучшения других показателей, в том числе с установлением</w:t>
      </w:r>
      <w:r>
        <w:t xml:space="preserve"> «шага» переторжки.</w:t>
      </w:r>
      <w:r/>
    </w:p>
    <w:p>
      <w:pPr>
        <w:pStyle w:val="1142"/>
      </w:pPr>
      <w:r>
        <w:t xml:space="preserve">Приглашение Участников к процедуре переторжки осуществляется посредством одновременного (в один день) направления им соответствующих уведомлений посредством ЭП. В уведомлении указывается срок окончания подачи Участниками предложений на </w:t>
      </w:r>
      <w:r>
        <w:t xml:space="preserve">переторжку.</w:t>
      </w:r>
      <w:r/>
    </w:p>
    <w:p>
      <w:pPr>
        <w:pStyle w:val="1142"/>
      </w:pPr>
      <w:r>
        <w:t xml:space="preserve">Участник, желающий принять участие в переторжке, должен в срок, установленный Закупочной комиссией, предоставить свои предложения на переторжку.</w:t>
      </w:r>
      <w:r/>
    </w:p>
    <w:p>
      <w:pPr>
        <w:pStyle w:val="1142"/>
      </w:pPr>
      <w:r/>
      <w:bookmarkStart w:id="136" w:name="_Ref136245191"/>
      <w:r>
        <w:t xml:space="preserve">При заочной форме переторжки Участник вместе с предложением на переторжку размещает на ЭП документы</w:t>
      </w:r>
      <w:r>
        <w:t xml:space="preserve"> своей заявки, указанные в пункте </w:t>
      </w:r>
      <w:r>
        <w:fldChar w:fldCharType="begin"/>
      </w:r>
      <w:r>
        <w:instrText xml:space="preserve"> REF _Ref136244167 \r \h </w:instrText>
      </w:r>
      <w:r>
        <w:fldChar w:fldCharType="separate"/>
      </w:r>
      <w:r>
        <w:t xml:space="preserve">4.11.17</w:t>
      </w:r>
      <w:r>
        <w:fldChar w:fldCharType="end"/>
      </w:r>
      <w:r>
        <w:t xml:space="preserve">, подлежащие корректировке в строгом соответствии с предложением, заявленным им в ходе проведения переторжки.</w:t>
      </w:r>
      <w:bookmarkEnd w:id="136"/>
      <w:r/>
      <w:r/>
    </w:p>
    <w:p>
      <w:pPr>
        <w:pStyle w:val="1142"/>
      </w:pPr>
      <w:r>
        <w:t xml:space="preserve">При очной фо</w:t>
      </w:r>
      <w:r>
        <w:t xml:space="preserve">рме переторжки Участник, признанный Победителем, при условии, что он принимал участие в переторжке, обязан предоставить Заказчику в сроки, определенные подразделом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, документы своей заявки, указанные в пункте </w:t>
      </w:r>
      <w:r>
        <w:fldChar w:fldCharType="begin"/>
      </w:r>
      <w:r>
        <w:instrText xml:space="preserve"> REF _Ref136244167 \r \h </w:instrText>
      </w:r>
      <w:r>
        <w:fldChar w:fldCharType="separate"/>
      </w:r>
      <w:r>
        <w:t xml:space="preserve">4.11.17</w:t>
      </w:r>
      <w:r>
        <w:fldChar w:fldCharType="end"/>
      </w:r>
      <w:r>
        <w:t xml:space="preserve">, подлежащие корректировке в строгом </w:t>
      </w:r>
      <w:r>
        <w:t xml:space="preserve">соответствии с предложением, заявленным им в ходе проведения переторжки (в том числе, последним по времени стоимостным предложением, заявленным в ходе пров</w:t>
      </w:r>
      <w:r>
        <w:t xml:space="preserve">едения переторжки).</w:t>
      </w:r>
      <w:r/>
    </w:p>
    <w:p>
      <w:pPr>
        <w:pStyle w:val="1142"/>
        <w:keepNext/>
      </w:pPr>
      <w:r/>
      <w:bookmarkStart w:id="137" w:name="_Ref136244167"/>
      <w:r>
        <w:t xml:space="preserve">Документы заявки, подлежащие корректировке по результатам переторжки:</w:t>
      </w:r>
      <w:bookmarkEnd w:id="137"/>
      <w:r/>
      <w:r/>
    </w:p>
    <w:p>
      <w:pPr>
        <w:pStyle w:val="1143"/>
      </w:pPr>
      <w:r/>
      <w:bookmarkStart w:id="138" w:name="_Ref130376111"/>
      <w:r>
        <w:t xml:space="preserve">Письмо о подаче оферты (форма 2)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);</w:t>
      </w:r>
      <w:r/>
    </w:p>
    <w:p>
      <w:pPr>
        <w:pStyle w:val="1143"/>
      </w:pPr>
      <w:r>
        <w:t xml:space="preserve">Коммерческое предложение (форма 3)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); также дополнительно предоставляется подтверждающая документация, составленная в соответствии с </w:t>
      </w:r>
      <w:hyperlink w:tooltip="#Прил01_ТехТребования" w:anchor="Прил01_ТехТребования" w:history="1">
        <w:r>
          <w:rPr>
            <w:rStyle w:val="1170"/>
          </w:rPr>
          <w:t xml:space="preserve">Техническими требованиями (При</w:t>
        </w:r>
        <w:r>
          <w:rPr>
            <w:rStyle w:val="1170"/>
          </w:rPr>
          <w:t xml:space="preserve">ложение № 1)</w:t>
        </w:r>
      </w:hyperlink>
      <w:r>
        <w:t xml:space="preserve"> – только если в Технических требованиях установлены требования к документации по ценообразованию (подраздел «Требования к документации по ценообразованию на этапе закупки»), либо аналогичные по смыслу;</w:t>
      </w:r>
      <w:r/>
    </w:p>
    <w:p>
      <w:pPr>
        <w:pStyle w:val="1143"/>
      </w:pPr>
      <w:r>
        <w:t xml:space="preserve">План распределения объемов поставки проду</w:t>
      </w:r>
      <w:r>
        <w:t xml:space="preserve">кции (форма 10)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 – только если заявка подана Коллективным участником или Генеральным подрядчиком;</w:t>
      </w:r>
      <w:r/>
    </w:p>
    <w:p>
      <w:pPr>
        <w:pStyle w:val="1143"/>
      </w:pPr>
      <w:r>
        <w:t xml:space="preserve">иной документ, указанный в протоколе закупки </w:t>
      </w:r>
      <w:r>
        <w:t xml:space="preserve">(которым назначена переторжка), связанный с предметом проводимой переторжки.</w:t>
      </w:r>
      <w:bookmarkEnd w:id="138"/>
      <w:r/>
      <w:r/>
    </w:p>
    <w:p>
      <w:pPr>
        <w:pStyle w:val="1142"/>
      </w:pPr>
      <w:r>
        <w:t xml:space="preserve">Если Участник, принявший участие в переторжке в заочной форме, не предоставил документы, в соответствии с пунктом </w:t>
      </w:r>
      <w:r>
        <w:fldChar w:fldCharType="begin"/>
      </w:r>
      <w:r>
        <w:instrText xml:space="preserve"> REF _Ref136245191 \r \h </w:instrText>
      </w:r>
      <w:r>
        <w:fldChar w:fldCharType="separate"/>
      </w:r>
      <w:r>
        <w:t xml:space="preserve">4.11.15</w:t>
      </w:r>
      <w:r>
        <w:fldChar w:fldCharType="end"/>
      </w:r>
      <w:r>
        <w:t xml:space="preserve">, либо не предоставил их в ответ на дополнительный запрос Организатора, он считается не участвовавшим в переторжке, и его заявка остается действующей с ранее (первоначально) заявленными условиями.</w:t>
      </w:r>
      <w:r/>
    </w:p>
    <w:p>
      <w:pPr>
        <w:pStyle w:val="1142"/>
      </w:pPr>
      <w:r>
        <w:t xml:space="preserve">При наличии соответствующ</w:t>
      </w:r>
      <w:r>
        <w:t xml:space="preserve">его решения Закупочной комиссии о допуске Участника к переторжке в заочной форме с отлагательным условием (например, при условии представления им недостающих ранее или уточняющих документов) и неисполнения Участником этого условия, Закупочная комиссия откл</w:t>
      </w:r>
      <w:r>
        <w:t xml:space="preserve">оняет заявку такого Участника после переторжки.</w:t>
      </w:r>
      <w:r/>
    </w:p>
    <w:p>
      <w:pPr>
        <w:pStyle w:val="1142"/>
      </w:pPr>
      <w:r>
        <w:t xml:space="preserve">Результаты переторжки оформляются протоколом, который Организатор официально размещает в течение 3 (трех) календарных дней с даты проведения переторжки.</w:t>
      </w:r>
      <w:r/>
    </w:p>
    <w:p>
      <w:pPr>
        <w:pStyle w:val="1141"/>
      </w:pPr>
      <w:r/>
      <w:bookmarkStart w:id="139" w:name="_Ref125362626"/>
      <w:r/>
      <w:bookmarkStart w:id="140" w:name="_Ref125365335"/>
      <w:r/>
      <w:bookmarkStart w:id="141" w:name="_Ref125365519"/>
      <w:r/>
      <w:bookmarkStart w:id="142" w:name="_Ref125366534"/>
      <w:r/>
      <w:bookmarkStart w:id="143" w:name="_Ref125369041"/>
      <w:r/>
      <w:bookmarkStart w:id="144" w:name="_Ref125369308"/>
      <w:r/>
      <w:bookmarkStart w:id="145" w:name="_Toc228976103"/>
      <w:r>
        <w:t xml:space="preserve">Оценка и сопоставление заявок</w:t>
      </w:r>
      <w:bookmarkEnd w:id="139"/>
      <w:r/>
      <w:bookmarkEnd w:id="140"/>
      <w:r/>
      <w:bookmarkEnd w:id="141"/>
      <w:r/>
      <w:bookmarkEnd w:id="142"/>
      <w:r/>
      <w:bookmarkEnd w:id="143"/>
      <w:r/>
      <w:bookmarkEnd w:id="144"/>
      <w:r/>
      <w:bookmarkEnd w:id="145"/>
      <w:r/>
      <w:r/>
    </w:p>
    <w:p>
      <w:pPr>
        <w:pStyle w:val="1142"/>
      </w:pPr>
      <w:r>
        <w:t xml:space="preserve">Оценка и сопоставление за</w:t>
      </w:r>
      <w:r>
        <w:t xml:space="preserve">явок, признанных Закупочной комиссией соответствующими по результатам рассмотрения заявок (подраздел </w:t>
      </w:r>
      <w:r>
        <w:fldChar w:fldCharType="begin"/>
      </w:r>
      <w:r>
        <w:instrText xml:space="preserve"> REF _Ref125362364 \w \h  \* MERGEFORMAT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), осуществляется в соответствии с </w:t>
      </w:r>
      <w:hyperlink w:tooltip="#Прил08_ПорядокОценки" w:anchor="Прил08_ПорядокОценки" w:history="1">
        <w:r>
          <w:rPr>
            <w:rStyle w:val="1170"/>
          </w:rPr>
          <w:t xml:space="preserve">Порядком и критериями оценки и сопоставления заявок (Приложение № 8)</w:t>
        </w:r>
      </w:hyperlink>
      <w:r>
        <w:rPr>
          <w:rStyle w:val="1170"/>
        </w:rPr>
        <w:t xml:space="preserve">.</w:t>
      </w:r>
      <w:r>
        <w:t xml:space="preserve"> Их результатом является формирование </w:t>
      </w:r>
      <w:r>
        <w:t xml:space="preserve">ранжировки</w:t>
      </w:r>
      <w:r>
        <w:t xml:space="preserve"> заявок по степени предпочтительности на основании полученного итогового балла (п</w:t>
      </w:r>
      <w:r>
        <w:t xml:space="preserve">о мере уменьшения). При этом первое место в </w:t>
      </w:r>
      <w:r>
        <w:t xml:space="preserve">ранжировке</w:t>
      </w:r>
      <w:r>
        <w:t xml:space="preserve"> присваивается заявке, получившей наибольший итоговый балл. Если по результатам оценки нескольким заявкам присвоен одинаковый итоговый балл, то меньший порядковый номер (более высокое место в </w:t>
      </w:r>
      <w:r>
        <w:t xml:space="preserve">ранжировке</w:t>
      </w:r>
      <w:r>
        <w:t xml:space="preserve">) присваивается заявке, которая поступила ранее других заявок (по дате и времени последнего изменения заявки на ЭП до окончания срока подачи заявок, а также если проводилась переторжка (подраздел </w:t>
      </w:r>
      <w:r>
        <w:fldChar w:fldCharType="begin"/>
      </w:r>
      <w:r>
        <w:instrText xml:space="preserve"> REF _Ref125362430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), </w:t>
      </w:r>
      <w:r>
        <w:t xml:space="preserve">с учетом даты и времени последнего изменения заявки на ЭП, обусловленного переторжкой).</w:t>
      </w:r>
      <w:r/>
    </w:p>
    <w:p>
      <w:pPr>
        <w:pStyle w:val="1142"/>
      </w:pPr>
      <w:r>
        <w:t xml:space="preserve">Оценка и сопоставление заявок проводится только на основании представленных в составе заявки документов и сведений. Применение ин</w:t>
      </w:r>
      <w:r>
        <w:t xml:space="preserve">ого порядка и (или) критериев оценки и сопоставления заявок, кроме предусмотренных Документацией о закупке, не допускается.</w:t>
      </w:r>
      <w:r/>
    </w:p>
    <w:p>
      <w:pPr>
        <w:pStyle w:val="1142"/>
      </w:pPr>
      <w:r>
        <w:t xml:space="preserve">Если проводилась переторжка, оценка и сопоставление заявок, а также их </w:t>
      </w:r>
      <w:r>
        <w:t xml:space="preserve">ранжировка</w:t>
      </w:r>
      <w:r>
        <w:t xml:space="preserve"> осуществляются с учетом предложений, полученных по</w:t>
      </w:r>
      <w:r>
        <w:t xml:space="preserve"> результатам переторжки (последней переторжки – если она проводилась многократно). Заявки Участников, не принявших участие в переторжке, учитываются при построении </w:t>
      </w:r>
      <w:r>
        <w:t xml:space="preserve">ранжировки</w:t>
      </w:r>
      <w:r>
        <w:t xml:space="preserve"> заявок с первоначальными, указанными в их заявках предложениями (или с предложени</w:t>
      </w:r>
      <w:r>
        <w:t xml:space="preserve">ями, принятыми Организатором в рамках последней прошедшей переторжки – если она проводилась многократно).</w:t>
      </w:r>
      <w:r/>
    </w:p>
    <w:p>
      <w:pPr>
        <w:pStyle w:val="1142"/>
      </w:pPr>
      <w:r/>
      <w:bookmarkStart w:id="146" w:name="_Ref125366064"/>
      <w:r/>
      <w:bookmarkStart w:id="147" w:name="_Ref125369991"/>
      <w:r/>
      <w:bookmarkStart w:id="148" w:name="_Ref125370507"/>
      <w:r/>
      <w:bookmarkStart w:id="149" w:name="_Ref130458671"/>
      <w:r>
        <w:t xml:space="preserve">Оценка и сопоставление заявок, а также их </w:t>
      </w:r>
      <w:r>
        <w:t xml:space="preserve">ранжировка</w:t>
      </w:r>
      <w:r>
        <w:t xml:space="preserve">, осуществляется с учетом применения законодательства о национальном режиме, в </w:t>
      </w:r>
      <w:r>
        <w:t xml:space="preserve">т.ч</w:t>
      </w:r>
      <w:r>
        <w:t xml:space="preserve">. ПП 1875 (подра</w:t>
      </w:r>
      <w:r>
        <w:t xml:space="preserve">здел </w:t>
      </w:r>
      <w:r>
        <w:fldChar w:fldCharType="begin"/>
      </w:r>
      <w:r>
        <w:instrText xml:space="preserve"> REF _Ref130985951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).</w:t>
      </w:r>
      <w:r/>
    </w:p>
    <w:p>
      <w:pPr>
        <w:pStyle w:val="1142"/>
      </w:pPr>
      <w:r>
        <w:t xml:space="preserve">Результаты оценки и сопоставления заявок вносятся в итоговый протокол по результатам закупки.</w:t>
      </w:r>
      <w:r/>
    </w:p>
    <w:p>
      <w:pPr>
        <w:pStyle w:val="1141"/>
      </w:pPr>
      <w:r/>
      <w:bookmarkStart w:id="150" w:name="_Ref130985951"/>
      <w:r/>
      <w:bookmarkStart w:id="151" w:name="_Ref132894106"/>
      <w:r/>
      <w:bookmarkStart w:id="152" w:name="_Ref132894111"/>
      <w:r/>
      <w:bookmarkStart w:id="153" w:name="_Ref186120147"/>
      <w:r/>
      <w:bookmarkStart w:id="154" w:name="_Toc228976104"/>
      <w:r>
        <w:t xml:space="preserve">Применение </w:t>
      </w:r>
      <w:bookmarkEnd w:id="146"/>
      <w:r/>
      <w:bookmarkEnd w:id="147"/>
      <w:r/>
      <w:bookmarkEnd w:id="148"/>
      <w:r/>
      <w:bookmarkEnd w:id="149"/>
      <w:r/>
      <w:bookmarkEnd w:id="150"/>
      <w:r/>
      <w:bookmarkEnd w:id="151"/>
      <w:r/>
      <w:bookmarkEnd w:id="152"/>
      <w:r>
        <w:t xml:space="preserve">законодательства о национальном режиме</w:t>
      </w:r>
      <w:bookmarkEnd w:id="153"/>
      <w:r/>
      <w:bookmarkEnd w:id="154"/>
      <w:r/>
      <w:r/>
    </w:p>
    <w:p>
      <w:pPr>
        <w:pStyle w:val="1142"/>
      </w:pPr>
      <w:r>
        <w:t xml:space="preserve">Настоящ</w:t>
      </w:r>
      <w:r>
        <w:t xml:space="preserve">ий подраздел применяется исходя из информации, установленной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/>
    </w:p>
    <w:p>
      <w:pPr>
        <w:pStyle w:val="1142"/>
      </w:pPr>
      <w:r/>
      <w:bookmarkStart w:id="155" w:name="_Ref207799884"/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запрета закупки иностранной продукции, то не допускается заключение Договора на поставку такой продукции (на поставку товара иностранного происхождения / на оказание услуг ин</w:t>
      </w:r>
      <w:r>
        <w:t xml:space="preserve">остранным лицом / на выполнение работ иностранным лицом) – соответствующая заявка отклоняется при рассмотрении заявок (подраздел </w:t>
      </w:r>
      <w:r>
        <w:fldChar w:fldCharType="begin"/>
      </w:r>
      <w:r>
        <w:instrText xml:space="preserve"> REF _Ref135749133 \r \h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).</w:t>
      </w:r>
      <w:bookmarkEnd w:id="155"/>
      <w:r/>
      <w:r/>
    </w:p>
    <w:p>
      <w:pPr>
        <w:pStyle w:val="1142"/>
      </w:pPr>
      <w:r>
        <w:t xml:space="preserve">Если в подразделе </w:t>
      </w:r>
      <w:r>
        <w:fldChar w:fldCharType="begin"/>
      </w:r>
      <w:r>
        <w:instrText xml:space="preserve"> REF _Ref12</w:instrText>
      </w:r>
      <w:r>
        <w:instrText xml:space="preserve">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ограничения закупки иностранной продукции, то не допускается заключение Договора на поставку такой продукции, если была подана и по результатам рассмотрен</w:t>
      </w:r>
      <w:r>
        <w:t xml:space="preserve">ия заявок допущена заявка с российской продукцией (на поставку товара российского происхождения / на оказание услуг российским лицом / на выполнение работ российским лицом), – соответствующая заявка отклоняется при рассмотрении заявок (подраздел </w:t>
      </w:r>
      <w:r>
        <w:fldChar w:fldCharType="begin"/>
      </w:r>
      <w:r>
        <w:instrText xml:space="preserve"> REF _Ref1</w:instrText>
      </w:r>
      <w:r>
        <w:instrText xml:space="preserve">35749133 \r \h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).</w:t>
      </w:r>
      <w:r/>
    </w:p>
    <w:p>
      <w:pPr>
        <w:pStyle w:val="1142"/>
      </w:pPr>
      <w:r/>
      <w:bookmarkStart w:id="156" w:name="_Ref192101097"/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преимущества российской продукции, т</w:t>
      </w:r>
      <w:r>
        <w:t xml:space="preserve">о </w:t>
      </w:r>
      <w:bookmarkStart w:id="157" w:name="_Hlk198907172"/>
      <w:r>
        <w:t xml:space="preserve">при оценке и сопоставлении заявок, а также их </w:t>
      </w:r>
      <w:r>
        <w:t xml:space="preserve">ранжировке</w:t>
      </w:r>
      <w:r>
        <w:t xml:space="preserve"> (подраздел </w:t>
      </w:r>
      <w:r>
        <w:fldChar w:fldCharType="begin"/>
      </w:r>
      <w:r>
        <w:instrText xml:space="preserve"> REF _Ref125362626 \r \h </w:instrText>
      </w:r>
      <w:r>
        <w:fldChar w:fldCharType="separate"/>
      </w:r>
      <w:r>
        <w:t xml:space="preserve">4.12</w:t>
      </w:r>
      <w:r>
        <w:fldChar w:fldCharType="end"/>
      </w:r>
      <w:r>
        <w:t xml:space="preserve">), осуществляется снижение</w:t>
      </w:r>
      <w:r>
        <w:rPr>
          <w:rStyle w:val="1154"/>
        </w:rPr>
        <w:footnoteReference w:id="9"/>
      </w:r>
      <w:r>
        <w:t xml:space="preserve"> на 15% (пятнадцать процентов) итоговой стоимости (цены Договор</w:t>
      </w:r>
      <w:r>
        <w:t xml:space="preserve">а) поданной и допущенной заявки с российской продукцией (на поставку товара российского происхождения </w:t>
      </w:r>
      <w:bookmarkStart w:id="158" w:name="_Hlk198901350"/>
      <w:r>
        <w:t xml:space="preserve">(в том числе поставляемых при выполнении закупаемых работ, оказании закупаемых услуг))</w:t>
      </w:r>
      <w:bookmarkEnd w:id="158"/>
      <w:r>
        <w:t xml:space="preserve">, при условии наличия допущенной заявки с иностранной продукцией (на</w:t>
      </w:r>
      <w:r>
        <w:t xml:space="preserve"> поставку товара иностранного происхождения)</w:t>
      </w:r>
      <w:bookmarkEnd w:id="157"/>
      <w:r>
        <w:t xml:space="preserve">.</w:t>
      </w:r>
      <w:bookmarkEnd w:id="156"/>
      <w:r/>
      <w:r/>
    </w:p>
    <w:p>
      <w:pPr>
        <w:pStyle w:val="1142"/>
      </w:pPr>
      <w:r/>
      <w:bookmarkStart w:id="159" w:name="_Ref192700787"/>
      <w:r/>
      <w:bookmarkStart w:id="160" w:name="_Ref196303561"/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Заказчик исполняет нормы в части минимальной обязательной доли закупок товаров</w:t>
      </w:r>
      <w:r>
        <w:t xml:space="preserve"> российского происхождения, то не допускается заключение Договора на поставку товара иностранного происхождения, – соответствующая заявка отклоняется при рассмотрении заявок (подраздел </w:t>
      </w:r>
      <w:r>
        <w:fldChar w:fldCharType="begin"/>
      </w:r>
      <w:r>
        <w:instrText xml:space="preserve"> REF _Ref135749133 \r \h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).</w:t>
      </w:r>
      <w:bookmarkEnd w:id="159"/>
      <w:r/>
      <w:bookmarkEnd w:id="160"/>
      <w:r/>
      <w:r/>
    </w:p>
    <w:p>
      <w:pPr>
        <w:pStyle w:val="1142"/>
      </w:pPr>
      <w:r>
        <w:t xml:space="preserve">Состав и требования к сведениям и (или) перечню документов (их предоставлению Участником), которые подтверждают страну происхождения товара (страны ЕАЭС, включая Россию), в целях выполнения требований законодательства о националь</w:t>
      </w:r>
      <w:r>
        <w:t xml:space="preserve">ном режиме (пункты </w:t>
      </w:r>
      <w:r>
        <w:fldChar w:fldCharType="begin"/>
      </w:r>
      <w:r>
        <w:instrText xml:space="preserve"> REF _Ref207799884 \r \h </w:instrText>
      </w:r>
      <w:r>
        <w:fldChar w:fldCharType="separate"/>
      </w:r>
      <w:r>
        <w:t xml:space="preserve">4.13.2</w:t>
      </w:r>
      <w:r>
        <w:fldChar w:fldCharType="end"/>
      </w:r>
      <w:r>
        <w:t xml:space="preserve"> – </w:t>
      </w:r>
      <w:r>
        <w:fldChar w:fldCharType="begin"/>
      </w:r>
      <w:r>
        <w:instrText xml:space="preserve"> REF _Ref192700787 \r \h </w:instrText>
      </w:r>
      <w:r>
        <w:fldChar w:fldCharType="separate"/>
      </w:r>
      <w:r>
        <w:t xml:space="preserve">4.13.5</w:t>
      </w:r>
      <w:r>
        <w:fldChar w:fldCharType="end"/>
      </w:r>
      <w:r>
        <w:t xml:space="preserve">), установлены в Структуре НМЦ (в со</w:t>
      </w:r>
      <w:r>
        <w:t xml:space="preserve">ставе Коммерческого предложения (форма 3)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), </w:t>
      </w:r>
      <w:bookmarkStart w:id="161" w:name="_Hlk207281039"/>
      <w:r>
        <w:t xml:space="preserve">а также в Технических требованиях (Приложение №1) в части установления требований к подтверждающим документам</w:t>
      </w:r>
      <w:bookmarkEnd w:id="161"/>
      <w:r>
        <w:t xml:space="preserve">.</w:t>
      </w:r>
      <w:r/>
    </w:p>
    <w:p>
      <w:pPr>
        <w:pStyle w:val="1142"/>
        <w:keepNext/>
      </w:pPr>
      <w:r>
        <w:t xml:space="preserve">Товар приравнивается к</w:t>
      </w:r>
      <w:r>
        <w:t xml:space="preserve"> товарам, происходящим из иностранного государства (не являющегося государством – членом ЕАЭС), если:</w:t>
      </w:r>
      <w:r/>
    </w:p>
    <w:p>
      <w:pPr>
        <w:pStyle w:val="1143"/>
      </w:pPr>
      <w:r>
        <w:t xml:space="preserve">в отношении такого товара Участником не предоставлены в составе заявки требуемые Документацией о закупке подтверждающие сведения и (или) документы;</w:t>
      </w:r>
      <w:r/>
    </w:p>
    <w:p>
      <w:pPr>
        <w:pStyle w:val="1143"/>
      </w:pPr>
      <w:r>
        <w:t xml:space="preserve">в соот</w:t>
      </w:r>
      <w:r>
        <w:t xml:space="preserve">ветствии с реестровой записью из реестра российской промышленной продукции количество указанных баллов за выполнение (освоение) на территории Российской Федерации соответствующих операций (условий) составляет меньшее значение по отношению к количеству балл</w:t>
      </w:r>
      <w:r>
        <w:t xml:space="preserve">ов, определенных ПП 719 (в случае, если для такого товара ПП 719 установлены требования о совокупном количестве баллов).</w:t>
      </w:r>
      <w:r/>
    </w:p>
    <w:p>
      <w:pPr>
        <w:pStyle w:val="1142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запр</w:t>
      </w:r>
      <w:r>
        <w:t xml:space="preserve">ета закупки иностранной продукции (в отношении позиции № 146 приложения № 1 к ПП 1875), то заявка, содержащая предложение о поставке российского программного обеспечения, реестровая запись о котором в реестре российского программного обеспечения или реестр</w:t>
      </w:r>
      <w:r>
        <w:t xml:space="preserve">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 ПП 325, приравнивается к заявке, содержащей предложение о поставке п</w:t>
      </w:r>
      <w:r>
        <w:t xml:space="preserve">рограммного обеспечения, происходящего из иностранного государства (не являющегося государством – членом ЕАЭС), если на участие в закупке подана заявка (соответствующая установленным Документацией о закупке требованиям), содержащая предложение о поставке п</w:t>
      </w:r>
      <w:r>
        <w:t xml:space="preserve">рограммного обеспечения,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</w:t>
      </w:r>
      <w:r>
        <w:t xml:space="preserve">граммному обеспечению в соответствии с ПП 325.</w:t>
      </w:r>
      <w:r/>
    </w:p>
    <w:p>
      <w:pPr>
        <w:pStyle w:val="1142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ограничения закупки иностранной продукции (в отношении позиций №№ 195, 197 – 199, 203 приложения № 2 к ПП 1875), то заявка, содержащая предложение о поставке российской радиоэлектронной продукции, но не являющейся в соответствии с ПП 719 </w:t>
      </w:r>
      <w:r>
        <w:t xml:space="preserve">радиоэлектронной продукцией первого уровня, приравнивается к заявке, содержащей предложение о поставке радиоэлектронной продукции из иностранного государства (не являющегося государством – членом ЕАЭС), </w:t>
      </w:r>
      <w:r>
        <w:t xml:space="preserve">если на участие в закупке подана заявка (соответствую</w:t>
      </w:r>
      <w:r>
        <w:t xml:space="preserve">щая установленным Документацией о закупке требованиям), содержащая предложение о поставке радиоэлектронной продукции российского происхождения, являющейся в соответствии с ПП 719 радиоэлектронной продукцией первого уровня.</w:t>
      </w:r>
      <w:r/>
    </w:p>
    <w:p>
      <w:pPr>
        <w:pStyle w:val="1142"/>
      </w:pPr>
      <w:r/>
      <w:bookmarkStart w:id="162" w:name="_Hlk191561456"/>
      <w:r>
        <w:t xml:space="preserve">Если Договор был заключен по резу</w:t>
      </w:r>
      <w:r>
        <w:t xml:space="preserve">льтатам закупки, в которой был установлен режим запрета закупки иностранных товаров, выполнения работ и (или) оказания услуг иностранным лицом, то не допускается при исполнении такого Договора: замена закупаемого товара на товар, происходящий из иностранно</w:t>
      </w:r>
      <w:r>
        <w:t xml:space="preserve">го государства, в отношении которого в закупке был установлен запрет; перемена подрядчика (исполнителя) (в случае, если эта перемена допускается гражданским законодательством), с которым заключен указанный Договор, на иностранное лицо, которое зарегистриро</w:t>
      </w:r>
      <w:r>
        <w:t xml:space="preserve">вано на территории иностранного государства, в отношении которого установлен данный запрет</w:t>
      </w:r>
      <w:bookmarkEnd w:id="162"/>
      <w:r>
        <w:t xml:space="preserve">.</w:t>
      </w:r>
      <w:r/>
    </w:p>
    <w:p>
      <w:pPr>
        <w:pStyle w:val="1142"/>
      </w:pPr>
      <w:r>
        <w:t xml:space="preserve">Если Договор был заключен по результатам закупки, в которой был установлен режим ограничения закупки иностранных товаров, то не допускается при исполнении такого До</w:t>
      </w:r>
      <w:r>
        <w:t xml:space="preserve">говора замена закупаемого товара на товар, происходящий из иностранного государства, в отношении которого в закупке было установлено ограничение, если Договор предусматривает поставку товара российского происхождения.</w:t>
      </w:r>
      <w:r/>
    </w:p>
    <w:p>
      <w:pPr>
        <w:pStyle w:val="1142"/>
      </w:pPr>
      <w:r>
        <w:t xml:space="preserve">Если Договор был заключен по результат</w:t>
      </w:r>
      <w:r>
        <w:t xml:space="preserve">ам закупки, в которой был установлен режим преимущество в отношении товара российского происхождения, то не допускается при исполнении такого Договора замена закупаемого товара на товар, происходящий из иностранного государства, в отношении которого в заку</w:t>
      </w:r>
      <w:r>
        <w:t xml:space="preserve">пке было установлено преимущество, если Договор предусматривает поставку товара российского происхождения.</w:t>
      </w:r>
      <w:r/>
    </w:p>
    <w:p>
      <w:pPr>
        <w:pStyle w:val="1141"/>
      </w:pPr>
      <w:r/>
      <w:bookmarkStart w:id="163" w:name="_Ref125362658"/>
      <w:r/>
      <w:bookmarkStart w:id="164" w:name="_Ref125366091"/>
      <w:r/>
      <w:bookmarkStart w:id="165" w:name="_Ref125367242"/>
      <w:r/>
      <w:bookmarkStart w:id="166" w:name="_Toc228976106"/>
      <w:r>
        <w:t xml:space="preserve">Подведение итогов закупки (определение Победителя)</w:t>
      </w:r>
      <w:bookmarkEnd w:id="163"/>
      <w:r/>
      <w:bookmarkEnd w:id="164"/>
      <w:r/>
      <w:bookmarkEnd w:id="165"/>
      <w:r/>
      <w:bookmarkEnd w:id="166"/>
      <w:r/>
      <w:r/>
    </w:p>
    <w:p>
      <w:pPr>
        <w:pStyle w:val="1142"/>
      </w:pPr>
      <w:r>
        <w:t xml:space="preserve">Дата окончания срока подведения итогов закупки указана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согласованию с Заказчиком вправе, при необходимости, изменить данный срок, официально разместив информацию об этом.</w:t>
      </w:r>
      <w:r/>
    </w:p>
    <w:p>
      <w:pPr>
        <w:pStyle w:val="1142"/>
      </w:pPr>
      <w:r>
        <w:t xml:space="preserve">На основании полученных результатов оценки и сопоставлени</w:t>
      </w:r>
      <w:r>
        <w:t xml:space="preserve">я заявок Организатор подводит итоги закупки. Победителем закупки признается Участник, заявка которого заняла 1 (первое) место в </w:t>
      </w:r>
      <w:r>
        <w:t xml:space="preserve">ранжировке</w:t>
      </w:r>
      <w:r>
        <w:t xml:space="preserve"> заявок по итогам рассмотрения, оценки и сопоставления заявок.</w:t>
      </w:r>
      <w:r/>
    </w:p>
    <w:p>
      <w:pPr>
        <w:pStyle w:val="1142"/>
      </w:pPr>
      <w:r>
        <w:t xml:space="preserve">Перед окончательным определением Победителя Организатор вправе потребовать от Участника, занявшего верхнее место в </w:t>
      </w:r>
      <w:r>
        <w:t xml:space="preserve">ранжировке</w:t>
      </w:r>
      <w:r>
        <w:t xml:space="preserve">, прохождения процедуры </w:t>
      </w:r>
      <w:r>
        <w:t xml:space="preserve">постквалификации</w:t>
      </w:r>
      <w:r>
        <w:t xml:space="preserve">. В рамках </w:t>
      </w:r>
      <w:r>
        <w:t xml:space="preserve">постквалификации</w:t>
      </w:r>
      <w:r>
        <w:t xml:space="preserve"> Организатор вправе запросить у Участника предоставление докумен</w:t>
      </w:r>
      <w:r>
        <w:t xml:space="preserve">тов и (или) информации, подтверждающих представленные в заявке сведения, а также провести дополнительную проверку достоверности представленных документов и информации. </w:t>
      </w:r>
      <w:r>
        <w:t xml:space="preserve">Постквалификация</w:t>
      </w:r>
      <w:r>
        <w:t xml:space="preserve"> проводится по отборочным критериям (</w:t>
      </w:r>
      <w:hyperlink w:tooltip="#Прил07_ОтборочныеКритерии" w:anchor="Прил07_ОтборочныеКритерии" w:history="1">
        <w:r>
          <w:rPr>
            <w:rStyle w:val="1170"/>
          </w:rPr>
          <w:t xml:space="preserve">Приложение № 7</w:t>
        </w:r>
      </w:hyperlink>
      <w:r>
        <w:t xml:space="preserve">), относящимся к соответствию Участника установленным требованиям Документации о закупке. Заявка Участника, не отвечающего необходимым требованиям, отклоняется, при этом Организатор вправе продолжить </w:t>
      </w:r>
      <w:r>
        <w:t xml:space="preserve">процедуру проверки в отношении Участника, занявшего следующее место в </w:t>
      </w:r>
      <w:r>
        <w:t xml:space="preserve">ранжировке</w:t>
      </w:r>
      <w:r>
        <w:t xml:space="preserve">.</w:t>
      </w:r>
      <w:r/>
    </w:p>
    <w:p>
      <w:pPr>
        <w:pStyle w:val="1142"/>
      </w:pPr>
      <w:r>
        <w:t xml:space="preserve">Если к моменту подведения итогов закупки с выбором в качестве Победителя ранее аккредитованного Участника прошло более 6 (шести) календарных месяцев с даты присвоения ему ста</w:t>
      </w:r>
      <w:r>
        <w:t xml:space="preserve">туса «аккредитован» / «аккредитация не требуется», перед окончательным определением Победителя проводится процедура актуализации статуса аккредитации данного Участника. Если по результатам такой проверки Участнику присвоен статус «не аккредитован», его зая</w:t>
      </w:r>
      <w:r>
        <w:t xml:space="preserve">вка отклоняется, а Закупочная комиссия имеет право выбрать в качестве Победителя иного Участника, занявшего следующее после него место в </w:t>
      </w:r>
      <w:r>
        <w:t xml:space="preserve">ранжировке</w:t>
      </w:r>
      <w:r>
        <w:t xml:space="preserve"> заявок, из числа остальных действующих заявок (при наличии у него актуального статуса аккредитации).</w:t>
      </w:r>
      <w:r/>
    </w:p>
    <w:p>
      <w:pPr>
        <w:pStyle w:val="1142"/>
        <w:keepNext/>
      </w:pPr>
      <w:r/>
      <w:bookmarkStart w:id="167" w:name="_Ref125365974"/>
      <w:r>
        <w:t xml:space="preserve">Решение</w:t>
      </w:r>
      <w:r>
        <w:t xml:space="preserve"> Закупочной комиссии по определению Победителя оформляется итоговым протоколом по результатам закупки, в котором, как минимум, указываются</w:t>
      </w:r>
      <w:r>
        <w:rPr>
          <w:rStyle w:val="1154"/>
        </w:rPr>
        <w:footnoteReference w:id="10"/>
      </w:r>
      <w:r>
        <w:t xml:space="preserve">:</w:t>
      </w:r>
      <w:bookmarkEnd w:id="167"/>
      <w:r/>
      <w:r/>
    </w:p>
    <w:p>
      <w:pPr>
        <w:pStyle w:val="1143"/>
      </w:pPr>
      <w:r>
        <w:t xml:space="preserve">дата подписания протокола;</w:t>
      </w:r>
      <w:r/>
    </w:p>
    <w:p>
      <w:pPr>
        <w:pStyle w:val="1143"/>
      </w:pPr>
      <w:r>
        <w:t xml:space="preserve">общее количество поступивших заявок, а также дата и время регистрации каждой заявки (по </w:t>
      </w:r>
      <w:r>
        <w:t xml:space="preserve">факту последнего изменения заявки до окончания срока подачи заявок);</w:t>
      </w:r>
      <w:r/>
    </w:p>
    <w:p>
      <w:pPr>
        <w:pStyle w:val="1143"/>
      </w:pPr>
      <w:r>
        <w:t xml:space="preserve">наименования Участников, заявки которых были допущены по результатам рассмотрения заявок, и (или) их идентификационные номера, присваиваемые Оператором ЭП;</w:t>
      </w:r>
      <w:r/>
    </w:p>
    <w:p>
      <w:pPr>
        <w:pStyle w:val="1143"/>
        <w:keepNext/>
      </w:pPr>
      <w:r>
        <w:t xml:space="preserve">результаты дополнительного расс</w:t>
      </w:r>
      <w:r>
        <w:t xml:space="preserve">мотрения заявок (при возникновении оснований для отклонения заявок по результатам проведения </w:t>
      </w:r>
      <w:r>
        <w:t xml:space="preserve">постквалификации</w:t>
      </w:r>
      <w:r>
        <w:t xml:space="preserve"> или актуализации статуса аккредитации, если такие процедуры проводились) с указанием, в том числе:</w:t>
      </w:r>
      <w:r/>
    </w:p>
    <w:p>
      <w:pPr>
        <w:pStyle w:val="1144"/>
      </w:pPr>
      <w:r>
        <w:t xml:space="preserve">количества заявок, которые были отклонены;</w:t>
      </w:r>
      <w:r/>
    </w:p>
    <w:p>
      <w:pPr>
        <w:pStyle w:val="1144"/>
      </w:pPr>
      <w:r>
        <w:t xml:space="preserve">осно</w:t>
      </w:r>
      <w:r>
        <w:t xml:space="preserve">ваний отклонения каждой заявки с указанием положений Документации о закупке, которым не соответствует такая заявка;</w:t>
      </w:r>
      <w:r/>
    </w:p>
    <w:p>
      <w:pPr>
        <w:pStyle w:val="1143"/>
      </w:pPr>
      <w:r>
        <w:t xml:space="preserve">результаты оценки и сопоставления заявок с указанием, в том числе значения (в баллах), присвоенного каждой заявке по каждому из предусмотрен</w:t>
      </w:r>
      <w:r>
        <w:t xml:space="preserve">ных критериев оценки, установленных в Документации о закупке;</w:t>
      </w:r>
      <w:r/>
    </w:p>
    <w:p>
      <w:pPr>
        <w:pStyle w:val="1143"/>
      </w:pPr>
      <w:r>
        <w:t xml:space="preserve">порядковые номера каждой заявки (с указанием стоимостей заявок (цен Договоров), допущенной по результатам рассмотрения заявок, в том числе с учетом результатов актуализации статуса аккредитации </w:t>
      </w:r>
      <w:r>
        <w:t xml:space="preserve">и проведения переторжки (если указанные процедуры проводились), в </w:t>
      </w:r>
      <w:r>
        <w:t xml:space="preserve">ранжировке</w:t>
      </w:r>
      <w:r>
        <w:t xml:space="preserve"> заявок;</w:t>
      </w:r>
      <w:r/>
    </w:p>
    <w:p>
      <w:pPr>
        <w:pStyle w:val="1143"/>
      </w:pPr>
      <w:r>
        <w:t xml:space="preserve">наименование Победителя закупки или Единственного участника несостоявшейся закупки, с которым планируется заключить Договор;</w:t>
      </w:r>
      <w:r/>
    </w:p>
    <w:p>
      <w:pPr>
        <w:pStyle w:val="1143"/>
      </w:pPr>
      <w:r>
        <w:t xml:space="preserve">причины, по которым закупка признана несостояв</w:t>
      </w:r>
      <w:r>
        <w:t xml:space="preserve">шейся (в случае ее признания таковой),</w:t>
      </w:r>
      <w:r/>
    </w:p>
    <w:p>
      <w:pPr>
        <w:pStyle w:val="1146"/>
        <w:ind w:left="1134"/>
      </w:pPr>
      <w:r>
        <w:t xml:space="preserve">после чего Организатор официально размещает его в течение 3 (трех) календарных дней с даты подписания такого протокола.</w:t>
      </w:r>
      <w:r/>
    </w:p>
    <w:p>
      <w:pPr>
        <w:pStyle w:val="1142"/>
      </w:pPr>
      <w:r>
        <w:t xml:space="preserve">Победитель дополнительно уведомляется о результатах проводимой закупки с использованием ЭП – увед</w:t>
      </w:r>
      <w:r>
        <w:t xml:space="preserve">омление направляется Оператором ЭП согласно Регламенту ЭП.</w:t>
      </w:r>
      <w:r/>
    </w:p>
    <w:p>
      <w:pPr>
        <w:pStyle w:val="1142"/>
      </w:pPr>
      <w:r>
        <w:t xml:space="preserve">Если между официальным размещением итогового протокола по результатам закупки и подписанием Договора изменится Победитель (например, вследствие уклонения Победителя или потери им статуса), информац</w:t>
      </w:r>
      <w:r>
        <w:t xml:space="preserve">ия о новом Победителе официально размещается Организатором в том же порядке.</w:t>
      </w:r>
      <w:r/>
    </w:p>
    <w:p>
      <w:pPr>
        <w:pStyle w:val="1141"/>
      </w:pPr>
      <w:r/>
      <w:bookmarkStart w:id="168" w:name="_Ref125364149"/>
      <w:r/>
      <w:bookmarkStart w:id="169" w:name="_Ref125364187"/>
      <w:r/>
      <w:bookmarkStart w:id="170" w:name="_Ref125365305"/>
      <w:r/>
      <w:bookmarkStart w:id="171" w:name="_Ref125365570"/>
      <w:r/>
      <w:bookmarkStart w:id="172" w:name="_Ref125366631"/>
      <w:r/>
      <w:bookmarkStart w:id="173" w:name="_Ref125366796"/>
      <w:r/>
      <w:bookmarkStart w:id="174" w:name="_Toc228976107"/>
      <w:r>
        <w:t xml:space="preserve">Признание закупки несостоявшейся</w:t>
      </w:r>
      <w:bookmarkEnd w:id="168"/>
      <w:r/>
      <w:bookmarkEnd w:id="169"/>
      <w:r/>
      <w:bookmarkEnd w:id="170"/>
      <w:r/>
      <w:bookmarkEnd w:id="171"/>
      <w:r/>
      <w:bookmarkEnd w:id="172"/>
      <w:r/>
      <w:bookmarkEnd w:id="173"/>
      <w:r/>
      <w:bookmarkEnd w:id="174"/>
      <w:r/>
      <w:r/>
    </w:p>
    <w:p>
      <w:pPr>
        <w:pStyle w:val="1142"/>
        <w:keepNext/>
      </w:pPr>
      <w:r>
        <w:t xml:space="preserve">Закупка признается несостоявшейся в следующих случаях:</w:t>
      </w:r>
      <w:r/>
    </w:p>
    <w:p>
      <w:pPr>
        <w:pStyle w:val="1143"/>
      </w:pPr>
      <w:r>
        <w:t xml:space="preserve">если по окончанию срока подачи заявок поступило менее 2 (двух) заявок (с учетом возможных о</w:t>
      </w:r>
      <w:r>
        <w:t xml:space="preserve">тзывов заявок);</w:t>
      </w:r>
      <w:r/>
    </w:p>
    <w:p>
      <w:pPr>
        <w:pStyle w:val="1143"/>
      </w:pPr>
      <w:r>
        <w:t xml:space="preserve">по результатам рассмотрения заявок Закупочной комиссией принято решение о признании менее 2 (двух) заявок соответствующими требованиям Документации о закупки;</w:t>
      </w:r>
      <w:r/>
    </w:p>
    <w:p>
      <w:pPr>
        <w:pStyle w:val="1143"/>
      </w:pPr>
      <w:r>
        <w:t xml:space="preserve">по результатам проведения закупки от заключения договора уклонились все допущенны</w:t>
      </w:r>
      <w:r>
        <w:t xml:space="preserve">е Участники (подраздел </w:t>
      </w:r>
      <w:r>
        <w:fldChar w:fldCharType="begin"/>
      </w:r>
      <w:r>
        <w:instrText xml:space="preserve"> REF _Ref125367068 \r \h </w:instrText>
      </w:r>
      <w:r>
        <w:fldChar w:fldCharType="separate"/>
      </w:r>
      <w:r>
        <w:t xml:space="preserve">5.4</w:t>
      </w:r>
      <w:r>
        <w:fldChar w:fldCharType="end"/>
      </w:r>
      <w:r>
        <w:t xml:space="preserve">).</w:t>
      </w:r>
      <w:r/>
    </w:p>
    <w:p>
      <w:pPr>
        <w:pStyle w:val="1142"/>
      </w:pPr>
      <w:r>
        <w:t xml:space="preserve">Указанные обстоятельства в случае их наступления фиксируются в соответствующем протоколе, оформляемом по результатам проведения закупки</w:t>
      </w:r>
      <w:r>
        <w:t xml:space="preserve"> (или ее этапа).</w:t>
      </w:r>
      <w:r/>
    </w:p>
    <w:p>
      <w:pPr>
        <w:pStyle w:val="1142"/>
        <w:keepNext/>
      </w:pPr>
      <w:r>
        <w:t xml:space="preserve">В случае признания закупки несостоявшейся (с учетом условий, предусмотренных Положением о закупке):</w:t>
      </w:r>
      <w:r/>
    </w:p>
    <w:p>
      <w:pPr>
        <w:pStyle w:val="1143"/>
      </w:pPr>
      <w:r/>
      <w:bookmarkStart w:id="175" w:name="_Hlk214281841"/>
      <w:r>
        <w:t xml:space="preserve">если поступила только 1 (одна) заявка от одного Участника (с учетом отозванных Участниками заявок), либо по результатам рассмотрения заявок</w:t>
      </w:r>
      <w:r>
        <w:t xml:space="preserve"> (или </w:t>
      </w:r>
      <w:r>
        <w:t xml:space="preserve">постквалификации</w:t>
      </w:r>
      <w:r>
        <w:t xml:space="preserve">, если проводилась) принято решение о признании только 1 (одной) заявки соответствующей требованиям Документации о закупке – Заказчик заключает договор с Единственным участником несостоявшейся закупки (раздел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 (при наличии экономической целесообразности и/или при условии отсутствия времени на повторное проведение закупки).</w:t>
      </w:r>
      <w:r/>
    </w:p>
    <w:p>
      <w:pPr>
        <w:pStyle w:val="1185"/>
        <w:numPr>
          <w:ilvl w:val="0"/>
          <w:numId w:val="0"/>
        </w:numPr>
        <w:ind w:left="1701"/>
        <w:rPr>
          <w:sz w:val="26"/>
          <w:szCs w:val="26"/>
        </w:rPr>
      </w:pPr>
      <w:r>
        <w:rPr>
          <w:sz w:val="26"/>
          <w:szCs w:val="26"/>
        </w:rPr>
        <w:t xml:space="preserve">В случае отсутствия экономической целесообразности и/или при наличии времени на повторное проведение закупки, Заказчик принимает одно из следующих решений в порядке приоритета: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88"/>
        <w:numPr>
          <w:ilvl w:val="0"/>
          <w:numId w:val="19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повторное проведение закупки;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88"/>
        <w:numPr>
          <w:ilvl w:val="0"/>
          <w:numId w:val="19"/>
        </w:numPr>
        <w:ind w:left="1701" w:firstLine="0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отказ от заключения договора по следующим основаниям: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88"/>
        <w:numPr>
          <w:ilvl w:val="0"/>
          <w:numId w:val="20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финансовых, инвестиционных, производственных и иных программ, оказавших влияние на потребность в данной закупке;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88"/>
        <w:numPr>
          <w:ilvl w:val="0"/>
          <w:numId w:val="20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потребности в продукции, в том числе изменение характеристик продукци</w:t>
      </w:r>
      <w:r>
        <w:rPr>
          <w:sz w:val="26"/>
          <w:szCs w:val="26"/>
        </w:rPr>
        <w:t xml:space="preserve">и, при наличии утверждения таких изменений;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88"/>
        <w:numPr>
          <w:ilvl w:val="0"/>
          <w:numId w:val="20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необходимость исполнения предписаний антимонопольного органа;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88"/>
        <w:numPr>
          <w:ilvl w:val="0"/>
          <w:numId w:val="19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отказ от дополнительного повторного проведения закупки (при отсутствии заявок, соответствующих установленным требованиям, по результатам повторного пр</w:t>
      </w:r>
      <w:r>
        <w:rPr>
          <w:sz w:val="26"/>
          <w:szCs w:val="26"/>
        </w:rPr>
        <w:t xml:space="preserve">оведения закупки);</w:t>
      </w:r>
      <w:bookmarkEnd w:id="175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3"/>
      </w:pPr>
      <w:r>
        <w:t xml:space="preserve">если не поступило ни одной заявки, либо по результатам рассмотрения заявок (или </w:t>
      </w:r>
      <w:r>
        <w:t xml:space="preserve">постквалификации</w:t>
      </w:r>
      <w:r>
        <w:t xml:space="preserve">, если проводилась), принято решение о признании их не соответствующими требованиям Документации о закупке, либо по результатам проведения за</w:t>
      </w:r>
      <w:r>
        <w:t xml:space="preserve">купки от заключения договора уклонились все допущенные Участники – Заказчик проводит повторную закупку.</w:t>
      </w:r>
      <w:r/>
    </w:p>
    <w:p>
      <w:pPr>
        <w:pStyle w:val="1185"/>
        <w:numPr>
          <w:ilvl w:val="0"/>
          <w:numId w:val="0"/>
        </w:numPr>
        <w:ind w:left="1701"/>
        <w:rPr>
          <w:sz w:val="26"/>
          <w:szCs w:val="26"/>
        </w:rPr>
      </w:pPr>
      <w:r>
        <w:rPr>
          <w:sz w:val="26"/>
          <w:szCs w:val="26"/>
        </w:rPr>
        <w:t xml:space="preserve">Заказчик вправе отказаться от проведения повторной закупки по следующим основаниям: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88"/>
        <w:numPr>
          <w:ilvl w:val="0"/>
          <w:numId w:val="20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финансовых, инвестиционных, производственных и иных програ</w:t>
      </w:r>
      <w:r>
        <w:rPr>
          <w:sz w:val="26"/>
          <w:szCs w:val="26"/>
        </w:rPr>
        <w:t xml:space="preserve">мм, оказавших влияние на потребность в данной закупке;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88"/>
        <w:numPr>
          <w:ilvl w:val="0"/>
          <w:numId w:val="20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потребности в продукции, в том числе изменение характеристик продукции;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88"/>
        <w:numPr>
          <w:ilvl w:val="0"/>
          <w:numId w:val="20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 отсутствии заявок, соответствующих установленным требованиям, по результатам повторного проведения закупки.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141"/>
      </w:pPr>
      <w:r/>
      <w:bookmarkStart w:id="176" w:name="_Ref126141962"/>
      <w:r/>
      <w:bookmarkStart w:id="177" w:name="_Toc228976108"/>
      <w:r>
        <w:t xml:space="preserve">Отказ о</w:t>
      </w:r>
      <w:r>
        <w:t xml:space="preserve">т проведения закупки</w:t>
      </w:r>
      <w:bookmarkEnd w:id="176"/>
      <w:r>
        <w:t xml:space="preserve"> (отмена закупки)</w:t>
      </w:r>
      <w:bookmarkEnd w:id="177"/>
      <w:r/>
      <w:r/>
    </w:p>
    <w:p>
      <w:pPr>
        <w:pStyle w:val="1142"/>
      </w:pPr>
      <w:r>
        <w:t xml:space="preserve">Организатор имеет право отказаться от проведения закупки не позднее окончания срока подачи заявок, не неся никакой ответственности перед Участниками или третьими лицами, которым такое действие может принести убытки.</w:t>
      </w:r>
      <w:r/>
    </w:p>
    <w:p>
      <w:pPr>
        <w:pStyle w:val="1142"/>
      </w:pPr>
      <w:r>
        <w:t xml:space="preserve">Ор</w:t>
      </w:r>
      <w:r>
        <w:t xml:space="preserve">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отмене.</w:t>
      </w:r>
      <w:r/>
    </w:p>
    <w:p>
      <w:pPr>
        <w:pStyle w:val="1142"/>
      </w:pPr>
      <w:r>
        <w:t xml:space="preserve">Дополнительно организатор уведомляет всех Участников об отмене закупки посредством ЭП.</w:t>
      </w:r>
      <w:r/>
    </w:p>
    <w:p>
      <w:pPr>
        <w:pStyle w:val="1142"/>
      </w:pPr>
      <w:r>
        <w:t xml:space="preserve">По истечении ук</w:t>
      </w:r>
      <w:r>
        <w:t xml:space="preserve">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 гражданским законодательством.</w:t>
      </w:r>
      <w:r/>
    </w:p>
    <w:p>
      <w:pPr>
        <w:pStyle w:val="1141"/>
      </w:pPr>
      <w:r/>
      <w:bookmarkStart w:id="178" w:name="_Ref130455226"/>
      <w:r/>
      <w:bookmarkStart w:id="179" w:name="_Toc228976109"/>
      <w:r/>
      <w:bookmarkStart w:id="180" w:name="_Ref130225422"/>
      <w:r/>
      <w:bookmarkStart w:id="181" w:name="_Ref125361212"/>
      <w:r/>
      <w:bookmarkStart w:id="182" w:name="_Ref125362671"/>
      <w:r/>
      <w:bookmarkStart w:id="183" w:name="_Ref125363439"/>
      <w:r/>
      <w:bookmarkStart w:id="184" w:name="_Ref125366769"/>
      <w:r/>
      <w:bookmarkStart w:id="185" w:name="_Ref125367083"/>
      <w:r/>
      <w:bookmarkStart w:id="186" w:name="_Ref125367087"/>
      <w:r>
        <w:t xml:space="preserve">Особенности проведения закупки с необходим</w:t>
      </w:r>
      <w:r>
        <w:t xml:space="preserve">остью обеспечения заявки</w:t>
      </w:r>
      <w:bookmarkEnd w:id="178"/>
      <w:r/>
      <w:bookmarkEnd w:id="179"/>
      <w:r/>
      <w:r/>
    </w:p>
    <w:p>
      <w:pPr>
        <w:pStyle w:val="1142"/>
      </w:pPr>
      <w:r>
        <w:t xml:space="preserve"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предусмотрена обязанность Участников предоставить обеспечение заявки на участ</w:t>
      </w:r>
      <w:r>
        <w:t xml:space="preserve">ие в закупке.</w:t>
      </w:r>
      <w:r/>
    </w:p>
    <w:p>
      <w:pPr>
        <w:pStyle w:val="1142"/>
      </w:pPr>
      <w:r>
        <w:t xml:space="preserve">Настоящий подраздел дополняет или изменяет порядок проведения закупки. В 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</w:t>
      </w:r>
      <w:r>
        <w:t xml:space="preserve">здела.</w:t>
      </w:r>
      <w:r/>
    </w:p>
    <w:p>
      <w:pPr>
        <w:pStyle w:val="1142"/>
      </w:pPr>
      <w:r>
        <w:t xml:space="preserve">Обязательства Участников, связанные с подачей заявок, обеспечиваются в форме, порядке и размере в соответствии с 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Выбор формы (способа) обес</w:t>
      </w:r>
      <w:r>
        <w:t xml:space="preserve">печения из числа предусмотренных осуществляется Участниками самостоятельно.</w:t>
      </w:r>
      <w:r/>
    </w:p>
    <w:p>
      <w:pPr>
        <w:pStyle w:val="1142"/>
      </w:pPr>
      <w:r>
        <w:t xml:space="preserve">В случае выбора Участником обеспечения заявки в виде денежных средств, такие денежные средства в требуемом размере должны быть внесены до момента окончания срока подачи заявок </w:t>
      </w:r>
      <w:r>
        <w:t xml:space="preserve">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на индивидуальный счет, открытый Участнику Оператором ЭП в соответствии с Регламентом ЭП. В противном случае обеспечение заявки считается невнесенны</w:t>
      </w:r>
      <w:r>
        <w:t xml:space="preserve">м, и Организатор обязан отклонить заявку такого Участника.</w:t>
      </w:r>
      <w:r/>
    </w:p>
    <w:p>
      <w:pPr>
        <w:pStyle w:val="1142"/>
      </w:pPr>
      <w:r>
        <w:t xml:space="preserve">В случае выбора Участником обеспечения заявки путем предоставления банковской гарантии (в том числе электронной банковской гарантии, выданной посредством функционала ЭП), такая банковская гарантия </w:t>
      </w:r>
      <w:r>
        <w:t xml:space="preserve">составляется с учетом требований статей 368 – 378 ГК РФ, а также следующих условий:</w:t>
      </w:r>
      <w:r/>
    </w:p>
    <w:p>
      <w:pPr>
        <w:pStyle w:val="1143"/>
      </w:pPr>
      <w:r>
        <w:t xml:space="preserve">банковская гарантия должна быть безотзывной и безусловной (гарантия по первому требованию);</w:t>
      </w:r>
      <w:r/>
    </w:p>
    <w:p>
      <w:pPr>
        <w:pStyle w:val="1143"/>
      </w:pPr>
      <w:r>
        <w:t xml:space="preserve">сумма банковской гарантии должна быть выражена в российских рублях и составлять </w:t>
      </w:r>
      <w:r>
        <w:t xml:space="preserve">не менее суммы в размере, указанном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;</w:t>
      </w:r>
      <w:r/>
    </w:p>
    <w:p>
      <w:pPr>
        <w:pStyle w:val="1143"/>
      </w:pPr>
      <w:r>
        <w:t xml:space="preserve">банковская гарантия должна действовать не менее 120 (ста двадцати) календарных дней с даты окончания срока под</w:t>
      </w:r>
      <w:r>
        <w:t xml:space="preserve">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);</w:t>
      </w:r>
      <w:r/>
    </w:p>
    <w:p>
      <w:pPr>
        <w:pStyle w:val="1143"/>
      </w:pPr>
      <w:r>
        <w:t xml:space="preserve">бенефициаром в банковской гарантии должен быть указан Заказчик, принципалом – Участник, гарантом – банк, выдавший банковскую гарантию;</w:t>
      </w:r>
      <w:r/>
    </w:p>
    <w:p>
      <w:pPr>
        <w:pStyle w:val="1143"/>
      </w:pPr>
      <w:r>
        <w:t xml:space="preserve">в банковской гарантии должно быть предусмотрено безусловное право Заказчика на истребование суммы банковской гарантии полностью или частично, в случае нарушения Участником закупки своих обязательств, указанных в пункте </w:t>
      </w:r>
      <w:r>
        <w:fldChar w:fldCharType="begin"/>
      </w:r>
      <w:r>
        <w:instrText xml:space="preserve"> REF _Ref228967834 \r \h </w:instrText>
      </w:r>
      <w:r>
        <w:fldChar w:fldCharType="separate"/>
      </w:r>
      <w:r>
        <w:t xml:space="preserve">4.17.11</w:t>
      </w:r>
      <w:r>
        <w:fldChar w:fldCharType="end"/>
      </w:r>
      <w:r>
        <w:t xml:space="preserve">;</w:t>
      </w:r>
      <w:r/>
    </w:p>
    <w:p>
      <w:pPr>
        <w:pStyle w:val="1143"/>
      </w:pPr>
      <w:r>
        <w:t xml:space="preserve">в банковской гарантии должно быть предусмотрено, что для истребования суммы обеспечения Заказчик направляет гаранту только письменное требование с приложением документов, подтверждающих полномочия лица, подписавшего указанное требование (доверенность – в с</w:t>
      </w:r>
      <w:r>
        <w:t xml:space="preserve">лучае если требование подписано лицом, не указанным в ЕГРЮЛ в качестве лица, имеющего право без доверенности действовать от имени бенефициара), с указанием на существо допущенных Участником нарушений;</w:t>
      </w:r>
      <w:r/>
    </w:p>
    <w:p>
      <w:pPr>
        <w:pStyle w:val="1143"/>
      </w:pPr>
      <w:r>
        <w:t xml:space="preserve">платеж по банковской гарантии должен быть осуществлен в</w:t>
      </w:r>
      <w:r>
        <w:t xml:space="preserve"> течение 10 (десяти) рабочих дней после обращения бенефициара;</w:t>
      </w:r>
      <w:r/>
    </w:p>
    <w:p>
      <w:pPr>
        <w:pStyle w:val="1143"/>
      </w:pPr>
      <w:r>
        <w:t xml:space="preserve">в банковской гарантии не должно быть условий или требований, противоречащих вышеизложенному или делающих вышеизложенное неисполнимым;</w:t>
      </w:r>
      <w:r/>
    </w:p>
    <w:p>
      <w:pPr>
        <w:pStyle w:val="1143"/>
      </w:pPr>
      <w:r>
        <w:t xml:space="preserve">банковская гарантия должна быть выдана банком, включенным в</w:t>
      </w:r>
      <w:r>
        <w:t xml:space="preserve"> перечень, определенный Правительством Российской Федерации в соответствии с Законом 44-ФЗ и размещенный на официальном сайте Министерства финансов Российской Федерации</w:t>
      </w:r>
      <w:r>
        <w:rPr>
          <w:rStyle w:val="1154"/>
        </w:rPr>
        <w:footnoteReference w:id="11"/>
      </w:r>
      <w:r>
        <w:t xml:space="preserve">, при условии соответствия банка требованиям к финансовой устойчивости (в том числе в ч</w:t>
      </w:r>
      <w:r>
        <w:t xml:space="preserve">асти собственных средств (капитала), активов, доходности, ликвидности, структуры собственности), устанавливаемым Правительством Российской Федерации;</w:t>
      </w:r>
      <w:r/>
    </w:p>
    <w:p>
      <w:pPr>
        <w:pStyle w:val="1143"/>
      </w:pPr>
      <w:r>
        <w:t xml:space="preserve">банковская гарантия должна быть подчинена материальному праву Российской Федерации и регулироваться «Унифи</w:t>
      </w:r>
      <w:r>
        <w:t xml:space="preserve">цированными правилами для гарантий по требованию, включая типовые формы (URDG 758) (Публикация Международной торговой палаты № 758). Редакция 2010 года» в той мере, в какой указанные правила не противоречат императивным нормам законодательства, а также пре</w:t>
      </w:r>
      <w:r>
        <w:t xml:space="preserve">дусматривать Арбитражный суд по месту нахождения Заказчика</w:t>
      </w:r>
      <w:r>
        <w:rPr>
          <w:rStyle w:val="1154"/>
        </w:rPr>
        <w:footnoteReference w:id="12"/>
      </w:r>
      <w:r>
        <w:t xml:space="preserve"> в качестве органа, компетентного разрешать споры из банковской гарантии.</w:t>
      </w:r>
      <w:r/>
    </w:p>
    <w:p>
      <w:pPr>
        <w:pStyle w:val="1142"/>
      </w:pPr>
      <w:r>
        <w:t xml:space="preserve">В случае выбора Участником обеспечения заявки путем предоставления банковской гарантии, он должен предоставить в составе св</w:t>
      </w:r>
      <w:r>
        <w:t xml:space="preserve">оей заявки копию такой гарантии (либо электронную банковскую гарантию, выданную банком посредством функционала ЭП), подтверждающую наличие обеспечения заявки в требуемом размере и соответствующую требованиям к условиям такой гарантии. В противном случае об</w:t>
      </w:r>
      <w:r>
        <w:t xml:space="preserve">еспечение заявки считается невнесенным, и Организатор обязан отклонить заявку такого Участника.</w:t>
      </w:r>
      <w:r/>
    </w:p>
    <w:p>
      <w:pPr>
        <w:pStyle w:val="1142"/>
      </w:pPr>
      <w:r>
        <w:t xml:space="preserve">При </w:t>
      </w:r>
      <w:r>
        <w:t xml:space="preserve">многолотовой</w:t>
      </w:r>
      <w:r>
        <w:t xml:space="preserve"> закупке (подраздел </w:t>
      </w:r>
      <w:r>
        <w:fldChar w:fldCharType="begin"/>
      </w:r>
      <w:r>
        <w:instrText xml:space="preserve"> REF _Ref149317346 \n \h </w:instrText>
      </w:r>
      <w:r>
        <w:fldChar w:fldCharType="separate"/>
      </w:r>
      <w:r>
        <w:t xml:space="preserve">4.18</w:t>
      </w:r>
      <w:r>
        <w:fldChar w:fldCharType="end"/>
      </w:r>
      <w:r>
        <w:t xml:space="preserve">) обеспечение исполнения обя</w:t>
      </w:r>
      <w:r>
        <w:t xml:space="preserve">зательств Участника оформляется на сумму, равную суммарной стоимости обеспечения по всем лотам, на которые Участник подает заявку; также допускается внесение обеспечения отдельно по каждому из лотов. Удержание Организатором обеспечения может производиться </w:t>
      </w:r>
      <w:r>
        <w:t xml:space="preserve">только по тем лотам, на которые Участник подал заявку и по которым он был признан Победителем.</w:t>
      </w:r>
      <w:r/>
    </w:p>
    <w:p>
      <w:pPr>
        <w:pStyle w:val="1142"/>
      </w:pPr>
      <w:r>
        <w:t xml:space="preserve">При подаче заявки с альтернативными предложениями (подраздел </w:t>
      </w:r>
      <w:r>
        <w:fldChar w:fldCharType="begin"/>
      </w:r>
      <w:r>
        <w:instrText xml:space="preserve"> REF _Ref125550863 \r \h </w:instrText>
      </w:r>
      <w:r>
        <w:fldChar w:fldCharType="separate"/>
      </w:r>
      <w:r>
        <w:t xml:space="preserve">4.20</w:t>
      </w:r>
      <w:r>
        <w:fldChar w:fldCharType="end"/>
      </w:r>
      <w:r>
        <w:t xml:space="preserve">) ра</w:t>
      </w:r>
      <w:r>
        <w:t xml:space="preserve">змер обеспечения заявки не увеличивается, а сумма обеспечения покрывает обязательства Участника как в отношении основного предложения, так и всех альтернативных предложений.</w:t>
      </w:r>
      <w:r/>
    </w:p>
    <w:p>
      <w:pPr>
        <w:pStyle w:val="1142"/>
      </w:pPr>
      <w:r>
        <w:t xml:space="preserve">Подать заявку (принять участие в закупке) могут только Участники, предоставившие н</w:t>
      </w:r>
      <w:r>
        <w:t xml:space="preserve">адлежащее обеспечение их заявок.</w:t>
      </w:r>
      <w:r/>
    </w:p>
    <w:p>
      <w:pPr>
        <w:pStyle w:val="1142"/>
      </w:pPr>
      <w:r>
        <w:t xml:space="preserve">Требование об обеспечении заявки в равной мере распространяется на всех Участников.</w:t>
      </w:r>
      <w:r/>
    </w:p>
    <w:p>
      <w:pPr>
        <w:pStyle w:val="1142"/>
        <w:keepNext/>
      </w:pPr>
      <w:r/>
      <w:bookmarkStart w:id="187" w:name="_Ref228967834"/>
      <w:r>
        <w:t xml:space="preserve">В случае признания Участника Победителем или принятия Заказчиком решения о заключении с ним Договора по итогам несостоявшейся закупки обесп</w:t>
      </w:r>
      <w:r>
        <w:t xml:space="preserve">ечение заявки распространяется на следующие обязательства Участника:</w:t>
      </w:r>
      <w:bookmarkEnd w:id="187"/>
      <w:r/>
      <w:r/>
    </w:p>
    <w:p>
      <w:pPr>
        <w:pStyle w:val="1143"/>
      </w:pPr>
      <w:r>
        <w:t xml:space="preserve">обязательство заключить Договор в установленном Документацией о закупке порядке (раздел </w:t>
      </w:r>
      <w:r>
        <w:fldChar w:fldCharType="begin"/>
      </w:r>
      <w:r>
        <w:instrText xml:space="preserve"> REF _Ref130224037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), в т</w:t>
      </w:r>
      <w:r>
        <w:t xml:space="preserve">ом числе предоставить Сведения о цепочке собственников, включая бенефициаров (в том числе конечных) (</w:t>
      </w:r>
      <w:hyperlink w:tooltip="#Прил05_ФормыПобедителя" w:anchor="Прил05_ФормыПобедителя" w:history="1">
        <w:r>
          <w:rPr>
            <w:rStyle w:val="1170"/>
          </w:rPr>
          <w:t xml:space="preserve">Приложение № 5</w:t>
        </w:r>
      </w:hyperlink>
      <w:r>
        <w:t xml:space="preserve">), а также предоставить иные документы в соответствии с условиями подр</w:t>
      </w:r>
      <w:r>
        <w:t xml:space="preserve">аздела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;</w:t>
      </w:r>
      <w:r/>
    </w:p>
    <w:p>
      <w:pPr>
        <w:pStyle w:val="1143"/>
      </w:pPr>
      <w:r>
        <w:t xml:space="preserve">обязательство предоставить до заключения договора Заказчику обеспечение исполнения договора – если </w:t>
      </w:r>
      <w:hyperlink w:tooltip="#Прил02_ПроектДоговора" w:anchor="Прил02_ПроектДоговора" w:history="1">
        <w:r>
          <w:rPr>
            <w:rStyle w:val="1170"/>
          </w:rPr>
          <w:t xml:space="preserve">Проект договора (Приложение № 2)</w:t>
        </w:r>
      </w:hyperlink>
      <w:r>
        <w:t xml:space="preserve"> предусматривает обеспечение исполнения договора </w:t>
      </w:r>
      <w:r>
        <w:t xml:space="preserve">с соответствующими обязательствами (в порядке и сроки, предусмотренные </w:t>
      </w:r>
      <w:hyperlink w:tooltip="#Прил02_ПроектДоговора" w:anchor="Прил02_ПроектДоговора" w:history="1">
        <w:r>
          <w:rPr>
            <w:rStyle w:val="1170"/>
          </w:rPr>
          <w:t xml:space="preserve">Проектом договора</w:t>
        </w:r>
      </w:hyperlink>
      <w:r>
        <w:t xml:space="preserve">).</w:t>
      </w:r>
      <w:r/>
    </w:p>
    <w:p>
      <w:pPr>
        <w:pStyle w:val="1142"/>
      </w:pPr>
      <w:r>
        <w:t xml:space="preserve">В случае невыполнения Победителем указанных выше обязательств Организатор вправе удержать обеспечение заявки путем обращения в соответствующий Банк-гарант. В случае предоставления Участником обеспечения в виде денежных средств, Организатор вправе удержать</w:t>
      </w:r>
      <w:r>
        <w:t xml:space="preserve"> обеспечение заявки со счета, открытого ему Оператором ЭП, в соответствии с регламентом ЭП.</w:t>
      </w:r>
      <w:r/>
    </w:p>
    <w:p>
      <w:pPr>
        <w:pStyle w:val="1142"/>
        <w:keepNext/>
      </w:pPr>
      <w:r>
        <w:t xml:space="preserve">Возврат обеспечения заявки (в случае предоставления Участником обеспечения в виде денежных средств) осуществляется Организатором в срок не более 20 (двадцати) рабоч</w:t>
      </w:r>
      <w:r>
        <w:t xml:space="preserve">их дней с даты:</w:t>
      </w:r>
      <w:r/>
    </w:p>
    <w:p>
      <w:pPr>
        <w:pStyle w:val="1143"/>
      </w:pPr>
      <w:r>
        <w:t xml:space="preserve">принятия решения об отказе от проведения закупки – всем Участникам, подавшим заявки к моменту принятия такого решения;</w:t>
      </w:r>
      <w:r/>
    </w:p>
    <w:p>
      <w:pPr>
        <w:pStyle w:val="1143"/>
      </w:pPr>
      <w:r>
        <w:t xml:space="preserve">поступления уведомления об отзыве заявки в случаях, когда такой отзыв осуществлен в установленные в Документации о закупк</w:t>
      </w:r>
      <w:r>
        <w:t xml:space="preserve">е сроки – Участнику, отозвавшему заявку;</w:t>
      </w:r>
      <w:r/>
    </w:p>
    <w:p>
      <w:pPr>
        <w:pStyle w:val="1143"/>
      </w:pPr>
      <w:r>
        <w:t xml:space="preserve">официального размещения протокола рассмотрения заявок (при условии его оформления) – Участникам, чьи заявки были отклонены;</w:t>
      </w:r>
      <w:r/>
    </w:p>
    <w:p>
      <w:pPr>
        <w:pStyle w:val="1143"/>
      </w:pPr>
      <w:r>
        <w:t xml:space="preserve">официального размещения итогового протокола по результатам закупки – всем Участникам, кроме</w:t>
      </w:r>
      <w:r>
        <w:t xml:space="preserve"> Победителя;</w:t>
      </w:r>
      <w:r/>
    </w:p>
    <w:p>
      <w:pPr>
        <w:pStyle w:val="1143"/>
      </w:pPr>
      <w:r>
        <w:t xml:space="preserve">заключения Договора по результатам закупки – Победителю, с которым заключен Договор;</w:t>
      </w:r>
      <w:r/>
    </w:p>
    <w:p>
      <w:pPr>
        <w:pStyle w:val="1143"/>
      </w:pPr>
      <w:r>
        <w:t xml:space="preserve">признания закупки несостоявшейся – Участнику, которому обеспечение не было возвращено по иным основаниям.</w:t>
      </w:r>
      <w:r/>
    </w:p>
    <w:p>
      <w:pPr>
        <w:pStyle w:val="1142"/>
      </w:pPr>
      <w:r>
        <w:t xml:space="preserve">Возврат обеспечения заявки может быть задержан в случае поступления в установленном законодательством порядке жалобы по закупке (подраздел </w:t>
      </w:r>
      <w:r>
        <w:fldChar w:fldCharType="begin"/>
      </w:r>
      <w:r>
        <w:instrText xml:space="preserve"> REF _Ref125363536 \r \h </w:instrText>
      </w:r>
      <w:r>
        <w:fldChar w:fldCharType="separate"/>
      </w:r>
      <w:r>
        <w:t xml:space="preserve">2.3</w:t>
      </w:r>
      <w:r>
        <w:fldChar w:fldCharType="end"/>
      </w:r>
      <w:r>
        <w:t xml:space="preserve">) – на время рассмотре</w:t>
      </w:r>
      <w:r>
        <w:t xml:space="preserve">ния жалобы. При этом проценты на сумму денежных средств, внесенных Участником в качестве обеспечения его заявки, начислению и выплате не подлежат.</w:t>
      </w:r>
      <w:r/>
    </w:p>
    <w:p>
      <w:pPr>
        <w:pStyle w:val="1141"/>
      </w:pPr>
      <w:r/>
      <w:bookmarkStart w:id="188" w:name="_Ref149317346"/>
      <w:r/>
      <w:bookmarkStart w:id="189" w:name="_Toc228976110"/>
      <w:r>
        <w:t xml:space="preserve">Особенности проведения </w:t>
      </w:r>
      <w:r>
        <w:t xml:space="preserve">многолотовой</w:t>
      </w:r>
      <w:r>
        <w:t xml:space="preserve"> закупки</w:t>
      </w:r>
      <w:bookmarkEnd w:id="180"/>
      <w:r/>
      <w:bookmarkEnd w:id="188"/>
      <w:r/>
      <w:bookmarkEnd w:id="189"/>
      <w:r/>
      <w:r/>
    </w:p>
    <w:p>
      <w:pPr>
        <w:pStyle w:val="1142"/>
      </w:pPr>
      <w:r>
        <w:t xml:space="preserve"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предусмотрено проведение </w:t>
      </w:r>
      <w:r>
        <w:t xml:space="preserve">многолотовой</w:t>
      </w:r>
      <w:r>
        <w:t xml:space="preserve"> закупки.</w:t>
      </w:r>
      <w:r/>
    </w:p>
    <w:p>
      <w:pPr>
        <w:pStyle w:val="1142"/>
      </w:pPr>
      <w:r>
        <w:t xml:space="preserve">Настоящий подраздел дополняет или изменяет порядок проведения закупки. В случае противоречий между требованиями </w:t>
      </w:r>
      <w:r>
        <w:t xml:space="preserve">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  <w:r/>
    </w:p>
    <w:p>
      <w:pPr>
        <w:pStyle w:val="1142"/>
      </w:pPr>
      <w:r>
        <w:t xml:space="preserve">Многолотовая</w:t>
      </w:r>
      <w:r>
        <w:t xml:space="preserve"> закупка может проводиться как для одного, так и для нескольких Заказчиков. Для всех лотов выпускается обще</w:t>
      </w:r>
      <w:r>
        <w:t xml:space="preserve">е Извещение, Документация о закупке, решения по каждому лоту принимает одна и та же Закупочная комиссия. Любые положения Документации о закупке, если в них прямо не</w:t>
      </w:r>
      <w:r>
        <w:rPr>
          <w:lang w:val="en-US"/>
        </w:rPr>
        <w:t xml:space="preserve"> </w:t>
      </w:r>
      <w:r>
        <w:t xml:space="preserve">указан номер конкретного лота, относятся ко всем лотам одновременно.</w:t>
      </w:r>
      <w:r/>
    </w:p>
    <w:p>
      <w:pPr>
        <w:pStyle w:val="1142"/>
      </w:pPr>
      <w:r>
        <w:t xml:space="preserve">Участник может подать </w:t>
      </w:r>
      <w:r>
        <w:t xml:space="preserve">одну заявку на любой лот, любые несколько лотов или все лоты по собственному выбору. При этом не допускается разбиение </w:t>
      </w:r>
      <w:r>
        <w:t xml:space="preserve">отдельного лота на части, то есть подача заявки на часть лота по отдельным видам или объемам продукции. В </w:t>
      </w:r>
      <w:r>
        <w:t xml:space="preserve">многолотовой</w:t>
      </w:r>
      <w:r>
        <w:t xml:space="preserve"> закупке подача Уча</w:t>
      </w:r>
      <w:r>
        <w:t xml:space="preserve">стником по одной заявке на каждый лот не считается подачей второй заявки на закупку.</w:t>
      </w:r>
      <w:r/>
    </w:p>
    <w:p>
      <w:pPr>
        <w:pStyle w:val="1142"/>
        <w:keepNext/>
      </w:pPr>
      <w:r>
        <w:t xml:space="preserve">В случае подачи заявки на несколько лотов дополнительно должны быть соблюдены следующие требования:</w:t>
      </w:r>
      <w:r/>
    </w:p>
    <w:p>
      <w:pPr>
        <w:pStyle w:val="1143"/>
      </w:pPr>
      <w:r>
        <w:t xml:space="preserve">Письмо о подаче оферты (форма 2)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 должно содержать указание номера и названия каждого лота, по каждому лоту должна быть указана его стоимость;</w:t>
      </w:r>
      <w:r/>
    </w:p>
    <w:p>
      <w:pPr>
        <w:pStyle w:val="1143"/>
      </w:pPr>
      <w:r>
        <w:t xml:space="preserve">Коммерческое предложение (форма 3), Техническое предложение (форма 4), План распределения объемов поставк</w:t>
      </w:r>
      <w:r>
        <w:t xml:space="preserve">и продукции (форма 10) – 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, должны быть подготовлены отдельно по каждому из лотов с указанием номера и названия лота.</w:t>
      </w:r>
      <w:r/>
    </w:p>
    <w:p>
      <w:pPr>
        <w:pStyle w:val="1142"/>
      </w:pPr>
      <w:r>
        <w:t xml:space="preserve">Решения, принимаемые в ходе процедуры закупки, в том числе реш</w:t>
      </w:r>
      <w:r>
        <w:t xml:space="preserve">ения в рамках рассмотрения, оценки и сопоставления заявок, определения Победителя, признания закупки несостоявшейся, отказа от дальнейшего ее проведения и т.д., осуществляются раздельно и независимо по каждому из лотов. При этом Организатор вправе оформить</w:t>
      </w:r>
      <w:r>
        <w:t xml:space="preserve"> по каждому лоту отдельный протокол закупки или сформировать общий по всем лотам протокол закупки, в который в отношении каждого лота вносятся сведения, подлежащие официальному размещению.</w:t>
      </w:r>
      <w:r/>
    </w:p>
    <w:p>
      <w:pPr>
        <w:pStyle w:val="1141"/>
      </w:pPr>
      <w:r/>
      <w:bookmarkStart w:id="190" w:name="_Ref125550863"/>
      <w:r/>
      <w:bookmarkStart w:id="191" w:name="_Toc228976111"/>
      <w:r>
        <w:t xml:space="preserve">Особенности проведения закупки с возможностью подачи альтернативных</w:t>
      </w:r>
      <w:r>
        <w:t xml:space="preserve"> предложений</w:t>
      </w:r>
      <w:bookmarkEnd w:id="190"/>
      <w:r/>
      <w:bookmarkEnd w:id="191"/>
      <w:r/>
      <w:r/>
    </w:p>
    <w:p>
      <w:pPr>
        <w:pStyle w:val="1142"/>
      </w:pPr>
      <w:r>
        <w:t xml:space="preserve"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предусмотрена возможность подачи альтернативных предложений.</w:t>
      </w:r>
      <w:r/>
    </w:p>
    <w:p>
      <w:pPr>
        <w:pStyle w:val="1142"/>
      </w:pPr>
      <w:r>
        <w:t xml:space="preserve">Настоящий подраздел дополняе</w:t>
      </w:r>
      <w:r>
        <w:t xml:space="preserve">т или изменяет порядок проведения закупки. В 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  <w:r/>
    </w:p>
    <w:p>
      <w:pPr>
        <w:pStyle w:val="1142"/>
      </w:pPr>
      <w:r>
        <w:t xml:space="preserve">Участник в составе заявки дополните</w:t>
      </w:r>
      <w:r>
        <w:t xml:space="preserve">льно к основному предложению вправе подготовить и подать альтернативные предложения в количестве, не превышающем установленное максимальное значение, и исключительно по аспектам, указанным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Требование о том, что участник имеет право подать только одну заявку, к альтернативным предложениям не относится. При этом не допускается подача заявки на часть какого-либо лота по отдельным видам или объемам про</w:t>
      </w:r>
      <w:r>
        <w:t xml:space="preserve">дукции (в случае нарушения – поданная заявка в отношении такого лота подлежит отклонению).</w:t>
      </w:r>
      <w:r/>
    </w:p>
    <w:p>
      <w:pPr>
        <w:pStyle w:val="1142"/>
      </w:pPr>
      <w:r>
        <w:t xml:space="preserve">Альтернативные предложения могут сопровождаться альтернативными ценами (не превышающими НМЦ, установленную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При этом альтернативные предложения, по сути отличающиеся от основного только ценой, рассматриваться не будут.</w:t>
      </w:r>
      <w:r/>
    </w:p>
    <w:p>
      <w:pPr>
        <w:pStyle w:val="1142"/>
      </w:pPr>
      <w:r>
        <w:t xml:space="preserve">Альтернативное предложение должно быть явным образом выделено в составе заявки и обособлено </w:t>
      </w:r>
      <w:r>
        <w:t xml:space="preserve">от основного предложения и иных альтернативных предложений (должны быть представлены соответствующие измененные формы заявки (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Приложение № 4</w:t>
        </w:r>
      </w:hyperlink>
      <w:r>
        <w:t xml:space="preserve">) с указанием в них тех параметров, пунктов, </w:t>
      </w:r>
      <w:r>
        <w:t xml:space="preserve">разделов</w:t>
      </w:r>
      <w:r>
        <w:t xml:space="preserve"> и т.д. основного предложения, вместо которых предлагаются альтернативные). При этом в альтернативном предложении не следует дублировать документы, подтверждающие соответствие Участника установленным требованиям, а также формы заявки, которые не отличаются</w:t>
      </w:r>
      <w:r>
        <w:t xml:space="preserve"> от форм основного предложения.</w:t>
      </w:r>
      <w:r/>
    </w:p>
    <w:p>
      <w:pPr>
        <w:pStyle w:val="1142"/>
      </w:pPr>
      <w:r>
        <w:t xml:space="preserve">При проведении переторжки (подраздел </w:t>
      </w:r>
      <w:r>
        <w:fldChar w:fldCharType="begin"/>
      </w:r>
      <w:r>
        <w:instrText xml:space="preserve"> REF _Ref127536359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 альтернативные предложения Участников допускаются к ней наравне с основными предложениям</w:t>
      </w:r>
      <w:r>
        <w:t xml:space="preserve">и.</w:t>
      </w:r>
      <w:r/>
    </w:p>
    <w:p>
      <w:pPr>
        <w:pStyle w:val="1142"/>
      </w:pPr>
      <w:r>
        <w:t xml:space="preserve">Решения Закупочной комиссии по рассмотрению, оценке и сопоставлению заявок принимаются отдельно в отношении основного предложения и каждого альтернативного предложения. Отклонение основного предложения не является основанием для отклонения альтернативны</w:t>
      </w:r>
      <w:r>
        <w:t xml:space="preserve">х предложений и наоборот. При формировании </w:t>
      </w:r>
      <w:r>
        <w:t xml:space="preserve">ранжировки</w:t>
      </w:r>
      <w:r>
        <w:t xml:space="preserve"> заявок альтернативные предложения ранжируются отдельно (наравне с основными предложениями), с присвоением каждому предложению отдельного места в </w:t>
      </w:r>
      <w:r>
        <w:t xml:space="preserve">ранжировке</w:t>
      </w:r>
      <w:r>
        <w:t xml:space="preserve">.</w:t>
      </w:r>
      <w:r/>
    </w:p>
    <w:p>
      <w:pPr>
        <w:pStyle w:val="1140"/>
      </w:pPr>
      <w:r/>
      <w:bookmarkStart w:id="192" w:name="_Ref126142429"/>
      <w:r/>
      <w:bookmarkStart w:id="193" w:name="_Ref130224037"/>
      <w:r/>
      <w:bookmarkStart w:id="194" w:name="_Toc228976113"/>
      <w:r>
        <w:t xml:space="preserve">Порядок заключения Договора</w:t>
      </w:r>
      <w:bookmarkEnd w:id="181"/>
      <w:r/>
      <w:bookmarkEnd w:id="182"/>
      <w:r/>
      <w:bookmarkEnd w:id="183"/>
      <w:r/>
      <w:bookmarkEnd w:id="184"/>
      <w:r/>
      <w:bookmarkEnd w:id="185"/>
      <w:r/>
      <w:bookmarkEnd w:id="186"/>
      <w:r/>
      <w:bookmarkEnd w:id="192"/>
      <w:r/>
      <w:bookmarkEnd w:id="193"/>
      <w:r/>
      <w:bookmarkEnd w:id="194"/>
      <w:r/>
      <w:r/>
    </w:p>
    <w:p>
      <w:pPr>
        <w:pStyle w:val="1141"/>
      </w:pPr>
      <w:r/>
      <w:bookmarkStart w:id="195" w:name="_Ref139028625"/>
      <w:r/>
      <w:bookmarkStart w:id="196" w:name="_Toc228976114"/>
      <w:r/>
      <w:bookmarkStart w:id="197" w:name="_Ref125366947"/>
      <w:r/>
      <w:bookmarkStart w:id="198" w:name="_Ref125368755"/>
      <w:r/>
      <w:bookmarkStart w:id="199" w:name="_Ref135736094"/>
      <w:r>
        <w:t xml:space="preserve">Общие положения</w:t>
      </w:r>
      <w:bookmarkEnd w:id="195"/>
      <w:r/>
      <w:bookmarkEnd w:id="196"/>
      <w:r/>
      <w:r/>
    </w:p>
    <w:p>
      <w:pPr>
        <w:pStyle w:val="1142"/>
      </w:pPr>
      <w:r>
        <w:t xml:space="preserve">Н</w:t>
      </w:r>
      <w:r>
        <w:t xml:space="preserve">ормы настоящего раздела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также применяются в отношении Единственного участника несостоявшейся закупки, с которым принято решение о заключении договора (к нему при</w:t>
      </w:r>
      <w:r>
        <w:t xml:space="preserve">меняются те же нормы, что и в отношении Победителя).</w:t>
      </w:r>
      <w:r/>
    </w:p>
    <w:p>
      <w:pPr>
        <w:pStyle w:val="1141"/>
      </w:pPr>
      <w:r/>
      <w:bookmarkStart w:id="200" w:name="_Ref138232981"/>
      <w:r/>
      <w:bookmarkStart w:id="201" w:name="_Toc228976115"/>
      <w:r>
        <w:t xml:space="preserve">Заключение Договора</w:t>
      </w:r>
      <w:bookmarkEnd w:id="197"/>
      <w:r/>
      <w:bookmarkEnd w:id="198"/>
      <w:r/>
      <w:bookmarkEnd w:id="199"/>
      <w:r/>
      <w:bookmarkEnd w:id="200"/>
      <w:r/>
      <w:bookmarkEnd w:id="201"/>
      <w:r/>
      <w:r/>
    </w:p>
    <w:p>
      <w:pPr>
        <w:pStyle w:val="1142"/>
      </w:pPr>
      <w:r/>
      <w:bookmarkStart w:id="202" w:name="_Ref125362935"/>
      <w:r/>
      <w:bookmarkStart w:id="203" w:name="_Ref130293821"/>
      <w:r>
        <w:t xml:space="preserve">Договор между Заказчиком и Победителем заключается не ранее чем через 10 (десять) календарных дней и не позднее чем через 20 </w:t>
      </w:r>
      <w:r>
        <w:t xml:space="preserve">(двадцать) календарных дней с даты официального размещения итогового протокола по результатам закупки.</w:t>
      </w:r>
      <w:bookmarkEnd w:id="202"/>
      <w:r/>
      <w:bookmarkEnd w:id="203"/>
      <w:r/>
      <w:r/>
    </w:p>
    <w:p>
      <w:pPr>
        <w:pStyle w:val="1142"/>
      </w:pPr>
      <w:r>
        <w:t xml:space="preserve">Договор не может быть заключен, если это запрещено законодательством о национальном режиме .</w:t>
      </w:r>
      <w:r/>
    </w:p>
    <w:p>
      <w:pPr>
        <w:pStyle w:val="1142"/>
      </w:pPr>
      <w:r>
        <w:t xml:space="preserve">При осуществлении закупки товара (в том числе поставляемого </w:t>
      </w:r>
      <w:r>
        <w:t xml:space="preserve">Заказчику при выполнении работ, оказании услуг) в Договор при его заключении включается информация о стране происхождения товара.</w:t>
      </w:r>
      <w:r/>
    </w:p>
    <w:p>
      <w:pPr>
        <w:pStyle w:val="1142"/>
      </w:pPr>
      <w:r/>
      <w:bookmarkStart w:id="205" w:name="_Ref125363464"/>
      <w:r>
        <w:t xml:space="preserve">В целях </w:t>
      </w:r>
      <w:r>
        <w:rPr>
          <w:rFonts w:eastAsia="Calibri" w:cs="Times New Roman"/>
        </w:rPr>
        <w:t xml:space="preserve">обеспечения дополнительной прозрачности финансово-хозяйственной деятельности сторон при</w:t>
      </w:r>
      <w:r>
        <w:t xml:space="preserve"> заключения Договора </w:t>
      </w:r>
      <w:r>
        <w:rPr>
          <w:rFonts w:eastAsia="Calibri" w:cs="Times New Roman"/>
        </w:rPr>
        <w:t xml:space="preserve">в части от</w:t>
      </w:r>
      <w:r>
        <w:rPr>
          <w:rFonts w:eastAsia="Calibri" w:cs="Times New Roman"/>
        </w:rPr>
        <w:t xml:space="preserve">сутствия возможного конфликта интересов между Заказчиком и</w:t>
      </w:r>
      <w:r>
        <w:t xml:space="preserve"> Участником, признанным Победителем, последний обязан направить в адрес Заказчика Справку «Сведения о цепочке собственников, включая бенефициаров (в том числе конечных)», по форме в соответствии с </w:t>
      </w:r>
      <w:hyperlink w:tooltip="#Прил05_ФормыПобедителя" w:anchor="Прил05_ФормыПобедителя" w:history="1">
        <w:r>
          <w:rPr>
            <w:rStyle w:val="1170"/>
          </w:rPr>
          <w:t xml:space="preserve">Приложением № 5</w:t>
        </w:r>
      </w:hyperlink>
      <w:r>
        <w:t xml:space="preserve">, с приложением подтверждающих документов согласно перечню, установленному в Приложении 1 к указанной справке, </w:t>
      </w:r>
      <w:r>
        <w:t xml:space="preserve">в бумажной форме: по адресу, определенному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как место подачи документов в отношении цепочки собственников, включая конечных бенефициаров (в срок не</w:t>
      </w:r>
      <w:r>
        <w:t xml:space="preserve"> позднее 3 (трех) рабочих дней с даты официального размещения Организатором итогового протокола по результатам закупки). Требуемые документы должны быть предоставлены в бумажном виде и на электронном носителе в отдельном запечатанном конверте с надписью «Д</w:t>
      </w:r>
      <w:r>
        <w:t xml:space="preserve">окументы Победителя о цепочке собственников»</w:t>
      </w:r>
      <w:r>
        <w:t xml:space="preserve">.</w:t>
      </w:r>
      <w:bookmarkEnd w:id="205"/>
      <w:r/>
      <w:r/>
    </w:p>
    <w:p>
      <w:pPr>
        <w:pStyle w:val="1142"/>
        <w:keepNext/>
      </w:pPr>
      <w:r/>
      <w:bookmarkStart w:id="206" w:name="_Ref125551776"/>
      <w:r>
        <w:t xml:space="preserve">В срок не позднее 3 (трех) рабочих дней с даты официального размещения Организатором итогового протокола по результатам закупки, Победитель </w:t>
      </w:r>
      <w:r>
        <w:t xml:space="preserve">обязан предо</w:t>
      </w:r>
      <w:r>
        <w:t xml:space="preserve">ставить Заказчику (скан-копии в формате </w:t>
      </w:r>
      <w:bookmarkStart w:id="207" w:name="_Hlk207281699"/>
      <w:r>
        <w:t xml:space="preserve">Portable</w:t>
      </w:r>
      <w:r>
        <w:t xml:space="preserve"> </w:t>
      </w:r>
      <w:r>
        <w:t xml:space="preserve">Document</w:t>
      </w:r>
      <w:r>
        <w:t xml:space="preserve"> </w:t>
      </w:r>
      <w:r>
        <w:t xml:space="preserve">Format</w:t>
      </w:r>
      <w:r>
        <w:t xml:space="preserve"> </w:t>
      </w:r>
      <w:bookmarkEnd w:id="207"/>
      <w:r>
        <w:t xml:space="preserve">(*.</w:t>
      </w:r>
      <w:r>
        <w:rPr>
          <w:lang w:val="en-US"/>
        </w:rPr>
        <w:t xml:space="preserve">pdf</w:t>
      </w:r>
      <w:r>
        <w:t xml:space="preserve">)):</w:t>
      </w:r>
      <w:bookmarkEnd w:id="206"/>
      <w:r/>
      <w:r/>
    </w:p>
    <w:p>
      <w:pPr>
        <w:pStyle w:val="1143"/>
      </w:pPr>
      <w:r>
        <w:t xml:space="preserve">Заверение об обстоятельствах, представляющее собой гарантийное письмо об отсутствии обстоятельств, препятствующих заключению Договора, в случаях и по форме, предусмотренных </w:t>
      </w:r>
      <w:hyperlink w:tooltip="#Прил05_ФормыПобедителя" w:anchor="Прил05_ФормыПобедителя" w:history="1">
        <w:r>
          <w:rPr>
            <w:rStyle w:val="1170"/>
          </w:rPr>
          <w:t xml:space="preserve">Приложением № 5</w:t>
        </w:r>
      </w:hyperlink>
      <w:r>
        <w:t xml:space="preserve">;</w:t>
      </w:r>
      <w:r/>
    </w:p>
    <w:p>
      <w:pPr>
        <w:pStyle w:val="1143"/>
      </w:pPr>
      <w:r/>
      <w:bookmarkStart w:id="208" w:name="_Ref125552642"/>
      <w:r>
        <w:t xml:space="preserve">если он принимал участие в переторжке в очной форме – документы своей заявки, подлежащие корректировке в строгом соответствии с его предложениями, заявленными в ходе проведения</w:t>
      </w:r>
      <w:r>
        <w:t xml:space="preserve"> переторжки (подраздел </w:t>
      </w:r>
      <w:r>
        <w:fldChar w:fldCharType="begin"/>
      </w:r>
      <w:r>
        <w:instrText xml:space="preserve"> REF _Ref127536359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</w:t>
      </w:r>
      <w:bookmarkEnd w:id="208"/>
      <w:r>
        <w:t xml:space="preserve">.</w:t>
      </w:r>
      <w:r/>
    </w:p>
    <w:p>
      <w:pPr>
        <w:pStyle w:val="1142"/>
        <w:keepNext/>
      </w:pPr>
      <w:r/>
      <w:bookmarkStart w:id="209" w:name="_Ref125551072"/>
      <w:r>
        <w:t xml:space="preserve">Перед заключением Договора Победитель обязан предоставить Заказчику, не позднее сроков, установленных в пункте </w:t>
      </w:r>
      <w:r>
        <w:fldChar w:fldCharType="begin"/>
      </w:r>
      <w:r>
        <w:instrText xml:space="preserve"> REF _Ref130293821 \w </w:instrText>
      </w:r>
      <w:r>
        <w:instrText xml:space="preserve">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, в целях подтверждения своего соответствия обязательному требованию к Участникам, указанному в пункте </w:t>
      </w:r>
      <w:r>
        <w:fldChar w:fldCharType="begin"/>
      </w:r>
      <w:r>
        <w:instrText xml:space="preserve"> REF _Ref125552433 \w \h  \* MERGEFORMAT </w:instrText>
      </w:r>
      <w:r>
        <w:fldChar w:fldCharType="separate"/>
      </w:r>
      <w:r>
        <w:t xml:space="preserve">1</w:t>
      </w:r>
      <w:r>
        <w:fldChar w:fldCharType="end"/>
      </w:r>
      <w:r>
        <w:t xml:space="preserve"> подраздела </w:t>
      </w:r>
      <w:r>
        <w:fldChar w:fldCharType="begin"/>
      </w:r>
      <w:r>
        <w:instrText xml:space="preserve"> REF _Ref125361435 \w \h  \* MERGEFORMAT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 (</w:t>
      </w:r>
      <w:hyperlink w:tooltip="#Прил03_ТребованияУчастникам" w:anchor="Прил03_ТребованияУчастникам" w:history="1">
        <w:r>
          <w:rPr>
            <w:rStyle w:val="1170"/>
          </w:rPr>
          <w:t xml:space="preserve">Приложение № 3</w:t>
        </w:r>
      </w:hyperlink>
      <w:r>
        <w:t xml:space="preserve">), </w:t>
      </w:r>
      <w:r>
        <w:t xml:space="preserve">следующие документы (скан-копии в формате </w:t>
      </w:r>
      <w:r>
        <w:t xml:space="preserve">Portable</w:t>
      </w:r>
      <w:r>
        <w:t xml:space="preserve"> </w:t>
      </w:r>
      <w:r>
        <w:t xml:space="preserve">Document</w:t>
      </w:r>
      <w:r>
        <w:t xml:space="preserve"> </w:t>
      </w:r>
      <w:r>
        <w:t xml:space="preserve">Format</w:t>
      </w:r>
      <w:r>
        <w:t xml:space="preserve"> (*.</w:t>
      </w:r>
      <w:r>
        <w:rPr>
          <w:lang w:val="en-US"/>
        </w:rPr>
        <w:t xml:space="preserve">pdf</w:t>
      </w:r>
      <w:r>
        <w:t xml:space="preserve">))</w:t>
      </w:r>
      <w:r>
        <w:rPr>
          <w:rStyle w:val="1154"/>
        </w:rPr>
        <w:footnoteReference w:id="13"/>
      </w:r>
      <w:r>
        <w:t xml:space="preserve">:</w:t>
      </w:r>
      <w:bookmarkEnd w:id="209"/>
      <w:r/>
      <w:r/>
    </w:p>
    <w:p>
      <w:pPr>
        <w:pStyle w:val="1143"/>
        <w:keepNext/>
      </w:pPr>
      <w:r>
        <w:t xml:space="preserve">для юридического лица:</w:t>
      </w:r>
      <w:r/>
    </w:p>
    <w:p>
      <w:pPr>
        <w:pStyle w:val="1144"/>
      </w:pPr>
      <w:r>
        <w:t xml:space="preserve">копия устава в действующей редакции с отметкой ИФНС либо копия нотариально заверенного устава (с отметкой нотариуса);</w:t>
      </w:r>
      <w:r/>
    </w:p>
    <w:p>
      <w:pPr>
        <w:pStyle w:val="1144"/>
      </w:pPr>
      <w:r/>
      <w:bookmarkStart w:id="210" w:name="_Ref125638686"/>
      <w:r>
        <w:t xml:space="preserve">копии документов, подтверждающих полн</w:t>
      </w:r>
      <w:r>
        <w:t xml:space="preserve">омочия единоличного исполнительного органа Участника или Управляющей компании (протоколы об избрании единоличного исполнительного органа или о передаче полномочий Управляющей компании), заверенные Победителем;</w:t>
      </w:r>
      <w:bookmarkEnd w:id="210"/>
      <w:r/>
      <w:r/>
    </w:p>
    <w:p>
      <w:pPr>
        <w:pStyle w:val="1144"/>
      </w:pPr>
      <w:r>
        <w:t xml:space="preserve">если договор </w:t>
      </w:r>
      <w:r>
        <w:t xml:space="preserve">подписывается лицом, действующим на основании доверенности, дополнительно предоставляется соответствующая доверенность либо ее нотариально заверенная копия (с указанием правомочий на подписание договора) и документы, подтверждающие соответствующие полномоч</w:t>
      </w:r>
      <w:r>
        <w:t xml:space="preserve">ия лица, выдавшего доверенность;</w:t>
      </w:r>
      <w:r/>
    </w:p>
    <w:p>
      <w:pPr>
        <w:pStyle w:val="1144"/>
      </w:pPr>
      <w:r>
        <w:t xml:space="preserve">если договор подписывается в электронной форме физическим лицом дополнительно предоставляется машиночитаемая доверенность (посредством информационных систем, на которых проводится закупка);</w:t>
      </w:r>
      <w:r/>
    </w:p>
    <w:p>
      <w:pPr>
        <w:pStyle w:val="1143"/>
      </w:pPr>
      <w:r>
        <w:t xml:space="preserve">для лица, зарегистрированного вне</w:t>
      </w:r>
      <w:r>
        <w:t xml:space="preserve"> Российской Федерации: выписка из торгового реестра страны регистрации иностранного Участника;</w:t>
      </w:r>
      <w:r/>
    </w:p>
    <w:p>
      <w:pPr>
        <w:pStyle w:val="1143"/>
      </w:pPr>
      <w:r>
        <w:t xml:space="preserve">для физического лица: нотариально заверенная копия всех страниц документа, удостоверяющего личность (паспорта);</w:t>
      </w:r>
      <w:r/>
    </w:p>
    <w:p>
      <w:pPr>
        <w:pStyle w:val="1143"/>
      </w:pPr>
      <w:r/>
      <w:bookmarkStart w:id="211" w:name="_Ref125361554"/>
      <w:r>
        <w:t xml:space="preserve">если Договор заключается с лидером Коллективного </w:t>
      </w:r>
      <w:r>
        <w:t xml:space="preserve">участника, то в обязательном порядке предоставляется оригинал и (или) нотариально заверенная копия Соглашения между членами Коллективного участника, указанного в пункте </w:t>
      </w:r>
      <w:r>
        <w:fldChar w:fldCharType="begin"/>
      </w:r>
      <w:r>
        <w:instrText xml:space="preserve"> REF _Ref125366972 \r \h </w:instrText>
      </w:r>
      <w:r>
        <w:fldChar w:fldCharType="separate"/>
      </w:r>
      <w:r>
        <w:t xml:space="preserve">3.2.3</w:t>
      </w:r>
      <w:r>
        <w:fldChar w:fldCharType="end"/>
      </w:r>
      <w:r>
        <w:t xml:space="preserve">.</w:t>
      </w:r>
      <w:bookmarkEnd w:id="211"/>
      <w:r/>
      <w:r/>
    </w:p>
    <w:p>
      <w:pPr>
        <w:pStyle w:val="1142"/>
      </w:pPr>
      <w:r>
        <w:t xml:space="preserve">Если в соответствии с законодательством и уставом Заказчика потребуется предварительное одобрение заключаемого на предложенных Победителем </w:t>
      </w:r>
      <w:r>
        <w:t xml:space="preserve">условиях Договора компетентными органами управления Заказчика (Общим собранием акционеров, Советом директ</w:t>
      </w:r>
      <w:r>
        <w:t xml:space="preserve">оров и т.п.), Договор с Победителем заключается не позднее чем через 5 (пять) календарных дней с даты указанного одобрения.</w:t>
      </w:r>
      <w:r/>
    </w:p>
    <w:p>
      <w:pPr>
        <w:pStyle w:val="1142"/>
      </w:pPr>
      <w:r>
        <w:t xml:space="preserve">В случае обжалования в антимонопольном органе результатов закупки Договор заключается не позднее чем через 5 (пять) календарных дней</w:t>
      </w:r>
      <w:r>
        <w:t xml:space="preserve"> с даты вынесения решения антимонопольного органа по результатам такого обжалования (за исключением случая возврата на предыдущий этап закупки).</w:t>
      </w:r>
      <w:r/>
    </w:p>
    <w:p>
      <w:pPr>
        <w:pStyle w:val="1142"/>
        <w:keepNext/>
      </w:pPr>
      <w:r/>
      <w:bookmarkStart w:id="212" w:name="_Ref132288402"/>
      <w:r>
        <w:t xml:space="preserve">При определении условий Договора по результатам закупки используются следующие документы с соблюдением указанно</w:t>
      </w:r>
      <w:r>
        <w:t xml:space="preserve">й иерархии в порядке перечисления (в случае их противоречия):</w:t>
      </w:r>
      <w:bookmarkEnd w:id="212"/>
      <w:r/>
      <w:r/>
    </w:p>
    <w:p>
      <w:pPr>
        <w:pStyle w:val="1143"/>
      </w:pPr>
      <w:r>
        <w:t xml:space="preserve">протокол преддоговорных переговоров между Заказчиком и Победителем (при проведении таковых);</w:t>
      </w:r>
      <w:r/>
    </w:p>
    <w:p>
      <w:pPr>
        <w:pStyle w:val="1143"/>
      </w:pPr>
      <w:r>
        <w:t xml:space="preserve">итоговый протокол по результатам закупки;</w:t>
      </w:r>
      <w:r/>
    </w:p>
    <w:p>
      <w:pPr>
        <w:pStyle w:val="1143"/>
      </w:pPr>
      <w:r>
        <w:t xml:space="preserve">Извещение и Документация о закупке со всеми изменениями;</w:t>
      </w:r>
      <w:r/>
    </w:p>
    <w:p>
      <w:pPr>
        <w:pStyle w:val="1143"/>
      </w:pPr>
      <w:r>
        <w:t xml:space="preserve">за</w:t>
      </w:r>
      <w:r>
        <w:t xml:space="preserve">явка Победителя со всеми дополнениями и разъяснениями.</w:t>
      </w:r>
      <w:r/>
    </w:p>
    <w:p>
      <w:pPr>
        <w:pStyle w:val="1142"/>
      </w:pPr>
      <w:r/>
      <w:bookmarkStart w:id="213" w:name="_Ref125368506"/>
      <w:r>
        <w:t xml:space="preserve">Сведения о заключенном Договоре в течение 3 (трех) рабочих дней со дня заключения такого Договора вносятся Заказчиком в Реестр договоров в ЕИС (если размещение таких сведений допустимо Законом 223-ФЗ).</w:t>
      </w:r>
      <w:r>
        <w:t xml:space="preserve"> Если при заключении и исполнении Договора изменятся количество, объем, цена закупаемой продукции или сроки исполнения Договора (по сравнению с указанными в итоговом протоколе по результатам закупки), то в течение 10 (десяти) календарных дней со дня внесен</w:t>
      </w:r>
      <w:r>
        <w:t xml:space="preserve">ия таких изменений в Договор соответствующая информация с указанием измененных условий Договора также размещается Заказчиком в ЕИС (если размещение таких сведений допустимо Законом 223-ФЗ).</w:t>
      </w:r>
      <w:bookmarkEnd w:id="213"/>
      <w:r/>
      <w:r/>
    </w:p>
    <w:p>
      <w:pPr>
        <w:pStyle w:val="1142"/>
        <w:keepNext/>
      </w:pPr>
      <w:r>
        <w:t xml:space="preserve">Если Договор заключается в электронной форме:</w:t>
      </w:r>
      <w:r/>
    </w:p>
    <w:p>
      <w:pPr>
        <w:pStyle w:val="1143"/>
      </w:pPr>
      <w:r/>
      <w:bookmarkStart w:id="214" w:name="_Ref125552524"/>
      <w:r>
        <w:t xml:space="preserve">то он заключается с </w:t>
      </w:r>
      <w:r>
        <w:t xml:space="preserve">использованием Системы ЭДО, в том числе подписывается усиленной квалифицированной электронной подписью уполномоченного лица Победителя и Заказчика соответственно. Дополнительная информация об особенностях заключения Договора в электронной форме, содержатся</w:t>
      </w:r>
      <w:r>
        <w:t xml:space="preserve"> в подразделе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bookmarkEnd w:id="214"/>
      <w:r>
        <w:t xml:space="preserve">;</w:t>
      </w:r>
      <w:r/>
    </w:p>
    <w:p>
      <w:pPr>
        <w:pStyle w:val="1143"/>
      </w:pPr>
      <w:r>
        <w:t xml:space="preserve">Заказчик в течение установленного в пункте </w:t>
      </w:r>
      <w:r>
        <w:fldChar w:fldCharType="begin"/>
      </w:r>
      <w:r>
        <w:instrText xml:space="preserve"> REF _Ref130293821 \r \h  \* MERGEFORMAT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 срока направляет в адрес Победителя подписанный со своей стороны Проект договора с использованием функционала Системы ЭДО.</w:t>
      </w:r>
      <w:r/>
    </w:p>
    <w:p>
      <w:pPr>
        <w:pStyle w:val="1142"/>
      </w:pPr>
      <w:r>
        <w:t xml:space="preserve">Если до момента заключения с Договора в отношении Победителя была проведена повторная проверка в рамках </w:t>
      </w:r>
      <w:r>
        <w:t xml:space="preserve">мониторинга аккредитованных поставщиков (в соответствии с Положением об аккредитации), и по результатам такой проверки ему присвоен статус «не аккредитован», то он утрачивает статус Победителя, а Закупочная комиссия имеет право выбрать в качестве Победител</w:t>
      </w:r>
      <w:r>
        <w:t xml:space="preserve">я иного Участника, занявшего следующее место в </w:t>
      </w:r>
      <w:r>
        <w:t xml:space="preserve">ранжировке</w:t>
      </w:r>
      <w:r>
        <w:t xml:space="preserve"> заявок после Победителя, из числа остальных действующих заявок (при наличии у него статуса «аккредитован» / «аккредитация не требуется»).</w:t>
      </w:r>
      <w:r/>
    </w:p>
    <w:p>
      <w:pPr>
        <w:pStyle w:val="1141"/>
      </w:pPr>
      <w:r/>
      <w:bookmarkStart w:id="215" w:name="_Ref125552570"/>
      <w:r/>
      <w:bookmarkStart w:id="216" w:name="_Toc228976116"/>
      <w:r>
        <w:t xml:space="preserve">Преддоговорные переговоры</w:t>
      </w:r>
      <w:bookmarkEnd w:id="215"/>
      <w:r/>
      <w:bookmarkEnd w:id="216"/>
      <w:r/>
      <w:r/>
    </w:p>
    <w:p>
      <w:pPr>
        <w:pStyle w:val="1142"/>
        <w:keepNext/>
      </w:pPr>
      <w:r>
        <w:t xml:space="preserve">Проведение преддоговорных переговоров между Заказчиком и Победителем допускается только в отношении следующих вопросов:</w:t>
      </w:r>
      <w:r/>
    </w:p>
    <w:p>
      <w:pPr>
        <w:pStyle w:val="1143"/>
      </w:pPr>
      <w:r>
        <w:t xml:space="preserve">снижение цены Договора (при этом объем закупаемой продукции, а также технические характеристики продукции, определенные в Документации о</w:t>
      </w:r>
      <w:r>
        <w:t xml:space="preserve"> закупке и заявке Победителя, остаются неизменными);</w:t>
      </w:r>
      <w:r/>
    </w:p>
    <w:p>
      <w:pPr>
        <w:pStyle w:val="1143"/>
      </w:pPr>
      <w:r>
        <w:t xml:space="preserve">увеличение объема закупаемой продукции (при этом цена Договора и технические характеристики продукции, определенные в Документации о закупке и заявке Победителя, остаются неизменными);</w:t>
      </w:r>
      <w:r/>
    </w:p>
    <w:p>
      <w:pPr>
        <w:pStyle w:val="1143"/>
      </w:pPr>
      <w:r>
        <w:t xml:space="preserve">уточнение сроков и</w:t>
      </w:r>
      <w:r>
        <w:t xml:space="preserve">сполнения обязательств по Договору (если заключение Договора и исполнение обязательств по нему не могут быть проведены в установленные сроки в связи с обжалованием результатов закупки в адрес Заказчика или антимонопольного органа, в связи с административны</w:t>
      </w:r>
      <w:r>
        <w:t xml:space="preserve">м производством, судебным разбирательством, принятием органами управления Заказчика решения об одобрении Договора по основаниям, предусмотренным законодательством, уставом и (или) локальными нормативными актами Заказчика);</w:t>
      </w:r>
      <w:r/>
    </w:p>
    <w:p>
      <w:pPr>
        <w:pStyle w:val="1143"/>
      </w:pPr>
      <w:r>
        <w:t xml:space="preserve">изменение условий Договора в связ</w:t>
      </w:r>
      <w:r>
        <w:t xml:space="preserve">и с изменениями законодательства или предписаниями органов государственной власти, органов местного самоуправления;</w:t>
      </w:r>
      <w:r/>
    </w:p>
    <w:p>
      <w:pPr>
        <w:pStyle w:val="1143"/>
      </w:pPr>
      <w:r>
        <w:t xml:space="preserve">уточнение условий исполнения договора в лучшую для Заказчика сторону, в том числе: сокращение сроков исполнения Договора; отказ Победителя о</w:t>
      </w:r>
      <w:r>
        <w:t xml:space="preserve">т аванса или уменьшение его величины; предоставление отсрочки или рассрочки при оплате; улучшение характеристик продукции; увеличение сроков и объема гарантии.</w:t>
      </w:r>
      <w:r/>
    </w:p>
    <w:p>
      <w:pPr>
        <w:pStyle w:val="1142"/>
      </w:pPr>
      <w:r>
        <w:t xml:space="preserve">В любом случае не допускаются переговоры, направленные на изменение условий заключаемого Договор</w:t>
      </w:r>
      <w:r>
        <w:t xml:space="preserve">а, которые ведут к ухудшению его условий для Заказчика.</w:t>
      </w:r>
      <w:r/>
    </w:p>
    <w:p>
      <w:pPr>
        <w:pStyle w:val="1142"/>
      </w:pPr>
      <w:r>
        <w:t xml:space="preserve">Преддоговорные переговоры могут быть проведены в очной или заочной форме, в том числе с помощью средств аудио-, видео- конференцсвязи. Срок и формат проведения преддоговорных переговоров определяет За</w:t>
      </w:r>
      <w:r>
        <w:t xml:space="preserve">казчик и (или) Организатор.</w:t>
      </w:r>
      <w:r/>
    </w:p>
    <w:p>
      <w:pPr>
        <w:pStyle w:val="1142"/>
      </w:pPr>
      <w:r>
        <w:t xml:space="preserve">Результаты преддоговорных переговоров фиксируются в форме протокола</w:t>
      </w:r>
      <w:r>
        <w:rPr>
          <w:rStyle w:val="1154"/>
        </w:rPr>
        <w:footnoteReference w:id="14"/>
      </w:r>
      <w:r>
        <w:t xml:space="preserve">, подписываемого Заказчиком и Победителем, который официально размещается в течение 3 (трех) календарных дней с момента их проведения, и должны быть учтены при </w:t>
      </w:r>
      <w:r>
        <w:t xml:space="preserve">заключении Договора.</w:t>
      </w:r>
      <w:r/>
    </w:p>
    <w:p>
      <w:pPr>
        <w:pStyle w:val="1142"/>
      </w:pPr>
      <w:r>
        <w:t xml:space="preserve">Победитель вправе отказаться от участия в преддоговорных переговорах, при этом такой отказ не является отказом от заключения Договора. Если Заказчик и Победитель в ходе проведения преддоговорных переговоров не пришли к соглашению по во</w:t>
      </w:r>
      <w:r>
        <w:t xml:space="preserve">просу положений, входящих в состав заключаемого Договора, или Победитель отказался от участия в преддоговорных переговорах, Договор заключается на условиях </w:t>
      </w:r>
      <w:r>
        <w:t xml:space="preserve">Документации о закупке и заявки такого Победителя (со всеми изменениями и дополнениями) в соответств</w:t>
      </w:r>
      <w:r>
        <w:t xml:space="preserve">ии с пунктом </w:t>
      </w:r>
      <w:r>
        <w:fldChar w:fldCharType="begin"/>
      </w:r>
      <w:r>
        <w:instrText xml:space="preserve"> REF _Ref132288402 \r \h  \* MERGEFORMAT </w:instrText>
      </w:r>
      <w:r>
        <w:fldChar w:fldCharType="separate"/>
      </w:r>
      <w:r>
        <w:t xml:space="preserve">5.2.9</w:t>
      </w:r>
      <w:r>
        <w:fldChar w:fldCharType="end"/>
      </w:r>
      <w:r>
        <w:t xml:space="preserve">.</w:t>
      </w:r>
      <w:r/>
    </w:p>
    <w:p>
      <w:pPr>
        <w:pStyle w:val="1141"/>
      </w:pPr>
      <w:r/>
      <w:bookmarkStart w:id="217" w:name="_Ref125367068"/>
      <w:r/>
      <w:bookmarkStart w:id="218" w:name="_Toc228976117"/>
      <w:r>
        <w:t xml:space="preserve">Уклонение Победителя от заключения Договора</w:t>
      </w:r>
      <w:bookmarkEnd w:id="217"/>
      <w:r/>
      <w:bookmarkEnd w:id="218"/>
      <w:r/>
      <w:r/>
    </w:p>
    <w:p>
      <w:pPr>
        <w:pStyle w:val="1142"/>
        <w:keepNext/>
      </w:pPr>
      <w:r>
        <w:t xml:space="preserve">Если Победитель закупки:</w:t>
      </w:r>
      <w:r/>
    </w:p>
    <w:p>
      <w:pPr>
        <w:pStyle w:val="1143"/>
      </w:pPr>
      <w:r>
        <w:t xml:space="preserve">не подпишет Договор в установленные Документацией о закупке</w:t>
      </w:r>
      <w:r>
        <w:t xml:space="preserve"> сроки (пункт </w:t>
      </w:r>
      <w:r>
        <w:fldChar w:fldCharType="begin"/>
      </w:r>
      <w:r>
        <w:instrText xml:space="preserve"> REF _Ref130293821 \r \h  \* MERGEFORMAT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);</w:t>
      </w:r>
      <w:r/>
    </w:p>
    <w:p>
      <w:pPr>
        <w:pStyle w:val="1143"/>
      </w:pPr>
      <w:r>
        <w:t xml:space="preserve">откажется от подписания Договора на условиях, определяемых в соответствии с пунктом </w:t>
      </w:r>
      <w:r>
        <w:fldChar w:fldCharType="begin"/>
      </w:r>
      <w:r>
        <w:instrText xml:space="preserve"> REF _Ref132288402 \r \h  \* MERGEFORMAT </w:instrText>
      </w:r>
      <w:r>
        <w:fldChar w:fldCharType="separate"/>
      </w:r>
      <w:r>
        <w:t xml:space="preserve">5.2.9</w:t>
      </w:r>
      <w:r>
        <w:fldChar w:fldCharType="end"/>
      </w:r>
      <w:r>
        <w:t xml:space="preserve">;</w:t>
      </w:r>
      <w:r/>
    </w:p>
    <w:p>
      <w:pPr>
        <w:pStyle w:val="1143"/>
      </w:pPr>
      <w:r>
        <w:t xml:space="preserve">не раскроет информацию в отношении всей цепочки собственников, включая бенефициаров (в том числе конечных), по установленной форме (</w:t>
      </w:r>
      <w:hyperlink w:tooltip="#Прил05_ФормыПобедителя" w:anchor="Прил05_ФормыПобедителя" w:history="1">
        <w:r>
          <w:rPr>
            <w:rStyle w:val="1170"/>
          </w:rPr>
          <w:t xml:space="preserve">Приложение № 5</w:t>
        </w:r>
      </w:hyperlink>
      <w:r>
        <w:t xml:space="preserve">), с приложением подтверждающих документов;</w:t>
      </w:r>
      <w:r/>
    </w:p>
    <w:p>
      <w:pPr>
        <w:pStyle w:val="1143"/>
      </w:pPr>
      <w:r>
        <w:t xml:space="preserve">не предоставит Заверение об обстоятельствах, представляющее собой гарантийное письмо об отсутствии обстоятельств, препятствующих заключению Договора, в случаях и по форме, предусмотренн</w:t>
      </w:r>
      <w:r>
        <w:t xml:space="preserve">ых </w:t>
      </w:r>
      <w:hyperlink w:tooltip="#Прил05_ФормыПобедителя" w:anchor="Прил05_ФормыПобедителя" w:history="1">
        <w:r>
          <w:rPr>
            <w:rStyle w:val="1170"/>
          </w:rPr>
          <w:t xml:space="preserve">Приложением № 5</w:t>
        </w:r>
      </w:hyperlink>
      <w:r>
        <w:t xml:space="preserve">;</w:t>
      </w:r>
      <w:r/>
    </w:p>
    <w:p>
      <w:pPr>
        <w:pStyle w:val="1143"/>
      </w:pPr>
      <w:r>
        <w:t xml:space="preserve">не предоставит в установленный Заказчиком срок документы, указанные в пункте </w:t>
      </w:r>
      <w:r>
        <w:fldChar w:fldCharType="begin"/>
      </w:r>
      <w:r>
        <w:instrText xml:space="preserve"> REF _Ref125551776 \r \h </w:instrText>
      </w:r>
      <w:r>
        <w:fldChar w:fldCharType="separate"/>
      </w:r>
      <w:r>
        <w:t xml:space="preserve">5.2.5</w:t>
      </w:r>
      <w:r>
        <w:fldChar w:fldCharType="end"/>
      </w:r>
      <w:r>
        <w:t xml:space="preserve">, или предоставит их с нарушением требований, установленных в Документации о закупке;</w:t>
      </w:r>
      <w:r/>
    </w:p>
    <w:p>
      <w:pPr>
        <w:pStyle w:val="1143"/>
      </w:pPr>
      <w:r>
        <w:t xml:space="preserve">не предоставит в установленный Заказчиком срок документы, указанные в пункте </w:t>
      </w:r>
      <w:r>
        <w:fldChar w:fldCharType="begin"/>
      </w:r>
      <w:r>
        <w:instrText xml:space="preserve"> REF _Ref125551072 \w \h  \* MERGEFORMAT </w:instrText>
      </w:r>
      <w:r>
        <w:fldChar w:fldCharType="separate"/>
      </w:r>
      <w:r>
        <w:t xml:space="preserve">5.2.6</w:t>
      </w:r>
      <w:r>
        <w:fldChar w:fldCharType="end"/>
      </w:r>
      <w:r>
        <w:t xml:space="preserve">, или предоставит их с нарушением требований, установленных в Документации о закупке;</w:t>
      </w:r>
      <w:r/>
    </w:p>
    <w:p>
      <w:pPr>
        <w:pStyle w:val="1143"/>
      </w:pPr>
      <w:r>
        <w:t xml:space="preserve">не предоставит копии документов, обязательных к предоставлению Победителем закупки в соответствии с требованиями </w:t>
      </w:r>
      <w:hyperlink w:tooltip="#Прил01_ТехТребования" w:anchor="Прил01_ТехТребования" w:history="1">
        <w:r>
          <w:rPr>
            <w:rStyle w:val="1170"/>
          </w:rPr>
          <w:t xml:space="preserve">Приложения № 1 – Технические требования</w:t>
        </w:r>
      </w:hyperlink>
      <w:r>
        <w:t xml:space="preserve"> (в случае установления таковых);</w:t>
      </w:r>
      <w:r/>
    </w:p>
    <w:p>
      <w:pPr>
        <w:pStyle w:val="1143"/>
      </w:pPr>
      <w:r>
        <w:t xml:space="preserve">не предоставит обеспечение исполнения договора до момента его заключения, если Документация о закупке предусматривает обеспечение исполнения до</w:t>
      </w:r>
      <w:r>
        <w:t xml:space="preserve">говора с соответствующими обязательствами;</w:t>
      </w:r>
      <w:r/>
    </w:p>
    <w:p>
      <w:pPr>
        <w:pStyle w:val="1143"/>
      </w:pPr>
      <w:r>
        <w:t xml:space="preserve">не выполнит другие условия, прямо предусмотренные Документацией о закупке,</w:t>
      </w:r>
      <w:r/>
    </w:p>
    <w:p>
      <w:pPr>
        <w:pStyle w:val="1146"/>
        <w:ind w:left="1134"/>
      </w:pPr>
      <w:r>
        <w:t xml:space="preserve">то он (по истечению установленных в подразделе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 сроков на заключение Договора) признается уклонившимся от заключения Договора и утрачивает статус Победителя, а Закупочная комиссия имеет право выбрать в качестве Победителя иного Участника, занявшего следующее место в </w:t>
      </w:r>
      <w:r>
        <w:t xml:space="preserve">ранжировке</w:t>
      </w:r>
      <w:r>
        <w:t xml:space="preserve"> заявок после Победите</w:t>
      </w:r>
      <w:r>
        <w:t xml:space="preserve">ля, из числа остальных действующих заявок.</w:t>
      </w:r>
      <w:r/>
    </w:p>
    <w:p>
      <w:pPr>
        <w:pStyle w:val="1140"/>
      </w:pPr>
      <w:r/>
      <w:bookmarkStart w:id="219" w:name="_Ref125363016"/>
      <w:r/>
      <w:bookmarkStart w:id="220" w:name="_Ref125363023"/>
      <w:r/>
      <w:bookmarkStart w:id="221" w:name="_Ref125363034"/>
      <w:r/>
      <w:bookmarkStart w:id="222" w:name="_Ref125363600"/>
      <w:r/>
      <w:bookmarkStart w:id="223" w:name="_Ref125363752"/>
      <w:r/>
      <w:bookmarkStart w:id="224" w:name="_Ref125364088"/>
      <w:r/>
      <w:bookmarkStart w:id="225" w:name="_Ref125364201"/>
      <w:r/>
      <w:bookmarkStart w:id="226" w:name="_Ref125370732"/>
      <w:r/>
      <w:bookmarkStart w:id="227" w:name="_Ref125370741"/>
      <w:r/>
      <w:bookmarkStart w:id="228" w:name="_Ref125370746"/>
      <w:r/>
      <w:bookmarkStart w:id="229" w:name="_Ref125370750"/>
      <w:r/>
      <w:bookmarkStart w:id="230" w:name="_Ref125370843"/>
      <w:r/>
      <w:bookmarkStart w:id="231" w:name="Прил01_ТехТребования"/>
      <w:r/>
      <w:bookmarkStart w:id="232" w:name="_Toc228976118"/>
      <w:r>
        <w:t xml:space="preserve">Приложение № 1 – Технические требования</w:t>
      </w:r>
      <w:bookmarkEnd w:id="219"/>
      <w:r/>
      <w:bookmarkEnd w:id="220"/>
      <w:r/>
      <w:bookmarkEnd w:id="221"/>
      <w:r/>
      <w:bookmarkEnd w:id="222"/>
      <w:r/>
      <w:bookmarkEnd w:id="223"/>
      <w:r/>
      <w:bookmarkEnd w:id="224"/>
      <w:r/>
      <w:bookmarkEnd w:id="225"/>
      <w:r/>
      <w:bookmarkEnd w:id="226"/>
      <w:r/>
      <w:bookmarkEnd w:id="227"/>
      <w:r/>
      <w:bookmarkEnd w:id="228"/>
      <w:r/>
      <w:bookmarkEnd w:id="229"/>
      <w:r/>
      <w:bookmarkEnd w:id="230"/>
      <w:r/>
      <w:bookmarkEnd w:id="231"/>
      <w:r/>
      <w:bookmarkEnd w:id="232"/>
      <w:r/>
      <w:r/>
    </w:p>
    <w:p>
      <w:pPr>
        <w:pStyle w:val="1141"/>
      </w:pPr>
      <w:r/>
      <w:bookmarkStart w:id="233" w:name="_Toc228976119"/>
      <w:r>
        <w:t xml:space="preserve">Пояснения к Техническим требованиям</w:t>
      </w:r>
      <w:bookmarkEnd w:id="233"/>
      <w:r/>
      <w:r/>
    </w:p>
    <w:p>
      <w:pPr>
        <w:pStyle w:val="1142"/>
      </w:pPr>
      <w:r>
        <w:t xml:space="preserve">Технические требования к закупаемой продукции приведены в отдельном файле (предоставляются отдельным документом в составе Документации о </w:t>
      </w:r>
      <w:r>
        <w:t xml:space="preserve">закупке), являющимся Приложением № 1 к Документации о закупке.</w:t>
      </w:r>
      <w:r/>
    </w:p>
    <w:p>
      <w:pPr>
        <w:pStyle w:val="1140"/>
      </w:pPr>
      <w:r/>
      <w:bookmarkStart w:id="234" w:name="_Ref125361746"/>
      <w:r/>
      <w:bookmarkStart w:id="235" w:name="_Ref125363040"/>
      <w:r/>
      <w:bookmarkStart w:id="236" w:name="_Ref125363605"/>
      <w:r/>
      <w:bookmarkStart w:id="237" w:name="_Ref125363759"/>
      <w:r/>
      <w:bookmarkStart w:id="238" w:name="_Ref125364081"/>
      <w:r/>
      <w:bookmarkStart w:id="239" w:name="_Ref125364206"/>
      <w:r/>
      <w:bookmarkStart w:id="240" w:name="_Ref125370754"/>
      <w:r/>
      <w:bookmarkStart w:id="241" w:name="Прил02_ПроектДоговора"/>
      <w:r/>
      <w:bookmarkStart w:id="242" w:name="_Toc228976120"/>
      <w:r>
        <w:t xml:space="preserve">Приложение № 2 – Проект договора</w:t>
      </w:r>
      <w:bookmarkEnd w:id="234"/>
      <w:r/>
      <w:bookmarkEnd w:id="235"/>
      <w:r/>
      <w:bookmarkEnd w:id="236"/>
      <w:r/>
      <w:bookmarkEnd w:id="237"/>
      <w:r/>
      <w:bookmarkEnd w:id="238"/>
      <w:r/>
      <w:bookmarkEnd w:id="239"/>
      <w:r/>
      <w:bookmarkEnd w:id="240"/>
      <w:r/>
      <w:bookmarkEnd w:id="241"/>
      <w:r/>
      <w:bookmarkEnd w:id="242"/>
      <w:r/>
      <w:r/>
    </w:p>
    <w:p>
      <w:pPr>
        <w:pStyle w:val="1141"/>
      </w:pPr>
      <w:r/>
      <w:bookmarkStart w:id="243" w:name="_Toc228976121"/>
      <w:r>
        <w:t xml:space="preserve">Пояснения к Проекту договора</w:t>
      </w:r>
      <w:bookmarkEnd w:id="243"/>
      <w:r/>
      <w:r/>
    </w:p>
    <w:p>
      <w:pPr>
        <w:pStyle w:val="1142"/>
      </w:pPr>
      <w:r>
        <w:t xml:space="preserve">Проект договора, заключаемого по результатам закупки, приведен в отдельном файле (предоставляется отдельным документом </w:t>
      </w:r>
      <w:r>
        <w:t xml:space="preserve">в составе Документации о закупке), являющимся Приложением № 2 к Документации о закупке.</w:t>
      </w:r>
      <w:r/>
    </w:p>
    <w:p>
      <w:pPr>
        <w:pStyle w:val="1142"/>
      </w:pPr>
      <w:r>
        <w:t xml:space="preserve">Все положения Проекта договора являются существенными условиями для Заказчика, за исключением пунктов договора,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</w:t>
      </w:r>
      <w:bookmarkStart w:id="244" w:name="_Hlk132883778"/>
      <w:r>
        <w:t xml:space="preserve">как «Некритичные пункты Проекта договора»</w:t>
      </w:r>
      <w:bookmarkEnd w:id="244"/>
      <w:r>
        <w:t xml:space="preserve">.</w:t>
      </w:r>
      <w:r/>
    </w:p>
    <w:p>
      <w:pPr>
        <w:pStyle w:val="1142"/>
      </w:pPr>
      <w:r>
        <w:t xml:space="preserve">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</w:t>
      </w:r>
      <w:r>
        <w:t xml:space="preserve">ительные (не носящие принципиального характера) изменения к Договору. Если Стороны не придут к соглашению об этих изменениях, они будут обязаны подписать Договор на условиях, изложенных в Документации о закупке.</w:t>
      </w:r>
      <w:r/>
    </w:p>
    <w:p>
      <w:pPr>
        <w:pStyle w:val="1142"/>
      </w:pPr>
      <w:r>
        <w:t xml:space="preserve">Одновременно с подписанием Сторонами Договор</w:t>
      </w:r>
      <w:r>
        <w:t xml:space="preserve">а или не позднее 3 (трех) рабочих дней после подписания Договора, Сторонами должно быть подписано дополнительное соглашение, форма которого приведена в отдельном файле в формате </w:t>
      </w:r>
      <w:r>
        <w:t xml:space="preserve">Microsoft</w:t>
      </w:r>
      <w:r>
        <w:t xml:space="preserve"> </w:t>
      </w:r>
      <w:r>
        <w:t xml:space="preserve">Word</w:t>
      </w:r>
      <w:r>
        <w:t xml:space="preserve"> (предоставляется отдельным документом в составе Документации о </w:t>
      </w:r>
      <w:r>
        <w:t xml:space="preserve">закупке), касающееся вопросов подтверждения Участником информации о цепочке собственников, включая бенефициаров (в том числе конечных):</w:t>
      </w:r>
      <w:r/>
    </w:p>
    <w:p>
      <w:pPr>
        <w:pStyle w:val="1146"/>
        <w:jc w:val="center"/>
      </w:pPr>
      <w:r/>
      <w:bookmarkStart w:id="245" w:name="_MON_1736255517"/>
      <w:r/>
      <w:bookmarkEnd w:id="245"/>
      <w:r/>
      <w:bookmarkStart w:id="246" w:name="_MON_1736255517"/>
      <w:r/>
      <w:bookmarkEnd w:id="246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09650" cy="638175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0096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9.50pt;height:50.25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bookmarkStart w:id="247" w:name="_GoBack"/>
      <w:r/>
      <w:bookmarkEnd w:id="247"/>
      <w:r/>
      <w:r/>
    </w:p>
    <w:p>
      <w:pPr>
        <w:pStyle w:val="1146"/>
      </w:pPr>
      <w:r/>
      <w:r/>
    </w:p>
    <w:p>
      <w:pPr>
        <w:pStyle w:val="1146"/>
        <w:sectPr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0"/>
      </w:pPr>
      <w:r/>
      <w:bookmarkStart w:id="248" w:name="_Ref125361494"/>
      <w:r/>
      <w:bookmarkStart w:id="249" w:name="_Ref125361908"/>
      <w:r/>
      <w:bookmarkStart w:id="250" w:name="_Ref125365476"/>
      <w:r/>
      <w:bookmarkStart w:id="251" w:name="_Ref125370013"/>
      <w:r/>
      <w:bookmarkStart w:id="252" w:name="Прил03_ТребованияУчастникам"/>
      <w:r/>
      <w:bookmarkStart w:id="253" w:name="_Toc228976122"/>
      <w:r>
        <w:t xml:space="preserve">Приложение № 3 – Требования к Участникам</w:t>
      </w:r>
      <w:bookmarkEnd w:id="248"/>
      <w:r/>
      <w:bookmarkEnd w:id="249"/>
      <w:r/>
      <w:bookmarkEnd w:id="250"/>
      <w:r/>
      <w:bookmarkEnd w:id="251"/>
      <w:r/>
      <w:bookmarkEnd w:id="252"/>
      <w:r/>
      <w:bookmarkEnd w:id="253"/>
      <w:r/>
      <w:r/>
    </w:p>
    <w:p>
      <w:pPr>
        <w:pStyle w:val="1141"/>
      </w:pPr>
      <w:r/>
      <w:bookmarkStart w:id="254" w:name="_Toc228976123"/>
      <w:r>
        <w:t xml:space="preserve">Пояснения к требованиям к Участникам</w:t>
      </w:r>
      <w:bookmarkEnd w:id="254"/>
      <w:r/>
      <w:r/>
    </w:p>
    <w:p>
      <w:pPr>
        <w:pStyle w:val="1142"/>
      </w:pPr>
      <w:r/>
      <w:bookmarkStart w:id="255" w:name="_Hlk125628168"/>
      <w:r>
        <w:t xml:space="preserve">Чтобы претендовать </w:t>
      </w:r>
      <w:r>
        <w:t xml:space="preserve">на победу в закупке и получение права заключить Договор с Заказчиком, Участник самостоятельно или Коллективный участник в целом должен отвечать нижеуказанным требованиям и включить в состав заявки документы, подтверждающие его соответствие установленным тр</w:t>
      </w:r>
      <w:r>
        <w:t xml:space="preserve">ебованиям.</w:t>
      </w:r>
      <w:bookmarkEnd w:id="255"/>
      <w:r/>
      <w:r/>
    </w:p>
    <w:p>
      <w:pPr>
        <w:pStyle w:val="1141"/>
        <w:spacing w:after="120"/>
      </w:pPr>
      <w:r/>
      <w:bookmarkStart w:id="256" w:name="_Ref125361435"/>
      <w:r/>
      <w:bookmarkStart w:id="257" w:name="_Ref125361590"/>
      <w:r/>
      <w:bookmarkStart w:id="258" w:name="_Ref125361617"/>
      <w:r/>
      <w:bookmarkStart w:id="259" w:name="_Ref125361832"/>
      <w:r/>
      <w:bookmarkStart w:id="260" w:name="_Ref125361846"/>
      <w:r/>
      <w:bookmarkStart w:id="261" w:name="_Ref125361926"/>
      <w:r/>
      <w:bookmarkStart w:id="262" w:name="_Ref125366879"/>
      <w:r/>
      <w:bookmarkStart w:id="263" w:name="_Ref125368812"/>
      <w:r/>
      <w:bookmarkStart w:id="264" w:name="_Ref125368895"/>
      <w:r/>
      <w:bookmarkStart w:id="265" w:name="_Ref125369088"/>
      <w:r/>
      <w:bookmarkStart w:id="266" w:name="_Ref125370058"/>
      <w:r/>
      <w:bookmarkStart w:id="267" w:name="_Ref125370064"/>
      <w:r/>
      <w:bookmarkStart w:id="268" w:name="_Ref125370071"/>
      <w:r/>
      <w:bookmarkStart w:id="269" w:name="_Toc228976124"/>
      <w:r>
        <w:t xml:space="preserve">Обязательные требования</w:t>
      </w:r>
      <w:bookmarkEnd w:id="256"/>
      <w:r/>
      <w:bookmarkEnd w:id="257"/>
      <w:r/>
      <w:bookmarkEnd w:id="258"/>
      <w:r/>
      <w:bookmarkEnd w:id="259"/>
      <w:r/>
      <w:bookmarkEnd w:id="260"/>
      <w:r/>
      <w:bookmarkEnd w:id="261"/>
      <w:r/>
      <w:bookmarkEnd w:id="262"/>
      <w:r/>
      <w:bookmarkEnd w:id="263"/>
      <w:r/>
      <w:bookmarkEnd w:id="264"/>
      <w:r/>
      <w:bookmarkEnd w:id="265"/>
      <w:r/>
      <w:bookmarkEnd w:id="266"/>
      <w:r/>
      <w:bookmarkEnd w:id="267"/>
      <w:r/>
      <w:bookmarkEnd w:id="268"/>
      <w:r/>
      <w:bookmarkEnd w:id="269"/>
      <w:r/>
      <w:r/>
    </w:p>
    <w:tbl>
      <w:tblPr>
        <w:tblStyle w:val="116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957"/>
        <w:gridCol w:w="8040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957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Участнику</w:t>
            </w:r>
            <w:r/>
          </w:p>
        </w:tc>
        <w:tc>
          <w:tcPr>
            <w:tcW w:w="804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документам,</w:t>
            </w:r>
            <w:r>
              <w:br/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0" w:name="_Ref125552433"/>
            <w:r/>
            <w:bookmarkEnd w:id="270"/>
            <w:r/>
            <w:r/>
          </w:p>
        </w:tc>
        <w:tc>
          <w:tcPr>
            <w:tcW w:w="5957" w:type="dxa"/>
            <w:textDirection w:val="lrTb"/>
            <w:noWrap w:val="false"/>
          </w:tcPr>
          <w:p>
            <w:pPr>
              <w:pStyle w:val="1146"/>
            </w:pPr>
            <w:r>
              <w:t xml:space="preserve">Участник должен обладать гражданской правоспособностью в полном объеме для </w:t>
            </w:r>
            <w:r>
              <w:t xml:space="preserve">заключения и исполнения Договора, а также должен обладать статусом «аккредитован» в соответствии с Положением об аккредитации, либо являться лицом, указанным в пункте 3.11 Положения об аккредитации:</w:t>
            </w:r>
            <w:r/>
          </w:p>
        </w:tc>
        <w:tc>
          <w:tcPr>
            <w:tcW w:w="8040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9"/>
              </w:numPr>
              <w:ind w:left="284" w:hanging="284"/>
            </w:pPr>
            <w:r>
              <w:t xml:space="preserve">В отношении гражданской правоспособности:</w:t>
            </w:r>
            <w:r/>
          </w:p>
          <w:p>
            <w:pPr>
              <w:pStyle w:val="1146"/>
              <w:numPr>
                <w:ilvl w:val="0"/>
                <w:numId w:val="16"/>
              </w:numPr>
              <w:ind w:left="568" w:hanging="284"/>
            </w:pPr>
            <w:r>
              <w:t xml:space="preserve">если заявка под</w:t>
            </w:r>
            <w:r>
              <w:t xml:space="preserve">писывается лицом, действующим на основании доверенности, предоставляется электронный образ (файл в формате </w:t>
            </w:r>
            <w:r>
              <w:t xml:space="preserve">Portable</w:t>
            </w:r>
            <w:r>
              <w:t xml:space="preserve"> </w:t>
            </w:r>
            <w:r>
              <w:t xml:space="preserve">Document</w:t>
            </w:r>
            <w:r>
              <w:t xml:space="preserve"> </w:t>
            </w:r>
            <w:r>
              <w:t xml:space="preserve">Format</w:t>
            </w:r>
            <w:r>
              <w:t xml:space="preserve"> (*.</w:t>
            </w:r>
            <w:r>
              <w:rPr>
                <w:lang w:val="en-US"/>
              </w:rPr>
              <w:t xml:space="preserve">pdf</w:t>
            </w:r>
            <w:r>
              <w:t xml:space="preserve">)) оригинала соответствующей доверенности либо ее нотариально заверенной копии (с указанием правомочий на подписание з</w:t>
            </w:r>
            <w:r>
              <w:t xml:space="preserve">аявки);</w:t>
            </w:r>
            <w:r/>
          </w:p>
          <w:p>
            <w:pPr>
              <w:pStyle w:val="1146"/>
              <w:numPr>
                <w:ilvl w:val="0"/>
                <w:numId w:val="9"/>
              </w:numPr>
              <w:ind w:left="284" w:hanging="284"/>
            </w:pPr>
            <w:r>
              <w:t xml:space="preserve">В отношении аккредитации:</w:t>
            </w:r>
            <w:r/>
          </w:p>
          <w:p>
            <w:pPr>
              <w:pStyle w:val="1146"/>
              <w:numPr>
                <w:ilvl w:val="0"/>
                <w:numId w:val="16"/>
              </w:numPr>
              <w:ind w:left="568" w:hanging="284"/>
            </w:pPr>
            <w:r>
              <w:t xml:space="preserve">при наличии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 ранее направленными сведениями для вкл</w:t>
            </w:r>
            <w:r>
              <w:t xml:space="preserve">ючения записи в Реестр аккредитации), и при наличии (с момента подачи Заявки на аккредитацию) изменений, оказывающих влияние на соответствие его критериям аккредитации (на текущий статус), а также следующих изменений: реорганизация, изменение наименования,</w:t>
            </w:r>
            <w:r>
              <w:t xml:space="preserve"> места нахождения, единоличного исполнительного органа и прочих сведений, указанных ранее в Заявке на аккредитацию – декларация в 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 и обн</w:t>
            </w:r>
            <w:r>
              <w:t xml:space="preserve">овленная Заявка на </w:t>
            </w:r>
            <w:r>
              <w:t xml:space="preserve">аккредитацию по установленной в Документации о закупке форме (</w:t>
            </w:r>
            <w:hyperlink w:tooltip="#Прил10_ЗаявкаНаАккредитацию" w:anchor="Прил10_ЗаявкаНаАккредитацию" w:history="1">
              <w:r>
                <w:rPr>
                  <w:rStyle w:val="1170"/>
                </w:rPr>
                <w:t xml:space="preserve">Приложение № 10</w:t>
              </w:r>
            </w:hyperlink>
            <w:r>
              <w:t xml:space="preserve">);</w:t>
            </w:r>
            <w:r/>
          </w:p>
          <w:p>
            <w:pPr>
              <w:pStyle w:val="1146"/>
              <w:numPr>
                <w:ilvl w:val="0"/>
                <w:numId w:val="16"/>
              </w:numPr>
              <w:ind w:left="568" w:hanging="284"/>
            </w:pPr>
            <w:r>
              <w:t xml:space="preserve">при отсутствии у Участника на момент подачи заявки статуса «аккредитован» (п</w:t>
            </w:r>
            <w:r>
              <w:t xml:space="preserve">ри условии, что Участник ранее направил Заявку на аккредитацию, но на момент подачи заявки на участие в текущей закупке результаты проверки еще не известны (отсутствует соответствующая запись в Реестре аккредитации)) – декларация в составе Письма о подаче </w:t>
            </w:r>
            <w:r>
              <w:t xml:space="preserve">оферты (форма 2)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); предоставление Заявки на аккредитацию не требуется;</w:t>
            </w:r>
            <w:r/>
          </w:p>
          <w:p>
            <w:pPr>
              <w:pStyle w:val="1146"/>
              <w:numPr>
                <w:ilvl w:val="0"/>
                <w:numId w:val="16"/>
              </w:numPr>
              <w:ind w:left="568" w:hanging="284"/>
            </w:pPr>
            <w:r>
              <w:t xml:space="preserve">при отсутствии у Участника на момент подачи заявки статуса «аккредитован» (не проходил ранее процедуру акк</w:t>
            </w:r>
            <w:r>
              <w:t xml:space="preserve">редитации или наличия у Участника статуса «не аккредитован» (по результатам ранее пройденной процедуры аккредитации), а также для лиц, указанных в пункте 3.11 Положения об аккредитации (аккредитация не требуется), но которые ранее не направляли соответству</w:t>
            </w:r>
            <w:r>
              <w:t xml:space="preserve">ющие сведения для включения записи в Реестр аккредитации –Заявка на аккредитацию по установленной в Документации о закупке форме (</w:t>
            </w:r>
            <w:hyperlink w:tooltip="#Прил10_ЗаявкаНаАккредитацию" w:anchor="Прил10_ЗаявкаНаАккредитацию" w:history="1">
              <w:r>
                <w:rPr>
                  <w:rStyle w:val="1170"/>
                </w:rPr>
                <w:t xml:space="preserve">Приложение № 10</w:t>
              </w:r>
            </w:hyperlink>
            <w:r>
              <w:t xml:space="preserve">).</w:t>
            </w:r>
            <w:r/>
          </w:p>
          <w:p>
            <w:pPr>
              <w:pStyle w:val="1146"/>
              <w:ind w:left="284"/>
            </w:pPr>
            <w:r>
              <w:t xml:space="preserve">В случае заинтересованности</w:t>
            </w:r>
            <w:r>
              <w:t xml:space="preserve"> Участника в дополнительной оценке его финансового состояния, при условии отсутствия опубликованной в государственном информационном ресурсе бухгалтерской (финансовой) отчетности организаций (https://bo.nalog.ru), к Заявке на аккредитацию также прилагается</w:t>
            </w:r>
            <w:r>
              <w:t xml:space="preserve"> электронная копия бухгалтерского баланса (ОКУД 0710001) и отчета о финансовых результатах (ОКУД 0710002) за последний завершенный финансовый год, с отметкой налогового органа о приеме или с приложением квитанции о приеме и (или) извещения о вводе сведений</w:t>
            </w:r>
            <w:r>
              <w:t xml:space="preserve"> налоговым органом. </w:t>
            </w:r>
            <w:r/>
          </w:p>
          <w:p>
            <w:pPr>
              <w:pStyle w:val="1146"/>
              <w:ind w:left="284"/>
            </w:pPr>
            <w:r>
              <w:t xml:space="preserve">Если Участник в соответствии с законодательством формирует отчетность по формам ОКУД 0503730, 0503721 (и (или) освобожден </w:t>
            </w:r>
            <w:r>
              <w:t xml:space="preserve">от предоставления дополнительного экземпляра отчетности для размещения на официальном сайте ФНС России) – оценка </w:t>
            </w:r>
            <w:r>
              <w:t xml:space="preserve">его финансового состояния производится на основании представленных вместе с Заявкой на аккредитацию:</w:t>
            </w:r>
            <w:r/>
          </w:p>
          <w:p>
            <w:pPr>
              <w:pStyle w:val="1146"/>
              <w:ind w:left="284"/>
            </w:pPr>
            <w:r>
              <w:t xml:space="preserve">−</w:t>
            </w:r>
            <w:r>
              <w:tab/>
              <w:t xml:space="preserve">электронной копии бухгалтерской (финансовой) отчетности по формам ОКУД 0503730, 0503721 за последний завершенный и предшествующий ему финансовый год, с о</w:t>
            </w:r>
            <w:r>
              <w:t xml:space="preserve">тметкой налогового органа о приеме или с приложением квитанции о приеме и (или) извещения о вводе сведений налоговым органом;</w:t>
            </w:r>
            <w:r/>
          </w:p>
          <w:p>
            <w:pPr>
              <w:pStyle w:val="1146"/>
              <w:ind w:left="284"/>
            </w:pPr>
            <w:r>
              <w:t xml:space="preserve">−</w:t>
            </w:r>
            <w:r>
              <w:tab/>
              <w:t xml:space="preserve">дополнительных сведений о размере всех требуемых показателей согласно данным бухгалтерской (финансовой) отчетности (по форме, пр</w:t>
            </w:r>
            <w:r>
              <w:t xml:space="preserve">едставленной в </w:t>
            </w:r>
            <w:hyperlink w:tooltip="#Прил11_Данные_бухотчетность" w:anchor="Прил11_Данные_бухотчетность" w:history="1">
              <w:r>
                <w:rPr>
                  <w:rStyle w:val="1156"/>
                </w:rPr>
                <w:t xml:space="preserve">Приложении № 11</w:t>
              </w:r>
            </w:hyperlink>
            <w:r>
              <w:t xml:space="preserve">).</w:t>
            </w:r>
            <w:r/>
          </w:p>
          <w:p>
            <w:pPr>
              <w:pStyle w:val="1146"/>
              <w:ind w:left="284"/>
            </w:pPr>
            <w:r>
              <w:t xml:space="preserve">Указанные документы не являются обязательными к подаче в рамках процедуры аккредитации и предоставляются по желанию Участника.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1" w:name="_Ref139028406"/>
            <w:r/>
            <w:bookmarkEnd w:id="271"/>
            <w:r/>
            <w:r/>
          </w:p>
        </w:tc>
        <w:tc>
          <w:tcPr>
            <w:tcW w:w="5957" w:type="dxa"/>
            <w:textDirection w:val="lrTb"/>
            <w:noWrap w:val="false"/>
          </w:tcPr>
          <w:p>
            <w:pPr>
              <w:pStyle w:val="1146"/>
            </w:pPr>
            <w:r>
              <w:t xml:space="preserve">Сведения об Участнике должны отсутствовать в 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 851</w:t>
            </w:r>
            <w:r>
              <w:rPr>
                <w:rStyle w:val="1154"/>
              </w:rPr>
              <w:footnoteReference w:id="15"/>
            </w:r>
            <w:r>
              <w:t xml:space="preserve">, а также Участник не должен являться п</w:t>
            </w:r>
            <w:r>
              <w:t xml:space="preserve">одконтрольной организацией данных юридических лиц</w:t>
            </w:r>
            <w:r>
              <w:rPr>
                <w:rStyle w:val="1154"/>
              </w:rPr>
              <w:footnoteReference w:id="16"/>
            </w:r>
            <w:r>
              <w:t xml:space="preserve">:</w:t>
            </w:r>
            <w:r/>
          </w:p>
        </w:tc>
        <w:tc>
          <w:tcPr>
            <w:tcW w:w="8040" w:type="dxa"/>
            <w:textDirection w:val="lrTb"/>
            <w:noWrap w:val="false"/>
          </w:tcPr>
          <w:p>
            <w:pPr>
              <w:pStyle w:val="1146"/>
            </w:pPr>
            <w:r>
              <w:t xml:space="preserve">Декларация о соответствии Участника данному требованию в 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).</w:t>
            </w:r>
            <w:r/>
          </w:p>
          <w:p>
            <w:pPr>
              <w:pStyle w:val="1146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</w:t>
            </w:r>
            <w:r>
              <w:rPr>
                <w:i/>
                <w:iCs/>
              </w:rPr>
              <w:t xml:space="preserve">явок и (или) перед заключением договора Организатор проверяет наличие информации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</w:t>
            </w:r>
            <w:r>
              <w:rPr>
                <w:i/>
                <w:iCs/>
              </w:rPr>
              <w:t xml:space="preserve">.2022 № 851 «О мерах по реализации Указа Президента Российской Федерации от 3 мая 2022 г. N 252».)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5" w:name="_Ref186120456"/>
            <w:r/>
            <w:bookmarkEnd w:id="275"/>
            <w:r/>
            <w:r/>
          </w:p>
        </w:tc>
        <w:tc>
          <w:tcPr>
            <w:tcW w:w="5957" w:type="dxa"/>
            <w:textDirection w:val="lrTb"/>
            <w:noWrap w:val="false"/>
          </w:tcPr>
          <w:p>
            <w:pPr>
              <w:pStyle w:val="1146"/>
            </w:pPr>
            <w:r>
              <w:t xml:space="preserve">Если в подразделе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режим запрета закупки иностран</w:t>
            </w:r>
            <w:r>
              <w:t xml:space="preserve">ной продукции и предметом закупки является оказание услуг и (или) выполнение работ (в том числе с поставкой товаров при выполнении работ и (или) оказании услуг), то Участник должен быть российским лицом:</w:t>
            </w:r>
            <w:r/>
          </w:p>
        </w:tc>
        <w:tc>
          <w:tcPr>
            <w:tcW w:w="8040" w:type="dxa"/>
            <w:textDirection w:val="lrTb"/>
            <w:noWrap w:val="false"/>
          </w:tcPr>
          <w:p>
            <w:pPr>
              <w:pStyle w:val="1146"/>
            </w:pPr>
            <w:r>
              <w:t xml:space="preserve">Декларация о соответствии Участника данному требован</w:t>
            </w:r>
            <w:r>
              <w:t xml:space="preserve">ию в 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), а также указание Участником в составе заявки в Коммерческом предложении (форма 3)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 соответствующих сведений.</w:t>
            </w:r>
            <w:r/>
          </w:p>
          <w:p>
            <w:pPr>
              <w:pStyle w:val="1146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 Организатор проверяет на соответствие данному требованию на основании сведений, размещенных на официальных сервисах ФНС России</w:t>
            </w:r>
            <w:r>
              <w:rPr>
                <w:i/>
                <w:iCs/>
              </w:rPr>
              <w:t xml:space="preserve"> в сети интернет (в отношении иных стран ЕАЭС – на аналогичных официальных сервисах данных стран).)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6" w:name="_Ref186120461"/>
            <w:r/>
            <w:bookmarkEnd w:id="276"/>
            <w:r/>
            <w:r/>
          </w:p>
        </w:tc>
        <w:tc>
          <w:tcPr>
            <w:tcW w:w="5957" w:type="dxa"/>
            <w:textDirection w:val="lrTb"/>
            <w:noWrap w:val="false"/>
          </w:tcPr>
          <w:p>
            <w:pPr>
              <w:pStyle w:val="1146"/>
            </w:pPr>
            <w:r>
              <w:t xml:space="preserve">Если в подразделе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режим ограничения закупки ин</w:t>
            </w:r>
            <w:r>
              <w:t xml:space="preserve">остранной продукции и предметом закупки является оказание услуг и (или) выполнение работ (в том числе с поставкой товаров при выполнении работ и (или) оказании услуг), то Участник не должен являться иностранным лицом, при наличии заявки, соответствующей вс</w:t>
            </w:r>
            <w:r>
              <w:t xml:space="preserve">ем требованиям Документации о закупке, поданной от российского лица:</w:t>
            </w:r>
            <w:r/>
          </w:p>
        </w:tc>
        <w:tc>
          <w:tcPr>
            <w:tcW w:w="8040" w:type="dxa"/>
            <w:textDirection w:val="lrTb"/>
            <w:noWrap w:val="false"/>
          </w:tcPr>
          <w:p>
            <w:pPr>
              <w:pStyle w:val="1146"/>
            </w:pPr>
            <w:r>
              <w:t xml:space="preserve">Декларация о принадлежности Участника к иностранному лицу или российскому лицу в 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</w:t>
              </w:r>
              <w:r>
                <w:rPr>
                  <w:rStyle w:val="1170"/>
                </w:rPr>
                <w:t xml:space="preserve">риложение № 4</w:t>
              </w:r>
            </w:hyperlink>
            <w:r>
              <w:t xml:space="preserve">, а также указание Участником в составе заявки в Коммерческом предложении (форма 3)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 соответствующих сведений.</w:t>
            </w:r>
            <w:r/>
          </w:p>
          <w:p>
            <w:pPr>
              <w:pStyle w:val="1146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 Организатор проверяет н</w:t>
            </w:r>
            <w:r>
              <w:rPr>
                <w:i/>
                <w:iCs/>
              </w:rPr>
              <w:t xml:space="preserve">а соответствие данному требованию на основании сведений, размещенных на официальных сервисах ФНС России в сети интернет (в отношении иных стран ЕАЭС – на аналогичных официальных сервисах данных стран).)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</w:tbl>
    <w:p>
      <w:pPr>
        <w:pStyle w:val="1141"/>
        <w:spacing w:after="120"/>
      </w:pPr>
      <w:r/>
      <w:bookmarkStart w:id="277" w:name="_Ref125361442"/>
      <w:r/>
      <w:bookmarkStart w:id="278" w:name="_Ref125361633"/>
      <w:r/>
      <w:bookmarkStart w:id="279" w:name="_Ref125361671"/>
      <w:r/>
      <w:bookmarkStart w:id="280" w:name="_Ref125361869"/>
      <w:r/>
      <w:bookmarkStart w:id="281" w:name="_Ref125361937"/>
      <w:r/>
      <w:bookmarkStart w:id="282" w:name="_Ref125365459"/>
      <w:r/>
      <w:bookmarkStart w:id="283" w:name="_Ref125367521"/>
      <w:r/>
      <w:bookmarkStart w:id="284" w:name="_Ref125367539"/>
      <w:r/>
      <w:bookmarkStart w:id="285" w:name="_Ref125368818"/>
      <w:r/>
      <w:bookmarkStart w:id="286" w:name="_Ref125368901"/>
      <w:r/>
      <w:bookmarkStart w:id="287" w:name="_Ref125368916"/>
      <w:r/>
      <w:bookmarkStart w:id="288" w:name="_Ref125369099"/>
      <w:r/>
      <w:bookmarkStart w:id="289" w:name="_Ref125370079"/>
      <w:r/>
      <w:bookmarkStart w:id="290" w:name="_Ref125709153"/>
      <w:r/>
      <w:bookmarkStart w:id="291" w:name="_Ref125709250"/>
      <w:r/>
      <w:bookmarkStart w:id="292" w:name="_Ref125709401"/>
      <w:r/>
      <w:bookmarkStart w:id="293" w:name="_Ref125709888"/>
      <w:r/>
      <w:bookmarkStart w:id="294" w:name="_Toc228976125"/>
      <w:r>
        <w:t xml:space="preserve">Специальные требования</w:t>
      </w:r>
      <w:bookmarkEnd w:id="277"/>
      <w:r/>
      <w:bookmarkEnd w:id="278"/>
      <w:r/>
      <w:bookmarkEnd w:id="279"/>
      <w:r/>
      <w:bookmarkEnd w:id="280"/>
      <w:r/>
      <w:bookmarkEnd w:id="281"/>
      <w:r/>
      <w:bookmarkEnd w:id="282"/>
      <w:r/>
      <w:bookmarkEnd w:id="283"/>
      <w:r/>
      <w:bookmarkEnd w:id="284"/>
      <w:r/>
      <w:bookmarkEnd w:id="285"/>
      <w:r/>
      <w:bookmarkEnd w:id="286"/>
      <w:r/>
      <w:bookmarkEnd w:id="287"/>
      <w:r/>
      <w:bookmarkEnd w:id="288"/>
      <w:r/>
      <w:bookmarkEnd w:id="289"/>
      <w:r/>
      <w:bookmarkEnd w:id="290"/>
      <w:r/>
      <w:bookmarkEnd w:id="291"/>
      <w:r/>
      <w:bookmarkEnd w:id="292"/>
      <w:r/>
      <w:bookmarkEnd w:id="293"/>
      <w:r/>
      <w:bookmarkEnd w:id="294"/>
      <w:r/>
      <w:r/>
    </w:p>
    <w:tbl>
      <w:tblPr>
        <w:tblStyle w:val="116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6666"/>
        <w:gridCol w:w="7331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6666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Участнику</w:t>
            </w:r>
            <w:r/>
          </w:p>
        </w:tc>
        <w:tc>
          <w:tcPr>
            <w:tcW w:w="7331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документам,</w:t>
            </w:r>
            <w:r>
              <w:br/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4"/>
              </w:numPr>
              <w:ind w:left="284" w:firstLine="0"/>
              <w:jc w:val="center"/>
            </w:pPr>
            <w:r/>
            <w:r/>
          </w:p>
        </w:tc>
        <w:tc>
          <w:tcPr>
            <w:tcW w:w="6666" w:type="dxa"/>
            <w:textDirection w:val="lrTb"/>
            <w:noWrap w:val="false"/>
          </w:tcPr>
          <w:p>
            <w:pPr>
              <w:pStyle w:val="1180"/>
              <w:numPr>
                <w:ilvl w:val="0"/>
                <w:numId w:val="21"/>
              </w:numPr>
              <w:ind w:left="142" w:firstLine="0"/>
              <w:jc w:val="both"/>
              <w:widowControl w:val="off"/>
              <w:tabs>
                <w:tab w:val="left" w:pos="426" w:leader="none"/>
              </w:tabs>
              <w:rPr>
                <w:i/>
                <w:sz w:val="22"/>
              </w:rPr>
            </w:pPr>
            <w:r>
              <w:rPr>
                <w:rFonts w:eastAsia="Times New Roman"/>
                <w:szCs w:val="26"/>
              </w:rPr>
            </w:r>
            <w:r>
              <w:rPr>
                <w:rFonts w:eastAsia="Times New Roman"/>
                <w:szCs w:val="26"/>
              </w:rPr>
              <w:t xml:space="preserve">В</w:t>
            </w:r>
            <w:r>
              <w:rPr>
                <w:rFonts w:eastAsia="Times New Roman"/>
                <w:szCs w:val="26"/>
              </w:rPr>
              <w:t xml:space="preserve"> соответствии со ст. 55.8 Градостроительного кодекса РФ от 29.12.2004 № 190-ФЗ: Участник закупки должен быть (в течение срока действия заявки на участие в закупке) членом саморегулируемой организации, основанной на членстве лиц, осуществляющих услуги в обл</w:t>
            </w:r>
            <w:r>
              <w:rPr>
                <w:rFonts w:eastAsia="Times New Roman"/>
                <w:szCs w:val="26"/>
              </w:rPr>
              <w:t xml:space="preserve">асти инженерных изысканий и архитектурно-строительного проектирования.</w:t>
            </w:r>
            <w:r>
              <w:rPr>
                <w:rFonts w:eastAsia="Times New Roman"/>
                <w:szCs w:val="26"/>
              </w:rPr>
              <w:t xml:space="preserve"> </w:t>
            </w:r>
            <w:r>
              <w:rPr>
                <w:i/>
                <w:sz w:val="22"/>
              </w:rPr>
            </w:r>
            <w:r>
              <w:rPr>
                <w:i/>
                <w:sz w:val="22"/>
              </w:rPr>
            </w:r>
          </w:p>
        </w:tc>
        <w:tc>
          <w:tcPr>
            <w:tcW w:w="733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Cs w:val="26"/>
                <w:highlight w:val="white"/>
              </w:rPr>
              <w:t xml:space="preserve">Предоставление документов не требуется.</w:t>
            </w:r>
            <w:r>
              <w:rPr>
                <w:rFonts w:eastAsia="Times New Roman" w:cs="Times New Roman"/>
                <w:sz w:val="22"/>
              </w:rPr>
            </w:r>
            <w:r>
              <w:rPr>
                <w:rFonts w:eastAsia="Times New Roman" w:cs="Times New Roman"/>
                <w:sz w:val="22"/>
              </w:rPr>
            </w:r>
          </w:p>
          <w:p>
            <w:pPr>
              <w:jc w:val="both"/>
              <w:spacing w:before="0" w:after="0"/>
              <w:rPr>
                <w:rFonts w:cs="Times New Roman"/>
                <w:sz w:val="22"/>
                <w:highlight w:val="white"/>
              </w:rPr>
            </w:pPr>
            <w:r>
              <w:rPr>
                <w:rFonts w:cs="Times New Roman"/>
                <w:sz w:val="22"/>
                <w:highlight w:val="white"/>
              </w:rPr>
            </w:r>
            <w:r>
              <w:rPr>
                <w:rFonts w:cs="Times New Roman"/>
                <w:sz w:val="22"/>
                <w:highlight w:val="white"/>
              </w:rPr>
            </w:r>
            <w:r>
              <w:rPr>
                <w:rFonts w:cs="Times New Roman"/>
                <w:sz w:val="22"/>
                <w:highlight w:val="white"/>
              </w:rPr>
            </w:r>
          </w:p>
          <w:p>
            <w:pPr>
              <w:jc w:val="both"/>
              <w:spacing w:before="0" w:after="0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  <w:highlight w:val="white"/>
              </w:rPr>
              <w:t xml:space="preserve">На стадии рассмотрения заявок Организатор проверяет наличие информации об Участнике в Едином реестре сведений о членах СРО и их обязательствах, а также осуществляет оценку соответствия уровня его ответственности по общедоступному </w:t>
            </w:r>
            <w:r>
              <w:rPr>
                <w:rFonts w:eastAsia="Times New Roman" w:cs="Times New Roman"/>
                <w:szCs w:val="26"/>
                <w:highlight w:val="white"/>
              </w:rPr>
              <w:t xml:space="preserve">ресурсу – </w:t>
            </w:r>
            <w:r>
              <w:rPr>
                <w:rFonts w:eastAsia="Calibri"/>
                <w:i/>
                <w:iCs/>
                <w:szCs w:val="26"/>
              </w:rPr>
              <w:t xml:space="preserve">Национальное объ</w:t>
            </w:r>
            <w:r>
              <w:rPr>
                <w:rFonts w:eastAsia="Calibri"/>
                <w:i/>
                <w:iCs/>
                <w:szCs w:val="26"/>
              </w:rPr>
              <w:t xml:space="preserve">единение изыскателей и проектировщиков НОПРИЗ - сервис «Единый реестр членов СРО» (</w:t>
            </w:r>
            <w:hyperlink r:id="rId15" w:tooltip="http://nopriz.ru/nreesters/elektronnyy-reestr/" w:history="1">
              <w:r>
                <w:rPr>
                  <w:rStyle w:val="1156"/>
                  <w:rFonts w:eastAsia="Calibri"/>
                  <w:i/>
                  <w:iCs/>
                  <w:szCs w:val="26"/>
                </w:rPr>
                <w:t xml:space="preserve">http://nopriz.ru/nreesters/elektronnyy-</w:t>
              </w:r>
              <w:r>
                <w:rPr>
                  <w:rStyle w:val="1156"/>
                  <w:rFonts w:eastAsia="Calibri"/>
                  <w:i/>
                  <w:iCs/>
                  <w:szCs w:val="26"/>
                  <w:highlight w:val="white"/>
                </w:rPr>
                <w:t xml:space="preserve">reestr/</w:t>
              </w:r>
            </w:hyperlink>
            <w:r>
              <w:rPr>
                <w:rFonts w:eastAsia="Calibri"/>
                <w:i/>
                <w:iCs/>
                <w:szCs w:val="26"/>
                <w:highlight w:val="white"/>
              </w:rPr>
              <w:t xml:space="preserve">) </w:t>
            </w:r>
            <w:r>
              <w:rPr>
                <w:rFonts w:eastAsia="Calibri"/>
                <w:szCs w:val="26"/>
                <w:highlight w:val="white"/>
              </w:rPr>
              <w:t xml:space="preserve">по состоян</w:t>
            </w:r>
            <w:r>
              <w:rPr>
                <w:rFonts w:eastAsia="Calibri"/>
                <w:szCs w:val="26"/>
                <w:highlight w:val="white"/>
              </w:rPr>
              <w:t xml:space="preserve">ию </w:t>
            </w:r>
            <w:r>
              <w:rPr>
                <w:rFonts w:eastAsia="Times New Roman" w:cs="Times New Roman"/>
                <w:szCs w:val="26"/>
              </w:rPr>
              <w:t xml:space="preserve">на дату окончания срока подачи заявок, установленную в Документации о закупке.</w:t>
            </w:r>
            <w:r>
              <w:rPr>
                <w:rFonts w:eastAsia="Times New Roman" w:cs="Times New Roman"/>
                <w:szCs w:val="26"/>
              </w:rPr>
            </w:r>
            <w:r>
              <w:rPr>
                <w:rFonts w:eastAsia="Times New Roman" w:cs="Times New Roman"/>
                <w:szCs w:val="26"/>
              </w:rPr>
            </w:r>
          </w:p>
          <w:p>
            <w:pPr>
              <w:jc w:val="both"/>
              <w:keepNext/>
              <w:spacing w:before="0" w:after="0"/>
              <w:rPr>
                <w:rFonts w:cs="Times New Roman"/>
                <w:bCs/>
                <w:highlight w:val="white"/>
              </w:rPr>
            </w:pPr>
            <w:r>
              <w:rPr>
                <w:rFonts w:eastAsia="Times New Roman" w:cs="Times New Roman"/>
                <w:szCs w:val="26"/>
                <w:highlight w:val="white"/>
              </w:rPr>
              <w:t xml:space="preserve">Требование является </w:t>
            </w:r>
            <w:r>
              <w:rPr>
                <w:rFonts w:eastAsia="Times New Roman" w:cs="Times New Roman"/>
                <w:b/>
                <w:bCs/>
                <w:szCs w:val="26"/>
                <w:highlight w:val="white"/>
              </w:rPr>
              <w:t xml:space="preserve">обязательным</w:t>
            </w:r>
            <w:r>
              <w:rPr>
                <w:rFonts w:eastAsia="Times New Roman" w:cs="Times New Roman"/>
                <w:szCs w:val="26"/>
                <w:highlight w:val="white"/>
              </w:rPr>
              <w:t xml:space="preserve">, неисполнение которого повлечёт отклонение заявки.</w:t>
            </w:r>
            <w:r>
              <w:rPr>
                <w:rFonts w:cs="Times New Roman"/>
                <w:bCs/>
                <w:highlight w:val="white"/>
              </w:rPr>
            </w:r>
            <w:r>
              <w:rPr>
                <w:rFonts w:cs="Times New Roman"/>
                <w:bCs/>
                <w:highlight w:val="white"/>
              </w:rPr>
            </w:r>
          </w:p>
        </w:tc>
      </w:tr>
    </w:tbl>
    <w:p>
      <w:pPr>
        <w:pStyle w:val="1141"/>
        <w:spacing w:after="120"/>
      </w:pPr>
      <w:r/>
      <w:bookmarkStart w:id="295" w:name="_Ref125550270"/>
      <w:r/>
      <w:bookmarkStart w:id="296" w:name="_Ref125550353"/>
      <w:r/>
      <w:bookmarkStart w:id="297" w:name="_Ref125553242"/>
      <w:r/>
      <w:bookmarkStart w:id="298" w:name="_Ref125553296"/>
      <w:r/>
      <w:bookmarkStart w:id="299" w:name="_Ref125553475"/>
      <w:r/>
      <w:bookmarkStart w:id="300" w:name="_Ref125553681"/>
      <w:r/>
      <w:bookmarkStart w:id="301" w:name="_Ref125709154"/>
      <w:r/>
      <w:bookmarkStart w:id="302" w:name="_Ref125709256"/>
      <w:r/>
      <w:bookmarkStart w:id="303" w:name="_Ref125709541"/>
      <w:r/>
      <w:bookmarkStart w:id="304" w:name="_Ref125709895"/>
      <w:r/>
      <w:bookmarkStart w:id="305" w:name="_Toc228976126"/>
      <w:r/>
      <w:bookmarkStart w:id="306" w:name="_Ref125361531"/>
      <w:r/>
      <w:bookmarkStart w:id="307" w:name="_Ref125369111"/>
      <w:r/>
      <w:bookmarkStart w:id="308" w:name="_Ref125370085"/>
      <w:r/>
      <w:bookmarkStart w:id="309" w:name="_Ref125370145"/>
      <w:r/>
      <w:bookmarkStart w:id="310" w:name="_Ref125370151"/>
      <w:r>
        <w:t xml:space="preserve">Квалификационные требования</w:t>
      </w:r>
      <w:bookmarkEnd w:id="295"/>
      <w:r/>
      <w:bookmarkEnd w:id="296"/>
      <w:r/>
      <w:bookmarkEnd w:id="297"/>
      <w:r/>
      <w:bookmarkEnd w:id="298"/>
      <w:r/>
      <w:bookmarkEnd w:id="299"/>
      <w:r/>
      <w:bookmarkEnd w:id="300"/>
      <w:r/>
      <w:bookmarkEnd w:id="301"/>
      <w:r/>
      <w:bookmarkEnd w:id="302"/>
      <w:r/>
      <w:bookmarkEnd w:id="303"/>
      <w:r/>
      <w:bookmarkEnd w:id="304"/>
      <w:r/>
      <w:bookmarkEnd w:id="305"/>
      <w:r/>
      <w:r/>
    </w:p>
    <w:tbl>
      <w:tblPr>
        <w:tblStyle w:val="116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6807"/>
        <w:gridCol w:w="7190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Участнику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документам,</w:t>
            </w:r>
            <w:r>
              <w:br/>
            </w:r>
            <w:r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11"/>
              </w:numPr>
              <w:ind w:left="284" w:firstLine="0"/>
              <w:jc w:val="center"/>
            </w:pPr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</w:pPr>
            <w:r>
              <w:t xml:space="preserve">Квалификационные требования не установлены.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</w:pPr>
            <w:r>
              <w:t xml:space="preserve">Квалификационные требования не установлены.</w:t>
            </w:r>
            <w:r/>
          </w:p>
        </w:tc>
      </w:tr>
    </w:tbl>
    <w:p>
      <w:pPr>
        <w:pStyle w:val="1141"/>
        <w:spacing w:after="120"/>
      </w:pPr>
      <w:r/>
      <w:bookmarkStart w:id="311" w:name="_Ref125552455"/>
      <w:r/>
      <w:bookmarkStart w:id="312" w:name="_Ref125553500"/>
      <w:r/>
      <w:bookmarkStart w:id="313" w:name="_Ref125553692"/>
      <w:r/>
      <w:bookmarkStart w:id="314" w:name="_Ref125553703"/>
      <w:r/>
      <w:bookmarkStart w:id="315" w:name="_Ref125709228"/>
      <w:r/>
      <w:bookmarkStart w:id="316" w:name="_Toc228976127"/>
      <w:r>
        <w:t xml:space="preserve">Дополнительные требования к Коллективным участникам</w:t>
      </w:r>
      <w:bookmarkEnd w:id="306"/>
      <w:r/>
      <w:bookmarkEnd w:id="307"/>
      <w:r/>
      <w:bookmarkEnd w:id="308"/>
      <w:r/>
      <w:bookmarkEnd w:id="309"/>
      <w:r/>
      <w:bookmarkEnd w:id="310"/>
      <w:r/>
      <w:bookmarkEnd w:id="311"/>
      <w:r/>
      <w:bookmarkEnd w:id="312"/>
      <w:r/>
      <w:bookmarkEnd w:id="313"/>
      <w:r/>
      <w:bookmarkEnd w:id="314"/>
      <w:r/>
      <w:bookmarkEnd w:id="315"/>
      <w:r/>
      <w:bookmarkEnd w:id="316"/>
      <w:r/>
      <w:r/>
    </w:p>
    <w:tbl>
      <w:tblPr>
        <w:tblStyle w:val="116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6807"/>
        <w:gridCol w:w="7190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Коллективному участнику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документам, подтверждающим соответствие</w:t>
            </w:r>
            <w:r>
              <w:br/>
              <w:t xml:space="preserve">Коллективного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5"/>
              </w:numPr>
              <w:ind w:left="284" w:firstLine="0"/>
              <w:jc w:val="center"/>
            </w:pPr>
            <w:r/>
            <w:bookmarkStart w:id="317" w:name="_Ref125370156"/>
            <w:r/>
            <w:bookmarkEnd w:id="317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</w:pPr>
            <w:r>
              <w:t xml:space="preserve">Члены Коллективного участника должны иметь между собой соглашение (или иной документ), соответствующее нормам ГК РФ: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</w:pPr>
            <w:r>
              <w:t xml:space="preserve">Копия Соглашения между членами Кол</w:t>
            </w:r>
            <w:r>
              <w:t xml:space="preserve">лективного участника, подготовленного в соответствии с требованиями пункта </w:t>
            </w:r>
            <w:r>
              <w:fldChar w:fldCharType="begin"/>
            </w:r>
            <w:r>
              <w:instrText xml:space="preserve"> REF _Ref125366972 \w \h  \* MERGEFORMAT </w:instrText>
            </w:r>
            <w:r>
              <w:fldChar w:fldCharType="separate"/>
            </w:r>
            <w:r>
              <w:t xml:space="preserve">3.2.3</w:t>
            </w:r>
            <w:r>
              <w:fldChar w:fldCharType="end"/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5"/>
              </w:numPr>
              <w:ind w:left="284" w:firstLine="0"/>
              <w:jc w:val="center"/>
            </w:pPr>
            <w:r/>
            <w:bookmarkStart w:id="318" w:name="_Ref125553738"/>
            <w:r/>
            <w:bookmarkEnd w:id="318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</w:pPr>
            <w:r>
              <w:t xml:space="preserve">Заявка Коллективного участника дополнительно должна включать све</w:t>
            </w:r>
            <w:r>
              <w:t xml:space="preserve">дения о распределении объемов поставки продукции между членами Коллективного участника: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</w:pPr>
            <w:r>
              <w:t xml:space="preserve">План распределения объемов поставки продукции (форма 10)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 с указанием необходимой информа</w:t>
            </w:r>
            <w:r>
              <w:t xml:space="preserve">ции;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5"/>
              </w:numPr>
              <w:ind w:left="284" w:firstLine="0"/>
              <w:jc w:val="center"/>
            </w:pPr>
            <w:r/>
            <w:bookmarkStart w:id="319" w:name="_Ref125370162"/>
            <w:r/>
            <w:bookmarkEnd w:id="319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каждого члена Коллективного участника установленным требованиям (с учетом пунктов </w:t>
            </w:r>
            <w:r>
              <w:fldChar w:fldCharType="begin"/>
            </w:r>
            <w:r>
              <w:instrText xml:space="preserve"> REF _Ref125368791 \w \h  \* MERGEFORMAT </w:instrText>
            </w:r>
            <w:r>
              <w:fldChar w:fldCharType="separate"/>
            </w:r>
            <w:r>
              <w:t xml:space="preserve">3.2.5</w:t>
            </w:r>
            <w:r>
              <w:fldChar w:fldCharType="end"/>
            </w:r>
            <w:r>
              <w:t xml:space="preserve"> – </w:t>
            </w:r>
            <w:r>
              <w:fldChar w:fldCharType="begin"/>
            </w:r>
            <w:r>
              <w:instrText xml:space="preserve"> REF _Ref134705077 \r \h </w:instrText>
            </w:r>
            <w:r>
              <w:fldChar w:fldCharType="separate"/>
            </w:r>
            <w:r>
              <w:t xml:space="preserve">3.2.7</w:t>
            </w:r>
            <w:r>
              <w:fldChar w:fldCharType="end"/>
            </w:r>
            <w:r>
              <w:t xml:space="preserve">), в том числе с учетом объема поставки продукции, который ему предполагается поручить в соответствии с Планом распределения объемов поставки продукции внутри (форма 10)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</w:pPr>
            <w:r>
              <w:t xml:space="preserve">Сведения и документы, аналогичные установленным в подразделах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 – </w:t>
            </w:r>
            <w:r>
              <w:fldChar w:fldCharType="begin"/>
            </w:r>
            <w:r>
              <w:instrText xml:space="preserve"> REF _Ref125553242 \w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, в отношении каждого члена Коллективного участника, подтверждающие его соотве</w:t>
            </w:r>
            <w:r>
              <w:t xml:space="preserve">тствие данным требованиям.</w:t>
            </w:r>
            <w:r/>
          </w:p>
        </w:tc>
      </w:tr>
    </w:tbl>
    <w:p>
      <w:pPr>
        <w:pStyle w:val="1141"/>
        <w:spacing w:after="120"/>
      </w:pPr>
      <w:r/>
      <w:bookmarkStart w:id="320" w:name="_Ref125361823"/>
      <w:r/>
      <w:bookmarkStart w:id="321" w:name="_Ref125362031"/>
      <w:r/>
      <w:bookmarkStart w:id="322" w:name="_Ref125369117"/>
      <w:r/>
      <w:bookmarkStart w:id="323" w:name="_Ref125370173"/>
      <w:r/>
      <w:bookmarkStart w:id="324" w:name="_Ref125370180"/>
      <w:r/>
      <w:bookmarkStart w:id="325" w:name="_Ref125370209"/>
      <w:r/>
      <w:bookmarkStart w:id="326" w:name="_Ref125709777"/>
      <w:r/>
      <w:bookmarkStart w:id="327" w:name="_Ref125709973"/>
      <w:r/>
      <w:bookmarkStart w:id="328" w:name="_Toc228976128"/>
      <w:r>
        <w:t xml:space="preserve">Дополнительные требования к Генеральным подрядчикам</w:t>
      </w:r>
      <w:bookmarkEnd w:id="320"/>
      <w:r/>
      <w:bookmarkEnd w:id="321"/>
      <w:r/>
      <w:bookmarkEnd w:id="322"/>
      <w:r/>
      <w:bookmarkEnd w:id="323"/>
      <w:r/>
      <w:bookmarkEnd w:id="324"/>
      <w:r/>
      <w:bookmarkEnd w:id="325"/>
      <w:r/>
      <w:bookmarkEnd w:id="326"/>
      <w:r/>
      <w:bookmarkEnd w:id="327"/>
      <w:r/>
      <w:bookmarkEnd w:id="328"/>
      <w:r/>
      <w:r/>
    </w:p>
    <w:tbl>
      <w:tblPr>
        <w:tblStyle w:val="116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6807"/>
        <w:gridCol w:w="7190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Генеральному подрядчику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документам, подтверждающим соответствие</w:t>
            </w:r>
            <w:r>
              <w:br/>
              <w:t xml:space="preserve">Генерального подрядчика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29" w:name="_Ref125370187"/>
            <w:r/>
            <w:bookmarkEnd w:id="329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</w:pPr>
            <w:r>
              <w:t xml:space="preserve">Заявка Генерального подрядчи</w:t>
            </w:r>
            <w:r>
              <w:t xml:space="preserve">ка дополнительно должна включать сведения о распределении объемов поставки продукции между Генеральным подрядчиком и субподрядчиками: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</w:pPr>
            <w:r>
              <w:t xml:space="preserve">План распределения объемов поставки продукции (форма 10)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</w:t>
              </w:r>
              <w:r>
                <w:rPr>
                  <w:rStyle w:val="1170"/>
                </w:rPr>
                <w:t xml:space="preserve">риложение № 4</w:t>
              </w:r>
            </w:hyperlink>
            <w:r>
              <w:t xml:space="preserve">) с указанием необходимой информации;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30" w:name="_Ref125370199"/>
            <w:r/>
            <w:bookmarkEnd w:id="330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</w:pPr>
            <w:r>
              <w:t xml:space="preserve">Генеральный подрядчик должен доказать, что каждый из привлекаемых им субподрядчиков:</w:t>
            </w:r>
            <w:r/>
          </w:p>
          <w:p>
            <w:pPr>
              <w:pStyle w:val="1146"/>
              <w:numPr>
                <w:ilvl w:val="0"/>
                <w:numId w:val="15"/>
              </w:numPr>
              <w:ind w:left="284" w:hanging="284"/>
            </w:pPr>
            <w:r>
              <w:t xml:space="preserve">осведомлен о привлечении его в качестве субподрядчика;</w:t>
            </w:r>
            <w:r/>
          </w:p>
          <w:p>
            <w:pPr>
              <w:pStyle w:val="1146"/>
              <w:numPr>
                <w:ilvl w:val="0"/>
                <w:numId w:val="15"/>
              </w:numPr>
              <w:ind w:left="284" w:hanging="284"/>
            </w:pPr>
            <w:r>
              <w:t xml:space="preserve">согласен с выделяемым ему перечнем, объемами, сроками и стоимос</w:t>
            </w:r>
            <w:r>
              <w:t xml:space="preserve">тью поставки продукции: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</w:pPr>
            <w:r>
              <w:t xml:space="preserve">Письмо от имени каждого привлекаемого субподрядчика (составляется в произвольной форме), подтверждающее его согласие на привлечение в качестве субподрядчика, с указанием объема и стоимости возлагаемой на </w:t>
            </w:r>
            <w:r>
              <w:t xml:space="preserve">него поставки продукции, а также сроков поставки продукции;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31" w:name="_Ref125370193"/>
            <w:r/>
            <w:bookmarkEnd w:id="331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каждого субподрядчика установленным требованиям (с учетом пункта </w:t>
            </w:r>
            <w:r>
              <w:fldChar w:fldCharType="begin"/>
            </w:r>
            <w:r>
              <w:instrText xml:space="preserve"> REF _Ref125368863 \w \h  \* MERGEFORMAT </w:instrText>
            </w:r>
            <w:r>
              <w:fldChar w:fldCharType="separate"/>
            </w:r>
            <w:r>
              <w:t xml:space="preserve">3.3.4</w:t>
            </w:r>
            <w:r>
              <w:fldChar w:fldCharType="end"/>
            </w:r>
            <w:r>
              <w:t xml:space="preserve">) в том числе с учетом объема поставки продукции, который ему предполагается поручить в соответствии с Планом распределения объемов (форма 10)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</w:pPr>
            <w:r>
              <w:t xml:space="preserve">Сведения и документы, аналогичные установленным в подразделах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 – </w:t>
            </w:r>
            <w:r>
              <w:fldChar w:fldCharType="begin"/>
            </w:r>
            <w:r>
              <w:instrText xml:space="preserve"> REF _Ref125553242 \w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, в отношении каждого субподрядчика, подтверждающие его соответствие данным требованиям;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32" w:name="_Ref125553847"/>
            <w:r/>
            <w:bookmarkEnd w:id="332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46"/>
            </w:pPr>
            <w:r>
              <w:t xml:space="preserve">Дополнительные требования не установлены.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46"/>
            </w:pPr>
            <w:r>
              <w:t xml:space="preserve">Дополнительные требования не установлены.</w:t>
            </w:r>
            <w:r/>
          </w:p>
        </w:tc>
      </w:tr>
    </w:tbl>
    <w:p>
      <w:pPr>
        <w:pStyle w:val="1141"/>
        <w:spacing w:after="120"/>
      </w:pPr>
      <w:r/>
      <w:bookmarkStart w:id="333" w:name="_Ref125550523"/>
      <w:r/>
      <w:bookmarkStart w:id="334" w:name="_Ref125550560"/>
      <w:r/>
      <w:bookmarkStart w:id="335" w:name="_Ref125550566"/>
      <w:r/>
      <w:bookmarkStart w:id="336" w:name="_Ref125553513"/>
      <w:r/>
      <w:bookmarkStart w:id="337" w:name="_Ref125553821"/>
      <w:r/>
      <w:bookmarkStart w:id="338" w:name="_Ref125710459"/>
      <w:r/>
      <w:bookmarkStart w:id="339" w:name="_Ref125710480"/>
      <w:r/>
      <w:bookmarkStart w:id="340" w:name="_Ref125710517"/>
      <w:r/>
      <w:bookmarkStart w:id="341" w:name="_Toc228976129"/>
      <w:r>
        <w:t xml:space="preserve">Дополнительные т</w:t>
      </w:r>
      <w:r>
        <w:t xml:space="preserve">ребования в отношении Генеральных подрядчиков с обязательным привлечением субподрядчиков (соисполнителей) из числа субъектов МСП</w:t>
      </w:r>
      <w:bookmarkEnd w:id="333"/>
      <w:r/>
      <w:bookmarkEnd w:id="334"/>
      <w:r/>
      <w:bookmarkEnd w:id="335"/>
      <w:r/>
      <w:bookmarkEnd w:id="336"/>
      <w:r/>
      <w:bookmarkEnd w:id="337"/>
      <w:r/>
      <w:bookmarkEnd w:id="338"/>
      <w:r/>
      <w:bookmarkEnd w:id="339"/>
      <w:r/>
      <w:bookmarkEnd w:id="340"/>
      <w:r/>
      <w:bookmarkEnd w:id="341"/>
      <w:r/>
      <w:r/>
    </w:p>
    <w:tbl>
      <w:tblPr>
        <w:tblStyle w:val="1167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Генеральному подрядчику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Требования к документам, подтверждающим соответствие</w:t>
            </w:r>
            <w:r>
              <w:br/>
              <w:t xml:space="preserve">Генерального подрядчика установ</w:t>
            </w:r>
            <w:r>
              <w:t xml:space="preserve">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12"/>
              </w:numPr>
              <w:ind w:left="284" w:firstLine="0"/>
              <w:jc w:val="center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46"/>
            </w:pPr>
            <w:r>
              <w:t xml:space="preserve">Дополнительные требования не установлены.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46"/>
            </w:pPr>
            <w:r>
              <w:t xml:space="preserve">Дополнительные требования не установлены.</w:t>
            </w:r>
            <w:r/>
          </w:p>
        </w:tc>
      </w:tr>
    </w:tbl>
    <w:p>
      <w:pPr>
        <w:pStyle w:val="1146"/>
      </w:pPr>
      <w:r/>
      <w:r/>
    </w:p>
    <w:p>
      <w:pPr>
        <w:pStyle w:val="1146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0"/>
      </w:pPr>
      <w:r/>
      <w:bookmarkStart w:id="342" w:name="Прил04_ФормыЗаявки"/>
      <w:r/>
      <w:bookmarkStart w:id="343" w:name="_Toc228976130"/>
      <w:r/>
      <w:bookmarkStart w:id="344" w:name="_Ref125362865"/>
      <w:r/>
      <w:bookmarkStart w:id="345" w:name="_Ref125362900"/>
      <w:r/>
      <w:bookmarkEnd w:id="342"/>
      <w:r>
        <w:t xml:space="preserve">Приложение № 4 – Образцы форм документов, включаемых в состав заявки</w:t>
      </w:r>
      <w:bookmarkEnd w:id="343"/>
      <w:r/>
      <w:r/>
    </w:p>
    <w:p>
      <w:pPr>
        <w:pStyle w:val="1141"/>
      </w:pPr>
      <w:r/>
      <w:bookmarkStart w:id="346" w:name="_Toc228976131"/>
      <w:r>
        <w:t xml:space="preserve">Пояснения к Образцам</w:t>
      </w:r>
      <w:r>
        <w:t xml:space="preserve"> форм документов, включаемых в состав заявки</w:t>
      </w:r>
      <w:bookmarkEnd w:id="346"/>
      <w:r/>
      <w:r/>
    </w:p>
    <w:p>
      <w:pPr>
        <w:pStyle w:val="1142"/>
      </w:pPr>
      <w:r>
        <w:t xml:space="preserve">Образцы форм документов, включаемых в состав заявки (с инструкциями по их оформлению), приведены в отдельном файле (предоставляются отдельным документом в составе Документации о закупке), являющимся Приложением </w:t>
      </w:r>
      <w:r>
        <w:t xml:space="preserve">№ 4 к Документации о закупке. Участник при подготовке заявки обязан придерживаться установленных форм документов.</w:t>
      </w:r>
      <w:r/>
    </w:p>
    <w:p>
      <w:pPr>
        <w:pStyle w:val="1140"/>
      </w:pPr>
      <w:r/>
      <w:bookmarkStart w:id="347" w:name="Прил05_ФормыПобедителя"/>
      <w:r/>
      <w:bookmarkStart w:id="348" w:name="_Toc228976132"/>
      <w:r/>
      <w:bookmarkEnd w:id="347"/>
      <w:r>
        <w:t xml:space="preserve">Приложение № 5 – Образцы форм документов, предоставляемых Победителем</w:t>
      </w:r>
      <w:bookmarkEnd w:id="348"/>
      <w:r/>
      <w:r/>
    </w:p>
    <w:p>
      <w:pPr>
        <w:pStyle w:val="1141"/>
      </w:pPr>
      <w:r/>
      <w:bookmarkStart w:id="349" w:name="_Toc228976133"/>
      <w:r>
        <w:t xml:space="preserve">Пояснения к Образцам форм документов, предоставляемых Победителем</w:t>
      </w:r>
      <w:bookmarkEnd w:id="349"/>
      <w:r/>
      <w:r/>
    </w:p>
    <w:p>
      <w:pPr>
        <w:pStyle w:val="1142"/>
      </w:pPr>
      <w:r>
        <w:t xml:space="preserve">Образц</w:t>
      </w:r>
      <w:r>
        <w:t xml:space="preserve">ы форм документов, предоставляемых Победителем (или Единственным участником, в случае признания закупки несостоявшейся и принятия решения о заключении договора с ее Единственным участником), а также дополнительные пояснения по их предоставлению и инструкци</w:t>
      </w:r>
      <w:r>
        <w:t xml:space="preserve">и по их оформлению, приведены в подразделах </w:t>
      </w:r>
      <w:r>
        <w:fldChar w:fldCharType="begin"/>
      </w:r>
      <w:r>
        <w:instrText xml:space="preserve"> REF _Ref130395470 \r \h </w:instrText>
      </w:r>
      <w:r>
        <w:fldChar w:fldCharType="separate"/>
      </w:r>
      <w:r>
        <w:t xml:space="preserve">10.2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_Ref130395475 \r \h </w:instrText>
      </w:r>
      <w:r>
        <w:fldChar w:fldCharType="separate"/>
      </w:r>
      <w:r>
        <w:t xml:space="preserve">10.3</w:t>
      </w:r>
      <w:r>
        <w:fldChar w:fldCharType="end"/>
      </w:r>
      <w:r>
        <w:t xml:space="preserve">.</w:t>
      </w:r>
      <w:r/>
    </w:p>
    <w:p>
      <w:pPr>
        <w:pStyle w:val="1141"/>
      </w:pPr>
      <w:r/>
      <w:bookmarkStart w:id="350" w:name="_Ref130395470"/>
      <w:r/>
      <w:bookmarkStart w:id="351" w:name="_Toc228976134"/>
      <w:r>
        <w:t xml:space="preserve">Форма справки «С</w:t>
      </w:r>
      <w:r>
        <w:t xml:space="preserve">ведения о цепочке собственников, включая бенефициаров (в том числе конечных)»</w:t>
      </w:r>
      <w:bookmarkEnd w:id="350"/>
      <w:r/>
      <w:bookmarkEnd w:id="351"/>
      <w:r/>
      <w:r/>
    </w:p>
    <w:p>
      <w:pPr>
        <w:pStyle w:val="1142"/>
      </w:pPr>
      <w:r>
        <w:t xml:space="preserve">Справка «Сведения о цепочке собственников, включая бенефициаров (в том числе конечных)» предоставляется Победителем закупки (поставщиком).</w:t>
      </w:r>
      <w:r/>
    </w:p>
    <w:p>
      <w:pPr>
        <w:pStyle w:val="1142"/>
      </w:pPr>
      <w:r>
        <w:t xml:space="preserve">Форма справки «Сведения о цепочке собст</w:t>
      </w:r>
      <w:r>
        <w:t xml:space="preserve">венников, включая бенефициаров (в том числе конечных)» </w:t>
      </w:r>
      <w:r>
        <w:rPr>
          <w:lang w:val="en-US"/>
        </w:rPr>
        <w:t xml:space="preserve">c</w:t>
      </w:r>
      <w:r>
        <w:t xml:space="preserve"> приложением 1 «Перечень подтверждающих документов» и приложением 2 «Согласие на обработку и передачу персональных и иных охраняемых законом данных» приведена в отдельном файле в 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</w:t>
      </w:r>
      <w:r>
        <w:rPr>
          <w:lang w:val="en-US"/>
        </w:rPr>
        <w:t xml:space="preserve">d</w:t>
      </w:r>
      <w:r>
        <w:t xml:space="preserve">:</w:t>
      </w:r>
      <w:r/>
    </w:p>
    <w:p>
      <w:pPr>
        <w:pStyle w:val="1146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638175"/>
                <wp:effectExtent l="0" t="0" r="0" b="0"/>
                <wp:docPr id="2" name="_x0000_i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">
                          <a:extLst>
                            <a:ext uri="{96DAC541-7B7A-43D3-8B79-37D633B846F1}">
                              <asvg:svgBlip xmlns:asvg="http://schemas.microsoft.com/office/drawing/2016/SVG/main" r:embed="rId17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9144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2.00pt;height:50.2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1141"/>
      </w:pPr>
      <w:r/>
      <w:bookmarkStart w:id="352" w:name="_Ref130395475"/>
      <w:r/>
      <w:bookmarkStart w:id="353" w:name="_Toc228976135"/>
      <w:r>
        <w:t xml:space="preserve">Форма «Заверение об обстоятельствах»</w:t>
      </w:r>
      <w:bookmarkEnd w:id="352"/>
      <w:r/>
      <w:bookmarkEnd w:id="353"/>
      <w:r/>
      <w:r/>
    </w:p>
    <w:p>
      <w:pPr>
        <w:pStyle w:val="1142"/>
      </w:pPr>
      <w:r>
        <w:t xml:space="preserve">Форма Заверения об обстоятельствах предоставляется Победителем закупки (поставщиком) только при заключении договоров стоимостью свыше 100 000</w:t>
      </w:r>
      <w:r>
        <w:rPr>
          <w:lang w:val="en-US"/>
        </w:rPr>
        <w:t xml:space="preserve"> </w:t>
      </w:r>
      <w:r>
        <w:t xml:space="preserve">000 (Ста миллионов) рублей либо договоров (без ограничения по сумме), положения которых не содержат аналогичных заверений об обстоятельствах, и предоставляется Заказчику в срок не позднее 3</w:t>
      </w:r>
      <w:r>
        <w:rPr>
          <w:lang w:val="en-US"/>
        </w:rPr>
        <w:t xml:space="preserve"> </w:t>
      </w:r>
      <w:r>
        <w:t xml:space="preserve">(трех) рабочих дней с даты официального размещения Организатором и</w:t>
      </w:r>
      <w:r>
        <w:t xml:space="preserve">тогового протокола по результатам закупки.</w:t>
      </w:r>
      <w:r/>
    </w:p>
    <w:p>
      <w:pPr>
        <w:pStyle w:val="1142"/>
      </w:pPr>
      <w:r>
        <w:t xml:space="preserve">Победитель</w:t>
      </w:r>
      <w:r>
        <w:t xml:space="preserve"> закупки (поставщик) должен выбрать соответствующий ему вариант Заверения об обстоятельствах, исходя из необходимости получения согласий органов управления / одобрения сделки органами управления Поставщика в соответствии с законодательством, уставом, внутр</w:t>
      </w:r>
      <w:r>
        <w:t xml:space="preserve">енними документами и отдельными решениями органов управления Поставщика, для последующего заключения Договора по предмету настоящей закупки.</w:t>
      </w:r>
      <w:r/>
    </w:p>
    <w:p>
      <w:pPr>
        <w:pStyle w:val="1142"/>
      </w:pPr>
      <w:r>
        <w:t xml:space="preserve">Заверение об обстоятельствах следует оформить на официальном бланке Победителя закупки (поставщика) (с указанием да</w:t>
      </w:r>
      <w:r>
        <w:t xml:space="preserve">ты и номера в соответствии с принятыми у него правилами документооборота) и заверить подписью единоличного исполнительного органа Победителя закупки (поставщика) (или иным уполномоченным лицом на основании доверенности), а также скрепить печатью (при налич</w:t>
      </w:r>
      <w:r>
        <w:t xml:space="preserve">ии).</w:t>
      </w:r>
      <w:r/>
    </w:p>
    <w:p>
      <w:pPr>
        <w:pStyle w:val="1142"/>
        <w:keepNext/>
      </w:pPr>
      <w:r>
        <w:t xml:space="preserve">Форма «Заверение об обстоятельствах» приведена в отдельном файле в 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Word</w:t>
      </w:r>
      <w:r>
        <w:t xml:space="preserve">:</w:t>
      </w:r>
      <w:r/>
    </w:p>
    <w:p>
      <w:pPr>
        <w:pStyle w:val="1146"/>
        <w:jc w:val="center"/>
        <w:spacing w:after="120"/>
      </w:pPr>
      <w:r/>
      <w:bookmarkStart w:id="354" w:name="_MON_1741074184"/>
      <w:r/>
      <w:bookmarkEnd w:id="354"/>
      <w:r/>
      <w:bookmarkStart w:id="355" w:name="_MON_1741074184"/>
      <w:r/>
      <w:bookmarkEnd w:id="355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09650" cy="638175"/>
                <wp:effectExtent l="0" t="0" r="0" b="0"/>
                <wp:docPr id="3" name="_x0000_i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">
                          <a:extLst>
                            <a:ext uri="{96DAC541-7B7A-43D3-8B79-37D633B846F1}">
                              <asvg:svgBlip xmlns:asvg="http://schemas.microsoft.com/office/drawing/2016/SVG/main" r:embed="rId1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0096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9.50pt;height:50.2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pStyle w:val="1140"/>
      </w:pPr>
      <w:r/>
      <w:bookmarkStart w:id="356" w:name="Прил06_СоставЗаявки"/>
      <w:r/>
      <w:bookmarkStart w:id="357" w:name="_Toc228976136"/>
      <w:r/>
      <w:bookmarkEnd w:id="356"/>
      <w:r>
        <w:t xml:space="preserve">Приложение № 6 – Состав заявки</w:t>
      </w:r>
      <w:bookmarkEnd w:id="344"/>
      <w:r/>
      <w:bookmarkEnd w:id="345"/>
      <w:r/>
      <w:bookmarkEnd w:id="357"/>
      <w:r/>
      <w:r/>
    </w:p>
    <w:p>
      <w:pPr>
        <w:pStyle w:val="1141"/>
      </w:pPr>
      <w:r/>
      <w:bookmarkStart w:id="358" w:name="_Toc228976137"/>
      <w:r>
        <w:t xml:space="preserve">Состав заявки</w:t>
      </w:r>
      <w:bookmarkEnd w:id="358"/>
      <w:r/>
      <w:r/>
    </w:p>
    <w:p>
      <w:pPr>
        <w:pStyle w:val="1142"/>
        <w:spacing w:after="120"/>
      </w:pPr>
      <w:r>
        <w:t xml:space="preserve">Заявка на участие в закупке должна содержать следующий комплект документов (по установленным формам и в соответст</w:t>
      </w:r>
      <w:r>
        <w:t xml:space="preserve">вии с инструкциями, приведенными в </w:t>
      </w:r>
      <w:hyperlink w:tooltip="#Прил04_ФормыЗаявки" w:anchor="Прил04_ФормыЗаявки" w:history="1">
        <w:r>
          <w:rPr>
            <w:rStyle w:val="1170"/>
          </w:rPr>
          <w:t xml:space="preserve">Приложении № 4</w:t>
        </w:r>
      </w:hyperlink>
      <w:r>
        <w:t xml:space="preserve">):</w:t>
      </w:r>
      <w:r/>
    </w:p>
    <w:tbl>
      <w:tblPr>
        <w:tblStyle w:val="1167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8074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Наименование документа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</w:t>
            </w:r>
            <w:r>
              <w:t xml:space="preserve">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Письмо о подаче оферты (форма 2);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Копия банковской гарантии – предоставляется при необходимости и в случае отсутствия внесенных Участником денежных средств на индивидуальный счет, открытый Участнику Оператором ЭП в соответствии с Регламентом ЭП;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Коммерческое предложение (включая Структуру НМЦ) (форма 3); также дополнительно предоставляется подтверждающая документация, составленная в соответствии с </w:t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Техническими требованиями (Приложе</w:t>
              </w:r>
              <w:r>
                <w:rPr>
                  <w:rStyle w:val="1170"/>
                </w:rPr>
                <w:t xml:space="preserve">ние № 1)</w:t>
              </w:r>
            </w:hyperlink>
            <w:r>
              <w:t xml:space="preserve"> – только если в Технических требованиях установлены требования к документации по ценообразованию (подраздел «Требования к документации по ценообразованию на этапе закупки») либо аналогичные по смыслу;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Техническое предложение (форма 4);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Анкета </w:t>
            </w:r>
            <w:r>
              <w:t xml:space="preserve">Участника (форма 5);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59" w:name="_Ref130389408"/>
            <w:r/>
            <w:bookmarkEnd w:id="359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Справка об опыте Участника (форма 6), с необходимыми приложениями к ней, – предоставляется, если установлено соответствующее квалификационное требование к опыту (подраздел </w:t>
            </w:r>
            <w:r>
              <w:fldChar w:fldCharType="begin"/>
            </w:r>
            <w:r>
              <w:instrText xml:space="preserve"> REF _Ref125709154 \r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Приложения № 3</w:t>
              </w:r>
            </w:hyperlink>
            <w:r>
              <w:t xml:space="preserve">) и (или) если в </w:t>
            </w:r>
            <w:hyperlink w:tooltip="#Прил08_ПорядокОценки" w:anchor="Прил08_ПорядокОценки" w:history="1">
              <w:r>
                <w:rPr>
                  <w:rStyle w:val="1170"/>
                </w:rPr>
                <w:t xml:space="preserve">Порядке и критериях оценки</w:t>
              </w:r>
              <w:r>
                <w:rPr>
                  <w:rStyle w:val="1170"/>
                </w:rPr>
                <w:t xml:space="preserve"> и сопоставления заявок (Приложение № 8)</w:t>
              </w:r>
            </w:hyperlink>
            <w:r>
              <w:t xml:space="preserve"> установлен соответствующий критерий оценки в части опыта;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60" w:name="_Ref130389413"/>
            <w:r/>
            <w:bookmarkEnd w:id="360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Справка о материально-технических ресурсах (форма 7), с необходимыми приложениями к ней – предоставляется, если установлено соответствующее квалификационно</w:t>
            </w:r>
            <w:r>
              <w:t xml:space="preserve">е требование к наличию (привлечению) материально-технических ресурсов (подраздел </w:t>
            </w:r>
            <w:r>
              <w:fldChar w:fldCharType="begin"/>
            </w:r>
            <w:r>
              <w:instrText xml:space="preserve"> REF _Ref125709154 \r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Приложения № 3</w:t>
              </w:r>
            </w:hyperlink>
            <w:r>
              <w:t xml:space="preserve">) и (или) если в </w:t>
            </w:r>
            <w:hyperlink w:tooltip="#Прил08_ПорядокОценки" w:anchor="Прил08_ПорядокОценки" w:history="1">
              <w:r>
                <w:rPr>
                  <w:rStyle w:val="1170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установлен соответствующий критерий оценки в части наличия (привлечения) </w:t>
            </w:r>
            <w:r>
              <w:t xml:space="preserve">материально-технических ресурсов;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61" w:name="_Ref130389419"/>
            <w:r/>
            <w:bookmarkEnd w:id="361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Справка о кадровых ресурсах (форма 8), с необходимыми приложениями к ней – предоставляется, если установлено соответствующее квалификационное требование к наличию (привлечения) кадровых ресурсов (подраздел </w:t>
            </w:r>
            <w:r>
              <w:fldChar w:fldCharType="begin"/>
            </w:r>
            <w:r>
              <w:instrText xml:space="preserve"> REF _Ref125709154 \r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Приложения № 3</w:t>
              </w:r>
            </w:hyperlink>
            <w:r>
              <w:t xml:space="preserve">) и (или) если в </w:t>
            </w:r>
            <w:hyperlink w:tooltip="#Прил08_ПорядокОценки" w:anchor="Прил08_ПорядокОценки" w:history="1">
              <w:r>
                <w:rPr>
                  <w:rStyle w:val="1170"/>
                </w:rPr>
                <w:t xml:space="preserve">Порядке и критериях оценки и сопоставления заявок </w:t>
              </w:r>
              <w:r>
                <w:rPr>
                  <w:rStyle w:val="1170"/>
                </w:rPr>
                <w:t xml:space="preserve">(Приложение № 8)</w:t>
              </w:r>
            </w:hyperlink>
            <w:r>
              <w:t xml:space="preserve"> установлен соответствующий критерий оценки в части наличия (привлечения) кадровых ресурсов;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Справка об </w:t>
            </w:r>
            <w:r>
              <w:t xml:space="preserve">аффилированности</w:t>
            </w:r>
            <w:r>
              <w:t xml:space="preserve"> Уч</w:t>
            </w:r>
            <w:r>
              <w:t xml:space="preserve">астника с изготовителем (производителем) предлагаемого товара (форма 9) – предоставляется, если Участник имеет признаки </w:t>
            </w:r>
            <w:r>
              <w:t xml:space="preserve">аффилированности</w:t>
            </w:r>
            <w:r>
              <w:t xml:space="preserve"> согласно критериям, установленным в инструкции к указанной справке (дополнительно предоставляются документы, подтвержда</w:t>
            </w:r>
            <w:r>
              <w:t xml:space="preserve">ющие </w:t>
            </w:r>
            <w:r>
              <w:t xml:space="preserve">аффилированность</w:t>
            </w:r>
            <w:r>
              <w:t xml:space="preserve"> по тому или иному критерию) и если в </w:t>
            </w:r>
            <w:hyperlink w:tooltip="#Прил08_ПорядокОценки" w:anchor="Прил08_ПорядокОценки" w:history="1">
              <w:r>
                <w:rPr>
                  <w:rStyle w:val="1170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установлен соответствующий критерий оценки в части наличия </w:t>
            </w:r>
            <w:r>
              <w:t xml:space="preserve">аффи</w:t>
            </w:r>
            <w:r>
              <w:t xml:space="preserve">лированности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jc w:val="both"/>
              <w:spacing w:before="120" w:after="0"/>
            </w:pPr>
            <w:r>
              <w:t xml:space="preserve">Документы, подтверждающие соответствие Участника обязательным требованиям Документации о закупке (подраздел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Приложения № 3</w:t>
              </w:r>
            </w:hyperlink>
            <w:r>
              <w:t xml:space="preserve">), а также необходимые документы для прохождения (при необходимости) процедуры аккредитации – требования к подтверждающим документам приведены в указанном подразделе;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Документы, </w:t>
            </w:r>
            <w:r>
              <w:t xml:space="preserve">подтверждающие соответствие Участника специальным требованиям – предоставляются, если соответствующие требования установлены в Документации о закупке (подраздел </w:t>
            </w:r>
            <w:r>
              <w:fldChar w:fldCharType="begin"/>
            </w:r>
            <w:r>
              <w:instrText xml:space="preserve"> REF _Ref125709153 \r \h  \* MERGEFORMAT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Приложения № 3</w:t>
              </w:r>
            </w:hyperlink>
            <w:r>
              <w:t xml:space="preserve">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Документы, подтверждающие соответствие Коллективного участника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_Ref125709228 \r \h  \* M</w:instrText>
            </w:r>
            <w:r>
              <w:instrText xml:space="preserve">ERGEFORMAT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Приложения № 3</w:t>
              </w:r>
            </w:hyperlink>
            <w:r>
              <w:t xml:space="preserve">) – предоставляются, если Участник подает заявку от лица Коллективного участни</w:t>
            </w:r>
            <w:r>
              <w:t xml:space="preserve">ка (подраздел </w:t>
            </w:r>
            <w:r>
              <w:fldChar w:fldCharType="begin"/>
            </w:r>
            <w:r>
              <w:instrText xml:space="preserve"> REF _Ref130305355 \r \h  \* MERGEFORMAT </w:instrText>
            </w:r>
            <w:r>
              <w:fldChar w:fldCharType="separate"/>
            </w:r>
            <w:r>
              <w:t xml:space="preserve">3.2</w:t>
            </w:r>
            <w:r>
              <w:fldChar w:fldCharType="end"/>
            </w:r>
            <w:r>
              <w:t xml:space="preserve">), а именно:</w:t>
            </w:r>
            <w:r/>
          </w:p>
          <w:p>
            <w:pPr>
              <w:pStyle w:val="1146"/>
              <w:numPr>
                <w:ilvl w:val="0"/>
                <w:numId w:val="10"/>
              </w:numPr>
              <w:ind w:left="284" w:hanging="284"/>
            </w:pPr>
            <w:r>
              <w:t xml:space="preserve">План распределения объемов поставки продукции (форма 10);</w:t>
            </w:r>
            <w:r/>
          </w:p>
          <w:p>
            <w:pPr>
              <w:pStyle w:val="1146"/>
              <w:numPr>
                <w:ilvl w:val="0"/>
                <w:numId w:val="10"/>
              </w:numPr>
              <w:ind w:left="284" w:hanging="284"/>
            </w:pPr>
            <w:r>
              <w:t xml:space="preserve">Копия Соглашения между членами Коллективного участника, под</w:t>
            </w:r>
            <w:r>
              <w:t xml:space="preserve">готовленного в соответствии с требованиями пункта </w:t>
            </w:r>
            <w:r>
              <w:fldChar w:fldCharType="begin"/>
            </w:r>
            <w:r>
              <w:instrText xml:space="preserve"> REF _Ref125366972 \r \h  \* MERGEFORMAT </w:instrText>
            </w:r>
            <w:r>
              <w:fldChar w:fldCharType="separate"/>
            </w:r>
            <w:r>
              <w:t xml:space="preserve">3.2.3</w:t>
            </w:r>
            <w:r>
              <w:fldChar w:fldCharType="end"/>
            </w:r>
            <w:r>
              <w:t xml:space="preserve"> Документации о закупке;</w:t>
            </w:r>
            <w:r/>
          </w:p>
          <w:p>
            <w:pPr>
              <w:pStyle w:val="1146"/>
              <w:numPr>
                <w:ilvl w:val="0"/>
                <w:numId w:val="10"/>
              </w:numPr>
              <w:ind w:left="284" w:hanging="284"/>
            </w:pPr>
            <w:r>
              <w:t xml:space="preserve">прочие документы, определенные в подразделе </w:t>
            </w:r>
            <w:r>
              <w:fldChar w:fldCharType="begin"/>
            </w:r>
            <w:r>
              <w:instrText xml:space="preserve"> REF _Ref125709228 \r \h  \* MERGEFORMAT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Приложения № 3</w:t>
              </w:r>
            </w:hyperlink>
            <w:r>
              <w:rPr>
                <w:rStyle w:val="1170"/>
              </w:rP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Документы, подтверждающие соответствие Генер</w:t>
            </w:r>
            <w:r>
              <w:t xml:space="preserve">ального подрядчика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>
              <w:t xml:space="preserve">8.6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Приложения № 3</w:t>
              </w:r>
            </w:hyperlink>
            <w:r>
              <w:t xml:space="preserve">) – предоставляются, если условиями проводимой закупки (подраздел </w:t>
            </w:r>
            <w:r>
              <w:fldChar w:fldCharType="begin"/>
            </w:r>
            <w:r>
              <w:instrText xml:space="preserve"> REF _Ref125359973 \r \h  \* MERGEFORMAT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) рассмотрение, оценка и сопоставление заявок Участников осуществляется с учетом привлекаемых субподрядчиков, и Участник подает заявку от лица Генерального подрядчика (подраздел </w:t>
            </w:r>
            <w:r>
              <w:fldChar w:fldCharType="begin"/>
            </w:r>
            <w:r>
              <w:instrText xml:space="preserve"> REF _Ref12536</w:instrText>
            </w:r>
            <w:r>
              <w:instrText xml:space="preserve">1702 \r \h  \* MERGEFORMAT </w:instrText>
            </w:r>
            <w:r>
              <w:fldChar w:fldCharType="separate"/>
            </w:r>
            <w:r>
              <w:t xml:space="preserve">3.3</w:t>
            </w:r>
            <w:r>
              <w:fldChar w:fldCharType="end"/>
            </w:r>
            <w:r>
              <w:t xml:space="preserve">), а именно:</w:t>
            </w:r>
            <w:r/>
          </w:p>
          <w:p>
            <w:pPr>
              <w:pStyle w:val="1146"/>
              <w:numPr>
                <w:ilvl w:val="0"/>
                <w:numId w:val="10"/>
              </w:numPr>
              <w:ind w:left="284" w:hanging="284"/>
            </w:pPr>
            <w:r>
              <w:t xml:space="preserve">План распределения объемов поставки продукции (форма 10);</w:t>
            </w:r>
            <w:r/>
          </w:p>
          <w:p>
            <w:pPr>
              <w:pStyle w:val="1146"/>
              <w:numPr>
                <w:ilvl w:val="0"/>
                <w:numId w:val="10"/>
              </w:numPr>
              <w:ind w:left="284" w:hanging="284"/>
            </w:pPr>
            <w:r>
              <w:t xml:space="preserve">прочие документы, определенные в подразделе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>
              <w:t xml:space="preserve">8.</w:t>
            </w:r>
            <w:r>
              <w:t xml:space="preserve">6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Приложения № 3</w:t>
              </w:r>
            </w:hyperlink>
            <w:r>
              <w:rPr>
                <w:rStyle w:val="1170"/>
              </w:rP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Документы, подтверждающие соответствие Генерального подрядчика с обязательным привлечени</w:t>
            </w:r>
            <w:r>
              <w:t xml:space="preserve">ем субподрядчиков (соисполнителей) из числа субъектов МСП требованиям Документации о закупке (подраздел </w:t>
            </w:r>
            <w:r>
              <w:fldChar w:fldCharType="begin"/>
            </w:r>
            <w:r>
              <w:instrText xml:space="preserve"> REF _Ref125710459 \r \h  \* MERGEFORMAT </w:instrText>
            </w:r>
            <w:r>
              <w:fldChar w:fldCharType="separate"/>
            </w:r>
            <w:r>
              <w:t xml:space="preserve">8.7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Приложения № 3</w:t>
              </w:r>
            </w:hyperlink>
            <w:r>
              <w:t xml:space="preserve">) – предоставляются, если условиями проводимой закупки (подраздел </w:t>
            </w:r>
            <w:r>
              <w:fldChar w:fldCharType="begin"/>
            </w:r>
            <w:r>
              <w:instrText xml:space="preserve"> REF _Ref125359973 \r \h  \* MERGEFORMAT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) предусмотрено участи</w:t>
            </w:r>
            <w:r>
              <w:t xml:space="preserve">е в закупке Участников, которые должны привлечь к исполнению Договора субподрядчиков (соисполнителей) из числа субъектов МСП </w:t>
            </w:r>
            <w:r>
              <w:t xml:space="preserve">(подраздел </w:t>
            </w:r>
            <w:r>
              <w:fldChar w:fldCharType="begin"/>
            </w:r>
            <w:r>
              <w:instrText xml:space="preserve"> REF _Ref127524203 \r \h  \* MERGEFORMAT </w:instrText>
            </w:r>
            <w:r>
              <w:fldChar w:fldCharType="separate"/>
            </w:r>
            <w:r>
              <w:t xml:space="preserve">3.4</w:t>
            </w:r>
            <w:r>
              <w:fldChar w:fldCharType="end"/>
            </w:r>
            <w:r>
              <w:t xml:space="preserve">), а име</w:t>
            </w:r>
            <w:r>
              <w:t xml:space="preserve">нно План распределения объемов поставки продукции (форма 10);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46"/>
            </w:pPr>
            <w:r>
              <w:t xml:space="preserve">Документы (или их копии), подтверждающие соответствие предлагаемой к поставке продукции требованиям, установленным в </w:t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Техничес</w:t>
              </w:r>
              <w:r>
                <w:rPr>
                  <w:rStyle w:val="1170"/>
                </w:rPr>
                <w:t xml:space="preserve">ких требованиях (Приложение № 1)</w:t>
              </w:r>
            </w:hyperlink>
            <w:r>
              <w:t xml:space="preserve"> – предоставляются, если в </w:t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Технических требованиях (Приложение № 1)</w:t>
              </w:r>
            </w:hyperlink>
            <w:r>
              <w:t xml:space="preserve"> было установлено соответствующее требование;</w:t>
            </w:r>
            <w:r/>
          </w:p>
        </w:tc>
      </w:tr>
    </w:tbl>
    <w:p>
      <w:pPr>
        <w:pStyle w:val="1142"/>
        <w:rPr>
          <w:rStyle w:val="1151"/>
          <w:i w:val="0"/>
          <w:iCs w:val="0"/>
          <w:shd w:val="clear" w:color="auto" w:fill="auto"/>
        </w:rPr>
      </w:pPr>
      <w:r>
        <w:rPr>
          <w:rStyle w:val="1151"/>
          <w:i w:val="0"/>
          <w:iCs w:val="0"/>
          <w:shd w:val="clear" w:color="auto" w:fill="auto"/>
        </w:rPr>
        <w:t xml:space="preserve">Если по каким-либо причинам Участник не мож</w:t>
      </w:r>
      <w:r>
        <w:rPr>
          <w:rStyle w:val="1151"/>
          <w:i w:val="0"/>
          <w:iCs w:val="0"/>
          <w:shd w:val="clear" w:color="auto" w:fill="auto"/>
        </w:rPr>
        <w:t xml:space="preserve">ет предоставить какой-либо из требуемых документов, он может в составе заявки приложить составленную в произвольной форме справку, объясняющую причину отсутствия требуемого документа (однако предоставление данной справки носит исключительно информационный </w:t>
      </w:r>
      <w:r>
        <w:rPr>
          <w:rStyle w:val="1151"/>
          <w:i w:val="0"/>
          <w:iCs w:val="0"/>
          <w:shd w:val="clear" w:color="auto" w:fill="auto"/>
        </w:rPr>
        <w:t xml:space="preserve">характер и не может являться основанием для снятия с Участника обязанности по предоставлению требуемого документа).</w:t>
      </w:r>
      <w:r>
        <w:rPr>
          <w:rStyle w:val="1151"/>
          <w:i w:val="0"/>
          <w:iCs w:val="0"/>
          <w:shd w:val="clear" w:color="auto" w:fill="auto"/>
        </w:rPr>
      </w:r>
      <w:r>
        <w:rPr>
          <w:rStyle w:val="1151"/>
          <w:i w:val="0"/>
          <w:iCs w:val="0"/>
          <w:shd w:val="clear" w:color="auto" w:fill="auto"/>
        </w:rPr>
      </w:r>
    </w:p>
    <w:p>
      <w:pPr>
        <w:pStyle w:val="1146"/>
        <w:rPr>
          <w:rStyle w:val="1151"/>
          <w:i w:val="0"/>
          <w:iCs w:val="0"/>
          <w:shd w:val="clear" w:color="auto" w:fill="auto"/>
        </w:rPr>
        <w:sectPr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>
        <w:rPr>
          <w:i w:val="0"/>
          <w:iCs w:val="0"/>
          <w:shd w:val="clear" w:color="auto" w:fill="auto"/>
        </w:rPr>
      </w:r>
      <w:r>
        <w:rPr>
          <w:rStyle w:val="1151"/>
          <w:i w:val="0"/>
          <w:iCs w:val="0"/>
          <w:shd w:val="clear" w:color="auto" w:fill="auto"/>
        </w:rPr>
      </w:r>
      <w:r>
        <w:rPr>
          <w:rStyle w:val="1151"/>
          <w:i w:val="0"/>
          <w:iCs w:val="0"/>
          <w:shd w:val="clear" w:color="auto" w:fill="auto"/>
        </w:rPr>
      </w:r>
    </w:p>
    <w:p>
      <w:pPr>
        <w:pStyle w:val="1140"/>
      </w:pPr>
      <w:r/>
      <w:bookmarkStart w:id="362" w:name="Прил07_ОтборочныеКритерии"/>
      <w:r/>
      <w:bookmarkStart w:id="363" w:name="_Ref125365264"/>
      <w:r/>
      <w:bookmarkStart w:id="364" w:name="_Toc228976138"/>
      <w:r/>
      <w:bookmarkEnd w:id="362"/>
      <w:r>
        <w:t xml:space="preserve">Приложение № 7 – Отборочные критерии рассмотрения заявок</w:t>
      </w:r>
      <w:bookmarkEnd w:id="363"/>
      <w:r/>
      <w:bookmarkEnd w:id="364"/>
      <w:r/>
      <w:r/>
    </w:p>
    <w:p>
      <w:pPr>
        <w:pStyle w:val="1141"/>
        <w:spacing w:after="120"/>
        <w:rPr>
          <w:rStyle w:val="1151"/>
          <w:i w:val="0"/>
          <w:iCs w:val="0"/>
          <w:shd w:val="clear" w:color="auto" w:fill="auto"/>
        </w:rPr>
      </w:pPr>
      <w:r/>
      <w:bookmarkStart w:id="365" w:name="_Toc228976139"/>
      <w:r>
        <w:rPr>
          <w:rStyle w:val="1151"/>
          <w:i w:val="0"/>
          <w:iCs w:val="0"/>
          <w:shd w:val="clear" w:color="auto" w:fill="auto"/>
        </w:rPr>
        <w:t xml:space="preserve">Отборочные критерии рассмотрения заявок</w:t>
      </w:r>
      <w:bookmarkEnd w:id="365"/>
      <w:r>
        <w:rPr>
          <w:rStyle w:val="1151"/>
          <w:i w:val="0"/>
          <w:iCs w:val="0"/>
          <w:shd w:val="clear" w:color="auto" w:fill="auto"/>
        </w:rPr>
      </w:r>
      <w:r>
        <w:rPr>
          <w:rStyle w:val="1151"/>
          <w:i w:val="0"/>
          <w:iCs w:val="0"/>
          <w:shd w:val="clear" w:color="auto" w:fill="auto"/>
        </w:rPr>
      </w:r>
    </w:p>
    <w:tbl>
      <w:tblPr>
        <w:tblStyle w:val="1167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Наименование</w:t>
            </w:r>
            <w:r>
              <w:br/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Номер пункта</w:t>
            </w:r>
            <w:r>
              <w:br/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Направления</w:t>
            </w:r>
            <w:r>
              <w:br/>
              <w:t xml:space="preserve">оценки заявок*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6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 заявки и правильность ее оформления,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Наличие в составе заявки обязательных к предоставлению (для </w:t>
            </w:r>
            <w:r>
              <w:t xml:space="preserve">целей рассмотрения заявок в рамках отборочной стадии) документов в соответствии с требованиями </w:t>
            </w:r>
            <w:hyperlink w:tooltip="#Прил06_СоставЗаявки" w:anchor="Прил06_СоставЗаявки" w:history="1">
              <w:r>
                <w:rPr>
                  <w:rStyle w:val="1170"/>
                </w:rPr>
                <w:t xml:space="preserve">Приложения № 6 «Состав заявки»</w:t>
              </w:r>
            </w:hyperlink>
            <w:r>
              <w:t xml:space="preserve">, а также правильность их оформления (в </w:t>
            </w:r>
            <w:r>
              <w:t xml:space="preserve">т.ч</w:t>
            </w:r>
            <w:r>
              <w:t xml:space="preserve">. в части наличия должн</w:t>
            </w:r>
            <w:r>
              <w:t xml:space="preserve">ых печатей, подписей, формы заверения, языка и валюты заявки)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  <w:rPr>
                <w:rStyle w:val="1170"/>
              </w:rPr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6_СоставЗаявки" w:anchor="Прил06_СоставЗаявки" w:history="1">
              <w:r>
                <w:rPr>
                  <w:rStyle w:val="1170"/>
                </w:rPr>
                <w:t xml:space="preserve">Приложение № 6</w:t>
              </w:r>
            </w:hyperlink>
            <w:r>
              <w:rPr>
                <w:rStyle w:val="1170"/>
              </w:rPr>
            </w:r>
            <w:r>
              <w:rPr>
                <w:rStyle w:val="1170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Орг</w:t>
            </w:r>
            <w:r>
              <w:t xml:space="preserve">, Тех,</w:t>
            </w:r>
            <w:r>
              <w:br/>
              <w:t xml:space="preserve">Цена, 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Отсутствие в материалах (документах) заявки недостоверных сведений или намеренно искаженной информации и (или) документов, внутренних противоре</w:t>
            </w:r>
            <w:r>
              <w:t xml:space="preserve">чий между различными частями и (или) документами заявки, в том числе по тексту внутри одного документа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_Ref135749133 \r \h </w:instrText>
            </w:r>
            <w:r>
              <w:fldChar w:fldCharType="separate"/>
            </w:r>
            <w:r>
              <w:t xml:space="preserve">4.9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Орг</w:t>
            </w:r>
            <w:r>
              <w:t xml:space="preserve">, Тех,</w:t>
            </w:r>
            <w:r>
              <w:br/>
              <w:t xml:space="preserve">Цена, 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Наличие обеспечения обязательств Участника, связанного с подачей заявки, в виде банковской гарантии и ее соответствие установленным требованиям Документации о закупке – если подразде</w:t>
            </w:r>
            <w:r>
              <w:t xml:space="preserve">лом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</w:t>
            </w:r>
            <w:r>
              <w:t xml:space="preserve">дивидуальный счет, открытый Участнику Оператором ЭП в соответствии с Регламентом ЭП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_Ref130455226 \r \h </w:instrText>
            </w:r>
            <w:r>
              <w:fldChar w:fldCharType="separate"/>
            </w:r>
            <w:r>
              <w:t xml:space="preserve">4.17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Орг</w:t>
            </w:r>
            <w:r>
              <w:t xml:space="preserve"> – в части наличия сведений в реестре,</w:t>
            </w:r>
            <w:r/>
          </w:p>
          <w:p>
            <w:pPr>
              <w:pStyle w:val="1146"/>
              <w:jc w:val="center"/>
            </w:pPr>
            <w:r>
              <w:t xml:space="preserve">Фин</w:t>
            </w:r>
            <w:r>
              <w:t xml:space="preserve"> – в части соответст</w:t>
            </w:r>
            <w:r>
              <w:t xml:space="preserve">вия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6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Письма о подаче оферты: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  <w:keepNext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  <w:keepNext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(в том числе содержание) Письма о подаче оферты установленной форме и иным требованиям Документации о закупке, в </w:t>
            </w:r>
            <w:r>
              <w:t xml:space="preserve">т.ч</w:t>
            </w:r>
            <w:r>
              <w:t xml:space="preserve">. в части наличия должных печатей (при наличии)</w:t>
            </w:r>
            <w:r>
              <w:t xml:space="preserve">, подписей, формы заверения, языка, валюты и срока действия заявки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6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Участника установленным требованиям Документации о закупке, в 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_Ref125552433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146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осуществления экспертизы заявки Участника в том числе проверяется наличие у него статуса «аккредитован» / «аккредитация не т</w:t>
            </w:r>
            <w:r>
              <w:rPr>
                <w:i/>
                <w:iCs/>
              </w:rPr>
              <w:t xml:space="preserve">ребуется», или проводится процедура его аккредитации (при</w:t>
            </w:r>
            <w:r>
              <w:rPr>
                <w:i/>
                <w:iCs/>
                <w:lang w:val="en-US"/>
              </w:rPr>
              <w:t xml:space="preserve"> </w:t>
            </w:r>
            <w:r>
              <w:rPr>
                <w:i/>
                <w:iCs/>
              </w:rPr>
              <w:t xml:space="preserve">необходимости). В рамках заключения Договора Победитель в целях подтверждения своего соответствия предоставляет документы в порядке, предусмотренном подразделом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_Ref138232981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Орг</w:t>
            </w:r>
            <w:r>
              <w:t xml:space="preserve">, 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_Ref139028406 \r \h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_Ref186120456 \r \h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146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_Ref186120147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Подразделы </w:t>
            </w:r>
            <w:r>
              <w:fldChar w:fldCharType="begin"/>
            </w:r>
            <w:r>
              <w:instrText xml:space="preserve"> REF _Ref186120147 \r \h </w:instrText>
            </w:r>
            <w:r>
              <w:fldChar w:fldCharType="separate"/>
            </w:r>
            <w:r>
              <w:t xml:space="preserve">4</w:t>
            </w:r>
            <w:r>
              <w:t xml:space="preserve">.13</w:t>
            </w:r>
            <w:r>
              <w:fldChar w:fldCharType="end"/>
            </w:r>
            <w:r>
              <w:t xml:space="preserve">,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_Ref186120461 \r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146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огранич</w:t>
            </w:r>
            <w:r>
              <w:rPr>
                <w:i/>
                <w:iCs/>
              </w:rPr>
              <w:t xml:space="preserve">ения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_Ref186120147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_Ref186120147 \r \h </w:instrText>
            </w:r>
            <w:r>
              <w:fldChar w:fldCharType="separate"/>
            </w:r>
            <w:r>
              <w:t xml:space="preserve">4.13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Участника специальным требованиям к Участникам</w:t>
            </w:r>
            <w:r/>
          </w:p>
          <w:p>
            <w:pPr>
              <w:pStyle w:val="1146"/>
            </w:pPr>
            <w:r>
              <w:rPr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Участника квалификационным требованиям к Участникам</w:t>
            </w:r>
            <w:r/>
          </w:p>
          <w:p>
            <w:pPr>
              <w:pStyle w:val="1146"/>
            </w:pPr>
            <w:r>
              <w:rPr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_Ref125550270 \r \h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Коллективного участника установленным в от</w:t>
            </w:r>
            <w:r>
              <w:t xml:space="preserve">ношении его требованиям:</w:t>
            </w:r>
            <w:r/>
          </w:p>
          <w:p>
            <w:pPr>
              <w:pStyle w:val="1146"/>
            </w:pPr>
            <w:r>
              <w:rPr>
                <w:i/>
                <w:iCs/>
              </w:rPr>
              <w:t xml:space="preserve">(пункт применяется только в случае рассмотрения заявки, поданной Коллективным участником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_Ref130305355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3.2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1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10"/>
              </w:numPr>
              <w:ind w:left="284" w:hanging="284"/>
            </w:pPr>
            <w:r>
              <w:t xml:space="preserve">в части требований пункта </w:t>
            </w:r>
            <w:r>
              <w:fldChar w:fldCharType="begin"/>
            </w:r>
            <w:r>
              <w:instrText xml:space="preserve"> REF _Ref125370156 \w \h  \* MERGEFORMAT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/>
          </w:p>
          <w:p>
            <w:pPr>
              <w:pStyle w:val="1146"/>
              <w:ind w:left="219"/>
            </w:pPr>
            <w:r>
              <w:rPr>
                <w:i/>
                <w:iCs/>
              </w:rPr>
              <w:t xml:space="preserve">(в рамках заключения Договора Победитель в целях подтверждения своего соответствия предоставляет документы в порядке, предусмотренном подразделом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_Ref138232981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1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10"/>
              </w:numPr>
              <w:ind w:left="284" w:hanging="284"/>
            </w:pPr>
            <w:r>
              <w:t xml:space="preserve">в части требований пункта </w:t>
            </w:r>
            <w:r>
              <w:fldChar w:fldCharType="begin"/>
            </w:r>
            <w:r>
              <w:instrText xml:space="preserve"> REF _Ref125553738 \w \h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1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10"/>
              </w:numPr>
              <w:ind w:left="284" w:hanging="284"/>
            </w:pPr>
            <w:r>
              <w:t xml:space="preserve">в части требований пункта </w:t>
            </w:r>
            <w:r>
              <w:fldChar w:fldCharType="begin"/>
            </w:r>
            <w:r>
              <w:instrText xml:space="preserve"> REF _Ref125370162 \w \h  \* MERGEFORMAT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  <w:r/>
          </w:p>
          <w:p>
            <w:pPr>
              <w:pStyle w:val="1146"/>
              <w:ind w:left="219"/>
            </w:pPr>
            <w:r>
              <w:rPr>
                <w:i/>
                <w:iCs/>
              </w:rPr>
              <w:t xml:space="preserve">(в рамках осуществления экспертизы заявки </w:t>
            </w:r>
            <w:r>
              <w:rPr>
                <w:i/>
                <w:iCs/>
              </w:rPr>
              <w:t xml:space="preserve">Участника в отношении каждого члена Коллективного участника в том числе проверяется наличие у него статуса «аккредитован» / «аккредитация не требуется», или проводится процедура его аккредитации (при необходимости). В рамках заключения Договора Победитель </w:t>
            </w:r>
            <w:r>
              <w:rPr>
                <w:i/>
                <w:iCs/>
              </w:rPr>
              <w:t xml:space="preserve">в целях подтверждения своего соответствия предоставляет документы в порядке, предусмотренном подразделом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_Ref138232981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Орг</w:t>
            </w:r>
            <w:r>
              <w:t xml:space="preserve">, Тех,</w:t>
            </w:r>
            <w:r>
              <w:br/>
              <w:t xml:space="preserve">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Генерального подрядчика установленным в отношении его требованиям:</w:t>
            </w:r>
            <w:r/>
          </w:p>
          <w:p>
            <w:pPr>
              <w:pStyle w:val="1146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</w:t>
            </w:r>
            <w:r>
              <w:rPr>
                <w:i/>
                <w:iCs/>
              </w:rPr>
              <w:t xml:space="preserve">меняется только в случае проведения закупки, в которой предусмотрена возможность рассмотрения, оценки и сопоставления заявок Участников с учетом привлекаемых субподрядчиков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_Ref125359973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1.2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, 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_Ref125361702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3.3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1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10"/>
              </w:numPr>
              <w:ind w:left="284" w:hanging="284"/>
            </w:pPr>
            <w:r>
              <w:t xml:space="preserve">в части требований пунктов </w:t>
            </w:r>
            <w:r>
              <w:fldChar w:fldCharType="begin"/>
            </w:r>
            <w:r>
              <w:instrText xml:space="preserve"> REF _Ref125370187 \w \h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_Ref125370199 \w \h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_Ref125553847 \w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>
              <w:t xml:space="preserve">8.6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1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10"/>
              </w:numPr>
              <w:ind w:left="284" w:hanging="284"/>
            </w:pPr>
            <w:r>
              <w:t xml:space="preserve">в части требований пункта </w:t>
            </w:r>
            <w:r>
              <w:fldChar w:fldCharType="begin"/>
            </w:r>
            <w:r>
              <w:instrText xml:space="preserve"> REF _Ref125370193 \w \h  \* MERGEFORMAT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>
              <w:t xml:space="preserve">8.6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Орг</w:t>
            </w:r>
            <w:r>
              <w:t xml:space="preserve">, 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Генерального подрядчика с обязательным привлечением субподрядчиков (соисполнителей) из числа субъектов МСП установленным в отношении его требованиям</w:t>
            </w:r>
            <w:r/>
          </w:p>
          <w:p>
            <w:pPr>
              <w:pStyle w:val="1146"/>
              <w:rPr>
                <w:i/>
                <w:iCs/>
              </w:rPr>
            </w:pPr>
            <w:r>
              <w:rPr>
                <w:i/>
                <w:iCs/>
              </w:rPr>
              <w:t xml:space="preserve">(п</w:t>
            </w:r>
            <w:r>
              <w:rPr>
                <w:i/>
                <w:iCs/>
              </w:rPr>
              <w:t xml:space="preserve">ункт применяется только в случае проведения закупки, участвовать в которой могут только лица, обязанные привлечь к исполнению Договора субподрядчиков (соисполнителей) из числа субъектов МСП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_Ref125359973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1.2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, 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_Ref127524203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3.4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_Ref125550523 \r \h </w:instrText>
            </w:r>
            <w:r>
              <w:fldChar w:fldCharType="separate"/>
            </w:r>
            <w:r>
              <w:t xml:space="preserve">8.7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7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6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Технического предложения Участника </w:t>
            </w:r>
            <w:hyperlink w:tooltip="#Прил01_ТехТребования" w:anchor="Прил01_ТехТребования" w:history="1">
              <w:r>
                <w:rPr>
                  <w:rStyle w:val="1170"/>
                  <w:b/>
                  <w:bCs/>
                </w:rPr>
                <w:t xml:space="preserve">Техническим требовани</w:t>
              </w:r>
              <w:r>
                <w:rPr>
                  <w:rStyle w:val="1170"/>
                  <w:b/>
                  <w:bCs/>
                </w:rPr>
                <w:t xml:space="preserve">ям (Приложение № 1)</w:t>
              </w:r>
            </w:hyperlink>
            <w:r>
              <w:rPr>
                <w:b/>
                <w:bCs/>
              </w:rPr>
              <w:t xml:space="preserve">, в том числе: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предложения требованиям к стране происхождения поставляемого товара, установленным в Технических требованиях</w:t>
            </w:r>
            <w:r/>
          </w:p>
          <w:p>
            <w:pPr>
              <w:pStyle w:val="1146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исполнения Заказчиком</w:t>
            </w:r>
            <w:r>
              <w:t xml:space="preserve"> </w:t>
            </w:r>
            <w:r>
              <w:rPr>
                <w:i/>
                <w:iCs/>
              </w:rPr>
              <w:t xml:space="preserve">норм в части минимальной обязательной доли закупок товаров российского происхождения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_Ref186120147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_Ref186120147 \r \h </w:instrText>
            </w:r>
            <w:r>
              <w:fldChar w:fldCharType="separate"/>
            </w:r>
            <w:r>
              <w:t xml:space="preserve">4.13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объемов и состава работ / услуг, технологии производства работ, предложенных Участником в Техническом предложении, Коммерческом предложени</w:t>
            </w:r>
            <w:r>
              <w:t xml:space="preserve">и и (или) прилагаемой к нему подтверждающей документации, требованиям, указанным в </w:t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Технических требованиях (Приложение № 1)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номенклатуры, количества и характеристик материалов / оборудования, предложенных Участником в Техническом предложе</w:t>
            </w:r>
            <w:r>
              <w:t xml:space="preserve">нии, Коммерческом предложении и (или) прилагаемой к нему подтверждающей документации, требованиям, указанным в </w:t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Технических требованиях (Приложение № 1)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</w:t>
            </w:r>
            <w:r>
              <w:t xml:space="preserve">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_Ref186120147 \r \h </w:instrText>
            </w:r>
            <w:r>
              <w:fldChar w:fldCharType="separate"/>
            </w:r>
            <w:r>
              <w:t xml:space="preserve">4.13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сроков (и (или) этапов) реализации Договора, предложенных Участником в Техническом предложении, указанным в </w:t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Технических требованиях (Приложение № 1)</w:t>
              </w:r>
            </w:hyperlink>
            <w:r>
              <w:t xml:space="preserve"> и (или) в </w:t>
            </w:r>
            <w:hyperlink w:tooltip="#Прил02_ПроектДоговора" w:anchor="Прил02_ПроектДоговора" w:history="1">
              <w:r>
                <w:rPr>
                  <w:rStyle w:val="1170"/>
                </w:rPr>
                <w:t xml:space="preserve">Проекте договора (Приложение № 2)</w:t>
              </w:r>
            </w:hyperlink>
            <w:r>
              <w:t xml:space="preserve">, или согласие с ними в Письме о подаче оферты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Приложение № 1</w:t>
              </w:r>
            </w:hyperlink>
            <w:r>
              <w:t xml:space="preserve">,</w:t>
            </w:r>
            <w:r>
              <w:br/>
            </w:r>
            <w:hyperlink w:tooltip="#Прил02_ПроектДоговора" w:anchor="Прил02_ПроектДоговора" w:history="1">
              <w:r>
                <w:rPr>
                  <w:rStyle w:val="1170"/>
                </w:rPr>
                <w:t xml:space="preserve">Приложение № 2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требованиям к гарантии на поставляемые материалы / оборудование и результаты выполненных работ, указанным в </w:t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Технических требованиях (Приложение № 1)</w:t>
              </w:r>
            </w:hyperlink>
            <w:r>
              <w:t xml:space="preserve"> и (или) в </w:t>
            </w:r>
            <w:hyperlink w:tooltip="#Прил02_ПроектДоговора" w:anchor="Прил02_ПроектДоговора" w:history="1">
              <w:r>
                <w:rPr>
                  <w:rStyle w:val="1170"/>
                </w:rPr>
                <w:t xml:space="preserve">Проекте договора (Приложение № 2)</w:t>
              </w:r>
            </w:hyperlink>
            <w:r/>
            <w:r/>
          </w:p>
          <w:p>
            <w:pPr>
              <w:pStyle w:val="1146"/>
            </w:pPr>
            <w:r>
              <w:rPr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Приложение № 1</w:t>
              </w:r>
            </w:hyperlink>
            <w:r>
              <w:t xml:space="preserve">,</w:t>
            </w:r>
            <w:r>
              <w:br/>
            </w:r>
            <w:hyperlink w:tooltip="#Прил02_ПроектДоговора" w:anchor="Прил02_ПроектДоговора" w:history="1">
              <w:r>
                <w:rPr>
                  <w:rStyle w:val="1170"/>
                </w:rPr>
                <w:t xml:space="preserve">Приложение № 2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предлагаемой к поставке продукции иным требованиям, установленным в </w:t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Технических требованиях (Приложение № 1)</w:t>
              </w:r>
            </w:hyperlink>
            <w:r>
              <w:t xml:space="preserve">, с предоставлением требуемых подтверждающих документов</w:t>
            </w:r>
            <w:r/>
          </w:p>
          <w:p>
            <w:pPr>
              <w:pStyle w:val="1146"/>
            </w:pPr>
            <w:r>
              <w:rPr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46"/>
              <w:keepNext/>
            </w:pPr>
            <w:r>
              <w:rPr>
                <w:b/>
                <w:bCs/>
              </w:rPr>
              <w:t xml:space="preserve">Соответствие Коммерческого предложения Участника требованиям Документации о закупке, в том числе: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Коммерческого предложения (</w:t>
            </w:r>
            <w:r>
              <w:t xml:space="preserve">проверка наличия в составе заявки всех необходимых документов, оценка правильности их оформления; проверка отсутствия противоречий в представленных в составе Коммерческого предложения (и приложениях к нему) документах).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_Ref135749133 \r \h </w:instrText>
            </w:r>
            <w:r>
              <w:fldChar w:fldCharType="separate"/>
            </w:r>
            <w:r>
              <w:t xml:space="preserve">4.9</w:t>
            </w:r>
            <w:r>
              <w:fldChar w:fldCharType="end"/>
            </w:r>
            <w:r/>
          </w:p>
          <w:p>
            <w:pPr>
              <w:pStyle w:val="1146"/>
              <w:jc w:val="center"/>
            </w:pPr>
            <w:r>
              <w:t xml:space="preserve">Приложение №1,</w:t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</w:t>
              </w:r>
              <w:r>
                <w:rPr>
                  <w:rStyle w:val="1170"/>
                </w:rPr>
                <w:t xml:space="preserve">е № 4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предложения установленным законодательством требованиям к предоставлению национального режима, в том числе в части указания сведений, которые подтверждают страну происхождения товара в составе заявке в форме Коммерческого предложения (</w:t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t xml:space="preserve">)</w:t>
            </w:r>
            <w:r/>
          </w:p>
          <w:p>
            <w:pPr>
              <w:pStyle w:val="1146"/>
            </w:pPr>
            <w:r>
              <w:rPr>
                <w:i/>
                <w:iCs/>
              </w:rPr>
              <w:t xml:space="preserve">(пункт применяется только в случае установления режима запрета или ограничения закупки иностранной продукции, а также при исполнении Заказчиком норм в части минимальной обязательной дол</w:t>
            </w:r>
            <w:r>
              <w:rPr>
                <w:i/>
                <w:iCs/>
              </w:rPr>
              <w:t xml:space="preserve">и закупок товаров российского происхождения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_Ref186120147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_Ref130985951 \r \h </w:instrText>
            </w:r>
            <w:r>
              <w:fldChar w:fldCharType="separate"/>
            </w:r>
            <w:r>
              <w:t xml:space="preserve">4.13</w:t>
            </w:r>
            <w:r>
              <w:fldChar w:fldCharType="end"/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70"/>
                </w:rPr>
                <w:t xml:space="preserve">Приложение № 4</w:t>
              </w:r>
            </w:hyperlink>
            <w:r>
              <w:br/>
              <w:t xml:space="preserve">(форма Коммерче</w:t>
            </w:r>
            <w:r>
              <w:t xml:space="preserve">ского предложения)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4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46"/>
            </w:pPr>
            <w:r>
              <w:t xml:space="preserve">Соответствие подтверждающей документации, прилагаемой к</w:t>
            </w:r>
            <w:r>
              <w:rPr>
                <w:lang w:val="en-US"/>
              </w:rPr>
              <w:t xml:space="preserve"> </w:t>
            </w:r>
            <w:r>
              <w:t xml:space="preserve">Коммерческому приложению, требованиям, указанным в </w:t>
            </w:r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Технических требованиях (Приложение № 1)</w:t>
              </w:r>
            </w:hyperlink>
            <w:r/>
            <w:r/>
          </w:p>
          <w:p>
            <w:pPr>
              <w:pStyle w:val="1146"/>
            </w:pPr>
            <w:r>
              <w:rPr>
                <w:i/>
                <w:iCs/>
              </w:rPr>
              <w:t xml:space="preserve">(пункт применяет</w:t>
            </w:r>
            <w:r>
              <w:rPr>
                <w:i/>
                <w:iCs/>
              </w:rPr>
              <w:t xml:space="preserve">ся только в случае установления соответствующих требований в </w:t>
            </w:r>
            <w:hyperlink w:tooltip="#Прил01_ТехТребования" w:anchor="Прил01_ТехТребования" w:history="1">
              <w:r>
                <w:rPr>
                  <w:rStyle w:val="1170"/>
                  <w:i/>
                  <w:iCs/>
                </w:rPr>
                <w:t xml:space="preserve">Технических требованиях (Приложение № 1)</w:t>
              </w:r>
            </w:hyperlink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46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70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46"/>
              <w:jc w:val="center"/>
            </w:pPr>
            <w:r>
              <w:t xml:space="preserve">Цена</w:t>
            </w:r>
            <w:r/>
          </w:p>
        </w:tc>
      </w:tr>
    </w:tbl>
    <w:p>
      <w:pPr>
        <w:pStyle w:val="1146"/>
        <w:keepNext/>
        <w:spacing w:before="240"/>
        <w:tabs>
          <w:tab w:val="left" w:pos="851" w:leader="none"/>
        </w:tabs>
        <w:rPr>
          <w:b/>
          <w:bCs/>
        </w:rPr>
      </w:pPr>
      <w:r>
        <w:rPr>
          <w:b/>
          <w:bCs/>
        </w:rPr>
        <w:t xml:space="preserve">* Направления оценки заявок:</w:t>
      </w:r>
      <w:r>
        <w:rPr>
          <w:b/>
          <w:bCs/>
        </w:rPr>
      </w:r>
      <w:r>
        <w:rPr>
          <w:b/>
          <w:bCs/>
        </w:rPr>
      </w:r>
    </w:p>
    <w:p>
      <w:pPr>
        <w:pStyle w:val="1146"/>
        <w:ind w:left="1701" w:hanging="1701"/>
        <w:tabs>
          <w:tab w:val="left" w:pos="1134" w:leader="none"/>
        </w:tabs>
      </w:pPr>
      <w:r>
        <w:rPr>
          <w:b/>
          <w:bCs/>
        </w:rPr>
        <w:t xml:space="preserve">Орг</w:t>
      </w:r>
      <w:r>
        <w:tab/>
        <w:t xml:space="preserve">–</w:t>
      </w:r>
      <w:r>
        <w:tab/>
      </w:r>
      <w:bookmarkStart w:id="366" w:name="_Hlk138342484"/>
      <w:r>
        <w:t xml:space="preserve">проверка наличия в составе заявки необходимых документов для рассмотрения экспертом по своему направлению: проверка наличия в составе заявке и оценка правильности оформления Письма о подаче оферты</w:t>
      </w:r>
      <w:bookmarkEnd w:id="366"/>
      <w:r>
        <w:t xml:space="preserve">; </w:t>
      </w:r>
      <w:bookmarkStart w:id="367" w:name="_Hlk138342546"/>
      <w:r>
        <w:t xml:space="preserve">наличия обеспечения о</w:t>
      </w:r>
      <w:r>
        <w:t xml:space="preserve">бязательств Участника, связанного с подачей заявки, в виде банковской гарантии (в том числе наличие сведений о ней в соответствующем реестре в ЕИС) – в случае отсутствия внесенных Участником денежных средств на индивидуальный счет, открытый Участнику Опера</w:t>
      </w:r>
      <w:r>
        <w:t xml:space="preserve">тором ЭП в соответствии с Регламентом ЭП </w:t>
      </w:r>
      <w:r>
        <w:rPr>
          <w:i/>
          <w:iCs/>
        </w:rPr>
        <w:t xml:space="preserve">(последние применяется только в случае установления соответствующих требований)</w:t>
      </w:r>
      <w:r>
        <w:t xml:space="preserve">; наличие у Участника статуса «аккредитован», либо статуса «аккредитация не требуется» (или наличие заявки на аккредитацию (при необходи</w:t>
      </w:r>
      <w:r>
        <w:t xml:space="preserve">мости))</w:t>
      </w:r>
      <w:bookmarkEnd w:id="367"/>
      <w:r>
        <w:t xml:space="preserve">, участвует в процедуре актуализации статуса аккредитации (при необходимости); проверка отсутствие сведений об Участнике в перечне юридических лиц, в отношении которых применяются специальные экономические меры, утвержденном Постановлением Правитель</w:t>
      </w:r>
      <w:r>
        <w:t xml:space="preserve">ства Российской Федерации от 11.05.2022 № 851; при установлении требования об обязательном привлечении к исполнению Договора субподрядчиков (соисполнителей) из числа субъектов МСП – проверка субподрядчиков (соисполнителей), указанных Участником в Плане рас</w:t>
      </w:r>
      <w:r>
        <w:t xml:space="preserve">пределения поставки продукции, на наличие информации о таком субподрядчике (соисполнителе) в Реестре МСП (https://rmsp.nalog.ru/index.html), а в отношении физических лиц, не являющихся индивидуальными предпринимателями и применяющих специальный налоговый р</w:t>
      </w:r>
      <w:r>
        <w:t xml:space="preserve">ежим «Налог на профессиональный доход» </w:t>
      </w:r>
      <w:bookmarkStart w:id="368" w:name="_Hlk138342572"/>
      <w:r>
        <w:t xml:space="preserve">–</w:t>
      </w:r>
      <w:bookmarkEnd w:id="368"/>
      <w:r>
        <w:t xml:space="preserve"> наличие информации на официальном сайте федерального органа исполнительной власти, уполномоченного по контролю и надзору в области налогов и сборов, о применении ими такого налогового режима (https://npd.nalog.ru/ch</w:t>
      </w:r>
      <w:r>
        <w:t xml:space="preserve">eck-status/);</w:t>
      </w:r>
      <w:r/>
    </w:p>
    <w:p>
      <w:pPr>
        <w:pStyle w:val="1146"/>
        <w:ind w:left="1701" w:hanging="1701"/>
        <w:tabs>
          <w:tab w:val="left" w:pos="1134" w:leader="none"/>
        </w:tabs>
      </w:pPr>
      <w:r>
        <w:rPr>
          <w:b/>
          <w:bCs/>
        </w:rPr>
        <w:t xml:space="preserve">Тех</w:t>
      </w:r>
      <w:r>
        <w:tab/>
        <w:t xml:space="preserve">–</w:t>
      </w:r>
      <w:r>
        <w:tab/>
        <w:t xml:space="preserve">проверка наличия в составе заявки всех необходимых документов для рассмотрения экспертом по своему направлению, а также правильности их оформления; </w:t>
      </w:r>
      <w:bookmarkStart w:id="369" w:name="_Hlk207284070"/>
      <w:r>
        <w:t xml:space="preserve">в целях применения законодательства о национальном режиме: а) при закупке товаров (</w:t>
      </w:r>
      <w:r>
        <w:t xml:space="preserve">в том числе поставляемых при выполнении работ, оказании услуг) – оценка сведений о стране происхождения предлагаемого к поставке товара; б) при закупке работ, услуг – оценка сведений о стране регистрации Участника (стране регистрации лица, согласно заявке </w:t>
      </w:r>
      <w:r>
        <w:t xml:space="preserve">выполняющего работу, оказывающего услугу)</w:t>
      </w:r>
      <w:bookmarkEnd w:id="369"/>
      <w:r>
        <w:t xml:space="preserve">; оценка Технических предложений и сведений, подтверждающих соответствия Участника квалификационным и специальным требованиям; </w:t>
      </w:r>
      <w:bookmarkStart w:id="370" w:name="_Hlk138342998"/>
      <w:r>
        <w:t xml:space="preserve">проверка технической части подтверждающей документации, прилагаемой к Коммерческому пред</w:t>
      </w:r>
      <w:r>
        <w:t xml:space="preserve">ложению (при наличии), а также, при необходимости, технических условий исполнения Договора</w:t>
      </w:r>
      <w:bookmarkEnd w:id="370"/>
      <w:r>
        <w:t xml:space="preserve">;</w:t>
      </w:r>
      <w:r/>
    </w:p>
    <w:p>
      <w:pPr>
        <w:pStyle w:val="1146"/>
        <w:ind w:left="1701" w:hanging="1701"/>
        <w:tabs>
          <w:tab w:val="left" w:pos="1134" w:leader="none"/>
        </w:tabs>
      </w:pPr>
      <w:r>
        <w:rPr>
          <w:b/>
          <w:bCs/>
        </w:rPr>
        <w:t xml:space="preserve">Юр</w:t>
      </w:r>
      <w:r>
        <w:tab/>
        <w:t xml:space="preserve">–</w:t>
      </w:r>
      <w:r>
        <w:tab/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</w:t>
      </w:r>
      <w:r>
        <w:t xml:space="preserve">т.</w:t>
      </w:r>
      <w:r>
        <w:t xml:space="preserve">ч</w:t>
      </w:r>
      <w:r>
        <w:t xml:space="preserve">. в части наличия должных печатей, подписей, формы заверения, языка заявки); оценка юридических аспектов заявки, в том числе оценка правомочности подписанта доверенности (при необходимости) на основании выписки из ЕГРЮЛ (выписка из ЕГРЮЛ доступна на офици</w:t>
      </w:r>
      <w:r>
        <w:t xml:space="preserve">альном сервисе ФНС России https://egrul.nalog.ru/index.html);</w:t>
      </w:r>
      <w:r/>
    </w:p>
    <w:p>
      <w:pPr>
        <w:pStyle w:val="1146"/>
        <w:ind w:left="1701" w:hanging="1701"/>
        <w:keepNext/>
        <w:tabs>
          <w:tab w:val="left" w:pos="1134" w:leader="none"/>
        </w:tabs>
      </w:pPr>
      <w:r>
        <w:rPr>
          <w:b/>
          <w:bCs/>
        </w:rPr>
        <w:t xml:space="preserve">Цена</w:t>
      </w:r>
      <w:r>
        <w:tab/>
        <w:t xml:space="preserve">–</w:t>
      </w:r>
      <w:r>
        <w:tab/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</w:t>
      </w:r>
      <w:r>
        <w:t xml:space="preserve">т.ч</w:t>
      </w:r>
      <w:r>
        <w:t xml:space="preserve">. в части языка и валюты за</w:t>
      </w:r>
      <w:r>
        <w:t xml:space="preserve">явки); проверка отсутствия противоречий в представленных в составе Коммерческого предложения (и приложениях к нему) документах; проверка соответствия подтверждающей документации (документации по ценообразованию), прилагаемой к Коммерческому приложению, тре</w:t>
      </w:r>
      <w:r>
        <w:t xml:space="preserve">бованиям, указанным в Технических требованиях (при наличии такой документации и если ее предоставление требовалось в Документации о закупке), в том числе в части </w:t>
      </w:r>
      <w:r>
        <w:t xml:space="preserve">непревышения</w:t>
      </w:r>
      <w:r>
        <w:t xml:space="preserve"> ценового предложения участника установленного размера НМЦ;</w:t>
      </w:r>
      <w:r/>
    </w:p>
    <w:p>
      <w:pPr>
        <w:pStyle w:val="1146"/>
        <w:ind w:left="1701" w:hanging="1701"/>
        <w:tabs>
          <w:tab w:val="left" w:pos="1134" w:leader="none"/>
        </w:tabs>
      </w:pPr>
      <w:r>
        <w:rPr>
          <w:b/>
          <w:bCs/>
        </w:rPr>
        <w:t xml:space="preserve">Фин</w:t>
      </w:r>
      <w:r>
        <w:tab/>
        <w:t xml:space="preserve">–</w:t>
      </w:r>
      <w:r>
        <w:tab/>
        <w:t xml:space="preserve">оценка банковско</w:t>
      </w:r>
      <w:r>
        <w:t xml:space="preserve">й гарантии, в том числе правильность оформления рассматриваемых документов (в </w:t>
      </w:r>
      <w:r>
        <w:t xml:space="preserve">т.ч</w:t>
      </w:r>
      <w:r>
        <w:t xml:space="preserve">. в части наличия должных печатей, подписей, формы заверения, языка и валюты заявки) </w:t>
      </w:r>
      <w:r>
        <w:rPr>
          <w:i/>
          <w:iCs/>
        </w:rPr>
        <w:t xml:space="preserve">(финансовая экспертиза проводится по инициативе эксперта по направлениям </w:t>
      </w:r>
      <w:r>
        <w:rPr>
          <w:i/>
          <w:iCs/>
        </w:rPr>
        <w:t xml:space="preserve">Орг</w:t>
      </w:r>
      <w:r>
        <w:rPr>
          <w:i/>
          <w:iCs/>
        </w:rPr>
        <w:t xml:space="preserve">, в случае нал</w:t>
      </w:r>
      <w:r>
        <w:rPr>
          <w:i/>
          <w:iCs/>
        </w:rPr>
        <w:t xml:space="preserve">ичия в заявке банковской гарантии)</w:t>
      </w:r>
      <w:r>
        <w:t xml:space="preserve">.</w:t>
      </w:r>
      <w:r/>
    </w:p>
    <w:p>
      <w:pPr>
        <w:pStyle w:val="1146"/>
      </w:pPr>
      <w:r>
        <w:t xml:space="preserve">В случае указания по одному критерию отбора сразу нескольких направлений оценки заявок – экспертиза на соответствие указанному критерию осуществляется в пределах компетенции эксперта (в рамках материалов (документов), яв</w:t>
      </w:r>
      <w:r>
        <w:t xml:space="preserve">ляющихся предметом его экспертизы).</w:t>
      </w:r>
      <w:r/>
    </w:p>
    <w:p>
      <w:pPr>
        <w:pStyle w:val="1140"/>
      </w:pPr>
      <w:r/>
      <w:bookmarkStart w:id="371" w:name="Прил08_ПорядокОценки"/>
      <w:r/>
      <w:bookmarkStart w:id="372" w:name="_Ref125361648"/>
      <w:r/>
      <w:bookmarkStart w:id="373" w:name="_Ref125361951"/>
      <w:r/>
      <w:bookmarkStart w:id="374" w:name="_Ref125366013"/>
      <w:r/>
      <w:bookmarkStart w:id="375" w:name="_Ref125366280"/>
      <w:r/>
      <w:bookmarkStart w:id="376" w:name="_Ref125366285"/>
      <w:r/>
      <w:bookmarkStart w:id="377" w:name="_Ref125368140"/>
      <w:r/>
      <w:bookmarkStart w:id="378" w:name="_Ref125368150"/>
      <w:r/>
      <w:bookmarkStart w:id="379" w:name="_Ref125368165"/>
      <w:r/>
      <w:bookmarkStart w:id="380" w:name="_Ref125368172"/>
      <w:r/>
      <w:bookmarkStart w:id="381" w:name="_Ref125368184"/>
      <w:r/>
      <w:bookmarkStart w:id="382" w:name="_Ref125368283"/>
      <w:r/>
      <w:bookmarkStart w:id="383" w:name="_Ref125368291"/>
      <w:r/>
      <w:bookmarkStart w:id="384" w:name="_Ref125368302"/>
      <w:r/>
      <w:bookmarkStart w:id="385" w:name="_Ref125368313"/>
      <w:r/>
      <w:bookmarkStart w:id="386" w:name="_Ref125368331"/>
      <w:r/>
      <w:bookmarkStart w:id="387" w:name="_Ref125369021"/>
      <w:r/>
      <w:bookmarkStart w:id="388" w:name="_Ref125369438"/>
      <w:r/>
      <w:bookmarkStart w:id="389" w:name="_Toc228976141"/>
      <w:r/>
      <w:bookmarkEnd w:id="371"/>
      <w:r>
        <w:t xml:space="preserve">Приложение № 8 – Порядок и критерии оценки и сопоставления заявок</w:t>
      </w:r>
      <w:bookmarkEnd w:id="372"/>
      <w:r/>
      <w:bookmarkEnd w:id="373"/>
      <w:r/>
      <w:bookmarkEnd w:id="374"/>
      <w:r/>
      <w:bookmarkEnd w:id="375"/>
      <w:r/>
      <w:bookmarkEnd w:id="376"/>
      <w:r/>
      <w:bookmarkEnd w:id="377"/>
      <w:r/>
      <w:bookmarkEnd w:id="378"/>
      <w:r/>
      <w:bookmarkEnd w:id="379"/>
      <w:r/>
      <w:bookmarkEnd w:id="380"/>
      <w:r/>
      <w:bookmarkEnd w:id="381"/>
      <w:r/>
      <w:bookmarkEnd w:id="382"/>
      <w:r/>
      <w:bookmarkEnd w:id="383"/>
      <w:r/>
      <w:bookmarkEnd w:id="384"/>
      <w:r/>
      <w:bookmarkEnd w:id="385"/>
      <w:r/>
      <w:bookmarkEnd w:id="386"/>
      <w:r/>
      <w:bookmarkEnd w:id="387"/>
      <w:r/>
      <w:bookmarkEnd w:id="388"/>
      <w:r/>
      <w:bookmarkEnd w:id="389"/>
      <w:r/>
      <w:r/>
    </w:p>
    <w:p>
      <w:pPr>
        <w:pStyle w:val="1141"/>
      </w:pPr>
      <w:r/>
      <w:bookmarkStart w:id="390" w:name="_Toc228976142"/>
      <w:r>
        <w:t xml:space="preserve">Порядок и критерии оценки и сопоставления заявок</w:t>
      </w:r>
      <w:bookmarkEnd w:id="390"/>
      <w:r/>
      <w:r/>
    </w:p>
    <w:p>
      <w:pPr>
        <w:pStyle w:val="1142"/>
      </w:pPr>
      <w:r>
        <w:t xml:space="preserve">Расчет итоговой оценки предпочтительности каждой заявки, успешно прошедшей отборочную стадию (подраздел </w:t>
      </w:r>
      <w:r>
        <w:fldChar w:fldCharType="begin"/>
      </w:r>
      <w:r>
        <w:instrText xml:space="preserve"> </w:instrText>
      </w:r>
      <w:r>
        <w:instrText xml:space="preserve">REF _Ref125362364 \w \h  \* MERGEFORMAT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), осуществляется по следующим критериям оценки и в соответствии со следующим порядком оценки предпочтительности и сопоставления заявок:</w:t>
      </w:r>
      <w:r/>
    </w:p>
    <w:tbl>
      <w:tblPr>
        <w:tblStyle w:val="1167"/>
        <w:tblW w:w="14319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995"/>
        <w:gridCol w:w="1417"/>
        <w:gridCol w:w="1843"/>
        <w:gridCol w:w="1559"/>
        <w:gridCol w:w="1134"/>
        <w:gridCol w:w="1843"/>
        <w:gridCol w:w="5528"/>
      </w:tblGrid>
      <w:tr>
        <w:tblPrEx/>
        <w:trPr/>
        <w:tc>
          <w:tcPr>
            <w:tcW w:w="996" w:type="dxa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критерия оценки в</w:t>
            </w:r>
            <w:r>
              <w:rPr>
                <w:sz w:val="18"/>
                <w:szCs w:val="18"/>
              </w:rPr>
              <w:br/>
              <w:t xml:space="preserve">структуре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критерия оценки / направление оценки заявок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критерия оценки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Значимость</w:t>
            </w:r>
            <w:r>
              <w:rPr>
                <w:sz w:val="18"/>
                <w:szCs w:val="18"/>
              </w:rPr>
              <w:br/>
              <w:t xml:space="preserve">критерия оценки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частного критерия оценки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528" w:type="dxa"/>
            <w:vMerge w:val="restart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оценки предпочтительности заявки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96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критерий оценки первого уровня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критерий оценки второго уровня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528" w:type="dxa"/>
            <w:vMerge w:val="continue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96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Ценовой частный критерий оценки первого уровня; «Цена»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договора (стоимость заявки)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90%</w:t>
            </w:r>
            <w:r>
              <w:rPr>
                <w:sz w:val="18"/>
                <w:szCs w:val="18"/>
              </w:rPr>
              <w:br/>
              <w:t xml:space="preserve">(В</w:t>
            </w:r>
            <w:r>
              <w:rPr>
                <w:sz w:val="18"/>
                <w:szCs w:val="18"/>
                <w:vertAlign w:val="subscript"/>
              </w:rPr>
              <w:t xml:space="preserve">1 </w:t>
            </w:r>
            <w:r>
              <w:rPr>
                <w:sz w:val="18"/>
                <w:szCs w:val="18"/>
              </w:rPr>
              <w:t xml:space="preserve">= 0,90)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Чем меньше стоимость заявки Участника, тем выше предпочтительность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keepLines/>
              <w:keepNext/>
              <w:spacing w:before="0" w:after="4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 xml:space="preserve">Расчет оценки предпочтительности по частному критерию по методу «Математическая формула, задающая «функцию ценности»»: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jc w:val="center"/>
              <w:keepLines/>
              <w:keepNext/>
              <w:spacing w:before="0" w:after="40"/>
              <w:rPr>
                <w:rFonts w:eastAsia="Calibri"/>
                <w:sz w:val="20"/>
                <w:szCs w:val="20"/>
              </w:rPr>
            </w:pPr>
            <w:r/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eastAsia="Cambria Math" w:cs="Cambria Math"/>
                        <w:sz w:val="18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eastAsia="Calibri"/>
                        <w:sz w:val="18"/>
                        <w:szCs w:val="18"/>
                      </w:rPr>
                      <m:rPr/>
                      <m:t>Б</m:t>
                    </m:r>
                  </m:e>
                  <m:sub>
                    <m:r>
                      <w:rPr>
                        <w:rFonts w:ascii="Cambria Math" w:hAnsi="Cambria Math" w:eastAsia="Calibri"/>
                        <w:sz w:val="18"/>
                        <w:szCs w:val="18"/>
                        <w:lang w:val="en-US"/>
                      </w:rPr>
                      <m:rPr/>
                      <m:t>1</m:t>
                    </m:r>
                  </m:sub>
                </m:sSub>
                <m:r>
                  <w:rPr>
                    <w:rFonts w:ascii="Cambria Math" w:hAnsi="Cambria Math" w:eastAsia="Calibri"/>
                    <w:sz w:val="18"/>
                    <w:szCs w:val="18"/>
                  </w:rP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rFonts w:ascii="Cambria Math" w:hAnsi="Cambria Math" w:eastAsia="Cambria Math" w:cs="Cambria Math"/>
                        <w:sz w:val="18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eastAsia="Cambria Math" w:cs="Cambria Math"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eastAsia="Calibri"/>
                            <w:sz w:val="18"/>
                            <w:szCs w:val="18"/>
                          </w:rPr>
                          <m:rPr/>
                          <m:t>ЦЕНА</m:t>
                        </m:r>
                      </m:e>
                      <m:sub>
                        <m:r>
                          <w:rPr>
                            <w:rFonts w:ascii="Cambria Math" w:hAnsi="Cambria Math" w:eastAsia="Calibri"/>
                            <w:sz w:val="18"/>
                            <w:szCs w:val="18"/>
                            <w:lang w:val="en-US"/>
                          </w:rPr>
                          <m:rPr/>
                          <m:t>min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eastAsia="Calibri"/>
                        <w:sz w:val="18"/>
                        <w:szCs w:val="18"/>
                      </w:rPr>
                      <m:rPr>
                        <m:sty m:val="p"/>
                      </m:rPr>
                      <m:t>ЦЕНА</m:t>
                    </m:r>
                    <m:r>
                      <w:rPr>
                        <w:rFonts w:ascii="Cambria Math" w:hAnsi="Cambria Math" w:eastAsia="Calibri"/>
                        <w:sz w:val="18"/>
                        <w:szCs w:val="18"/>
                        <w:lang w:val="en-US"/>
                      </w:rPr>
                      <m:rPr/>
                      <m:t>i</m:t>
                    </m:r>
                  </m:den>
                </m:f>
                <m:r>
                  <w:rPr>
                    <w:rFonts w:ascii="Cambria Math" w:hAnsi="Cambria Math" w:eastAsia="Calibri"/>
                    <w:sz w:val="18"/>
                    <w:szCs w:val="18"/>
                  </w:rPr>
                  <m:rPr>
                    <m:sty m:val="p"/>
                  </m:rPr>
                  <m:t>×Ш,</m:t>
                </m:r>
              </m:oMath>
            </m:oMathPara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 w:after="4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 xml:space="preserve">где: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 w:after="40"/>
              <w:tabs>
                <w:tab w:val="left" w:pos="742" w:leader="none"/>
                <w:tab w:val="left" w:pos="1167" w:leader="none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 xml:space="preserve">Б</w:t>
            </w:r>
            <w:r>
              <w:rPr>
                <w:rFonts w:eastAsia="Calibri"/>
                <w:sz w:val="18"/>
                <w:szCs w:val="18"/>
                <w:vertAlign w:val="subscript"/>
              </w:rPr>
              <w:t xml:space="preserve">1</w:t>
            </w:r>
            <w:r>
              <w:rPr>
                <w:rFonts w:eastAsia="Calibri"/>
                <w:sz w:val="18"/>
                <w:szCs w:val="18"/>
              </w:rPr>
              <w:t xml:space="preserve"> – рассчитанная оценка предпочтительности по данному частному критерию оценки в баллах;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 w:after="40"/>
              <w:tabs>
                <w:tab w:val="left" w:pos="742" w:leader="none"/>
                <w:tab w:val="left" w:pos="1167" w:leader="none"/>
              </w:tabs>
              <w:rPr>
                <w:rFonts w:eastAsia="Calibri"/>
                <w:sz w:val="20"/>
                <w:szCs w:val="20"/>
              </w:rPr>
            </w:pPr>
            <w:r/>
            <m:oMath>
              <m:sSub>
                <m:sSubPr>
                  <m:ctrlPr>
                    <w:rPr>
                      <w:rFonts w:ascii="Cambria Math" w:hAnsi="Cambria Math" w:eastAsia="Cambria Math" w:cs="Cambria Math"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Calibri"/>
                      <w:sz w:val="18"/>
                      <w:szCs w:val="18"/>
                    </w:rPr>
                    <m:rPr/>
                    <m:t>ЦЕНА</m:t>
                  </m:r>
                </m:e>
                <m:sub>
                  <m:r>
                    <w:rPr>
                      <w:rFonts w:ascii="Cambria Math" w:hAnsi="Cambria Math" w:eastAsia="Calibri"/>
                      <w:sz w:val="18"/>
                      <w:szCs w:val="18"/>
                      <w:lang w:val="en-US"/>
                    </w:rPr>
                    <m:rPr/>
                    <m:t>i</m:t>
                  </m:r>
                </m:sub>
              </m:sSub>
            </m:oMath>
            <w:r>
              <w:rPr>
                <w:rFonts w:eastAsia="Calibri"/>
                <w:sz w:val="18"/>
                <w:szCs w:val="18"/>
              </w:rPr>
              <w:t xml:space="preserve"> – цена договора (заявки), указанная в </w:t>
            </w:r>
            <w:r>
              <w:rPr>
                <w:rFonts w:eastAsia="Calibri"/>
                <w:i/>
                <w:sz w:val="18"/>
                <w:szCs w:val="18"/>
              </w:rPr>
              <w:t xml:space="preserve">i</w:t>
            </w:r>
            <w:r>
              <w:rPr>
                <w:rFonts w:eastAsia="Calibri"/>
                <w:sz w:val="18"/>
                <w:szCs w:val="18"/>
              </w:rPr>
              <w:t xml:space="preserve">-той заявке (в Коммерческом предложении) по установленной в Документации о закупке форме №3 допущенного участника, руб. без учета НДС;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 w:after="40"/>
              <w:tabs>
                <w:tab w:val="left" w:pos="742" w:leader="none"/>
                <w:tab w:val="left" w:pos="1167" w:leader="none"/>
              </w:tabs>
              <w:rPr>
                <w:rFonts w:eastAsia="Calibri"/>
                <w:sz w:val="20"/>
                <w:szCs w:val="20"/>
              </w:rPr>
            </w:pPr>
            <w:r/>
            <m:oMath>
              <m:sSub>
                <m:sSubPr>
                  <m:ctrlPr>
                    <w:rPr>
                      <w:rFonts w:ascii="Cambria Math" w:hAnsi="Cambria Math" w:eastAsia="Cambria Math" w:cs="Cambria Math"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Calibri"/>
                      <w:sz w:val="18"/>
                      <w:szCs w:val="18"/>
                    </w:rPr>
                    <m:rPr/>
                    <m:t>ЦЕНА</m:t>
                  </m:r>
                </m:e>
                <m:sub>
                  <m:r>
                    <w:rPr>
                      <w:rFonts w:ascii="Cambria Math" w:hAnsi="Cambria Math" w:eastAsia="Calibri"/>
                      <w:sz w:val="18"/>
                      <w:szCs w:val="18"/>
                      <w:lang w:val="en-US"/>
                    </w:rPr>
                    <m:rPr/>
                    <m:t>min</m:t>
                  </m:r>
                </m:sub>
              </m:sSub>
            </m:oMath>
            <w:r>
              <w:rPr>
                <w:rFonts w:eastAsia="Calibri"/>
                <w:sz w:val="18"/>
                <w:szCs w:val="18"/>
              </w:rPr>
              <w:t xml:space="preserve"> – минимальная цена договора (заявки), среди всех допущенных заявок участников, руб. без учета НДС;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 w:after="40"/>
              <w:tabs>
                <w:tab w:val="left" w:pos="0" w:leader="none"/>
                <w:tab w:val="left" w:pos="34" w:leader="none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 xml:space="preserve">Ш – максимально возможный балл (максимальная возможная оценка предпочтительности) по шкале оценок. (Ш=5).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spacing w:before="0" w:after="4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 xml:space="preserve">Оценка предпочтительности заявок осуществляется в </w:t>
            </w:r>
            <w:r>
              <w:rPr>
                <w:rFonts w:eastAsia="Calibri"/>
                <w:sz w:val="18"/>
                <w:szCs w:val="18"/>
              </w:rPr>
              <w:t xml:space="preserve">едином базисе сопоставления ценовых (стоимостных) предложений, установленном в документации о закупке: без учета НДС.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pStyle w:val="1146"/>
              <w:jc w:val="left"/>
              <w:spacing w:before="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Шкала оценок от 0 до 5 баллов.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96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Неценовой критерий оценки первого уровня;</w:t>
            </w:r>
            <w:r>
              <w:rPr>
                <w:sz w:val="18"/>
                <w:szCs w:val="18"/>
              </w:rPr>
              <w:br/>
              <w:t xml:space="preserve">«Тех»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Квалификация (предпочтительность) участника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5%</w:t>
            </w:r>
            <w:r>
              <w:rPr>
                <w:sz w:val="18"/>
                <w:szCs w:val="18"/>
              </w:rPr>
              <w:br/>
              <w:t xml:space="preserve">(В</w:t>
            </w:r>
            <w:r>
              <w:rPr>
                <w:sz w:val="18"/>
                <w:szCs w:val="18"/>
                <w:vertAlign w:val="subscript"/>
              </w:rPr>
              <w:t xml:space="preserve">2 </w:t>
            </w:r>
            <w:r>
              <w:rPr>
                <w:sz w:val="18"/>
                <w:szCs w:val="18"/>
              </w:rPr>
              <w:t xml:space="preserve">= 0,05)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Чем больше опыт </w:t>
            </w:r>
            <w:r>
              <w:rPr>
                <w:b/>
                <w:bCs/>
                <w:sz w:val="18"/>
                <w:szCs w:val="18"/>
              </w:rPr>
              <w:t xml:space="preserve">оказания услуг по проведению топографической съемки реконструируемых участков теплотрасс</w:t>
            </w:r>
            <w:r>
              <w:rPr>
                <w:b/>
                <w:bCs/>
                <w:sz w:val="18"/>
                <w:szCs w:val="18"/>
              </w:rPr>
              <w:t xml:space="preserve">а,</w:t>
            </w:r>
            <w:r>
              <w:rPr>
                <w:sz w:val="18"/>
                <w:szCs w:val="18"/>
              </w:rPr>
              <w:t xml:space="preserve"> тем выше предпочтительность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pStyle w:val="1195"/>
              <w:spacing w:before="0" w:after="28" w:line="240" w:lineRule="auto"/>
            </w:pPr>
            <w:r>
              <w:rPr>
                <w:sz w:val="18"/>
                <w:szCs w:val="18"/>
              </w:rPr>
              <w:t xml:space="preserve">Расчет оценки предпочтительности по частному критери</w:t>
            </w:r>
            <w:r>
              <w:rPr>
                <w:sz w:val="18"/>
                <w:szCs w:val="18"/>
              </w:rPr>
              <w:t xml:space="preserve">ю по методу «Оценка предпочтительности посредством однозначной числовой шкалы измерений»: </w:t>
            </w:r>
            <w:r/>
          </w:p>
          <w:p>
            <w:pPr>
              <w:pStyle w:val="1195"/>
              <w:spacing w:before="0" w:after="28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целей проведения оценки по данному критерию Участник должен предоставить сведения о ранее выполненных договорах по форме «Справка об опыте Участника», приведенно</w:t>
            </w:r>
            <w:r>
              <w:rPr>
                <w:sz w:val="18"/>
                <w:szCs w:val="18"/>
              </w:rPr>
              <w:t xml:space="preserve">й в Документации о закупке, подтверждающих наличие совокупного опыта (в рамках одного или нескольких договоров) оказания услуг за последние 5 лет, предшествующих дате подачи заявки Участником, с учетом правопреемственности, с приложением следующих подтве</w:t>
            </w:r>
            <w:r>
              <w:rPr>
                <w:sz w:val="18"/>
                <w:szCs w:val="18"/>
              </w:rPr>
              <w:t xml:space="preserve">рждающих документов: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95"/>
              <w:numPr>
                <w:ilvl w:val="0"/>
                <w:numId w:val="0"/>
              </w:numPr>
              <w:ind w:right="26"/>
              <w:spacing w:before="0" w:after="28" w:line="240" w:lineRule="auto"/>
              <w:tabs>
                <w:tab w:val="left" w:pos="0" w:leader="none"/>
                <w:tab w:val="left" w:pos="1559" w:leader="none"/>
                <w:tab w:val="left" w:pos="9354" w:leader="none"/>
              </w:tabs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  <w:sz w:val="18"/>
                <w:szCs w:val="18"/>
              </w:rPr>
              <w:t xml:space="preserve">- копии договоров, подписанных с обеих сторон и скрепленных </w:t>
            </w:r>
            <w:r>
              <w:rPr>
                <w:sz w:val="18"/>
                <w:szCs w:val="18"/>
              </w:rPr>
              <w:t xml:space="preserve">печатями каждой из сторон договора</w:t>
            </w:r>
            <w:r>
              <w:rPr>
                <w:rFonts w:eastAsia="Times New Roman"/>
                <w:color w:val="000000" w:themeColor="text1"/>
                <w:sz w:val="18"/>
                <w:szCs w:val="18"/>
              </w:rPr>
              <w:t xml:space="preserve">;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numPr>
                <w:ilvl w:val="7"/>
                <w:numId w:val="23"/>
              </w:numPr>
              <w:ind w:right="26"/>
              <w:jc w:val="both"/>
              <w:spacing w:before="0" w:after="2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копии актов приемки выполненных работ КС-2/ КС-3, с указанием стоимости и наименования выполненных работ</w:t>
            </w:r>
            <w:r>
              <w:rPr>
                <w:sz w:val="18"/>
                <w:szCs w:val="18"/>
              </w:rPr>
              <w:t xml:space="preserve">, подписанных с обеих сторон и скрепленных печатями каждой из сторон договора;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  <w:p>
            <w:pPr>
              <w:pStyle w:val="1195"/>
              <w:numPr>
                <w:ilvl w:val="0"/>
                <w:numId w:val="0"/>
              </w:numPr>
              <w:ind w:right="26"/>
              <w:spacing w:before="0" w:after="28" w:line="240" w:lineRule="auto"/>
              <w:tabs>
                <w:tab w:val="left" w:pos="0" w:leader="none"/>
                <w:tab w:val="left" w:pos="1559" w:leader="none"/>
                <w:tab w:val="left" w:pos="9354" w:leader="none"/>
              </w:tabs>
            </w:pPr>
            <w:r>
              <w:rPr>
                <w:rFonts w:eastAsia="Times New Roman"/>
                <w:sz w:val="18"/>
                <w:szCs w:val="18"/>
              </w:rPr>
              <w:t xml:space="preserve">- </w:t>
            </w:r>
            <w:bookmarkStart w:id="391" w:name="undefined"/>
            <w:r/>
            <w:bookmarkEnd w:id="391"/>
            <w:r>
              <w:rPr>
                <w:rFonts w:eastAsia="Times New Roman"/>
                <w:sz w:val="18"/>
                <w:szCs w:val="18"/>
              </w:rPr>
              <w:t xml:space="preserve"> и/или копии иных документов, предусмотренных требованиями договора, подтверждающих факт его исполнения, с указанием стоимости и наименования выполненных работ, подписанных с </w:t>
            </w:r>
            <w:r>
              <w:rPr>
                <w:rFonts w:eastAsia="Times New Roman"/>
                <w:sz w:val="18"/>
                <w:szCs w:val="18"/>
              </w:rPr>
              <w:t xml:space="preserve">обеих сторон и скрепленных печатями каждой из сторон договора;</w:t>
            </w:r>
            <w:r/>
          </w:p>
          <w:p>
            <w:pPr>
              <w:pStyle w:val="1195"/>
              <w:numPr>
                <w:ilvl w:val="0"/>
                <w:numId w:val="0"/>
              </w:numPr>
              <w:ind w:right="26"/>
              <w:spacing w:before="0" w:after="28" w:line="240" w:lineRule="auto"/>
              <w:tabs>
                <w:tab w:val="left" w:pos="0" w:leader="none"/>
                <w:tab w:val="left" w:pos="1559" w:leader="none"/>
                <w:tab w:val="left" w:pos="9354" w:leader="none"/>
              </w:tabs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95"/>
              <w:spacing w:before="0" w:after="28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</w:t>
            </w:r>
            <w:r>
              <w:rPr>
                <w:sz w:val="18"/>
                <w:szCs w:val="18"/>
              </w:rPr>
              <w:t xml:space="preserve">док осуществления оценки в зависимости от предоставленных в i-ой заявке сведений о наличии у Участника совокупного опыта за последние 5 лет на общую сумму: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tbl>
            <w:tblPr>
              <w:tblStyle w:val="1168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63"/>
              <w:gridCol w:w="4488"/>
            </w:tblGrid>
            <w:tr>
              <w:tblPrEx/>
              <w:trPr>
                <w:jc w:val="center"/>
                <w:trHeight w:val="208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 xml:space="preserve">Б</w:t>
                  </w:r>
                  <w:r>
                    <w:rPr>
                      <w:rFonts w:eastAsia="Calibri"/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= 0</w:t>
                  </w:r>
                  <w:r>
                    <w:rPr>
                      <w:rFonts w:eastAsia="Calibri"/>
                      <w:sz w:val="20"/>
                      <w:szCs w:val="20"/>
                    </w:rPr>
                  </w:r>
                  <w:r>
                    <w:rPr>
                      <w:rFonts w:eastAsia="Calibri"/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0" w:right="0"/>
                    <w:jc w:val="both"/>
                    <w:rPr>
                      <w:rFonts w:eastAsia="Calibri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eastAsia="Calibri"/>
                      <w:sz w:val="18"/>
                      <w:szCs w:val="18"/>
                    </w:rPr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0 % (Опыт отсутствует / либо не подтвержден) от НМЦ, без учета НДС;</w:t>
                  </w:r>
                  <w:r>
                    <w:rPr>
                      <w:rFonts w:eastAsia="Calibri"/>
                      <w:sz w:val="18"/>
                      <w:szCs w:val="18"/>
                    </w:rPr>
                  </w:r>
                  <w:r>
                    <w:rPr>
                      <w:rFonts w:eastAsia="Calibri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jc w:val="center"/>
                <w:trHeight w:val="415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ind w:hanging="7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sz w:val="18"/>
                      <w:szCs w:val="18"/>
                    </w:rPr>
                    <w:t xml:space="preserve"> = 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0" w:right="0"/>
                    <w:jc w:val="both"/>
                    <w:rPr>
                      <w:sz w:val="20"/>
                      <w:szCs w:val="20"/>
                    </w:rPr>
                    <w:suppressLineNumbers w:val="0"/>
                  </w:pPr>
                  <w:r>
                    <w:rPr>
                      <w:sz w:val="18"/>
                      <w:szCs w:val="18"/>
                    </w:rPr>
                    <w:t xml:space="preserve">более 0% от НМЦ «без учета НДС», но менее 20% от НМЦ «без учета НДС» (включительно)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jc w:val="center"/>
                <w:trHeight w:val="415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ind w:hanging="7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sz w:val="18"/>
                      <w:szCs w:val="18"/>
                    </w:rPr>
                    <w:t xml:space="preserve"> = 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0" w:right="0"/>
                    <w:jc w:val="both"/>
                    <w:rPr>
                      <w:sz w:val="20"/>
                      <w:szCs w:val="20"/>
                    </w:rPr>
                    <w:suppressLineNumbers w:val="0"/>
                  </w:pPr>
                  <w:r>
                    <w:rPr>
                      <w:sz w:val="18"/>
                      <w:szCs w:val="18"/>
                    </w:rPr>
                    <w:t xml:space="preserve">более 20% от НМЦ «без учета НДС», но менее 40% от НМЦ «без учета НДС» (включительно)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jc w:val="center"/>
                <w:trHeight w:val="415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ind w:hanging="7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sz w:val="18"/>
                      <w:szCs w:val="18"/>
                    </w:rPr>
                    <w:t xml:space="preserve">=3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0" w:right="0"/>
                    <w:jc w:val="both"/>
                    <w:rPr>
                      <w:sz w:val="20"/>
                      <w:szCs w:val="20"/>
                    </w:rPr>
                    <w:suppressLineNumbers w:val="0"/>
                  </w:pPr>
                  <w:r>
                    <w:rPr>
                      <w:sz w:val="18"/>
                      <w:szCs w:val="18"/>
                    </w:rPr>
                    <w:t xml:space="preserve">более 40% от НМЦ «без учета НДС», но менее 60% от НМЦ «без учета НДС» (вк</w:t>
                  </w:r>
                  <w:r>
                    <w:rPr>
                      <w:sz w:val="18"/>
                      <w:szCs w:val="18"/>
                    </w:rPr>
                    <w:t xml:space="preserve">лючительно)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jc w:val="center"/>
                <w:trHeight w:val="415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ind w:hanging="7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sz w:val="18"/>
                      <w:szCs w:val="18"/>
                    </w:rPr>
                    <w:t xml:space="preserve">= 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0" w:right="0"/>
                    <w:jc w:val="both"/>
                    <w:rPr>
                      <w:sz w:val="20"/>
                      <w:szCs w:val="20"/>
                    </w:rPr>
                    <w:suppressLineNumbers w:val="0"/>
                  </w:pPr>
                  <w:r>
                    <w:rPr>
                      <w:sz w:val="18"/>
                      <w:szCs w:val="18"/>
                    </w:rPr>
                    <w:t xml:space="preserve">более 60% от НМЦ «без учета НДС», но менее 80% от НМЦ «без учета НДС» (включительно)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jc w:val="center"/>
                <w:trHeight w:val="219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ind w:hanging="7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sz w:val="18"/>
                      <w:szCs w:val="18"/>
                    </w:rPr>
                    <w:t xml:space="preserve">= 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0" w:right="0"/>
                    <w:jc w:val="both"/>
                    <w:rPr>
                      <w:sz w:val="20"/>
                      <w:szCs w:val="20"/>
                    </w:rPr>
                    <w:suppressLineNumbers w:val="0"/>
                  </w:pPr>
                  <w:r>
                    <w:rPr>
                      <w:sz w:val="18"/>
                      <w:szCs w:val="18"/>
                    </w:rPr>
                    <w:t xml:space="preserve">более 80% от НМЦ «без учета НДС» и выше;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1195"/>
              <w:spacing w:before="0" w:after="0" w:line="17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95"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НМЦ–начальная (максимальная) цена договора, установленная в документации о закупке;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95"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</w:t>
            </w:r>
            <w:r>
              <w:rPr>
                <w:rFonts w:eastAsia="Calibri"/>
                <w:sz w:val="18"/>
                <w:szCs w:val="18"/>
                <w:vertAlign w:val="subscript"/>
              </w:rPr>
              <w:t xml:space="preserve">2</w:t>
            </w:r>
            <w:r>
              <w:rPr>
                <w:sz w:val="18"/>
                <w:szCs w:val="18"/>
              </w:rPr>
              <w:t xml:space="preserve"> –рассчитанная оценка предпочтительности по данному частному критерию оценки в баллах.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95"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Договоры, не соответствующие профилю выполнения аналогичных работ, не оцениваются.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95"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Шкала оценок от 0 до 5 баллов.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96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Неценовой критерий оценки первого уровня;</w:t>
            </w:r>
            <w:r>
              <w:rPr>
                <w:sz w:val="18"/>
                <w:szCs w:val="18"/>
              </w:rPr>
              <w:br/>
              <w:t xml:space="preserve">«</w:t>
            </w:r>
            <w:r>
              <w:rPr>
                <w:sz w:val="18"/>
                <w:szCs w:val="18"/>
              </w:rPr>
              <w:t xml:space="preserve">Орг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</w:t>
            </w:r>
            <w:r>
              <w:rPr>
                <w:sz w:val="18"/>
                <w:szCs w:val="18"/>
              </w:rPr>
              <w:t xml:space="preserve">инансовое состояние (устойчивость) Участника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5%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146"/>
              <w:jc w:val="center"/>
              <w:spacing w:before="40" w:after="4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(В</w:t>
            </w:r>
            <w:r>
              <w:rPr>
                <w:sz w:val="18"/>
                <w:szCs w:val="18"/>
                <w:vertAlign w:val="subscript"/>
              </w:rPr>
              <w:t xml:space="preserve">3</w:t>
            </w:r>
            <w:r>
              <w:rPr>
                <w:sz w:val="18"/>
                <w:szCs w:val="18"/>
              </w:rPr>
              <w:t xml:space="preserve">= 0,05)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4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Чем выше оценка финансового состояния (устойчивости) Участника, тем выше предпочтительность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pStyle w:val="114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оценки предпочтительности по частному критерию по методу «Оценка предпочтительности по</w:t>
            </w:r>
            <w:r>
              <w:rPr>
                <w:sz w:val="18"/>
                <w:szCs w:val="18"/>
              </w:rPr>
              <w:t xml:space="preserve">средством однозначной числовой шкалы измерений»: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осуществления оценки (значение оцениваемого параметра), в зависимости от полученного Участником (с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i</m:t>
              </m:r>
            </m:oMath>
            <w:r>
              <w:rPr>
                <w:sz w:val="18"/>
                <w:szCs w:val="18"/>
              </w:rPr>
              <w:t xml:space="preserve">-ой заявкой) значения расчетного балла (интегрального показателя финансового состояния) и установл</w:t>
            </w:r>
            <w:r>
              <w:rPr>
                <w:sz w:val="18"/>
                <w:szCs w:val="18"/>
              </w:rPr>
              <w:t xml:space="preserve">енной</w:t>
            </w:r>
            <w:r>
              <w:rPr>
                <w:sz w:val="18"/>
                <w:szCs w:val="18"/>
              </w:rPr>
              <w:t xml:space="preserve"> соответствующей характеристики его финансового состояния (кризисное / неустойчивое / устойчивое) по результатам проведенной в рамках аккредитации оценки его финансового состояния (устойчивости), при этом: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numPr>
                <w:ilvl w:val="0"/>
                <w:numId w:val="14"/>
              </w:numPr>
              <w:ind w:left="142" w:hanging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проведения оценки финансового состоян</w:t>
            </w:r>
            <w:r>
              <w:rPr>
                <w:sz w:val="18"/>
                <w:szCs w:val="18"/>
              </w:rPr>
              <w:t xml:space="preserve">ия (устойчивости) Участника установлен в Приложении 4 к Положению об аккредитации</w:t>
            </w:r>
            <w:r>
              <w:rPr>
                <w:rStyle w:val="1154"/>
                <w:sz w:val="18"/>
                <w:szCs w:val="18"/>
              </w:rPr>
              <w:footnoteReference w:id="17"/>
            </w:r>
            <w:r>
              <w:rPr>
                <w:sz w:val="18"/>
                <w:szCs w:val="18"/>
              </w:rPr>
              <w:t xml:space="preserve">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numPr>
                <w:ilvl w:val="0"/>
                <w:numId w:val="14"/>
              </w:numPr>
              <w:ind w:left="142" w:hanging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исходными данными для расчета интегрального показателя финансового состояния Участника являются сведения, опубликованные в государственном информационном ресурсе бухгалтерс</w:t>
            </w:r>
            <w:r>
              <w:rPr>
                <w:sz w:val="18"/>
                <w:szCs w:val="18"/>
              </w:rPr>
              <w:t xml:space="preserve">кой (финансовой) отчетности организаций (https://bo.nalog.ru) за предыдущий отчетный период (год) по состоянию на дату окончания срока подачи заявок.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ind w:left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Участник в соответствии с законодательством не размещает сведения о своей бухгалтерской (финансовой) </w:t>
            </w:r>
            <w:r>
              <w:rPr>
                <w:sz w:val="18"/>
                <w:szCs w:val="18"/>
              </w:rPr>
              <w:t xml:space="preserve">отчетности (по формам ОКУД 0710001, 0710002) в упомянутом государственном информационном ресурсе – оценка его финансового состояния производится на основании электронной копии бухгалтерского баланса (ОКУД 0710001) и отчета о финансовых результатах (ОКУД 07</w:t>
            </w:r>
            <w:r>
              <w:rPr>
                <w:sz w:val="18"/>
                <w:szCs w:val="18"/>
              </w:rPr>
              <w:t xml:space="preserve">10002) за последний завершенный финансовый год, с отметкой налогового органа о приеме или с приложением квитанции о приеме и (или) извещения о вводе сведений налоговым органом, представленной в составе Заявки на аккредитацию (или отдельно в составе заявки </w:t>
            </w:r>
            <w:r>
              <w:rPr>
                <w:sz w:val="18"/>
                <w:szCs w:val="18"/>
              </w:rPr>
              <w:t xml:space="preserve">на участие в закупке, если ранее при прохождении аккредитации не были представлены).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ind w:left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Участник в соответствии с законодательством формирует отчетность по формам ОКУД 0503730, 0503721 (и (или) освобожден от предоставления дополнительного экземпляра отче</w:t>
            </w:r>
            <w:r>
              <w:rPr>
                <w:sz w:val="18"/>
                <w:szCs w:val="18"/>
              </w:rPr>
              <w:t xml:space="preserve">тности для размещения на официальном сайте ФНС России) – оценка его финансового состояния производится на основании представленных в составе Заявки на аккредитацию (или отдельно в составе заявки на участие в закупке, если ранее при прохождении аккредитации</w:t>
            </w:r>
            <w:r>
              <w:rPr>
                <w:sz w:val="18"/>
                <w:szCs w:val="18"/>
              </w:rPr>
              <w:t xml:space="preserve"> не были представлены):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numPr>
                <w:ilvl w:val="0"/>
                <w:numId w:val="14"/>
              </w:numPr>
              <w:ind w:left="284" w:hanging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электронной копии бухгалтерской (финансовой) отчетности по формам ОКУД 0503730, 0503721 за последний завершенный и предшествующий ему финансовый год, с отметкой налогового органа о приеме или с приложением квитанции о приеме и (или)</w:t>
            </w:r>
            <w:r>
              <w:rPr>
                <w:sz w:val="18"/>
                <w:szCs w:val="18"/>
              </w:rPr>
              <w:t xml:space="preserve"> извещения о вводе сведений налоговым органом;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numPr>
                <w:ilvl w:val="0"/>
                <w:numId w:val="14"/>
              </w:numPr>
              <w:ind w:left="284" w:hanging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дополнительных сведений о размере всех требуемых показателей согласно данным бухгалтерской (финансовой) отчетности по установленной форме (</w:t>
            </w:r>
            <w:hyperlink w:tooltip="#Прил11_Данные_бухотчетность" w:anchor="Прил11_Данные_бухотчетность" w:history="1">
              <w:r>
                <w:rPr>
                  <w:rStyle w:val="1156"/>
                  <w:sz w:val="18"/>
                  <w:szCs w:val="18"/>
                </w:rPr>
                <w:t xml:space="preserve">Приложение № 11</w:t>
              </w:r>
            </w:hyperlink>
            <w:r>
              <w:rPr>
                <w:sz w:val="18"/>
                <w:szCs w:val="18"/>
              </w:rPr>
              <w:t xml:space="preserve">).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Оценка предпочтительности по частному критерию осуществляется в соответствии со следующей шкалой: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tbl>
            <w:tblPr>
              <w:tblStyle w:val="116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2"/>
              <w:gridCol w:w="4819"/>
            </w:tblGrid>
            <w:tr>
              <w:tblPrEx/>
              <w:trPr>
                <w:trHeight w:val="3104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</w:tcBorders>
                  <w:tcW w:w="652" w:type="dxa"/>
                  <w:textDirection w:val="lrTb"/>
                  <w:noWrap w:val="false"/>
                </w:tcPr>
                <w:p>
                  <w:pPr>
                    <w:pStyle w:val="1146"/>
                    <w:jc w:val="left"/>
                    <w:spacing w:before="40" w:after="40"/>
                    <w:rPr>
                      <w:bCs/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 w:val="0"/>
                              <w:bCs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>
                              <m:sty m:val="bi"/>
                            </m:rPr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>
                              <m:sty m:val="bi"/>
                            </m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>
                          <m:sty m:val="bi"/>
                        </m:rPr>
                        <m:t>=</m:t>
                      </m:r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>
                          <m:sty m:val="bi"/>
                        </m:rPr>
                        <m:t>0</m:t>
                      </m:r>
                    </m:oMath>
                  </m:oMathPara>
                  <w:r>
                    <w:rPr>
                      <w:bCs/>
                      <w:sz w:val="18"/>
                      <w:szCs w:val="18"/>
                    </w:rPr>
                  </w: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right w:val="none" w:color="000000" w:sz="4" w:space="0"/>
                  </w:tcBorders>
                  <w:tcW w:w="4819" w:type="dxa"/>
                  <w:textDirection w:val="lrTb"/>
                  <w:noWrap w:val="false"/>
                </w:tcPr>
                <w:p>
                  <w:pPr>
                    <w:pStyle w:val="114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результат оценки финансового состояния (устойчивости): менее 0,45 баллов – Кризисное финансовое состояние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1146"/>
                    <w:jc w:val="left"/>
                    <w:spacing w:before="40" w:after="40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 w:val="0"/>
                      <w:i/>
                      <w:iCs/>
                      <w:sz w:val="18"/>
                      <w:szCs w:val="18"/>
                    </w:rPr>
                    <w:t xml:space="preserve">или</w: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</w:p>
                <w:p>
                  <w:pPr>
                    <w:pStyle w:val="114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в случае отсутствия исходных данных для оценки финансового состояния Участника, в том числе если он является: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1146"/>
                    <w:numPr>
                      <w:ilvl w:val="0"/>
                      <w:numId w:val="14"/>
                    </w:numPr>
                    <w:ind w:left="142" w:hanging="142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вновь созданным юридическим лицом, которое на дату подачи заявки на участие в закупке в соответствии с законодательством не предоставил в налоговы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е органы бухгалтерскую (финансовую) отчетность за завершенный финансовый год;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1146"/>
                    <w:numPr>
                      <w:ilvl w:val="0"/>
                      <w:numId w:val="14"/>
                    </w:numPr>
                    <w:ind w:left="142" w:hanging="142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физическим лицом (индивидуальным предпринимателем и (или) применяющим специальный налоговый режим «Налог на профессиональный доход»), не ведущим бухгалтерскую (финансовую) отчетн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ость;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trHeight w:val="703"/>
              </w:trPr>
              <w:tc>
                <w:tcPr>
                  <w:tcBorders>
                    <w:left w:val="none" w:color="000000" w:sz="4" w:space="0"/>
                    <w:bottom w:val="single" w:color="7F7F7F" w:themeColor="text1" w:themeTint="80" w:sz="4" w:space="0"/>
                  </w:tcBorders>
                  <w:tcW w:w="652" w:type="dxa"/>
                  <w:textDirection w:val="lrTb"/>
                  <w:noWrap w:val="false"/>
                </w:tcPr>
                <w:p>
                  <w:pPr>
                    <w:pStyle w:val="114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/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/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/>
                        <m:t>=3</m:t>
                      </m:r>
                    </m:oMath>
                  </m:oMathPara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single" w:color="7F7F7F" w:themeColor="text1" w:themeTint="80" w:sz="4" w:space="0"/>
                    <w:right w:val="none" w:color="000000" w:sz="4" w:space="0"/>
                  </w:tcBorders>
                  <w:tcW w:w="4819" w:type="dxa"/>
                  <w:textDirection w:val="lrTb"/>
                  <w:noWrap w:val="false"/>
                </w:tcPr>
                <w:p>
                  <w:pPr>
                    <w:pStyle w:val="114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результат оценки финансового состояния (устойчивости): от 0,45 баллов включительно до 0,90 баллов включительно – Неустойчивое финансовое состояние;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trHeight w:val="499"/>
              </w:trPr>
              <w:tc>
                <w:tcPr>
                  <w:tcBorders>
                    <w:left w:val="none" w:color="000000" w:sz="4" w:space="0"/>
                    <w:bottom w:val="none" w:color="000000" w:sz="4" w:space="0"/>
                  </w:tcBorders>
                  <w:tcW w:w="652" w:type="dxa"/>
                  <w:textDirection w:val="lrTb"/>
                  <w:noWrap w:val="false"/>
                </w:tcPr>
                <w:p>
                  <w:pPr>
                    <w:pStyle w:val="114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/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/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/>
                        <m:t>=5</m:t>
                      </m:r>
                    </m:oMath>
                  </m:oMathPara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none" w:color="000000" w:sz="4" w:space="0"/>
                    <w:right w:val="none" w:color="000000" w:sz="4" w:space="0"/>
                  </w:tcBorders>
                  <w:tcW w:w="4819" w:type="dxa"/>
                  <w:textDirection w:val="lrTb"/>
                  <w:noWrap w:val="false"/>
                </w:tcPr>
                <w:p>
                  <w:pPr>
                    <w:pStyle w:val="114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результат оценки финансового состояния (устойчивости): более 0,90 </w:t>
                  </w:r>
                  <w:r>
                    <w:rPr>
                      <w:sz w:val="18"/>
                      <w:szCs w:val="18"/>
                    </w:rPr>
                    <w:t xml:space="preserve">баллов – Удовлетворительное финансовое состояние,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</w:tbl>
          <w:p>
            <w:pPr>
              <w:pStyle w:val="114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jc w:val="left"/>
              <w:spacing w:before="0" w:after="23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rPr/>
                    <m:t>3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рассчитанная оценка предпочтительности по частному критерию оценки в баллах.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jc w:val="left"/>
              <w:spacing w:before="0" w:after="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Шкала оценок от 0 до 5 баллов.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jc w:val="left"/>
              <w:spacing w:before="0" w:after="23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(В случае участия в закупке Генерального подрядчика – балл по данному критерию присваив</w:t>
            </w:r>
            <w:r>
              <w:rPr>
                <w:i/>
                <w:iCs/>
                <w:sz w:val="18"/>
                <w:szCs w:val="18"/>
              </w:rPr>
              <w:t xml:space="preserve">ается исходя из оценки финансового состояния Генерального подрядчика без учета субподрядчиков.</w:t>
            </w:r>
            <w:r>
              <w:rPr>
                <w:i/>
                <w:iCs/>
                <w:sz w:val="18"/>
                <w:szCs w:val="18"/>
              </w:rPr>
            </w:r>
            <w:r>
              <w:rPr>
                <w:i/>
                <w:iCs/>
                <w:sz w:val="18"/>
                <w:szCs w:val="18"/>
              </w:rPr>
            </w:r>
          </w:p>
          <w:p>
            <w:pPr>
              <w:pStyle w:val="1146"/>
              <w:jc w:val="left"/>
              <w:spacing w:before="0" w:after="23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В случае участия в закупке Коллективного участника – балл по данному критерию присваивается исходя из средневзвешенной оценки финансового состояния всех членов т</w:t>
            </w:r>
            <w:r>
              <w:rPr>
                <w:i/>
                <w:iCs/>
                <w:sz w:val="18"/>
                <w:szCs w:val="18"/>
              </w:rPr>
              <w:t xml:space="preserve">акого Коллективного участника*, где весовая значимость показателя финансового состояния (устойчивости)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(фо</w:t>
            </w:r>
            <w:r>
              <w:rPr>
                <w:i/>
                <w:iCs/>
                <w:sz w:val="18"/>
                <w:szCs w:val="18"/>
              </w:rPr>
              <w:t xml:space="preserve">рма 10) (</w:t>
            </w:r>
            <w:hyperlink w:tooltip="#Прил04_ФормыЗаявки" w:anchor="Прил04_ФормыЗаявки" w:history="1">
              <w:r>
                <w:rPr>
                  <w:rStyle w:val="1170"/>
                  <w:i/>
                  <w:iCs/>
                  <w:sz w:val="18"/>
                  <w:szCs w:val="18"/>
                </w:rPr>
                <w:t xml:space="preserve">Приложение № 4</w:t>
              </w:r>
            </w:hyperlink>
            <w:r>
              <w:rPr>
                <w:i/>
                <w:iCs/>
                <w:sz w:val="18"/>
                <w:szCs w:val="18"/>
              </w:rPr>
              <w:t xml:space="preserve">), представленному в заявке такого Коллективного участника на участие в закупке.)</w:t>
            </w:r>
            <w:r>
              <w:rPr>
                <w:i/>
                <w:iCs/>
                <w:sz w:val="18"/>
                <w:szCs w:val="18"/>
              </w:rPr>
            </w:r>
            <w:r>
              <w:rPr>
                <w:i/>
                <w:iCs/>
                <w:sz w:val="18"/>
                <w:szCs w:val="18"/>
              </w:rPr>
            </w:r>
          </w:p>
          <w:p>
            <w:pPr>
              <w:pStyle w:val="1146"/>
              <w:jc w:val="left"/>
              <w:spacing w:before="0" w:after="23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* Примечание: В случае отсутствия в отношении какого-либо члена Коллективного участника </w:t>
            </w:r>
            <w:r>
              <w:rPr>
                <w:i/>
                <w:iCs/>
                <w:sz w:val="18"/>
                <w:szCs w:val="18"/>
              </w:rPr>
              <w:t xml:space="preserve">исходных данных для оценки (в соответствии с Приложением 4 к Положению об аккредитации) его финансового состояния (устойчивости), при расчете средневзвешенной оценки Коллективного участника в отношении такого члена (в формуле) применяется значение оценки ф</w:t>
            </w:r>
            <w:r>
              <w:rPr>
                <w:i/>
                <w:iCs/>
                <w:sz w:val="18"/>
                <w:szCs w:val="18"/>
              </w:rPr>
              <w:t xml:space="preserve">инансового состояния, равное 0,00 баллов.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W w:w="5815" w:type="dxa"/>
            <w:textDirection w:val="lrTb"/>
            <w:noWrap w:val="false"/>
          </w:tcPr>
          <w:p>
            <w:pPr>
              <w:pStyle w:val="114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Итоговая оценка предпочтительности заявки: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8504" w:type="dxa"/>
            <w:textDirection w:val="lrTb"/>
            <w:noWrap w:val="false"/>
          </w:tcPr>
          <w:p>
            <w:pPr>
              <w:pStyle w:val="114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итоговой оценки предпочтительности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i</m:t>
              </m:r>
            </m:oMath>
            <w:r>
              <w:rPr>
                <w:sz w:val="18"/>
                <w:szCs w:val="18"/>
              </w:rPr>
              <w:t xml:space="preserve">-ой заявки: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jc w:val="left"/>
              <w:spacing w:before="40" w:after="40"/>
              <w:rPr>
                <w:i/>
                <w:sz w:val="18"/>
                <w:szCs w:val="18"/>
                <w:lang w:val="en-US"/>
              </w:rPr>
            </w:pPr>
            <w:r/>
            <m:oMathPara>
              <m:oMathParaPr/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rPr/>
                      <m:t>Б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rPr/>
                      <m:t>ИТОГ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rPr/>
                  <m:t>=</m:t>
                </m:r>
                <m:nary>
                  <m:naryPr>
                    <m:chr m:val="∑"/>
                    <m:grow m:val="off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1 уровень 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rPr/>
                              <m:t>k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rPr/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1 уровень 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rPr/>
                              <m:t>k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rPr/>
                  <m:t>,</m:t>
                </m:r>
              </m:oMath>
            </m:oMathPara>
            <w:r>
              <w:rPr>
                <w:i/>
                <w:sz w:val="18"/>
                <w:szCs w:val="18"/>
                <w:lang w:val="en-US"/>
              </w:rPr>
            </w:r>
            <w:r>
              <w:rPr>
                <w:i/>
                <w:sz w:val="18"/>
                <w:szCs w:val="18"/>
                <w:lang w:val="en-US"/>
              </w:rPr>
            </w:r>
          </w:p>
          <w:p>
            <w:pPr>
              <w:pStyle w:val="114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ИТОГ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рассчитанная итоговая оценка предпочтительности в баллах;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1 уровень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rPr/>
                    <m:t>k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оценка предпочтительности по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k</m:t>
              </m:r>
            </m:oMath>
            <w:r>
              <w:rPr>
                <w:sz w:val="18"/>
                <w:szCs w:val="18"/>
              </w:rPr>
              <w:t xml:space="preserve">-тому критерию оценки первого уровня в баллах;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1 уровень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rPr/>
                    <m:t>k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значимость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k</m:t>
              </m:r>
            </m:oMath>
            <w:r>
              <w:rPr>
                <w:sz w:val="18"/>
                <w:szCs w:val="18"/>
              </w:rPr>
              <w:t xml:space="preserve">-ого критерия оценки первого уровня, выраженная в диапазоне от 1% до 100% (или от 0,01 до 1,00) – вес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k</m:t>
              </m:r>
            </m:oMath>
            <w:r>
              <w:rPr>
                <w:sz w:val="18"/>
                <w:szCs w:val="18"/>
              </w:rPr>
              <w:t xml:space="preserve">-ого критерия оценки первого у</w:t>
            </w:r>
            <w:r>
              <w:rPr>
                <w:sz w:val="18"/>
                <w:szCs w:val="18"/>
              </w:rPr>
              <w:t xml:space="preserve">ровня.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146"/>
              <w:jc w:val="left"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Расчет значений баллов по частным / обобщенным критериям оценки, а также итогового балла (итоговой оценки предпочтительности) производится до четвертого знака после запятой (в соответствии с математическими правилами округления).</w:t>
            </w:r>
            <w:r>
              <w:rPr>
                <w:i/>
                <w:iCs/>
                <w:sz w:val="18"/>
                <w:szCs w:val="18"/>
              </w:rPr>
            </w:r>
            <w:r>
              <w:rPr>
                <w:i/>
                <w:iCs/>
                <w:sz w:val="18"/>
                <w:szCs w:val="18"/>
              </w:rPr>
            </w:r>
          </w:p>
        </w:tc>
      </w:tr>
    </w:tbl>
    <w:p>
      <w:pPr>
        <w:pStyle w:val="1142"/>
      </w:pPr>
      <w:r>
        <w:t xml:space="preserve">Итоговая оценка пр</w:t>
      </w:r>
      <w:r>
        <w:t xml:space="preserve">едпочтительности заявки формируется путем взвешенного суммирования (суммирования в баллах, умноженных на соответствующий коэффициент значимости критерия), производимого в рамках критериев одного уровня. Общая значимость всех критериев одного уровня на одно</w:t>
      </w:r>
      <w:r>
        <w:t xml:space="preserve">й ветке иерархии составляет 100%. Вычисление оценки предпочтительности по каждому критерию и итоговой оценки предпочтительности заявки производится с точностью до десятитысячных балла.</w:t>
      </w:r>
      <w:r/>
    </w:p>
    <w:p>
      <w:pPr>
        <w:pStyle w:val="1142"/>
      </w:pPr>
      <w:r>
        <w:t xml:space="preserve">В установленных случаях оценка и сопоставление заявок производится с уч</w:t>
      </w:r>
      <w:r>
        <w:t xml:space="preserve">етом предоставления национального режима в соответствии с порядком, предусмотренном подразделом </w:t>
      </w:r>
      <w:r>
        <w:fldChar w:fldCharType="begin"/>
      </w:r>
      <w:r>
        <w:instrText xml:space="preserve"> REF _Ref130985951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.</w:t>
      </w:r>
      <w:r/>
    </w:p>
    <w:p>
      <w:pPr>
        <w:pStyle w:val="1142"/>
      </w:pPr>
      <w:r>
        <w:t xml:space="preserve">Заявки участников (из числа успешно прошедших отборочную стади</w:t>
      </w:r>
      <w:r>
        <w:t xml:space="preserve">ю) ранжируются по количеству набранных баллов (от наибольшего к наименьшему), присвоенных заявкам по результатам оценки.</w:t>
      </w:r>
      <w:r/>
    </w:p>
    <w:p>
      <w:pPr>
        <w:pStyle w:val="1146"/>
      </w:pPr>
      <w:r/>
      <w:r/>
    </w:p>
    <w:p>
      <w:pPr>
        <w:pStyle w:val="1146"/>
        <w:sectPr>
          <w:footnotePr/>
          <w:endnotePr/>
          <w:type w:val="nextPage"/>
          <w:pgSz w:w="16838" w:h="11906" w:orient="landscape"/>
          <w:pgMar w:top="1134" w:right="538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40"/>
      </w:pPr>
      <w:r/>
      <w:bookmarkStart w:id="392" w:name="_Toc136249260"/>
      <w:r/>
      <w:bookmarkStart w:id="393" w:name="_Toc136261689"/>
      <w:r/>
      <w:bookmarkStart w:id="394" w:name="_Toc136261766"/>
      <w:r/>
      <w:bookmarkStart w:id="395" w:name="_Toc136249261"/>
      <w:r/>
      <w:bookmarkStart w:id="396" w:name="_Toc136261690"/>
      <w:r/>
      <w:bookmarkStart w:id="397" w:name="_Toc136261767"/>
      <w:r/>
      <w:bookmarkStart w:id="398" w:name="_Toc136249262"/>
      <w:r/>
      <w:bookmarkStart w:id="399" w:name="_Toc136261691"/>
      <w:r/>
      <w:bookmarkStart w:id="400" w:name="_Toc136261768"/>
      <w:r/>
      <w:bookmarkStart w:id="401" w:name="_Toc136249263"/>
      <w:r/>
      <w:bookmarkStart w:id="402" w:name="_Toc136261692"/>
      <w:r/>
      <w:bookmarkStart w:id="403" w:name="_Toc136261769"/>
      <w:r/>
      <w:bookmarkStart w:id="404" w:name="_Ref125360420"/>
      <w:r/>
      <w:bookmarkStart w:id="405" w:name="Прил09_ОбоснованиеНМЦ"/>
      <w:r/>
      <w:bookmarkStart w:id="406" w:name="_Toc228976143"/>
      <w:r/>
      <w:bookmarkEnd w:id="392"/>
      <w:r/>
      <w:bookmarkEnd w:id="393"/>
      <w:r/>
      <w:bookmarkEnd w:id="394"/>
      <w:r/>
      <w:bookmarkEnd w:id="395"/>
      <w:r/>
      <w:bookmarkEnd w:id="396"/>
      <w:r/>
      <w:bookmarkEnd w:id="397"/>
      <w:r/>
      <w:bookmarkEnd w:id="398"/>
      <w:r/>
      <w:bookmarkEnd w:id="399"/>
      <w:r/>
      <w:bookmarkEnd w:id="400"/>
      <w:r/>
      <w:bookmarkEnd w:id="401"/>
      <w:r/>
      <w:bookmarkEnd w:id="402"/>
      <w:r/>
      <w:bookmarkEnd w:id="403"/>
      <w:r>
        <w:t xml:space="preserve">Приложение № 9 – Обоснование НМЦ</w:t>
      </w:r>
      <w:bookmarkEnd w:id="404"/>
      <w:r/>
      <w:bookmarkEnd w:id="405"/>
      <w:r/>
      <w:bookmarkEnd w:id="406"/>
      <w:r/>
      <w:r/>
    </w:p>
    <w:p>
      <w:pPr>
        <w:pStyle w:val="1141"/>
      </w:pPr>
      <w:r/>
      <w:bookmarkStart w:id="407" w:name="_Toc228976144"/>
      <w:r>
        <w:t xml:space="preserve">Пояснения к Обоснованию НМЦ</w:t>
      </w:r>
      <w:bookmarkEnd w:id="407"/>
      <w:r/>
      <w:r/>
    </w:p>
    <w:p>
      <w:pPr>
        <w:pStyle w:val="1142"/>
      </w:pPr>
      <w:r>
        <w:t xml:space="preserve">Обоснование НМЦ приведено в отдельном файле (</w:t>
      </w:r>
      <w:r>
        <w:t xml:space="preserve">предоставляется отдельным документом в составе Документации о закупке), являющимся Приложением № 9 к Документации о закупке.</w:t>
      </w:r>
      <w:r/>
    </w:p>
    <w:p>
      <w:pPr>
        <w:pStyle w:val="1140"/>
      </w:pPr>
      <w:r/>
      <w:bookmarkStart w:id="408" w:name="Прил10_ЗаявкаНаАккредитацию"/>
      <w:r/>
      <w:bookmarkStart w:id="409" w:name="_Toc228976145"/>
      <w:r/>
      <w:bookmarkEnd w:id="408"/>
      <w:r>
        <w:t xml:space="preserve">Приложение № 10 – Форма Заявки на аккредитацию</w:t>
      </w:r>
      <w:bookmarkEnd w:id="409"/>
      <w:r/>
      <w:r/>
    </w:p>
    <w:p>
      <w:pPr>
        <w:pStyle w:val="1141"/>
      </w:pPr>
      <w:r/>
      <w:bookmarkStart w:id="410" w:name="_Toc228976146"/>
      <w:r>
        <w:t xml:space="preserve">Пояснения к форме Заявки на аккредитацию</w:t>
      </w:r>
      <w:bookmarkEnd w:id="410"/>
      <w:r/>
      <w:r/>
    </w:p>
    <w:p>
      <w:pPr>
        <w:pStyle w:val="1142"/>
      </w:pPr>
      <w:r>
        <w:t xml:space="preserve">Форма Заявки на аккредитацию приведена в от</w:t>
      </w:r>
      <w:r>
        <w:t xml:space="preserve">дельном файле (предоставляется отдельным документом в составе Документации о закупке), являющимся Приложением № 10 к Документации о закупке. </w:t>
      </w:r>
      <w:r/>
    </w:p>
    <w:p>
      <w:pPr>
        <w:pStyle w:val="1142"/>
      </w:pPr>
      <w:r>
        <w:t xml:space="preserve">Заявка на аккредитацию предоставляется (в установленных Документацией о закупке случаях) Участником в составе свое</w:t>
      </w:r>
      <w:r>
        <w:t xml:space="preserve">й заявки </w:t>
      </w:r>
      <w:bookmarkStart w:id="411" w:name="_Hlk207300788"/>
      <w:r>
        <w:t xml:space="preserve">только в электронном виде в 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Excel</w:t>
      </w:r>
      <w:r>
        <w:t xml:space="preserve"> (*.</w:t>
      </w:r>
      <w:r>
        <w:rPr>
          <w:lang w:val="en-US"/>
        </w:rPr>
        <w:t xml:space="preserve">xlsx</w:t>
      </w:r>
      <w:r>
        <w:t xml:space="preserve">))</w:t>
      </w:r>
      <w:bookmarkEnd w:id="411"/>
      <w:r>
        <w:t xml:space="preserve">.</w:t>
      </w:r>
      <w:r/>
    </w:p>
    <w:p>
      <w:pPr>
        <w:pStyle w:val="1146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09650" cy="638175"/>
                <wp:effectExtent l="0" t="0" r="0" b="0"/>
                <wp:docPr id="4" name="_x0000_i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">
                          <a:extLst>
                            <a:ext uri="{96DAC541-7B7A-43D3-8B79-37D633B846F1}">
                              <asvg:svgBlip xmlns:asvg="http://schemas.microsoft.com/office/drawing/2016/SVG/main" r:embed="rId21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0096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9.50pt;height:50.25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/>
    </w:p>
    <w:p>
      <w:r/>
      <w:r/>
    </w:p>
    <w:p>
      <w:pPr>
        <w:pStyle w:val="1140"/>
      </w:pPr>
      <w:r/>
      <w:bookmarkStart w:id="412" w:name="Прил11_Данные_бухотчетность"/>
      <w:r/>
      <w:bookmarkStart w:id="413" w:name="_Toc228976147"/>
      <w:r/>
      <w:bookmarkStart w:id="414" w:name="_Hlk210644436"/>
      <w:r>
        <w:t xml:space="preserve">Приложение № 11 </w:t>
      </w:r>
      <w:bookmarkEnd w:id="412"/>
      <w:r>
        <w:t xml:space="preserve">– форма Данных бухгалтерской (финансовой) отчетности</w:t>
      </w:r>
      <w:bookmarkEnd w:id="413"/>
      <w:r/>
      <w:r/>
    </w:p>
    <w:p>
      <w:pPr>
        <w:pStyle w:val="1141"/>
      </w:pPr>
      <w:r/>
      <w:bookmarkStart w:id="415" w:name="_Toc228976148"/>
      <w:r>
        <w:t xml:space="preserve">Пояснения к форме Данных бухгалтерской (финансовой) отчетности</w:t>
      </w:r>
      <w:bookmarkEnd w:id="415"/>
      <w:r>
        <w:t xml:space="preserve"> </w:t>
      </w:r>
      <w:r/>
    </w:p>
    <w:p>
      <w:pPr>
        <w:pStyle w:val="1142"/>
      </w:pPr>
      <w:r>
        <w:t xml:space="preserve">Форма Данных бухгалтерской (финансовой) отчетнос</w:t>
      </w:r>
      <w:r>
        <w:t xml:space="preserve">ти приведена в отдельном файле (предоставляется отдельным документом в составе Документации о закупке), являющимся Приложением № 11 к Документации о закупке.</w:t>
      </w:r>
      <w:r/>
    </w:p>
    <w:p>
      <w:r/>
      <w:r/>
    </w:p>
    <w:p>
      <w:pPr>
        <w:jc w:val="center"/>
      </w:pPr>
      <w:r/>
      <w:bookmarkStart w:id="416" w:name="_MON_1821256687"/>
      <w:r/>
      <w:bookmarkEnd w:id="416"/>
      <w:r/>
      <w:bookmarkStart w:id="417" w:name="_MON_1821256687"/>
      <w:r/>
      <w:bookmarkEnd w:id="417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09650" cy="638175"/>
                <wp:effectExtent l="0" t="0" r="0" b="0"/>
                <wp:docPr id="5" name="_x0000_i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">
                          <a:extLst>
                            <a:ext uri="{96DAC541-7B7A-43D3-8B79-37D633B846F1}">
                              <asvg:svgBlip xmlns:asvg="http://schemas.microsoft.com/office/drawing/2016/SVG/main" r:embed="rId23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0096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9.50pt;height:50.25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bookmarkEnd w:id="414"/>
      <w:r/>
      <w:r/>
    </w:p>
    <w:p>
      <w:pPr>
        <w:jc w:val="center"/>
      </w:pPr>
      <w:r/>
      <w:r/>
    </w:p>
    <w:sectPr>
      <w:footnotePr/>
      <w:endnotePr/>
      <w:type w:val="nextPage"/>
      <w:pgSz w:w="11906" w:h="16838" w:orient="portrait"/>
      <w:pgMar w:top="851" w:right="850" w:bottom="851" w:left="1134" w:header="567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/>
      </w:pPr>
      <w:r>
        <w:separator/>
      </w:r>
      <w:r/>
    </w:p>
  </w:endnote>
  <w:endnote w:type="continuationSeparator" w:id="0">
    <w:p>
      <w:pPr>
        <w:spacing w:before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Wingdings 3">
    <w:panose1 w:val="05040102010807070707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13905730"/>
      <w:docPartObj>
        <w:docPartGallery w:val="Page Numbers (Bottom of Page)"/>
        <w:docPartUnique w:val="true"/>
      </w:docPartObj>
      <w:rPr/>
    </w:sdtPr>
    <w:sdtContent>
      <w:p>
        <w:pPr>
          <w:pStyle w:val="1149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54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/>
      </w:pPr>
      <w:r>
        <w:separator/>
      </w:r>
      <w:r/>
    </w:p>
  </w:footnote>
  <w:footnote w:type="continuationSeparator" w:id="0">
    <w:p>
      <w:pPr>
        <w:spacing w:before="0"/>
      </w:pPr>
      <w:r>
        <w:continuationSeparator/>
      </w:r>
      <w:r/>
    </w:p>
  </w:footnote>
  <w:footnote w:id="2">
    <w:p>
      <w:pPr>
        <w:pStyle w:val="1155"/>
      </w:pPr>
      <w:r>
        <w:rPr>
          <w:rStyle w:val="1154"/>
        </w:rPr>
        <w:footnoteRef/>
      </w:r>
      <w:r>
        <w:tab/>
        <w:t xml:space="preserve">Информационной Системой ЭДО ПАО «</w:t>
      </w:r>
      <w:r>
        <w:t xml:space="preserve">РусГидро</w:t>
      </w:r>
      <w:r>
        <w:t xml:space="preserve">» является «</w:t>
      </w:r>
      <w:r>
        <w:t xml:space="preserve">Диадок</w:t>
      </w:r>
      <w:r>
        <w:t xml:space="preserve">», с оператором которой ЗАО «</w:t>
      </w:r>
      <w:r>
        <w:t xml:space="preserve">ПФ «СКБ» Контур» заключено Соглашение о переходе на юридически значимый документооборот.</w:t>
      </w:r>
      <w:r/>
    </w:p>
  </w:footnote>
  <w:footnote w:id="3">
    <w:p>
      <w:pPr>
        <w:pStyle w:val="1155"/>
      </w:pPr>
      <w:r>
        <w:rPr>
          <w:rStyle w:val="1154"/>
        </w:rPr>
        <w:footnoteRef/>
      </w:r>
      <w:r>
        <w:tab/>
        <w:t xml:space="preserve">Определенные в соответствии с Законом 422-ФЗ.</w:t>
      </w:r>
      <w:r/>
    </w:p>
  </w:footnote>
  <w:footnote w:id="4">
    <w:p>
      <w:pPr>
        <w:pStyle w:val="1155"/>
      </w:pPr>
      <w:r>
        <w:rPr>
          <w:rStyle w:val="1154"/>
        </w:rPr>
        <w:footnoteRef/>
      </w:r>
      <w:r>
        <w:tab/>
        <w:t xml:space="preserve">По решению Организатора (в соответствии с Положением </w:t>
      </w:r>
      <w:r>
        <w:t xml:space="preserve">о закупке) в протоколе могут не отражаться сведения, позволяющие идентифицировать Участников.</w:t>
      </w:r>
      <w:r/>
    </w:p>
  </w:footnote>
  <w:footnote w:id="5">
    <w:p>
      <w:pPr>
        <w:pStyle w:val="1155"/>
      </w:pPr>
      <w:r>
        <w:rPr>
          <w:rStyle w:val="1154"/>
        </w:rPr>
        <w:footnoteRef/>
      </w:r>
      <w:r>
        <w:tab/>
        <w:t xml:space="preserve">При этом отклонение заявки за отсутствие в ней документов, требующихся исключительно для целей оценки и сопоставления заявок (подраздел </w:t>
      </w:r>
      <w:r>
        <w:fldChar w:fldCharType="begin"/>
      </w:r>
      <w:r>
        <w:instrText xml:space="preserve"> REF _Ref125362626 \w \h</w:instrText>
      </w:r>
      <w:r>
        <w:instrText xml:space="preserve">  \* MERGEFORMAT </w:instrText>
      </w:r>
      <w:r>
        <w:fldChar w:fldCharType="separate"/>
      </w:r>
      <w:r>
        <w:t xml:space="preserve">4.12</w:t>
      </w:r>
      <w:r>
        <w:fldChar w:fldCharType="end"/>
      </w:r>
      <w:r>
        <w:t xml:space="preserve">), не допускается.</w:t>
      </w:r>
      <w:r/>
    </w:p>
  </w:footnote>
  <w:footnote w:id="6">
    <w:p>
      <w:pPr>
        <w:pStyle w:val="1155"/>
      </w:pPr>
      <w:r>
        <w:rPr>
          <w:rStyle w:val="1154"/>
        </w:rPr>
        <w:footnoteRef/>
      </w:r>
      <w:r>
        <w:tab/>
        <w:t xml:space="preserve">С учетом пункта </w:t>
      </w:r>
      <w:r>
        <w:fldChar w:fldCharType="begin"/>
      </w:r>
      <w:r>
        <w:instrText xml:space="preserve"> REF _Ref125365558 \w \h </w:instrText>
      </w:r>
      <w:r>
        <w:fldChar w:fldCharType="separate"/>
      </w:r>
      <w:r>
        <w:t xml:space="preserve">4.13.5</w:t>
      </w:r>
      <w:r>
        <w:fldChar w:fldCharType="end"/>
      </w:r>
      <w:r>
        <w:t xml:space="preserve">.</w:t>
      </w:r>
      <w:r/>
    </w:p>
  </w:footnote>
  <w:footnote w:id="7">
    <w:p>
      <w:pPr>
        <w:pStyle w:val="1155"/>
      </w:pPr>
      <w:r>
        <w:rPr>
          <w:rStyle w:val="1154"/>
        </w:rPr>
        <w:footnoteRef/>
      </w:r>
      <w:r>
        <w:tab/>
        <w:t xml:space="preserve">По решению Организатора (в с</w:t>
      </w:r>
      <w:r>
        <w:t xml:space="preserve">оответствии с Положением о закупке) в протоколе могут не отражаться сведения, позволяющие идентифицировать Участников.</w:t>
      </w:r>
      <w:r/>
    </w:p>
  </w:footnote>
  <w:footnote w:id="8">
    <w:p>
      <w:pPr>
        <w:pStyle w:val="1155"/>
      </w:pPr>
      <w:r>
        <w:rPr>
          <w:rStyle w:val="1154"/>
        </w:rPr>
        <w:footnoteRef/>
      </w:r>
      <w:r>
        <w:tab/>
        <w:t xml:space="preserve">В отношении предоставляемой Участником (в целях обеспечения проведения оценки его финансового состояния (устойчивости) в соответствии с</w:t>
      </w:r>
      <w:r>
        <w:t xml:space="preserve"> Положением об аккредитации) бухгалтерской (финансовой) отчетности самостоятельные исправления арифметических ошибок не допускается (все изменения в отчетность должны вноситься в установленном законодательством порядке).</w:t>
      </w:r>
      <w:r/>
    </w:p>
  </w:footnote>
  <w:footnote w:id="9">
    <w:p>
      <w:pPr>
        <w:pStyle w:val="1155"/>
        <w:rPr>
          <w:szCs w:val="22"/>
        </w:rPr>
      </w:pPr>
      <w:r>
        <w:rPr>
          <w:rStyle w:val="1154"/>
        </w:rPr>
        <w:footnoteRef/>
      </w:r>
      <w:r>
        <w:tab/>
      </w:r>
      <w:r>
        <w:rPr>
          <w:szCs w:val="22"/>
        </w:rPr>
        <w:t xml:space="preserve">Увеличение на 15% (пятнадцать процентов) итоговой стоимости заявки (цены Договора) в случае подачи им предложения о размере платы, подлежащей внесению за заключение Договора.</w:t>
      </w:r>
      <w:r>
        <w:rPr>
          <w:szCs w:val="22"/>
        </w:rPr>
      </w:r>
      <w:r>
        <w:rPr>
          <w:szCs w:val="22"/>
        </w:rPr>
      </w:r>
    </w:p>
  </w:footnote>
  <w:footnote w:id="10">
    <w:p>
      <w:pPr>
        <w:pStyle w:val="1155"/>
      </w:pPr>
      <w:r>
        <w:rPr>
          <w:rStyle w:val="1154"/>
        </w:rPr>
        <w:footnoteRef/>
      </w:r>
      <w:r>
        <w:tab/>
        <w:t xml:space="preserve">По решению Организатора (в соответствии с Положением о закупке) в протоколе мог</w:t>
      </w:r>
      <w:r>
        <w:t xml:space="preserve">ут не отражаться сведения, позволяющие идентифицировать Участников и Победителя.</w:t>
      </w:r>
      <w:r/>
    </w:p>
  </w:footnote>
  <w:footnote w:id="11">
    <w:p>
      <w:pPr>
        <w:pStyle w:val="1155"/>
      </w:pPr>
      <w:r>
        <w:rPr>
          <w:rStyle w:val="1154"/>
        </w:rPr>
        <w:footnoteRef/>
      </w:r>
      <w:r>
        <w:tab/>
        <w:t xml:space="preserve">https://minfin.gov.ru/ru/perfomance/tax_relations/policy/bankwarranty/</w:t>
      </w:r>
      <w:r/>
    </w:p>
  </w:footnote>
  <w:footnote w:id="12">
    <w:p>
      <w:pPr>
        <w:jc w:val="both"/>
        <w:rPr>
          <w:sz w:val="22"/>
        </w:rPr>
      </w:pPr>
      <w:r>
        <w:rPr>
          <w:rStyle w:val="1154"/>
        </w:rPr>
        <w:footnoteRef/>
      </w:r>
      <w:r>
        <w:t xml:space="preserve"> </w:t>
      </w:r>
      <w:r>
        <w:rPr>
          <w:sz w:val="22"/>
        </w:rPr>
        <w:t xml:space="preserve">Для Исполнительного аппарата и филиалов ПАО «</w:t>
      </w:r>
      <w:r>
        <w:rPr>
          <w:sz w:val="22"/>
        </w:rPr>
        <w:t xml:space="preserve">РусГидро</w:t>
      </w:r>
      <w:r>
        <w:rPr>
          <w:sz w:val="22"/>
        </w:rPr>
        <w:t xml:space="preserve">» — Арбитражный суд г. Москвы – в случаях, уста</w:t>
      </w:r>
      <w:r>
        <w:rPr>
          <w:sz w:val="22"/>
        </w:rPr>
        <w:t xml:space="preserve">новленных Распоряжением ПАО «</w:t>
      </w:r>
      <w:r>
        <w:rPr>
          <w:sz w:val="22"/>
        </w:rPr>
        <w:t xml:space="preserve">РусГидро</w:t>
      </w:r>
      <w:r>
        <w:rPr>
          <w:sz w:val="22"/>
        </w:rPr>
        <w:t xml:space="preserve">» от 08.10.2025 № 548р «Об условиях договорной подсудности» или иными ЛНД(А), заменяющими его.</w:t>
      </w:r>
      <w:r>
        <w:rPr>
          <w:sz w:val="22"/>
        </w:rPr>
      </w:r>
      <w:r>
        <w:rPr>
          <w:sz w:val="22"/>
        </w:rPr>
      </w:r>
    </w:p>
  </w:footnote>
  <w:footnote w:id="13">
    <w:p>
      <w:pPr>
        <w:pStyle w:val="1155"/>
      </w:pPr>
      <w:r>
        <w:rPr>
          <w:rStyle w:val="1154"/>
        </w:rPr>
        <w:footnoteRef/>
      </w:r>
      <w:r>
        <w:tab/>
        <w:t xml:space="preserve">Коллективный участник предоставляет указанные документы на каждого члена.</w:t>
      </w:r>
      <w:r/>
    </w:p>
  </w:footnote>
  <w:footnote w:id="14">
    <w:p>
      <w:pPr>
        <w:pStyle w:val="1155"/>
      </w:pPr>
      <w:r>
        <w:rPr>
          <w:rStyle w:val="1154"/>
        </w:rPr>
        <w:footnoteRef/>
      </w:r>
      <w:r>
        <w:tab/>
        <w:t xml:space="preserve">По решению Организатора (в соответствии с Поло</w:t>
      </w:r>
      <w:r>
        <w:t xml:space="preserve">жением о закупке) в протоколе могут не отражаться сведения, позволяющие идентифицировать Победителя.</w:t>
      </w:r>
      <w:r/>
    </w:p>
  </w:footnote>
  <w:footnote w:id="15">
    <w:p>
      <w:pPr>
        <w:pStyle w:val="1155"/>
      </w:pPr>
      <w:r>
        <w:rPr>
          <w:rStyle w:val="1154"/>
        </w:rPr>
        <w:footnoteRef/>
      </w:r>
      <w:r>
        <w:tab/>
      </w:r>
      <w:bookmarkStart w:id="272" w:name="_Hlk139028796"/>
      <w:r>
        <w:t xml:space="preserve">Во исполнение Указа Президента Российской Федерации от 03.05.2022 № 252 «О применении ответных специальных экономических мер в связи с недружественными д</w:t>
      </w:r>
      <w:r>
        <w:t xml:space="preserve">ействиями некоторых иностранных государств и международных организаций».</w:t>
      </w:r>
      <w:bookmarkEnd w:id="272"/>
      <w:r/>
      <w:r/>
    </w:p>
  </w:footnote>
  <w:footnote w:id="16">
    <w:p>
      <w:pPr>
        <w:pStyle w:val="1155"/>
      </w:pPr>
      <w:r>
        <w:rPr>
          <w:rStyle w:val="1154"/>
        </w:rPr>
        <w:footnoteRef/>
      </w:r>
      <w:r>
        <w:tab/>
      </w:r>
      <w:bookmarkStart w:id="273" w:name="_Hlk139028803"/>
      <w:r/>
      <w:bookmarkStart w:id="274" w:name="_Hlk139028804"/>
      <w:r>
        <w:t xml:space="preserve">Перед заключением договора Заказчик дополнительно проводит проверку Победителя (данная норма применима также в отношении Единственного участника несостоявшейся закупки, с которым пр</w:t>
      </w:r>
      <w:r>
        <w:t xml:space="preserve">инято решение о заключении договора) на основании документов, предоставляемых в соответствии с подразделом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. Если по результатам такой проверки Участник не отвеч</w:t>
      </w:r>
      <w:r>
        <w:t xml:space="preserve">ает установленным требованиям, то он утрачивает статус Победителя, а Закупочная комиссия имеет право выбрать в качестве Победителя иного Участника, занявшего следующее место в </w:t>
      </w:r>
      <w:r>
        <w:t xml:space="preserve">ранжировке</w:t>
      </w:r>
      <w:r>
        <w:t xml:space="preserve"> заявок после Победителя, из числа остальных действующих заявок.</w:t>
      </w:r>
      <w:bookmarkEnd w:id="273"/>
      <w:r/>
      <w:bookmarkEnd w:id="274"/>
      <w:r/>
      <w:r/>
    </w:p>
  </w:footnote>
  <w:footnote w:id="17">
    <w:p>
      <w:pPr>
        <w:pStyle w:val="1155"/>
      </w:pPr>
      <w:r>
        <w:rPr>
          <w:rStyle w:val="1154"/>
        </w:rPr>
        <w:footnoteRef/>
      </w:r>
      <w:r>
        <w:tab/>
        <w:t xml:space="preserve">В П</w:t>
      </w:r>
      <w:r>
        <w:t xml:space="preserve">оложении об аккредитации используется термин Заявитель.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pStyle w:val="1140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pStyle w:val="1141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2">
      <w:start w:val="1"/>
      <w:numFmt w:val="decimal"/>
      <w:pStyle w:val="1142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3">
      <w:start w:val="1"/>
      <w:numFmt w:val="russianLower"/>
      <w:pStyle w:val="1143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4">
      <w:start w:val="1"/>
      <w:numFmt w:val="bullet"/>
      <w:pStyle w:val="1144"/>
      <w:isLgl w:val="false"/>
      <w:suff w:val="tab"/>
      <w:lvlText w:val=""/>
      <w:lvlJc w:val="left"/>
      <w:pPr>
        <w:ind w:left="2268" w:hanging="567"/>
        <w:tabs>
          <w:tab w:val="num" w:pos="2268" w:leader="none"/>
        </w:tabs>
      </w:pPr>
      <w:rPr>
        <w:rFonts w:hint="default" w:ascii="Symbol" w:hAnsi="Symbol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1191"/>
      <w:isLgl w:val="false"/>
      <w:suff w:val="tab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pStyle w:val="1192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 w:cs="Times New Roman"/>
      </w:rPr>
    </w:lvl>
    <w:lvl w:ilvl="5">
      <w:start w:val="1"/>
      <w:numFmt w:val="none"/>
      <w:lvlRestart w:val="3"/>
      <w:pStyle w:val="119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1194"/>
      <w:isLgl w:val="fals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1195"/>
      <w:isLgl w:val="fals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705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34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1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8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3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0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7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465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pStyle w:val="1183"/>
      <w:isLgl w:val="false"/>
      <w:suff w:val="tab"/>
      <w:lvlText w:val="%1."/>
      <w:lvlJc w:val="left"/>
      <w:pPr>
        <w:ind w:left="0" w:firstLine="0"/>
        <w:tabs>
          <w:tab w:val="num" w:pos="851" w:leader="none"/>
        </w:tabs>
      </w:pPr>
      <w:rPr>
        <w:rFonts w:hint="default"/>
      </w:rPr>
    </w:lvl>
    <w:lvl w:ilvl="1">
      <w:start w:val="1"/>
      <w:numFmt w:val="decimal"/>
      <w:pStyle w:val="1184"/>
      <w:isLgl w:val="false"/>
      <w:suff w:val="tab"/>
      <w:lvlText w:val="%1.%2."/>
      <w:lvlJc w:val="left"/>
      <w:pPr>
        <w:ind w:left="1418" w:hanging="1418"/>
      </w:pPr>
      <w:rPr>
        <w:rFonts w:hint="default" w:ascii="Times New Roman" w:hAnsi="Times New Roman" w:cs="Times New Roman"/>
        <w:b/>
        <w:bCs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89"/>
      <w:isLgl w:val="false"/>
      <w:suff w:val="tab"/>
      <w:lvlText w:val="%1.%2.%3."/>
      <w:lvlJc w:val="left"/>
      <w:pPr>
        <w:ind w:left="1418" w:hanging="1418"/>
        <w:tabs>
          <w:tab w:val="num" w:pos="1701" w:leader="none"/>
        </w:tabs>
      </w:pPr>
      <w:rPr>
        <w:rFonts w:hint="default"/>
        <w:b w:val="0"/>
        <w:bCs/>
        <w:sz w:val="28"/>
        <w:szCs w:val="28"/>
      </w:rPr>
    </w:lvl>
    <w:lvl w:ilvl="3">
      <w:start w:val="1"/>
      <w:numFmt w:val="decimal"/>
      <w:pStyle w:val="1186"/>
      <w:isLgl w:val="false"/>
      <w:suff w:val="tab"/>
      <w:lvlText w:val="%1.%2.%3.%4."/>
      <w:lvlJc w:val="left"/>
      <w:pPr>
        <w:ind w:left="1418" w:hanging="1418"/>
        <w:tabs>
          <w:tab w:val="num" w:pos="1701" w:leader="none"/>
        </w:tabs>
      </w:pPr>
      <w:rPr>
        <w:rFonts w:hint="default" w:ascii="Times New Roman" w:hAnsi="Times New Roman" w:cs="Times New Roman"/>
        <w:b w:val="0"/>
        <w:bCs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russianLower"/>
      <w:pStyle w:val="1185"/>
      <w:isLgl w:val="false"/>
      <w:suff w:val="tab"/>
      <w:lvlText w:val="%5)"/>
      <w:lvlJc w:val="left"/>
      <w:pPr>
        <w:ind w:left="1985" w:hanging="567"/>
        <w:tabs>
          <w:tab w:val="num" w:pos="1985" w:leader="none"/>
        </w:tabs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5">
      <w:start w:val="1"/>
      <w:numFmt w:val="bullet"/>
      <w:pStyle w:val="1188"/>
      <w:isLgl w:val="false"/>
      <w:suff w:val="tab"/>
      <w:lvlText w:val=""/>
      <w:lvlJc w:val="left"/>
      <w:pPr>
        <w:ind w:left="1985" w:hanging="567"/>
        <w:tabs>
          <w:tab w:val="num" w:pos="1985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ind w:left="1701" w:hanging="567"/>
        <w:tabs>
          <w:tab w:val="num" w:pos="0" w:leader="none"/>
        </w:tabs>
      </w:p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1134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701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134" w:firstLine="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70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4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1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8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3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0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7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465" w:hanging="180"/>
      </w:pPr>
    </w:lvl>
  </w:abstractNum>
  <w:abstractNum w:abstractNumId="2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91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78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3"/>
  </w:num>
  <w:num w:numId="5">
    <w:abstractNumId w:val="16"/>
  </w:num>
  <w:num w:numId="6">
    <w:abstractNumId w:val="18"/>
  </w:num>
  <w:num w:numId="7">
    <w:abstractNumId w:val="15"/>
  </w:num>
  <w:num w:numId="8">
    <w:abstractNumId w:val="12"/>
  </w:num>
  <w:num w:numId="9">
    <w:abstractNumId w:val="14"/>
  </w:num>
  <w:num w:numId="10">
    <w:abstractNumId w:val="7"/>
  </w:num>
  <w:num w:numId="11">
    <w:abstractNumId w:val="11"/>
  </w:num>
  <w:num w:numId="12">
    <w:abstractNumId w:val="19"/>
  </w:num>
  <w:num w:numId="13">
    <w:abstractNumId w:val="6"/>
  </w:num>
  <w:num w:numId="14">
    <w:abstractNumId w:val="13"/>
  </w:num>
  <w:num w:numId="15">
    <w:abstractNumId w:val="20"/>
  </w:num>
  <w:num w:numId="16">
    <w:abstractNumId w:val="1"/>
  </w:num>
  <w:num w:numId="17">
    <w:abstractNumId w:val="22"/>
  </w:num>
  <w:num w:numId="18">
    <w:abstractNumId w:val="9"/>
  </w:num>
  <w:num w:numId="19">
    <w:abstractNumId w:val="21"/>
  </w:num>
  <w:num w:numId="20">
    <w:abstractNumId w:val="5"/>
  </w:num>
  <w:num w:numId="21">
    <w:abstractNumId w:val="8"/>
  </w:num>
  <w:num w:numId="22">
    <w:abstractNumId w:val="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formatting="1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6"/>
        <w:szCs w:val="22"/>
        <w:lang w:val="ru-RU" w:eastAsia="en-US" w:bidi="ar-SA"/>
      </w:rPr>
    </w:rPrDefault>
    <w:pPrDefault>
      <w:pPr>
        <w:spacing w:before="120" w:beforeAutospacing="0" w:after="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59">
    <w:name w:val="Heading 1 Char"/>
    <w:basedOn w:val="984"/>
    <w:link w:val="975"/>
    <w:uiPriority w:val="9"/>
    <w:rPr>
      <w:rFonts w:ascii="Arial" w:hAnsi="Arial" w:eastAsia="Arial" w:cs="Arial"/>
      <w:sz w:val="40"/>
      <w:szCs w:val="40"/>
    </w:rPr>
  </w:style>
  <w:style w:type="character" w:styleId="960">
    <w:name w:val="Heading 2 Char"/>
    <w:basedOn w:val="984"/>
    <w:link w:val="976"/>
    <w:uiPriority w:val="9"/>
    <w:rPr>
      <w:rFonts w:ascii="Arial" w:hAnsi="Arial" w:eastAsia="Arial" w:cs="Arial"/>
      <w:sz w:val="34"/>
    </w:rPr>
  </w:style>
  <w:style w:type="character" w:styleId="961">
    <w:name w:val="Heading 3 Char"/>
    <w:basedOn w:val="984"/>
    <w:link w:val="977"/>
    <w:uiPriority w:val="9"/>
    <w:rPr>
      <w:rFonts w:ascii="Arial" w:hAnsi="Arial" w:eastAsia="Arial" w:cs="Arial"/>
      <w:sz w:val="30"/>
      <w:szCs w:val="30"/>
    </w:rPr>
  </w:style>
  <w:style w:type="character" w:styleId="962">
    <w:name w:val="Heading 4 Char"/>
    <w:basedOn w:val="984"/>
    <w:link w:val="978"/>
    <w:uiPriority w:val="9"/>
    <w:rPr>
      <w:rFonts w:ascii="Arial" w:hAnsi="Arial" w:eastAsia="Arial" w:cs="Arial"/>
      <w:b/>
      <w:bCs/>
      <w:sz w:val="26"/>
      <w:szCs w:val="26"/>
    </w:rPr>
  </w:style>
  <w:style w:type="character" w:styleId="963">
    <w:name w:val="Heading 5 Char"/>
    <w:basedOn w:val="984"/>
    <w:link w:val="979"/>
    <w:uiPriority w:val="9"/>
    <w:rPr>
      <w:rFonts w:ascii="Arial" w:hAnsi="Arial" w:eastAsia="Arial" w:cs="Arial"/>
      <w:b/>
      <w:bCs/>
      <w:sz w:val="24"/>
      <w:szCs w:val="24"/>
    </w:rPr>
  </w:style>
  <w:style w:type="character" w:styleId="964">
    <w:name w:val="Heading 6 Char"/>
    <w:basedOn w:val="984"/>
    <w:link w:val="980"/>
    <w:uiPriority w:val="9"/>
    <w:rPr>
      <w:rFonts w:ascii="Arial" w:hAnsi="Arial" w:eastAsia="Arial" w:cs="Arial"/>
      <w:b/>
      <w:bCs/>
      <w:sz w:val="22"/>
      <w:szCs w:val="22"/>
    </w:rPr>
  </w:style>
  <w:style w:type="character" w:styleId="965">
    <w:name w:val="Heading 7 Char"/>
    <w:basedOn w:val="984"/>
    <w:link w:val="9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66">
    <w:name w:val="Heading 8 Char"/>
    <w:basedOn w:val="984"/>
    <w:link w:val="982"/>
    <w:uiPriority w:val="9"/>
    <w:rPr>
      <w:rFonts w:ascii="Arial" w:hAnsi="Arial" w:eastAsia="Arial" w:cs="Arial"/>
      <w:i/>
      <w:iCs/>
      <w:sz w:val="22"/>
      <w:szCs w:val="22"/>
    </w:rPr>
  </w:style>
  <w:style w:type="character" w:styleId="967">
    <w:name w:val="Heading 9 Char"/>
    <w:basedOn w:val="984"/>
    <w:link w:val="983"/>
    <w:uiPriority w:val="9"/>
    <w:rPr>
      <w:rFonts w:ascii="Arial" w:hAnsi="Arial" w:eastAsia="Arial" w:cs="Arial"/>
      <w:i/>
      <w:iCs/>
      <w:sz w:val="21"/>
      <w:szCs w:val="21"/>
    </w:rPr>
  </w:style>
  <w:style w:type="character" w:styleId="968">
    <w:name w:val="Title Char"/>
    <w:basedOn w:val="984"/>
    <w:link w:val="997"/>
    <w:uiPriority w:val="10"/>
    <w:rPr>
      <w:sz w:val="48"/>
      <w:szCs w:val="48"/>
    </w:rPr>
  </w:style>
  <w:style w:type="character" w:styleId="969">
    <w:name w:val="Subtitle Char"/>
    <w:basedOn w:val="984"/>
    <w:link w:val="999"/>
    <w:uiPriority w:val="11"/>
    <w:rPr>
      <w:sz w:val="24"/>
      <w:szCs w:val="24"/>
    </w:rPr>
  </w:style>
  <w:style w:type="character" w:styleId="970">
    <w:name w:val="Quote Char"/>
    <w:link w:val="1001"/>
    <w:uiPriority w:val="29"/>
    <w:rPr>
      <w:i/>
    </w:rPr>
  </w:style>
  <w:style w:type="character" w:styleId="971">
    <w:name w:val="Intense Quote Char"/>
    <w:link w:val="1003"/>
    <w:uiPriority w:val="30"/>
    <w:rPr>
      <w:i/>
    </w:rPr>
  </w:style>
  <w:style w:type="character" w:styleId="972">
    <w:name w:val="Caption Char"/>
    <w:basedOn w:val="984"/>
    <w:link w:val="1007"/>
    <w:uiPriority w:val="35"/>
    <w:rPr>
      <w:b/>
      <w:bCs/>
      <w:color w:val="4f81bd" w:themeColor="accent1"/>
      <w:sz w:val="18"/>
      <w:szCs w:val="18"/>
    </w:rPr>
  </w:style>
  <w:style w:type="character" w:styleId="973">
    <w:name w:val="Endnote Text Char"/>
    <w:link w:val="1135"/>
    <w:uiPriority w:val="99"/>
    <w:rPr>
      <w:sz w:val="20"/>
    </w:rPr>
  </w:style>
  <w:style w:type="paragraph" w:styleId="974" w:default="1">
    <w:name w:val="Normal"/>
    <w:qFormat/>
  </w:style>
  <w:style w:type="paragraph" w:styleId="975">
    <w:name w:val="Heading 1"/>
    <w:basedOn w:val="974"/>
    <w:next w:val="974"/>
    <w:link w:val="9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76">
    <w:name w:val="Heading 2"/>
    <w:basedOn w:val="974"/>
    <w:next w:val="974"/>
    <w:link w:val="9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77">
    <w:name w:val="Heading 3"/>
    <w:basedOn w:val="974"/>
    <w:next w:val="974"/>
    <w:link w:val="9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78">
    <w:name w:val="Heading 4"/>
    <w:basedOn w:val="974"/>
    <w:next w:val="974"/>
    <w:link w:val="9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Cs w:val="26"/>
    </w:rPr>
  </w:style>
  <w:style w:type="paragraph" w:styleId="979">
    <w:name w:val="Heading 5"/>
    <w:basedOn w:val="974"/>
    <w:next w:val="974"/>
    <w:link w:val="9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980">
    <w:name w:val="Heading 6"/>
    <w:basedOn w:val="974"/>
    <w:next w:val="974"/>
    <w:link w:val="9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981">
    <w:name w:val="Heading 7"/>
    <w:basedOn w:val="974"/>
    <w:next w:val="974"/>
    <w:link w:val="9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982">
    <w:name w:val="Heading 8"/>
    <w:basedOn w:val="974"/>
    <w:next w:val="974"/>
    <w:link w:val="9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983">
    <w:name w:val="Heading 9"/>
    <w:basedOn w:val="974"/>
    <w:next w:val="974"/>
    <w:link w:val="9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84" w:default="1">
    <w:name w:val="Default Paragraph Font"/>
    <w:uiPriority w:val="1"/>
    <w:semiHidden/>
    <w:unhideWhenUsed/>
  </w:style>
  <w:style w:type="table" w:styleId="9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86" w:default="1">
    <w:name w:val="No List"/>
    <w:uiPriority w:val="99"/>
    <w:semiHidden/>
    <w:unhideWhenUsed/>
  </w:style>
  <w:style w:type="character" w:styleId="987" w:customStyle="1">
    <w:name w:val="Заголовок 1 Знак"/>
    <w:basedOn w:val="984"/>
    <w:link w:val="975"/>
    <w:uiPriority w:val="9"/>
    <w:rPr>
      <w:rFonts w:ascii="Arial" w:hAnsi="Arial" w:eastAsia="Arial" w:cs="Arial"/>
      <w:sz w:val="40"/>
      <w:szCs w:val="40"/>
    </w:rPr>
  </w:style>
  <w:style w:type="character" w:styleId="988" w:customStyle="1">
    <w:name w:val="Заголовок 2 Знак"/>
    <w:basedOn w:val="984"/>
    <w:link w:val="976"/>
    <w:uiPriority w:val="9"/>
    <w:rPr>
      <w:rFonts w:ascii="Arial" w:hAnsi="Arial" w:eastAsia="Arial" w:cs="Arial"/>
      <w:sz w:val="34"/>
    </w:rPr>
  </w:style>
  <w:style w:type="character" w:styleId="989" w:customStyle="1">
    <w:name w:val="Заголовок 3 Знак"/>
    <w:basedOn w:val="984"/>
    <w:link w:val="977"/>
    <w:uiPriority w:val="9"/>
    <w:rPr>
      <w:rFonts w:ascii="Arial" w:hAnsi="Arial" w:eastAsia="Arial" w:cs="Arial"/>
      <w:sz w:val="30"/>
      <w:szCs w:val="30"/>
    </w:rPr>
  </w:style>
  <w:style w:type="character" w:styleId="990" w:customStyle="1">
    <w:name w:val="Заголовок 4 Знак"/>
    <w:basedOn w:val="984"/>
    <w:link w:val="978"/>
    <w:uiPriority w:val="9"/>
    <w:rPr>
      <w:rFonts w:ascii="Arial" w:hAnsi="Arial" w:eastAsia="Arial" w:cs="Arial"/>
      <w:b/>
      <w:bCs/>
      <w:sz w:val="26"/>
      <w:szCs w:val="26"/>
    </w:rPr>
  </w:style>
  <w:style w:type="character" w:styleId="991" w:customStyle="1">
    <w:name w:val="Заголовок 5 Знак"/>
    <w:basedOn w:val="984"/>
    <w:link w:val="979"/>
    <w:uiPriority w:val="9"/>
    <w:rPr>
      <w:rFonts w:ascii="Arial" w:hAnsi="Arial" w:eastAsia="Arial" w:cs="Arial"/>
      <w:b/>
      <w:bCs/>
      <w:sz w:val="24"/>
      <w:szCs w:val="24"/>
    </w:rPr>
  </w:style>
  <w:style w:type="character" w:styleId="992" w:customStyle="1">
    <w:name w:val="Заголовок 6 Знак"/>
    <w:basedOn w:val="984"/>
    <w:link w:val="980"/>
    <w:uiPriority w:val="9"/>
    <w:rPr>
      <w:rFonts w:ascii="Arial" w:hAnsi="Arial" w:eastAsia="Arial" w:cs="Arial"/>
      <w:b/>
      <w:bCs/>
      <w:sz w:val="22"/>
      <w:szCs w:val="22"/>
    </w:rPr>
  </w:style>
  <w:style w:type="character" w:styleId="993" w:customStyle="1">
    <w:name w:val="Заголовок 7 Знак"/>
    <w:basedOn w:val="984"/>
    <w:link w:val="9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94" w:customStyle="1">
    <w:name w:val="Заголовок 8 Знак"/>
    <w:basedOn w:val="984"/>
    <w:link w:val="982"/>
    <w:uiPriority w:val="9"/>
    <w:rPr>
      <w:rFonts w:ascii="Arial" w:hAnsi="Arial" w:eastAsia="Arial" w:cs="Arial"/>
      <w:i/>
      <w:iCs/>
      <w:sz w:val="22"/>
      <w:szCs w:val="22"/>
    </w:rPr>
  </w:style>
  <w:style w:type="character" w:styleId="995" w:customStyle="1">
    <w:name w:val="Заголовок 9 Знак"/>
    <w:basedOn w:val="984"/>
    <w:link w:val="983"/>
    <w:uiPriority w:val="9"/>
    <w:rPr>
      <w:rFonts w:ascii="Arial" w:hAnsi="Arial" w:eastAsia="Arial" w:cs="Arial"/>
      <w:i/>
      <w:iCs/>
      <w:sz w:val="21"/>
      <w:szCs w:val="21"/>
    </w:rPr>
  </w:style>
  <w:style w:type="paragraph" w:styleId="996">
    <w:name w:val="No Spacing"/>
    <w:uiPriority w:val="1"/>
    <w:qFormat/>
    <w:pPr>
      <w:spacing w:before="0"/>
    </w:pPr>
  </w:style>
  <w:style w:type="paragraph" w:styleId="997">
    <w:name w:val="Title"/>
    <w:basedOn w:val="974"/>
    <w:next w:val="974"/>
    <w:link w:val="9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98" w:customStyle="1">
    <w:name w:val="Заголовок Знак"/>
    <w:basedOn w:val="984"/>
    <w:link w:val="997"/>
    <w:uiPriority w:val="10"/>
    <w:rPr>
      <w:sz w:val="48"/>
      <w:szCs w:val="48"/>
    </w:rPr>
  </w:style>
  <w:style w:type="paragraph" w:styleId="999">
    <w:name w:val="Subtitle"/>
    <w:basedOn w:val="974"/>
    <w:next w:val="974"/>
    <w:link w:val="1000"/>
    <w:uiPriority w:val="11"/>
    <w:qFormat/>
    <w:pPr>
      <w:spacing w:before="200" w:after="200"/>
    </w:pPr>
    <w:rPr>
      <w:sz w:val="24"/>
      <w:szCs w:val="24"/>
    </w:rPr>
  </w:style>
  <w:style w:type="character" w:styleId="1000" w:customStyle="1">
    <w:name w:val="Подзаголовок Знак"/>
    <w:basedOn w:val="984"/>
    <w:link w:val="999"/>
    <w:uiPriority w:val="11"/>
    <w:rPr>
      <w:sz w:val="24"/>
      <w:szCs w:val="24"/>
    </w:rPr>
  </w:style>
  <w:style w:type="paragraph" w:styleId="1001">
    <w:name w:val="Quote"/>
    <w:basedOn w:val="974"/>
    <w:next w:val="974"/>
    <w:link w:val="1002"/>
    <w:uiPriority w:val="29"/>
    <w:qFormat/>
    <w:pPr>
      <w:ind w:left="720" w:right="720"/>
    </w:pPr>
    <w:rPr>
      <w:i/>
    </w:rPr>
  </w:style>
  <w:style w:type="character" w:styleId="1002" w:customStyle="1">
    <w:name w:val="Цитата 2 Знак"/>
    <w:link w:val="1001"/>
    <w:uiPriority w:val="29"/>
    <w:rPr>
      <w:i/>
    </w:rPr>
  </w:style>
  <w:style w:type="paragraph" w:styleId="1003">
    <w:name w:val="Intense Quote"/>
    <w:basedOn w:val="974"/>
    <w:next w:val="974"/>
    <w:link w:val="10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04" w:customStyle="1">
    <w:name w:val="Выделенная цитата Знак"/>
    <w:link w:val="1003"/>
    <w:uiPriority w:val="30"/>
    <w:rPr>
      <w:i/>
    </w:rPr>
  </w:style>
  <w:style w:type="character" w:styleId="1005" w:customStyle="1">
    <w:name w:val="Header Char"/>
    <w:basedOn w:val="984"/>
    <w:uiPriority w:val="99"/>
  </w:style>
  <w:style w:type="character" w:styleId="1006" w:customStyle="1">
    <w:name w:val="Footer Char"/>
    <w:basedOn w:val="984"/>
    <w:uiPriority w:val="99"/>
  </w:style>
  <w:style w:type="paragraph" w:styleId="1007">
    <w:name w:val="Caption"/>
    <w:basedOn w:val="974"/>
    <w:next w:val="974"/>
    <w:link w:val="100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1008" w:customStyle="1">
    <w:name w:val="Название объекта Знак"/>
    <w:basedOn w:val="984"/>
    <w:link w:val="1007"/>
    <w:uiPriority w:val="35"/>
    <w:rPr>
      <w:b/>
      <w:bCs/>
      <w:color w:val="4472c4" w:themeColor="accent1"/>
      <w:sz w:val="18"/>
      <w:szCs w:val="18"/>
    </w:rPr>
  </w:style>
  <w:style w:type="table" w:styleId="1009" w:customStyle="1">
    <w:name w:val="Table Grid Light"/>
    <w:basedOn w:val="98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10">
    <w:name w:val="Plain Table 1"/>
    <w:basedOn w:val="98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1">
    <w:name w:val="Plain Table 2"/>
    <w:basedOn w:val="98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2">
    <w:name w:val="Plain Table 3"/>
    <w:basedOn w:val="98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13">
    <w:name w:val="Plain Table 4"/>
    <w:basedOn w:val="98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4">
    <w:name w:val="Plain Table 5"/>
    <w:basedOn w:val="98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15">
    <w:name w:val="Grid Table 1 Light"/>
    <w:basedOn w:val="98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6" w:customStyle="1">
    <w:name w:val="Grid Table 1 Light - Accent 1"/>
    <w:basedOn w:val="985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 w:customStyle="1">
    <w:name w:val="Grid Table 1 Light - Accent 2"/>
    <w:basedOn w:val="98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 w:customStyle="1">
    <w:name w:val="Grid Table 1 Light - Accent 3"/>
    <w:basedOn w:val="98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Grid Table 1 Light - Accent 4"/>
    <w:basedOn w:val="98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Grid Table 1 Light - Accent 5"/>
    <w:basedOn w:val="985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Grid Table 1 Light - Accent 6"/>
    <w:basedOn w:val="98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>
    <w:name w:val="Grid Table 2"/>
    <w:basedOn w:val="98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 w:customStyle="1">
    <w:name w:val="Grid Table 2 - Accent 1"/>
    <w:basedOn w:val="985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 w:customStyle="1">
    <w:name w:val="Grid Table 2 - Accent 2"/>
    <w:basedOn w:val="98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 w:customStyle="1">
    <w:name w:val="Grid Table 2 - Accent 3"/>
    <w:basedOn w:val="98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Grid Table 2 - Accent 4"/>
    <w:basedOn w:val="98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Grid Table 2 - Accent 5"/>
    <w:basedOn w:val="985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Grid Table 2 - Accent 6"/>
    <w:basedOn w:val="98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>
    <w:name w:val="Grid Table 3"/>
    <w:basedOn w:val="98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Grid Table 3 - Accent 1"/>
    <w:basedOn w:val="985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 w:customStyle="1">
    <w:name w:val="Grid Table 3 - Accent 2"/>
    <w:basedOn w:val="98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Grid Table 3 - Accent 3"/>
    <w:basedOn w:val="98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Grid Table 3 - Accent 4"/>
    <w:basedOn w:val="985"/>
    <w:link w:val="1195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Grid Table 3 - Accent 5"/>
    <w:basedOn w:val="985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Grid Table 3 - Accent 6"/>
    <w:basedOn w:val="98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>
    <w:name w:val="Grid Table 4"/>
    <w:basedOn w:val="98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37" w:customStyle="1">
    <w:name w:val="Grid Table 4 - Accent 1"/>
    <w:basedOn w:val="985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1038" w:customStyle="1">
    <w:name w:val="Grid Table 4 - Accent 2"/>
    <w:basedOn w:val="98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039" w:customStyle="1">
    <w:name w:val="Grid Table 4 - Accent 3"/>
    <w:basedOn w:val="98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040" w:customStyle="1">
    <w:name w:val="Grid Table 4 - Accent 4"/>
    <w:basedOn w:val="98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041" w:customStyle="1">
    <w:name w:val="Grid Table 4 - Accent 5"/>
    <w:basedOn w:val="985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1042" w:customStyle="1">
    <w:name w:val="Grid Table 4 - Accent 6"/>
    <w:basedOn w:val="98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43">
    <w:name w:val="Grid Table 5 Dark"/>
    <w:basedOn w:val="9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44" w:customStyle="1">
    <w:name w:val="Grid Table 5 Dark- Accent 1"/>
    <w:basedOn w:val="9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1045" w:customStyle="1">
    <w:name w:val="Grid Table 5 Dark - Accent 2"/>
    <w:basedOn w:val="9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046" w:customStyle="1">
    <w:name w:val="Grid Table 5 Dark - Accent 3"/>
    <w:basedOn w:val="9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047" w:customStyle="1">
    <w:name w:val="Grid Table 5 Dark- Accent 4"/>
    <w:basedOn w:val="9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048" w:customStyle="1">
    <w:name w:val="Grid Table 5 Dark - Accent 5"/>
    <w:basedOn w:val="9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1049" w:customStyle="1">
    <w:name w:val="Grid Table 5 Dark - Accent 6"/>
    <w:basedOn w:val="9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50">
    <w:name w:val="Grid Table 6 Colorful"/>
    <w:basedOn w:val="98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51" w:customStyle="1">
    <w:name w:val="Grid Table 6 Colorful - Accent 1"/>
    <w:basedOn w:val="985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1052" w:customStyle="1">
    <w:name w:val="Grid Table 6 Colorful - Accent 2"/>
    <w:basedOn w:val="98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53" w:customStyle="1">
    <w:name w:val="Grid Table 6 Colorful - Accent 3"/>
    <w:basedOn w:val="98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54" w:customStyle="1">
    <w:name w:val="Grid Table 6 Colorful - Accent 4"/>
    <w:basedOn w:val="98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55" w:customStyle="1">
    <w:name w:val="Grid Table 6 Colorful - Accent 5"/>
    <w:basedOn w:val="985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056" w:customStyle="1">
    <w:name w:val="Grid Table 6 Colorful - Accent 6"/>
    <w:basedOn w:val="98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057">
    <w:name w:val="Grid Table 7 Colorful"/>
    <w:basedOn w:val="98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8" w:customStyle="1">
    <w:name w:val="Grid Table 7 Colorful - Accent 1"/>
    <w:basedOn w:val="985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9" w:customStyle="1">
    <w:name w:val="Grid Table 7 Colorful - Accent 2"/>
    <w:basedOn w:val="98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0" w:customStyle="1">
    <w:name w:val="Grid Table 7 Colorful - Accent 3"/>
    <w:basedOn w:val="98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1" w:customStyle="1">
    <w:name w:val="Grid Table 7 Colorful - Accent 4"/>
    <w:basedOn w:val="98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2" w:customStyle="1">
    <w:name w:val="Grid Table 7 Colorful - Accent 5"/>
    <w:basedOn w:val="985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Grid Table 7 Colorful - Accent 6"/>
    <w:basedOn w:val="98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>
    <w:name w:val="List Table 1 Light"/>
    <w:basedOn w:val="98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 w:customStyle="1">
    <w:name w:val="List Table 1 Light - Accent 1"/>
    <w:basedOn w:val="985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List Table 1 Light - Accent 2"/>
    <w:basedOn w:val="985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List Table 1 Light - Accent 3"/>
    <w:basedOn w:val="985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List Table 1 Light - Accent 4"/>
    <w:basedOn w:val="985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List Table 1 Light - Accent 5"/>
    <w:basedOn w:val="985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List Table 1 Light - Accent 6"/>
    <w:basedOn w:val="985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>
    <w:name w:val="List Table 2"/>
    <w:basedOn w:val="98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72" w:customStyle="1">
    <w:name w:val="List Table 2 - Accent 1"/>
    <w:basedOn w:val="985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1073" w:customStyle="1">
    <w:name w:val="List Table 2 - Accent 2"/>
    <w:basedOn w:val="98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74" w:customStyle="1">
    <w:name w:val="List Table 2 - Accent 3"/>
    <w:basedOn w:val="98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75" w:customStyle="1">
    <w:name w:val="List Table 2 - Accent 4"/>
    <w:basedOn w:val="98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76" w:customStyle="1">
    <w:name w:val="List Table 2 - Accent 5"/>
    <w:basedOn w:val="985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1077" w:customStyle="1">
    <w:name w:val="List Table 2 - Accent 6"/>
    <w:basedOn w:val="98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78">
    <w:name w:val="List Table 3"/>
    <w:basedOn w:val="98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9" w:customStyle="1">
    <w:name w:val="List Table 3 - Accent 1"/>
    <w:basedOn w:val="985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0" w:customStyle="1">
    <w:name w:val="List Table 3 - Accent 2"/>
    <w:basedOn w:val="98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1" w:customStyle="1">
    <w:name w:val="List Table 3 - Accent 3"/>
    <w:basedOn w:val="98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2" w:customStyle="1">
    <w:name w:val="List Table 3 - Accent 4"/>
    <w:basedOn w:val="98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3" w:customStyle="1">
    <w:name w:val="List Table 3 - Accent 5"/>
    <w:basedOn w:val="985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 w:customStyle="1">
    <w:name w:val="List Table 3 - Accent 6"/>
    <w:basedOn w:val="98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>
    <w:name w:val="List Table 4"/>
    <w:basedOn w:val="98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 w:customStyle="1">
    <w:name w:val="List Table 4 - Accent 1"/>
    <w:basedOn w:val="985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 w:customStyle="1">
    <w:name w:val="List Table 4 - Accent 2"/>
    <w:basedOn w:val="98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 w:customStyle="1">
    <w:name w:val="List Table 4 - Accent 3"/>
    <w:basedOn w:val="98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 w:customStyle="1">
    <w:name w:val="List Table 4 - Accent 4"/>
    <w:basedOn w:val="98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 w:customStyle="1">
    <w:name w:val="List Table 4 - Accent 5"/>
    <w:basedOn w:val="985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 w:customStyle="1">
    <w:name w:val="List Table 4 - Accent 6"/>
    <w:basedOn w:val="98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>
    <w:name w:val="List Table 5 Dark"/>
    <w:basedOn w:val="98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3" w:customStyle="1">
    <w:name w:val="List Table 5 Dark - Accent 1"/>
    <w:basedOn w:val="985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4" w:customStyle="1">
    <w:name w:val="List Table 5 Dark - Accent 2"/>
    <w:basedOn w:val="98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5" w:customStyle="1">
    <w:name w:val="List Table 5 Dark - Accent 3"/>
    <w:basedOn w:val="98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6" w:customStyle="1">
    <w:name w:val="List Table 5 Dark - Accent 4"/>
    <w:basedOn w:val="98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7" w:customStyle="1">
    <w:name w:val="List Table 5 Dark - Accent 5"/>
    <w:basedOn w:val="985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8" w:customStyle="1">
    <w:name w:val="List Table 5 Dark - Accent 6"/>
    <w:basedOn w:val="98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9">
    <w:name w:val="List Table 6 Colorful"/>
    <w:basedOn w:val="98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00" w:customStyle="1">
    <w:name w:val="List Table 6 Colorful - Accent 1"/>
    <w:basedOn w:val="985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1101" w:customStyle="1">
    <w:name w:val="List Table 6 Colorful - Accent 2"/>
    <w:basedOn w:val="98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102" w:customStyle="1">
    <w:name w:val="List Table 6 Colorful - Accent 3"/>
    <w:basedOn w:val="98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103" w:customStyle="1">
    <w:name w:val="List Table 6 Colorful - Accent 4"/>
    <w:basedOn w:val="98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104" w:customStyle="1">
    <w:name w:val="List Table 6 Colorful - Accent 5"/>
    <w:basedOn w:val="985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1105" w:customStyle="1">
    <w:name w:val="List Table 6 Colorful - Accent 6"/>
    <w:basedOn w:val="98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106">
    <w:name w:val="List Table 7 Colorful"/>
    <w:basedOn w:val="98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 w:customStyle="1">
    <w:name w:val="List Table 7 Colorful - Accent 1"/>
    <w:basedOn w:val="985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8" w:customStyle="1">
    <w:name w:val="List Table 7 Colorful - Accent 2"/>
    <w:basedOn w:val="98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9" w:customStyle="1">
    <w:name w:val="List Table 7 Colorful - Accent 3"/>
    <w:basedOn w:val="98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0" w:customStyle="1">
    <w:name w:val="List Table 7 Colorful - Accent 4"/>
    <w:basedOn w:val="98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 w:customStyle="1">
    <w:name w:val="List Table 7 Colorful - Accent 5"/>
    <w:basedOn w:val="985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2" w:customStyle="1">
    <w:name w:val="List Table 7 Colorful - Accent 6"/>
    <w:basedOn w:val="98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3" w:customStyle="1">
    <w:name w:val="Lined - Accent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14" w:customStyle="1">
    <w:name w:val="Lined - Accent 1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115" w:customStyle="1">
    <w:name w:val="Lined - Accent 2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16" w:customStyle="1">
    <w:name w:val="Lined - Accent 3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17" w:customStyle="1">
    <w:name w:val="Lined - Accent 4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18" w:customStyle="1">
    <w:name w:val="Lined - Accent 5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119" w:customStyle="1">
    <w:name w:val="Lined - Accent 6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20" w:customStyle="1">
    <w:name w:val="Bordered &amp; Lined - Accent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21" w:customStyle="1">
    <w:name w:val="Bordered &amp; Lined - Accent 1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122" w:customStyle="1">
    <w:name w:val="Bordered &amp; Lined - Accent 2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23" w:customStyle="1">
    <w:name w:val="Bordered &amp; Lined - Accent 3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24" w:customStyle="1">
    <w:name w:val="Bordered &amp; Lined - Accent 4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25" w:customStyle="1">
    <w:name w:val="Bordered &amp; Lined - Accent 5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126" w:customStyle="1">
    <w:name w:val="Bordered &amp; Lined - Accent 6"/>
    <w:basedOn w:val="98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27" w:customStyle="1">
    <w:name w:val="Bordered"/>
    <w:basedOn w:val="98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28" w:customStyle="1">
    <w:name w:val="Bordered - Accent 1"/>
    <w:basedOn w:val="985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129" w:customStyle="1">
    <w:name w:val="Bordered - Accent 2"/>
    <w:basedOn w:val="98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130" w:customStyle="1">
    <w:name w:val="Bordered - Accent 3"/>
    <w:basedOn w:val="98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131" w:customStyle="1">
    <w:name w:val="Bordered - Accent 4"/>
    <w:basedOn w:val="98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132" w:customStyle="1">
    <w:name w:val="Bordered - Accent 5"/>
    <w:basedOn w:val="985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133" w:customStyle="1">
    <w:name w:val="Bordered - Accent 6"/>
    <w:basedOn w:val="98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134" w:customStyle="1">
    <w:name w:val="Footnote Text Char"/>
    <w:uiPriority w:val="99"/>
    <w:rPr>
      <w:sz w:val="18"/>
    </w:rPr>
  </w:style>
  <w:style w:type="paragraph" w:styleId="1135">
    <w:name w:val="endnote text"/>
    <w:basedOn w:val="974"/>
    <w:link w:val="1136"/>
    <w:uiPriority w:val="99"/>
    <w:semiHidden/>
    <w:unhideWhenUsed/>
    <w:rPr>
      <w:sz w:val="20"/>
    </w:rPr>
  </w:style>
  <w:style w:type="character" w:styleId="1136" w:customStyle="1">
    <w:name w:val="Текст концевой сноски Знак"/>
    <w:link w:val="1135"/>
    <w:uiPriority w:val="99"/>
    <w:rPr>
      <w:sz w:val="20"/>
    </w:rPr>
  </w:style>
  <w:style w:type="character" w:styleId="1137">
    <w:name w:val="endnote reference"/>
    <w:basedOn w:val="984"/>
    <w:uiPriority w:val="99"/>
    <w:semiHidden/>
    <w:unhideWhenUsed/>
    <w:rPr>
      <w:vertAlign w:val="superscript"/>
    </w:rPr>
  </w:style>
  <w:style w:type="paragraph" w:styleId="1138">
    <w:name w:val="TOC Heading"/>
    <w:uiPriority w:val="39"/>
    <w:unhideWhenUsed/>
  </w:style>
  <w:style w:type="paragraph" w:styleId="1139">
    <w:name w:val="table of figures"/>
    <w:basedOn w:val="974"/>
    <w:next w:val="974"/>
    <w:uiPriority w:val="99"/>
    <w:unhideWhenUsed/>
  </w:style>
  <w:style w:type="paragraph" w:styleId="1140" w:customStyle="1">
    <w:name w:val="[РГ] Раздел"/>
    <w:basedOn w:val="974"/>
    <w:next w:val="1141"/>
    <w:qFormat/>
    <w:pPr>
      <w:numPr>
        <w:ilvl w:val="0"/>
        <w:numId w:val="1"/>
      </w:numPr>
      <w:jc w:val="both"/>
      <w:keepNext/>
      <w:pageBreakBefore/>
      <w:spacing w:before="0" w:after="360"/>
      <w:outlineLvl w:val="0"/>
    </w:pPr>
    <w:rPr>
      <w:b/>
      <w:bCs/>
      <w:caps/>
    </w:rPr>
  </w:style>
  <w:style w:type="paragraph" w:styleId="1141" w:customStyle="1">
    <w:name w:val="[РГ] Подраздел"/>
    <w:basedOn w:val="974"/>
    <w:next w:val="1142"/>
    <w:qFormat/>
    <w:pPr>
      <w:numPr>
        <w:ilvl w:val="1"/>
        <w:numId w:val="1"/>
      </w:numPr>
      <w:jc w:val="both"/>
      <w:keepNext/>
      <w:spacing w:before="360"/>
      <w:outlineLvl w:val="1"/>
    </w:pPr>
    <w:rPr>
      <w:b/>
      <w:bCs/>
    </w:rPr>
  </w:style>
  <w:style w:type="paragraph" w:styleId="1142" w:customStyle="1">
    <w:name w:val="[РГ] Пункт"/>
    <w:basedOn w:val="974"/>
    <w:qFormat/>
    <w:pPr>
      <w:numPr>
        <w:ilvl w:val="2"/>
        <w:numId w:val="1"/>
      </w:numPr>
      <w:jc w:val="both"/>
      <w:outlineLvl w:val="2"/>
    </w:pPr>
  </w:style>
  <w:style w:type="paragraph" w:styleId="1143" w:customStyle="1">
    <w:name w:val="[РГ] Подпункт"/>
    <w:basedOn w:val="974"/>
    <w:qFormat/>
    <w:pPr>
      <w:numPr>
        <w:ilvl w:val="3"/>
        <w:numId w:val="1"/>
      </w:numPr>
      <w:jc w:val="both"/>
      <w:outlineLvl w:val="3"/>
    </w:pPr>
  </w:style>
  <w:style w:type="paragraph" w:styleId="1144" w:customStyle="1">
    <w:name w:val="[РГ] Перечисление"/>
    <w:basedOn w:val="974"/>
    <w:qFormat/>
    <w:pPr>
      <w:numPr>
        <w:ilvl w:val="4"/>
        <w:numId w:val="1"/>
      </w:numPr>
      <w:jc w:val="both"/>
      <w:outlineLvl w:val="4"/>
    </w:pPr>
  </w:style>
  <w:style w:type="paragraph" w:styleId="1145" w:customStyle="1">
    <w:name w:val="[РГ] Заголовок"/>
    <w:basedOn w:val="974"/>
    <w:next w:val="1146"/>
    <w:qFormat/>
    <w:pPr>
      <w:jc w:val="both"/>
      <w:keepNext/>
      <w:pageBreakBefore/>
      <w:spacing w:before="0" w:after="360"/>
    </w:pPr>
    <w:rPr>
      <w:b/>
      <w:bCs/>
      <w:caps/>
    </w:rPr>
  </w:style>
  <w:style w:type="paragraph" w:styleId="1146" w:customStyle="1">
    <w:name w:val="[РГ] Текст"/>
    <w:basedOn w:val="974"/>
    <w:qFormat/>
    <w:pPr>
      <w:jc w:val="both"/>
    </w:pPr>
  </w:style>
  <w:style w:type="paragraph" w:styleId="1147">
    <w:name w:val="Header"/>
    <w:basedOn w:val="974"/>
    <w:link w:val="1148"/>
    <w:uiPriority w:val="99"/>
    <w:unhideWhenUsed/>
    <w:pPr>
      <w:jc w:val="center"/>
      <w:spacing w:before="0" w:after="120"/>
    </w:pPr>
  </w:style>
  <w:style w:type="character" w:styleId="1148" w:customStyle="1">
    <w:name w:val="Верхний колонтитул Знак"/>
    <w:basedOn w:val="984"/>
    <w:link w:val="1147"/>
    <w:uiPriority w:val="99"/>
  </w:style>
  <w:style w:type="paragraph" w:styleId="1149">
    <w:name w:val="Footer"/>
    <w:basedOn w:val="974"/>
    <w:link w:val="1150"/>
    <w:uiPriority w:val="99"/>
    <w:unhideWhenUsed/>
    <w:pPr>
      <w:jc w:val="right"/>
    </w:pPr>
  </w:style>
  <w:style w:type="character" w:styleId="1150" w:customStyle="1">
    <w:name w:val="Нижний колонтитул Знак"/>
    <w:basedOn w:val="984"/>
    <w:link w:val="1149"/>
    <w:uiPriority w:val="99"/>
  </w:style>
  <w:style w:type="character" w:styleId="1151" w:customStyle="1">
    <w:name w:val="[РГ] Инструкция для организатора"/>
    <w:basedOn w:val="984"/>
    <w:uiPriority w:val="1"/>
    <w:qFormat/>
    <w:rPr>
      <w:i/>
      <w:iCs/>
      <w:shd w:val="clear" w:color="auto" w:fill="ffff99"/>
      <w:lang w:val="ru-RU"/>
    </w:rPr>
  </w:style>
  <w:style w:type="paragraph" w:styleId="1152">
    <w:name w:val="footnote text"/>
    <w:basedOn w:val="974"/>
    <w:link w:val="1153"/>
    <w:uiPriority w:val="99"/>
    <w:semiHidden/>
    <w:unhideWhenUsed/>
    <w:pPr>
      <w:spacing w:before="0"/>
    </w:pPr>
    <w:rPr>
      <w:sz w:val="20"/>
      <w:szCs w:val="20"/>
    </w:rPr>
  </w:style>
  <w:style w:type="character" w:styleId="1153" w:customStyle="1">
    <w:name w:val="Текст сноски Знак"/>
    <w:basedOn w:val="984"/>
    <w:link w:val="1152"/>
    <w:uiPriority w:val="99"/>
    <w:semiHidden/>
    <w:rPr>
      <w:sz w:val="20"/>
      <w:szCs w:val="20"/>
    </w:rPr>
  </w:style>
  <w:style w:type="character" w:styleId="1154">
    <w:name w:val="footnote reference"/>
    <w:basedOn w:val="984"/>
    <w:unhideWhenUsed/>
    <w:rPr>
      <w:vertAlign w:val="superscript"/>
    </w:rPr>
  </w:style>
  <w:style w:type="paragraph" w:styleId="1155" w:customStyle="1">
    <w:name w:val="[РГ] Сноска"/>
    <w:basedOn w:val="1152"/>
    <w:qFormat/>
    <w:pPr>
      <w:ind w:left="567" w:hanging="567"/>
      <w:jc w:val="both"/>
      <w:spacing w:before="80"/>
    </w:pPr>
    <w:rPr>
      <w:sz w:val="22"/>
    </w:rPr>
  </w:style>
  <w:style w:type="character" w:styleId="1156">
    <w:name w:val="Hyperlink"/>
    <w:basedOn w:val="984"/>
    <w:uiPriority w:val="99"/>
    <w:unhideWhenUsed/>
    <w:rPr>
      <w:color w:val="0563c1" w:themeColor="hyperlink"/>
      <w:u w:val="single"/>
    </w:rPr>
  </w:style>
  <w:style w:type="character" w:styleId="1157" w:customStyle="1">
    <w:name w:val="Unresolved Mention"/>
    <w:basedOn w:val="984"/>
    <w:uiPriority w:val="99"/>
    <w:semiHidden/>
    <w:unhideWhenUsed/>
    <w:rPr>
      <w:color w:val="605e5c"/>
      <w:shd w:val="clear" w:color="auto" w:fill="e1dfdd"/>
    </w:rPr>
  </w:style>
  <w:style w:type="paragraph" w:styleId="1158">
    <w:name w:val="toc 2"/>
    <w:basedOn w:val="974"/>
    <w:next w:val="974"/>
    <w:uiPriority w:val="39"/>
    <w:unhideWhenUsed/>
    <w:pPr>
      <w:ind w:left="851" w:hanging="851"/>
      <w:spacing w:after="120"/>
      <w:tabs>
        <w:tab w:val="left" w:pos="851" w:leader="none"/>
        <w:tab w:val="right" w:pos="9923" w:leader="none"/>
      </w:tabs>
    </w:pPr>
  </w:style>
  <w:style w:type="paragraph" w:styleId="1159">
    <w:name w:val="toc 1"/>
    <w:basedOn w:val="974"/>
    <w:next w:val="974"/>
    <w:uiPriority w:val="39"/>
    <w:unhideWhenUsed/>
    <w:pPr>
      <w:ind w:left="851" w:hanging="851"/>
      <w:keepNext/>
      <w:spacing w:after="120"/>
      <w:tabs>
        <w:tab w:val="left" w:pos="851" w:leader="none"/>
        <w:tab w:val="right" w:pos="9923" w:leader="none"/>
      </w:tabs>
    </w:pPr>
    <w:rPr>
      <w:b/>
      <w:caps/>
    </w:rPr>
  </w:style>
  <w:style w:type="paragraph" w:styleId="1160">
    <w:name w:val="toc 3"/>
    <w:basedOn w:val="974"/>
    <w:next w:val="974"/>
    <w:uiPriority w:val="39"/>
    <w:unhideWhenUsed/>
    <w:pPr>
      <w:ind w:left="4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1">
    <w:name w:val="toc 4"/>
    <w:basedOn w:val="974"/>
    <w:next w:val="974"/>
    <w:uiPriority w:val="39"/>
    <w:unhideWhenUsed/>
    <w:pPr>
      <w:ind w:left="6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2">
    <w:name w:val="toc 5"/>
    <w:basedOn w:val="974"/>
    <w:next w:val="974"/>
    <w:uiPriority w:val="39"/>
    <w:unhideWhenUsed/>
    <w:pPr>
      <w:ind w:left="88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3">
    <w:name w:val="toc 6"/>
    <w:basedOn w:val="974"/>
    <w:next w:val="974"/>
    <w:uiPriority w:val="39"/>
    <w:unhideWhenUsed/>
    <w:pPr>
      <w:ind w:left="110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4">
    <w:name w:val="toc 7"/>
    <w:basedOn w:val="974"/>
    <w:next w:val="974"/>
    <w:uiPriority w:val="39"/>
    <w:unhideWhenUsed/>
    <w:pPr>
      <w:ind w:left="132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5">
    <w:name w:val="toc 8"/>
    <w:basedOn w:val="974"/>
    <w:next w:val="974"/>
    <w:uiPriority w:val="39"/>
    <w:unhideWhenUsed/>
    <w:pPr>
      <w:ind w:left="15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66">
    <w:name w:val="toc 9"/>
    <w:basedOn w:val="974"/>
    <w:next w:val="974"/>
    <w:uiPriority w:val="39"/>
    <w:unhideWhenUsed/>
    <w:pPr>
      <w:ind w:left="17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table" w:styleId="1167" w:customStyle="1">
    <w:name w:val="[РГ] Таблица"/>
    <w:basedOn w:val="985"/>
    <w:uiPriority w:val="99"/>
    <w:pPr>
      <w:spacing w:before="60" w:after="60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57" w:type="dxa"/>
        <w:right w:w="57" w:type="dxa"/>
      </w:tblCellMar>
    </w:tblPr>
    <w:tblStylePr w:type="firstRow">
      <w:rPr>
        <w:b/>
      </w:rPr>
      <w:pPr>
        <w:jc w:val="center"/>
        <w:keepLines w:val="0"/>
        <w:keepNext/>
        <w:pageBreakBefore w:val="0"/>
        <w:widowControl/>
      </w:pPr>
    </w:tblStylePr>
  </w:style>
  <w:style w:type="table" w:styleId="1168">
    <w:name w:val="Table Grid"/>
    <w:basedOn w:val="985"/>
    <w:uiPriority w:val="39"/>
    <w:pPr>
      <w:spacing w:before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69">
    <w:name w:val="Placeholder Text"/>
    <w:basedOn w:val="984"/>
    <w:uiPriority w:val="99"/>
    <w:semiHidden/>
    <w:rPr>
      <w:color w:val="808080"/>
    </w:rPr>
  </w:style>
  <w:style w:type="character" w:styleId="1170" w:customStyle="1">
    <w:name w:val="[РГ] Отсылка"/>
    <w:basedOn w:val="984"/>
    <w:uiPriority w:val="1"/>
    <w:qFormat/>
    <w:rPr>
      <w:color w:val="auto"/>
      <w:spacing w:val="0"/>
      <w:u w:val="single"/>
      <w:shd w:val="clear" w:color="auto" w:fill="auto"/>
      <w:lang w:val="ru-RU"/>
    </w:rPr>
  </w:style>
  <w:style w:type="character" w:styleId="1171">
    <w:name w:val="annotation reference"/>
    <w:basedOn w:val="984"/>
    <w:unhideWhenUsed/>
    <w:rPr>
      <w:sz w:val="16"/>
      <w:szCs w:val="16"/>
    </w:rPr>
  </w:style>
  <w:style w:type="paragraph" w:styleId="1172">
    <w:name w:val="annotation text"/>
    <w:basedOn w:val="974"/>
    <w:link w:val="1173"/>
    <w:uiPriority w:val="99"/>
    <w:unhideWhenUsed/>
    <w:rPr>
      <w:sz w:val="20"/>
      <w:szCs w:val="20"/>
    </w:rPr>
  </w:style>
  <w:style w:type="character" w:styleId="1173" w:customStyle="1">
    <w:name w:val="Текст примечания Знак"/>
    <w:basedOn w:val="984"/>
    <w:link w:val="1172"/>
    <w:uiPriority w:val="99"/>
    <w:rPr>
      <w:sz w:val="20"/>
      <w:szCs w:val="20"/>
    </w:rPr>
  </w:style>
  <w:style w:type="paragraph" w:styleId="1174">
    <w:name w:val="annotation subject"/>
    <w:basedOn w:val="1172"/>
    <w:next w:val="1172"/>
    <w:link w:val="1175"/>
    <w:uiPriority w:val="99"/>
    <w:semiHidden/>
    <w:unhideWhenUsed/>
    <w:rPr>
      <w:b/>
      <w:bCs/>
    </w:rPr>
  </w:style>
  <w:style w:type="character" w:styleId="1175" w:customStyle="1">
    <w:name w:val="Тема примечания Знак"/>
    <w:basedOn w:val="1173"/>
    <w:link w:val="1174"/>
    <w:uiPriority w:val="99"/>
    <w:semiHidden/>
    <w:rPr>
      <w:b/>
      <w:bCs/>
      <w:sz w:val="20"/>
      <w:szCs w:val="20"/>
    </w:rPr>
  </w:style>
  <w:style w:type="paragraph" w:styleId="1176" w:customStyle="1">
    <w:name w:val="[РГ] Альтернатива / Дополнение"/>
    <w:basedOn w:val="1146"/>
    <w:next w:val="1146"/>
    <w:qFormat/>
    <w:rPr>
      <w:i/>
      <w:shd w:val="clear" w:color="auto" w:fill="ccecff"/>
    </w:rPr>
  </w:style>
  <w:style w:type="character" w:styleId="1177" w:customStyle="1">
    <w:name w:val="[РГ] Инструкция для участника"/>
    <w:basedOn w:val="984"/>
    <w:uiPriority w:val="1"/>
    <w:qFormat/>
    <w:rPr>
      <w:i/>
      <w:shd w:val="clear" w:color="auto" w:fill="d0cece" w:themeFill="background2" w:themeFillShade="E6"/>
      <w:lang w:val="ru-RU"/>
    </w:rPr>
  </w:style>
  <w:style w:type="paragraph" w:styleId="1178">
    <w:name w:val="Revision"/>
    <w:hidden/>
    <w:uiPriority w:val="99"/>
    <w:semiHidden/>
    <w:pPr>
      <w:spacing w:before="0"/>
    </w:pPr>
  </w:style>
  <w:style w:type="character" w:styleId="1179">
    <w:name w:val="FollowedHyperlink"/>
    <w:basedOn w:val="984"/>
    <w:uiPriority w:val="99"/>
    <w:semiHidden/>
    <w:unhideWhenUsed/>
    <w:rPr>
      <w:color w:val="954f72" w:themeColor="followedHyperlink"/>
      <w:u w:val="single"/>
    </w:rPr>
  </w:style>
  <w:style w:type="paragraph" w:styleId="1180">
    <w:name w:val="List Paragraph"/>
    <w:basedOn w:val="974"/>
    <w:uiPriority w:val="34"/>
    <w:qFormat/>
    <w:pPr>
      <w:contextualSpacing/>
      <w:ind w:left="720"/>
    </w:pPr>
  </w:style>
  <w:style w:type="paragraph" w:styleId="1181">
    <w:name w:val="Balloon Text"/>
    <w:basedOn w:val="974"/>
    <w:link w:val="1182"/>
    <w:uiPriority w:val="99"/>
    <w:semiHidden/>
    <w:unhideWhenUsed/>
    <w:pPr>
      <w:spacing w:before="0"/>
    </w:pPr>
    <w:rPr>
      <w:rFonts w:ascii="Segoe UI" w:hAnsi="Segoe UI" w:cs="Segoe UI"/>
      <w:sz w:val="18"/>
      <w:szCs w:val="18"/>
    </w:rPr>
  </w:style>
  <w:style w:type="character" w:styleId="1182" w:customStyle="1">
    <w:name w:val="Текст выноски Знак"/>
    <w:basedOn w:val="984"/>
    <w:link w:val="1181"/>
    <w:uiPriority w:val="99"/>
    <w:semiHidden/>
    <w:rPr>
      <w:rFonts w:ascii="Segoe UI" w:hAnsi="Segoe UI" w:cs="Segoe UI"/>
      <w:sz w:val="18"/>
      <w:szCs w:val="18"/>
    </w:rPr>
  </w:style>
  <w:style w:type="paragraph" w:styleId="1183" w:customStyle="1">
    <w:name w:val="РГ_ЕПоЗ_1."/>
    <w:basedOn w:val="974"/>
    <w:qFormat/>
    <w:pPr>
      <w:numPr>
        <w:ilvl w:val="0"/>
        <w:numId w:val="18"/>
      </w:numPr>
      <w:jc w:val="both"/>
      <w:keepNext/>
      <w:spacing w:before="480"/>
      <w:tabs>
        <w:tab w:val="left" w:pos="1418" w:leader="none"/>
      </w:tabs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1184" w:customStyle="1">
    <w:name w:val="РГ_ЕПоЗ_1.1"/>
    <w:basedOn w:val="974"/>
    <w:qFormat/>
    <w:pPr>
      <w:numPr>
        <w:ilvl w:val="1"/>
        <w:numId w:val="18"/>
      </w:numPr>
      <w:ind w:left="1134" w:hanging="567"/>
      <w:jc w:val="both"/>
      <w:keepNext/>
      <w:spacing w:before="360"/>
      <w:tabs>
        <w:tab w:val="left" w:pos="1418" w:leader="none"/>
      </w:tabs>
      <w:outlineLvl w:val="1"/>
    </w:pPr>
    <w:rPr>
      <w:rFonts w:eastAsia="Times New Roman" w:cs="Times New Roman"/>
      <w:b/>
      <w:sz w:val="28"/>
      <w:szCs w:val="28"/>
      <w:lang w:eastAsia="ru-RU"/>
    </w:rPr>
  </w:style>
  <w:style w:type="paragraph" w:styleId="1185" w:customStyle="1">
    <w:name w:val="РГ_ЕПоЗ_а)"/>
    <w:basedOn w:val="1180"/>
    <w:link w:val="1187"/>
    <w:qFormat/>
    <w:pPr>
      <w:numPr>
        <w:ilvl w:val="4"/>
        <w:numId w:val="18"/>
      </w:numPr>
      <w:contextualSpacing w:val="0"/>
      <w:jc w:val="both"/>
    </w:pPr>
    <w:rPr>
      <w:rFonts w:eastAsia="Calibri" w:cs="Times New Roman"/>
      <w:sz w:val="28"/>
      <w:szCs w:val="28"/>
    </w:rPr>
  </w:style>
  <w:style w:type="paragraph" w:styleId="1186" w:customStyle="1">
    <w:name w:val="РГ_ЕПоЗ_1.1.1.1"/>
    <w:basedOn w:val="974"/>
    <w:qFormat/>
    <w:pPr>
      <w:numPr>
        <w:ilvl w:val="3"/>
        <w:numId w:val="18"/>
      </w:numPr>
      <w:jc w:val="both"/>
      <w:tabs>
        <w:tab w:val="left" w:pos="1843" w:leader="none"/>
      </w:tabs>
    </w:pPr>
    <w:rPr>
      <w:rFonts w:eastAsia="Times New Roman" w:cs="Times New Roman"/>
      <w:sz w:val="28"/>
      <w:szCs w:val="28"/>
      <w:lang w:eastAsia="ru-RU"/>
    </w:rPr>
  </w:style>
  <w:style w:type="character" w:styleId="1187" w:customStyle="1">
    <w:name w:val="РГ_ЕПоЗ_а) Знак"/>
    <w:basedOn w:val="984"/>
    <w:link w:val="1185"/>
    <w:rPr>
      <w:rFonts w:eastAsia="Calibri" w:cs="Times New Roman"/>
      <w:sz w:val="28"/>
      <w:szCs w:val="28"/>
    </w:rPr>
  </w:style>
  <w:style w:type="paragraph" w:styleId="1188" w:customStyle="1">
    <w:name w:val="РГ_ЕПоЗ_-"/>
    <w:basedOn w:val="974"/>
    <w:link w:val="1190"/>
    <w:qFormat/>
    <w:pPr>
      <w:numPr>
        <w:ilvl w:val="5"/>
        <w:numId w:val="18"/>
      </w:numPr>
      <w:jc w:val="both"/>
      <w:spacing w:before="0"/>
      <w:tabs>
        <w:tab w:val="left" w:pos="2552" w:leader="none"/>
      </w:tabs>
    </w:pPr>
    <w:rPr>
      <w:rFonts w:eastAsia="Times New Roman" w:cs="Times New Roman"/>
      <w:sz w:val="28"/>
      <w:szCs w:val="20"/>
      <w:lang w:eastAsia="ru-RU"/>
    </w:rPr>
  </w:style>
  <w:style w:type="paragraph" w:styleId="1189" w:customStyle="1">
    <w:name w:val="РГ_ЕПоЗ_1.1.1"/>
    <w:basedOn w:val="974"/>
    <w:qFormat/>
    <w:pPr>
      <w:numPr>
        <w:ilvl w:val="2"/>
        <w:numId w:val="18"/>
      </w:numPr>
      <w:jc w:val="both"/>
      <w:tabs>
        <w:tab w:val="left" w:pos="1134" w:leader="none"/>
      </w:tabs>
    </w:pPr>
    <w:rPr>
      <w:rFonts w:eastAsia="Times New Roman" w:cs="Times New Roman"/>
      <w:sz w:val="28"/>
      <w:szCs w:val="28"/>
      <w:lang w:eastAsia="ru-RU"/>
    </w:rPr>
  </w:style>
  <w:style w:type="character" w:styleId="1190" w:customStyle="1">
    <w:name w:val="РГ_ЕПоЗ_- Знак"/>
    <w:basedOn w:val="984"/>
    <w:link w:val="1188"/>
    <w:rPr>
      <w:rFonts w:eastAsia="Times New Roman" w:cs="Times New Roman"/>
      <w:sz w:val="28"/>
      <w:szCs w:val="20"/>
      <w:lang w:eastAsia="ru-RU"/>
    </w:rPr>
  </w:style>
  <w:style w:type="paragraph" w:styleId="1191" w:customStyle="1">
    <w:name w:val="УРОВЕНЬ_(а)"/>
    <w:qFormat/>
    <w:pPr>
      <w:numPr>
        <w:ilvl w:val="3"/>
        <w:numId w:val="22"/>
      </w:numPr>
      <w:ind w:left="720" w:firstLine="567"/>
      <w:jc w:val="both"/>
      <w:spacing w:line="360" w:lineRule="exact"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cs="Times New Roman"/>
      <w:szCs w:val="28"/>
    </w:rPr>
  </w:style>
  <w:style w:type="paragraph" w:styleId="1192" w:customStyle="1">
    <w:name w:val="УРОВЕНЬ_-"/>
    <w:qFormat/>
    <w:pPr>
      <w:numPr>
        <w:ilvl w:val="4"/>
        <w:numId w:val="22"/>
      </w:numPr>
      <w:jc w:val="both"/>
      <w:spacing w:line="360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cs="Times New Roman"/>
      <w:szCs w:val="28"/>
    </w:rPr>
  </w:style>
  <w:style w:type="paragraph" w:styleId="1193" w:customStyle="1">
    <w:name w:val="УРОВЕНЬ_Подпись"/>
    <w:qFormat/>
    <w:pPr>
      <w:numPr>
        <w:ilvl w:val="5"/>
        <w:numId w:val="22"/>
      </w:numPr>
      <w:ind w:left="720" w:firstLine="567"/>
      <w:jc w:val="right"/>
      <w:keepNext/>
      <w:spacing w:after="120" w:line="360" w:lineRule="exact"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cs="Times New Roman"/>
      <w:szCs w:val="28"/>
    </w:rPr>
  </w:style>
  <w:style w:type="paragraph" w:styleId="1194" w:customStyle="1">
    <w:name w:val="УРОВЕНЬ_Абзац_тип2"/>
    <w:qFormat/>
    <w:pPr>
      <w:numPr>
        <w:ilvl w:val="6"/>
        <w:numId w:val="22"/>
      </w:numPr>
      <w:jc w:val="both"/>
      <w:spacing w:line="360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cs="Times New Roman"/>
      <w:szCs w:val="28"/>
    </w:rPr>
  </w:style>
  <w:style w:type="paragraph" w:styleId="1195" w:customStyle="1">
    <w:name w:val="УРОВЕНЬ_Абзац_тип3"/>
    <w:link w:val="1033"/>
    <w:qFormat/>
    <w:pPr>
      <w:numPr>
        <w:ilvl w:val="7"/>
        <w:numId w:val="22"/>
      </w:numPr>
      <w:jc w:val="both"/>
      <w:spacing w:line="360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cs="Times New Roman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Relationship Id="rId14" Type="http://schemas.openxmlformats.org/officeDocument/2006/relationships/image" Target="media/media1.svg"/><Relationship Id="rId15" Type="http://schemas.openxmlformats.org/officeDocument/2006/relationships/hyperlink" Target="http://nopriz.ru/nreesters/elektronnyy-reestr/" TargetMode="External"/><Relationship Id="rId16" Type="http://schemas.openxmlformats.org/officeDocument/2006/relationships/image" Target="media/image2.png"/><Relationship Id="rId17" Type="http://schemas.openxmlformats.org/officeDocument/2006/relationships/image" Target="media/media2.svg"/><Relationship Id="rId18" Type="http://schemas.openxmlformats.org/officeDocument/2006/relationships/image" Target="media/image3.png"/><Relationship Id="rId19" Type="http://schemas.openxmlformats.org/officeDocument/2006/relationships/image" Target="media/media3.svg"/><Relationship Id="rId20" Type="http://schemas.openxmlformats.org/officeDocument/2006/relationships/image" Target="media/image4.png"/><Relationship Id="rId21" Type="http://schemas.openxmlformats.org/officeDocument/2006/relationships/image" Target="media/media4.svg"/><Relationship Id="rId22" Type="http://schemas.openxmlformats.org/officeDocument/2006/relationships/image" Target="media/image5.png"/><Relationship Id="rId23" Type="http://schemas.openxmlformats.org/officeDocument/2006/relationships/image" Target="media/media5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91C1A-D04B-425D-9D95-736DC95E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Р7-Офис/2026.1.1.1805</Application>
  <Company>ПАО РусГидро; ИнКонТех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</dc:title>
  <dc:subject>Альбом типовых форм</dc:subject>
  <dc:creator>Владимир Щербаков</dc:creator>
  <cp:keywords>Типовая форма</cp:keywords>
  <dc:description/>
  <cp:lastModifiedBy>korneva_oa</cp:lastModifiedBy>
  <cp:revision>46</cp:revision>
  <dcterms:created xsi:type="dcterms:W3CDTF">2025-09-01T14:21:00Z</dcterms:created>
  <dcterms:modified xsi:type="dcterms:W3CDTF">2026-08-05T01:23:44Z</dcterms:modified>
</cp:coreProperties>
</file>