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Договор №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поставку тепловой энергии (мощности), теплоносителя  и горячей воды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нужды бюджетного/автономного учреждения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ru-RU"/>
        </w:rPr>
      </w:r>
    </w:p>
    <w:p>
      <w:pPr>
        <w:ind w:firstLine="709"/>
        <w:jc w:val="center"/>
        <w:spacing w:after="0" w:line="240" w:lineRule="auto"/>
      </w:pPr>
      <w:r/>
    </w:p>
    <w:p>
      <w:pPr>
        <w:ind w:firstLine="70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                            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Акционерное общество «Дальневосточная генерирующая компания» (АО «ДГК»), в лице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действующего  на основании доверенности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от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 №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именуемое в дальнейшем «Поставщик-Теплоснабжающая организация», с одной стороны, и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именуемый в дальнейшем «Заказчик-Абонент», в лице 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действующего на основании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с другой стороны, заключили настоящий договор о нижеследующем: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36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numPr>
          <w:ilvl w:val="0"/>
          <w:numId w:val="3"/>
        </w:numPr>
        <w:ind w:left="720" w:right="0" w:hanging="360"/>
        <w:jc w:val="center"/>
        <w:spacing w:before="0"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ПРЕДМЕТ ДОГОВОРА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1.1. Поставщик-Теплоснабжающая органи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зация подает Заказчику-Абоненту через присоединенную сеть, а  Заказчик-Абонент на условиях  настоящего договора принимает и оплачивает тепловую энергию (мощность), теплоноситель (воду) для подпитки тепловой сети (далее  теплоноситель) и (или) горячую воду.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1.2. Местом исполнения обязательств Поставщика-Теплоснабжающей организации является точка поставки, котора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я располагается на границе балансовой принадлежности теплопотребляющей установки или тепловой сети Заказчика-Абонента и тепловой сети Поставщика-Теплоснабжающей организации или теплосетевой организации, либо в точке подключения к бесхозяйной тепловой сети.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1.3. Поставщик-Теплоснабжающая организация и Заказчик-Абонент в отношениях по теплоснабжению обязуются руководствоваться: Г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ражданским кодексом РФ, Законами РФ и Указами Президента РФ, постановлениями Правительства РФ, постановлениями уполномоченных органов об установлении тарифов на тепловую энергию и горячую воду, Правилами коммерческого учета тепловой энергии, теплоносителя </w:t>
      </w:r>
      <w:r>
        <w:rPr>
          <w:rFonts w:ascii="Times New Roman" w:hAnsi="Times New Roman" w:eastAsia="Times New Roman" w:cs="Times New Roman"/>
          <w:color w:val="ff0000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 иными нормативно-правовыми актами в сфере теплоснабжения и горячего водоснабжения.</w:t>
      </w:r>
      <w:r>
        <w:rPr>
          <w:rFonts w:ascii="Times New Roman" w:hAnsi="Times New Roman" w:eastAsia="Times New Roman" w:cs="Times New Roman"/>
          <w:sz w:val="22"/>
          <w:szCs w:val="22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numPr>
          <w:ilvl w:val="0"/>
          <w:numId w:val="3"/>
        </w:numPr>
        <w:ind w:left="720" w:right="0" w:hanging="360"/>
        <w:jc w:val="center"/>
        <w:spacing w:before="0"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КОНТРОЛЬНЫЕ ЦИФРЫ ДОГОВОРА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2.1. Договорной объем годового потребления тепловой энергии (мощности), теплоносителя и (или) горячей воды с разбивкой по месяцам и кварталам указан в Приложении 1.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2.2. Поставка тепловой энергии (мощности), теплоносителя и (или) горячей воды осуществляется на объекты Заказчика-Абонента, согласно часовым нагрузкам, указанным в Приложении 2. </w:t>
      </w:r>
      <w:r>
        <w:rPr>
          <w:rFonts w:ascii="Times New Roman" w:hAnsi="Times New Roman" w:eastAsia="Times New Roman" w:cs="Times New Roman"/>
          <w:sz w:val="22"/>
          <w:szCs w:val="22"/>
        </w:rPr>
      </w:r>
      <w:r/>
    </w:p>
    <w:p>
      <w:pPr>
        <w:ind w:firstLine="709"/>
        <w:jc w:val="both"/>
        <w:spacing w:after="0" w:line="240" w:lineRule="auto"/>
      </w:pPr>
      <w:r/>
    </w:p>
    <w:p>
      <w:pPr>
        <w:numPr>
          <w:ilvl w:val="0"/>
          <w:numId w:val="3"/>
        </w:numPr>
        <w:ind w:left="720" w:right="0" w:hanging="360"/>
        <w:jc w:val="center"/>
        <w:spacing w:before="0"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ОБЯЗАННОСТИ И ПРАВА ПОСТАВЩИКА-ТЕПЛОСНАБЖАЮЩЕЙ ОРГАНИЗАЦИИ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3.1. Поставщик-Теплоснабжающая организация обязуется: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3.1.1. Поставлять тепловую энергию (мощность), теплоноситель и (или) горячую воду на нужды отопления, вентиляции и  горячего водоснабжения путем непрерывной подачи теплоносителя (за исключением случаев, оговоренных в пунктах 3.2.7 - 3.2.9).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3.1.2. Ежемесячно выставлять 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казчику-Абоненту счета на плановую стоимость потребляемой тепловой энергии, теплоносителя и (или) горячей воды и счет, счет-фактуру, акт приема-передачи за фактическое потребление в расчетном периоде, в сроки, указанные в п.7.1., 7.3. 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Расчетная ведомость за фактическое потребление в расчетном периоде направляется Заказчику-Абоненту по запросу.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Расчетный период -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установленные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настоящим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договором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теплоснабжения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промежутки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времени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с 1-го по последнее число календарного месяца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которые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должны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быть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определены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полностью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оплачены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Заказчиком-Абонентом фактически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потребленная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hyperlink r:id="rId10" w:tooltip="http://official.academic.ru/26143/%D0%A2%D0%B5%D0%BF%D0%BB%D0%BE%D0%B2%D0%B0%D1%8F_%D1%8D%D0%BD%D0%B5%D1%80%D0%B3%D0%B8%D1%8F" w:history="1">
        <w:r>
          <w:rPr>
            <w:rFonts w:ascii="Times New Roman" w:hAnsi="Times New Roman" w:eastAsia="Times New Roman" w:cs="Times New Roman"/>
            <w:sz w:val="22"/>
            <w:szCs w:val="22"/>
            <w:lang w:val="ru-RU" w:bidi="ru-RU"/>
          </w:rPr>
          <w:t xml:space="preserve">тепловая</w:t>
        </w:r>
        <w:r>
          <w:rPr>
            <w:rFonts w:ascii="Times New Roman" w:hAnsi="Times New Roman" w:eastAsia="Times New Roman" w:cs="Times New Roman"/>
            <w:sz w:val="22"/>
            <w:szCs w:val="22"/>
            <w:lang w:val="ru-RU" w:bidi="ru-RU"/>
          </w:rPr>
          <w:t xml:space="preserve"> </w:t>
        </w:r>
        <w:r>
          <w:rPr>
            <w:rFonts w:ascii="Times New Roman" w:hAnsi="Times New Roman" w:eastAsia="Times New Roman" w:cs="Times New Roman"/>
            <w:sz w:val="22"/>
            <w:szCs w:val="22"/>
            <w:lang w:val="ru-RU" w:bidi="ru-RU"/>
          </w:rPr>
          <w:t xml:space="preserve">энергия</w:t>
        </w:r>
      </w:hyperlink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,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израсходованный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теплоноситель на подпитку тепловой сети, а также объём потреблённой горячей воды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3.1.3.  Поддерживать температурные и гидравлические параметры теплоносителя (за 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сключением случаев, оговоренных в пунктах 3.2.7-3.2.9. договора) на границе балансовой принадлежности для целей отопления, вентиляции и горячего водоснабжения в соответствии  с действующими нормативно  правовыми документами и требованиями законодательства.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 Проводить ежегодно плановый ремонт и наладку оборудования, промывку и гидравлическую опрессовку трубопроводов собственной тепловой сети с целью обеспечения бесперебойного отпуска тепловой энергии, теплоносителя и (или) горячей воды в отопительный сезон.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3.1.5. Принимать от Заказчика-Абонента показания индивидуальных приборов учета, введенных в эксплуатацию и использовать их п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ри расчете размера оплаты за тепловую энергию, теплоноситель и (или) горячую воду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сведений о показаниях.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3.1.6. При наличии оснований производить в соответствии с действующим законодательством перерасчет размера оплаты.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3.1.7.Производить непосредственно при обращении Заказчика-Абонента проверку правильности исчисления размера оплаты за тепловую энергию, теплоноситель и (или) горячую воду, задолженности или переплаты, правильности начисления неустоек (пени).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3.1.8.Принимать сообщения Заказчика-Абонента о факте поставки тепловой энергии, теплоносителя  и (или) горячей воды ненадлежащего кач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ества  и (или) с перерывами, превышающими установленную продолжительность,  совместно с организациями, обслуживающими тепловые сети и теплопотребляющие системы (далее  ТПС)  (теплосетевая организация, управляющая компания) проводить проверку данного факта.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3.1.9.При обнаружении несанкционированного (бездоговорного) подключения оборудования Заказчика-Абонента к тепловым системам, произвести доначисление платы за потребленные без надлежащего учета тепловую энергию, теплоноситель и (или) горячую воду.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3.1.10. Информировать Заказчика-Абонента о способах экономии энергетических ресурсов и повышения энергетической эффективности их использования путем размещения информации в сети Интернет, на бумажных носителях и иными доступными способами.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3.1.11. Производить с Заказчиком-Абонентом сверку сумм задолженности с составлением акта сверки не реже 1 раза в квартал.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3.2. Поставщик-Теплоснабжающая организация имеет право: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3.2.1. Не прекращать отпуск тепловой энергии на нужды отопления до даты окончания отопительного периода.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3.2.2. Производить не чаще 1 раза в квартал  в присутствии представителя Заказчика-Абонента контрольное снятие показаний приборов учета.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.3. Составлять акт о выходе из строя узла учета тепловой энергии при обнаружении нарушений в процессе его эксплуатации и обслуживания в соответствии с требованиями Правил коммерческого учета тепловой энергии, теплоносителя и иных действующих норм и правил.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3.2.4. Совместно с Заказчиком (Абонентом) составлять акты на превышение температуры обратной сетевой воды более, чем на 5% от предельно-допустимой температуры обратной сетевой воды (Приложение 4), выдавать предписание об устранении нарушений.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3.2.5. Составлять акты при выявлении факта бездоговорного потребления тепловой энергии, теплоносителя и (или) горячей воды.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3.2.6. Составлять совместные акты при обнаружении утечки сетевой воды из теплосети и  ТПС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3.2.7. Для принятия неотложных мер по предупреждению или ликвидации аварии в энергосистеме прекращать или ограничивать подачу тепловой энергии, теплоносителя  и (или) горячей воды с обязательным уведомлением Заказчика-Абонента.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3.2.8. Прекращать, ограничивать (полностью или частично) подачу тепловой энергии, теплоносителя и (или) горячей воды в соответствии с действующими нормативно-правовыми актами после предупреждения Заказчика-Абонента в случаях: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нарушения  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казчиком-Абонентом условий и сроков оплаты за потребленную тепловую энергию (мощность), теплоноситель и (или) горячую воду, в том числе: в случае нарушения сроков предварительной оплаты выставленного счета на сумму плановой общей стоимости поставки теплово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й энергии (мощности), теплоносителя и (или) горячей воды в предстоящем периоде, в размере, превышающем размер платы за более чем один период платежа, установленных в п. 7.2 настоящего договора; в случае нарушения срока, установленного в п. 7.4 настоящего д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оговора для оплаты выставленного Поставщиком-Теплоснабжающей организацией счета-фактуры в порядке, предусмотренном действующим законодательством РФ: для жилого помещения в соответствии с порядком, изложенным в  гл. XI Постановления Правительства РФ от 06.0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5.2011 № 354; для нежилого помещения в соответствии с порядком, изложенным в  п.п. 92, 95-97 гл. VI  Постановления Правительства РФ от  08.08.2012 № 808 (для потребителей, относящихся к категории социально-значимых, в порядке предусмотренным Приложением 7)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нарушения режима потребления тепловой энергии, существенно влияющего на теплоснабжение других потребителей,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возникновения (угрозы возникновения) аварийных ситуаций в системе теплоснабжения;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прекращения обязательств сторон по договору;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проведения  ремонтно-профилактических работ, по согласованному с администрацией муниципального образования плану подготовки тепловых сетей к отопительному периоду;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выявления фактов бездоговорного потребления тепловой энергии, теплоносителя и (или) горячей воды;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8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когда удостоверенное органом государственного энергетического надзора неудовлетворительное состояние систем теплопотребления Заказчика-Абонента, угрожает аварией или создает угрозу жизни или здоровью людей,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 также в других случаях, предусмотренных действующим законодательством и иными нормативными актами.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3.2.9. Осуществлять ограничение в под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аче тепловой энергии, теплоносителя и (или) горячей воды Заказчику-Абоненту в соответствии с графиками ограничения при возникновении дефицита тепловой мощности, невозможностью соблюдения технологических режимов в связи с экстремальными погодными условиями.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3.2.10. Осуществлять полное или частичное ограничение потребления тепловой энергии, теплоносителя и (или) горячей воды одним из следующих способов: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полное ограничение режима потребления осуществлять путем переключения на тепловых сетях, либо путем отсоединения теплопотребляющих установок Заказчика-Абонента от тепловой сети.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части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чное ограничение потребления производить путем снижения объема или температуры теплоносителя, подаваемого Заказчику-Абоненту, либо прекращением подачи тепловой энергии, теплоносителя  или горячей воды в определенные периоды в течение суток, недели, месяца.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3.2.11. Составлять акты по факту ограничения (прекращения) подачи тепловой энергии, теплоносителя и (или) горячей воды. В случае отказа в доступе Поставщику-Теплоснабжающей организации к принадлежащим Заказчику-Абоненту ТПС составлять акт на недопуск.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3.2.12. Информировать Заказчика-Абонента о наличии задолженности путем размещения информации в сети Интернет, на бумажных носителях и иными доступными способами, в том числе посредством направления SMS и E-mail сообщений.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2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numPr>
          <w:ilvl w:val="0"/>
          <w:numId w:val="3"/>
        </w:numPr>
        <w:ind w:left="720" w:right="0" w:hanging="360"/>
        <w:jc w:val="center"/>
        <w:spacing w:before="0"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ОБЯЗАННОСТИ И ПРАВА ЗАКАЗЧИКА-АБОНЕНТ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4.1. Заказчик-Абонент обязуется: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Рационально использовать предоставленную тепловую энергию, теплоноситель и (или) горячую воду по их прямому назначению.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4.1.2.Своевременно и в полном объеме оплачивать выставляемые Поставщиком-Теплоснабжающей организацией счета, счета-фактуры за тепловую энергию (мощность), теплоноситель и (или) горячую воду в сроки, установленные пунктами 7.2, 7.4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4.1.3. При оплате собственными платежными поручениями, указывать в платежных документах дату, № договора,  №№ счетов-фактур, расчетные периоды, за которые осуществляются платежи.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4.1.4. Ежегодно, до 1 марта года, предшествующего году поставки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письменно согласовывать с Поставщиком-Теплоснабжающей орган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изацией объемы поставок тепловой энергии (мощности), теплоносителя и (или) горячей воды на предстоящий год, с разбивкой по кварталам, месяцам. Если объем потребления не заявлен в указанные сроки, в следующем году действуют объемы потребления текущего года.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4.1.5. 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жемесячно в срок до окончания 2 (второго) дня месяца, следующего за расчетным месяцем, представлять Поставщику-Теплоснабжающей организации сведения о расходе по приборам учета по состоянию на 1 (первое) число месяца по форме Приложения № 5.1. на электронны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й адрес, указанный в разделе 12 настоящего договора, с дальнейшей передачей информации, заверенной подписью руководителя (ответственного лица) и печатью, Поставщику-Теплоснабжающей организации любым доступным способом, позволяющим подтвердить ее получение.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если технические харак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теристики используемых приборов учета и узлов учета позволяют использовать телеметрические системы передачи показаний приборов учета, представление (снятие) показаний приборов учета осуществляется дистанционно с использованием таких телеметрических систем.</w:t>
      </w:r>
      <w:r>
        <w:rPr>
          <w:rFonts w:ascii="Times New Roman" w:hAnsi="Times New Roman" w:eastAsia="Times New Roman" w:cs="Times New Roman"/>
          <w:sz w:val="18"/>
          <w:szCs w:val="18"/>
          <w:highlight w:val="yellow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4.1.6. Соблюдать установленный для Заказчика-Абонента режим теплопотребления: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величину утечки сетевой воды не выше установленной  нормы;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температуру сетевой воды, возвращаемой в тепловую сеть на границе раздела, не выше  чем на 5 % от предельно-допустимых температур обратной сетевой воды (Приложение 4); 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не допускать превышение сверх установленных договором часовых нагрузок (Приложение 2).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/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pacing w:val="-1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4.1.7. Заказчик-Абонент  производит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оплату Поставщику-Теплоснабжающей организации: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тепловой энергии за нарушение пункта 4.1.6 при не устранении превышения предельно-допустимой температуры обратной сетевой воды в течение 3 (трех) суток с момента обнаружения и до момента устранения нарушения;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горячей воды, использованной на подготовку ТПС к отопительному сезону;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за утечку сетевой воды из систем теплопотребления, подтвержденную актом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или приборами учета тепловой энергии Заказчика-Абонента в размере стоимости горячей воды;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4.1.8. Оформить и предоставить Поставщику-Теплоснабжающей организации акт разгр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аничения балансовой принадлежности тепловых сетей и эксплуатационной ответственности сторон. Реестр актов границ раздела приведен в Приложении 3. Сообщать Поставщику-Теплоснабжающей организации и подтверждать актом изменение границ раздела тепловых сетей.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4.1.9. В соответствии с требованиями Федерального закона от 23.11.2009 № 261-ФЗ обеспечить на границе раздела тепл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овых сетей установку приборов учета тепловой энергии, теплоносителя и горячей воды, ввод в эксплуатацию для ведения коммерческого учета тепловой энергии и теплоносителя в порядке, установленном правилами коммерческого учета тепловой энергии, теплоносителя.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4.1.10. Предоставить расчет количества тепловой энергии на компенсацию потерь тепловой энергии на участке трубопровода от границы балансовой принадлежности до узла учета Заказчика (Абонента), подтвержденный технической или проектной документацией.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4.1.11. В соответствии с действующим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законодательством РФ проводить энергетическое обследование объектов Заказчика-Абонента  не реже чем один раз в пять лет. Энергетический паспорт, составленный по результатам  энергетического обследования, представить Поставщику-Теплоснабжающей организации.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4.1.12. Эксплуатировать оборудование, контрольно-измерительные приборы, приборы учета и автоматики в соответствии с требованиями нормативно-технической документации.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4.1.13. Осуществлять подготовку ТП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 к началу отопительного сезона, готовность подтверждать путем подписания соответствующего паспорта готовности, акта готовности и предъявлять Поставщику-Теплоснабжающей организации узлы учета энергии на предмет допуска с составлением соответствующего 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4.1.14. Проводить после окончания отопительного периода, монтажа, капитального и текущего ремонта с заменой труб промывку водой 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гидравлическую опрессовку (в присутствии представителя  Поставщика-Теплоснабжающей организации) оборудования тепловых пунктов, ТПС и трубопроводов тепловой сети. Предъявлять акты по выполненным работам представителю Поставщика-Теплоснабжающей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организации.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4.1.15. Выполнять за свой счет на своем оборудовании все мероприятия, связанные с наладкой системы теплоснабжения по согласованию с Поставщиком-Теплоснабжающей организацией.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4.1.16. Осуществлять регулировку коэффициента смешения на смесительном устройстве с обязательным выравниванием температуры обратной сетевой воды согласно Приложению 4.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 Совместно с представителем Поставщика-Теплоснабжающей организации проводить опломбирование устройств системы теплоснабжения. Обеспечивать сохранность средств защиты, установленных Поставщиком-Теплоснабжающей организацией от несанкционированного доступа.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4.1.18. Вводить в эксплуатацию ТПС на каждый отопительный сезон при наличии обученного и аттестованного персонала.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4.1.19. На каждую ТПС вести паспорт установленной формы. Все проводимые мероприятия отражать в паспорте.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4.1.20. Осуществлять беспрепятственный допуск представителей Поставщика-Теплоснабжающей организации не чаще 1 раза в квартал к приборам учета тепловой энергии и эксплуатационной документации, с целью пров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ерки условий их эксплуатации и сохранности, снятия контрольных показаний, а также в любое время ко всем ТПС при несоблюдении режима потребления тепловой энергии или подачи недостоверных показаний приборов учета. с участием представителя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4.1.20 (1).  Обеспечить постоянный, беспрепятственный доступ представителей Поставщика-Теплоснабжающей организации к оборудованию дистанционного снятия показаний.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4.1.21. Включать отремонтированные ТПС или их отдельные части после планового или аварийного ремонта, новые объекты только с разрешения и в присутствии представителя Поставщика-Теплоснабжающей организации.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4.1.22. Обеспечивать сохранность сооружений, коммуникаций и тепловых установок Поставщика-Теплоснабжающей организации при наличии их на территории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4.1.23. В срок не менее чем за десять дней согласовывать с Поставщиком-Теплоснабжающей организацией отключение/подключение ТПС (в том числе для проведения ремонтных работ). Дата отключения и включения подтверждается двухсторонним актом.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4.1.24. В период прекращен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ия или ограничения в подаче тепловой энергии, теплоносителя и (или) горячей воды, принимать меры по предотвращению вывода из строя, гибели, порчи, повреждения теплоиспользующего оборудования систем теплопотребления, имущества, сырья, выпускаемой продукции.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4.1.25. При обнаружении утечки сетевой воды из теплосети и ТПС Заказчика-Абонента немедленно сообщать об этом диспетчеру Поставщика-Теплоснабжающей организации для совместного обследования и составления акта на размер утечки.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4.1.26. Представлять Поставщику-Теплоснабжающей организации перечень должностных лиц, уполномоченных подписывать акты и другие документы любых форм по вопросам эксплуа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тации ТПС, расчетов, назначении ответственных лиц за тепловое хозяйство и передачу показаний приборов учета и сообщать в письменной форме в течение 10 рабочих дней о внесенных в перечень изменениях. Предоставлять образцы подписей указанных должностных лиц.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4.1.27. Производить сверку сумм задолженности за потребленную тепловую энергию (мощность) и (или) горячую воду с подписанием акта сверки до 15 числа месяца, следующего за отчетным кварталом, годом.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4.1.28. В течение 5 (пяти) дней с даты получения подписать и направить Поставщику-Теплоснабжающей организации один экз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емпляр акта приема-передачи за потреблённую тепловую энергию. В случае не предоставления документов в указанные сроки считается, что объем потреблённой в отчетном периоде тепловой энергии, теплоносителя и (или) горячей воды Заказчиком-Абонентом согласован.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4.1.29. Обеспечить  доступ  к  ТПС  Заказчика-Абонента уполномоченных представителей Теплоснабжающей организации для осуществления действий по ограничению (прекращению) режима потребления в случаях, предусмотренных пунктом 3.2.8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4.1.30. Ежемесячно самостоятельно забирать документы, выставляемые Поставщиком-Теплоснабжающей организацией в соответствии с пунктом 3.1.2.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4.2. Заказчик-Абонент имеет право: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4.2.1. По согласованию с Поставщиком-Теплоснабжающей организацией пересматривать объем принимаемой тепловой энергии (мощности), теплоносителя и (или) горячей воды, на предстоящий год/отопительный период в сроки, согласно п.4.1.4.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4.2.2. Заявлять Поставщику-Теплоснабжающей организации об ошибках, обнаруженных в платежном документе. Ис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полнение Заказчиком-Абонентом обязательств по оплате поставленной тепловой энергии, теплоносителя и (или) горячей воды обязательно после устранения Поставщиком-Теплоснабжающей организацией ошибок и предоставления надлежаще оформленных платежных документов.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4.2.3. Обращаться к Поставщику-Теплоснабжающей организации для сверки сумм задолженности за потребленную тепловую энергию (мощность), теплоноситель и (или) горячую воду с составлением акта.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4.2.4. Выбирать, изменять по письменному заявлению за 30 дней до начала срока действия расчетного периода дополнительный способ получения платежных документов, передачи показаний приборов учета тепловой энергии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8"/>
        <w:ind w:left="0" w:right="0" w:firstLine="0"/>
        <w:jc w:val="both"/>
        <w:spacing w:before="0" w:after="0" w:line="200" w:lineRule="exact"/>
        <w:tabs>
          <w:tab w:val="left" w:pos="567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pStyle w:val="858"/>
        <w:ind w:left="0" w:right="0" w:firstLine="0"/>
        <w:jc w:val="both"/>
        <w:spacing w:before="0" w:after="0" w:line="200" w:lineRule="exact"/>
        <w:tabs>
          <w:tab w:val="left" w:pos="567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5. УЧЕТ  И ПОРЯДОК ОПРЕДЕЛЕНИЯ ОБЪЕМОВ ТЕПЛОВОЙ ЭНЕРГИИ(МОЩНОСТИ), ТЕПЛОНОСИТЕЛЯ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И (ИЛИ) ГОРЯЧЕЙ ВОДЫ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5.1. Учет потребленной тепл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овой энергии (мощности), теплоносителя и (или) горячей воды  ведется по показаниям установленных приборов при условии ввода их в эксплуатацию Поставщиком-Теплоснабжающей организацией. Сведения о приборах учета и месте их установки приведены в Приложении 5.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5.1(1) До момента ввода в эксплуатацию узла учета на вновь подключаемом объекте к системе теплоснабжения, расчет потребленной тепловой энергии (мощности), теплоносителя и (или) горяче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й воды за период опытной эксплуатации приборов учета в течение 3 суток (для объектов с горячим водоснабжением - 7 суток) ведется по максимальной тепловой нагрузке согласно договору о подключении объекта капитального строительства к системам теплоснабжения.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  <w:t xml:space="preserve">5.2. Определение объема тепловой энергии на нужды отопления и вентиляции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5.2.1. Количество тепловой энергии, потребленной Заказчиком-Абонентом рассчитывается исходя из объема тепловой энергии: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зафиксированного приборами учета в штатном режиме работы;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израсходованного за время нештатных ситуаций;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израсходованного на компенсацию потерь тепловой энергии с учетом утечки теплоносителя на участке трубопровода от границы раздела до узла учета;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израсходованного на подпитку системы отопления  (при независимой схеме подключения ТПТ Заказчика-Абонента);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израсходованного с утечкой теплоносителя в ТПС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При установке приборов учета (узла учета) до границы балансовой принадлежности объем компенсации потерь тепловой энергии берется со знаком «-», если после границы балансовой принадлежности, то со знаком «+».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Объем тепловой энергии на участке сети от границы раздела до узла учета принимается согласно Приложению 1.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5.2.2. Количество тепловой энергии, израсходованной за период действия нештатных ситуаций, определяется исходя из   среднесуточного количества тепловой энергии, определенной по приборам учета за время штатной работы в отчетный пери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од, и времени действия нештатных ситуаций. При суммарном времени действия нештатных ситуаций более 15 дней за отчетный период, количество потреблённой тепловой энергии определяется расчетным путем в соответствии с пунктами 5.2.3, 5.2.5 настоящего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5.2.3. При неисправности приборов учета, в том числе истечении срока поверки средств измерений, входящих в состав узла учета, нарушении установленных пломб, работы в нештатных ситуациях, вывода из работы для ремонта и пов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ерки на срок до 30 суток расчет объема тепловой энергии производится исходя из среднесуточного количества тепловой энергии, определенного по приборам учета за время штатной работы в отчетный период, приведенного к фактической температуре наружного воздуха.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5.2.4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При нарушении сроков предоставления показаний приборов в качестве среднесуточного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показателя принимается количество тепловой энергии, оп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ределенное по приборам учета за предыдущий расчетный период, приведенное к фактической температуре наружного воздуха.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если предыдущий расчетный период приходится на другой отопительный период или данные за предыдущий период отсутствуют, количество тепловой энергии определяется исходя из значения тепловой нагрузки, указанной в договоре.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5.2.5. При отсутствии в точках учета расчетных приборов учета или не работы их более 30 суток расчетного периода, определение фактического отпуска тепловой энергии, расходуемой на отопление и вентиляцию осуществляется расчетным путем исходя из значения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тепловой нагрузки, указанной в договоре и температуры наружного воздуха за весь расчетный период, с учетом объема тепловой энергии израсходованной на компенсацию потерь тепловой энергии на участке трубопровода от границы раздела балансовой принадлежности.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если в период срезки температурного графика в тепловой сети при положительных температурах наружного воздуха отсутствует автоматич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еское регулирование подачи тепла на отопление, а также если срезка температурного графика осуществляется в период низких температур наружного воздуха, величина температуры наружного воздуха принимается равной температуре, указанной в начале срезки графика.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  <w:t xml:space="preserve">5.3. Определение объема горячей воды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5.3.1 При наличии отдельного  учета, объем горячей воды при временной неисправности приборов учета (до 30 дней) рассчитывается по фактическому расходу, определенному по приборам учета за предыдущий период.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5.3.2. В случае нерабочего состояния приборов учета более 30 дней, объем горячего водоснабжения принимается равным договорному объему, указанному в Приложении № 1.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5.3.3. Объем тепловой энергии на нужды горячего водоснабжения определяется исходя из установленной величины расхода тепловой энергии на нагрев 1 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5.4. Количество тепловой энергии, теплоносителя, потерянных с утечкой теплоносителя, определяется расчетным путем в следующих случаях: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утечка теплоносителя (включая утечку теплоносителя в сетях Заказчика-Абонента до узла учета) выявлена и оформлена совместными актами;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величина утечки теплоносителя, зафиксированная водосчётчиком при подпитке независимых систем, превышает нормативную.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остальных случаях учитывается величина утечки теплоносителя, определенная настоящим договором (Приложение 1).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6. ТАРИФЫ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6.1. Расч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ет за полученную тепловую энергию (мощность) и (или) горячую воду производится по тарифам, установленным в соответствии с постановлением уполномоченного государственного органа по регулированию тарифов. Изменение тарифов в период действия настоящего догово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ра не требует переоформления договора или внесения в него изменений. Величины тарифов доводятся до Заказчика-Абонента специальным сообщением в средствах массовой информации и подлежат применению с даты, установленной уполномоченным государственным органом.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6.2. При нарушении режима потребления тепловой энергии, в том числе превышении фактического объема потребления тепловой энергии, теплоно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сителя и (или) горячей воды над договорным объемом потребления исходя из договорных величин, или отсутствии коммерческого учета тепловой энергии, теплоносителя и (или) горячей воды в случаях, предусмотренных законодательством Российской Федерации расчет за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объем сверхдоговорного, безучетного потребления или потребления с нарушением режима потребления ведется с применением к тарифам в сфере теплоснабжения повышающих коэффициентов, установленных уполномоченным государственным органом по регулированию тарифов.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7. ПОРЯДОК РАСЧЕТОВ ЗА ТЕПЛОВУЮ ЭНЕРГИЮ, ТЕПЛОНОСИТЕЛЬ И (ИЛИ) ГОРЯЧУЮ ВОДУ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7.1. Поставщик-Теплоснабжающая орга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низация до 1 числа расчетного периода направляет Заказчику-Абоненту, в соответствии с п.3.1.2. настоящего договора, счет на сумму 30 % плановой общей стоимости поставки тепловой энергии (мощности), теплоносителя и (или) горячей воды  в предстоящем периоде.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Плановая общая стоимость потребляемой тепловой энергии (мощности), теплоносителя и (или) горячей воды – произведение планового объема потреблени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я тепловой энергии (мощности), теплоносителя и (или) горячей воды в расчетном периоде, указанного в Приложении 1 к настоящему договору на тариф, установленный в соответствии с постановлением уполномоченного государственного органа по регулированию тарифов.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 w:val="0"/>
          <w:iCs w:val="0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7.2. Заказчик-Абонент на основании предъявленного Теплоснабжающей организацией счета самостоятельно платежным пору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чением вносит на расчётный счёт Поставщика-Теплоснабжающей организации предварительную оплату в размере плановой стоимости тепловой энергии и (или) горячей воды, потребляемых в периоде, за который осуществляется оплата, в срок до 18 числа текущего периода.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 w:val="0"/>
          <w:iCs w:val="0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7.3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Не позднее 05 числа месяца, следующего за расчетным периодом, Поставщик-Теплоснабжающая организация выс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тавляет Заказчику-Абоненту счет-фактуру за фактически потребленную тепловую энергию (мощность), теплоноситель и (или) горячую воду, в соответствии с разделом 5, пунктом 4.1.7 настоящего договора, за весь расчетный период (с 1-го по последнее число месяца).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pacing w:val="-1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7.4.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Заказчик-Абонент про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изводит оплату выставленного Поставщиком-Теплоснабжающей организацией счета-фактуры за потребленную тепловую энергию (мощность), теплоноситель и (или) горячую воду по 15 число месяца (включительно), следующего за месяцем, за который осуществляется оплата,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 учетом ранее внесенных сумм предварительной оплаты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В случае если объем фактического потребления тепловой энергии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 (или) теплоносителя за истекший ме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сяц меньше плановой общей стоимости в расчётном периоде, определенной договором теплоснабжения, переплата засчитывается сторонами в счет оплаты стоимости поставки тепловой энергии (мощности), теплоносителя и (или) горячей воды в следующем расчётном периоде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7.5. Обязательство по оплате тепловой энергии (мощности), теплоносителя и (или) горячей воды считается исполненным в день поступления денежных средств на расчетный счет Поставщика-Теплоснабжающей организации.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7.6. При оплате Заказчиком-Абонентом потребленной 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епловой энергии (мощности), теплоносителя и (или) горячей воды собственными платежными поручениями без указания № оплачиваемого платежного документа, периода, за который производится платеж и без указания разделения оплаты по видам потребления (Гкал, тн, 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). Поставщик-Теплоснабжающая организация вправе самостоятельно определить периоды и разделить оплату по видам продукции.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pStyle w:val="860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8. ОСОБЫЕ УСЛОВИЯ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8.1. На включение ТПС в эксплуатацию выдается: акт проверки готовности к отопительному сезону, паспорт готовности (в соответствии с пунктом 4.1.13 настоящего договора), наряд-допуск. Акты являются документами, дающими право Заказчику-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Абоненту на включение, а Поставщику-Теплоснабжающей организации на предъявление счета на оплату тепловой энергии (мощности), теплоносителя и (или) горячей воды со дня выдачи нарядов. При включении ТПС в эксплуатацию без наряда-допуска пользование тепловой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энергией, (мощностью), теплоносителем признается самовольным, оплата производится с начала отопительного сезона, если документально не зарегистрирована или доказана иная дата включения, по тарифу, действующему в момент обнаружения самовольного подключения.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8.2. Работы по обслуживанию узла учета, связанные с демонтажем, поверкой, монтажом и ремонтом оборудования осуществляются персоналом организации, выполняющей функции метрологической службы.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8.3. Коммуникации и элементы ТПС подвальных и других специальных помещений, предназначенных для хранения товарно-материальных ценностей, должны быть: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испытаны по требованиям, предъявленным к трубопроводам теплосети;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оборудованы дренажными устройствами;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pStyle w:val="855"/>
        <w:numPr>
          <w:ilvl w:val="0"/>
          <w:numId w:val="9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иметь конструкцию вводов теплосети, предотвращающих попадание сетевой воды в здание при повреждении на теплосети.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8.4. На период проведения ремонтных работ Поставщик-Теплоснабжающая организация вправе прекращать подачу тепловой энергии, теплоносителя и (или) горячей воды без согласования, предварительно уведомив Заказчика-Абонента о сроках отключения.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8.5. При отклонении от гарантированных параметров теплоносителя вследствие сбросов и утечек сетевой воды из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систем теплопотребления Заказчика-Абонента, превышения им без разрешения Поставщика-Теплоснабжающей организации объемов и несоблюдения режимов теплопотребления, Поставщик-Теплоснабжающая организация ответственности за режим не несет и штрафы не оплачивает.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8.6.В случае, если ТПС Заказчика (Абонента) подключены через бесхозяйну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ю тепловую сеть, Поставщик-Теплоснабжающая организации за несоблюдение требований к параметрам качества теплоснабжения, нарушение режима теплопотребления, возникшие в бесхозяйной сети, ответственности не несет и претензии Заказчика (Абонента) не принимает.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8.7. В случае нарушения Заказчиком-Абонентом пу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нкта 4.1.6 составляется двухсторонний акт. При отказе представителя Заказчика-Абонента подписать указанный акт, а равно при нарушении пункта 4.1.20 договора, акт, подписанный представителем Поставщика-Теплоснабжающей организации, признается действительным.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8.8.В случае неоплаты за потребленную тепловую энергию (мощность), теплоноситель и (или) горячую воду, в установленные пунктом 7.2, 7.4 сроки, Заказчик-Абонент предупреждается настоящим договором, что в случае 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еоплаты задолженности до истечения второго периода платежа, будет произведено ограничение подачи тепловой энергии (мощности) и (или) горячей воды, в соответствии с порядком, установленным действующим законодательством. Возобновление подачи тепловой энергии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и (или) горячей воды в договорном объеме будет произведено после полного погашения Заказчиком-Абонентом всей образовавшейся задолженности перед Теплоснабжающей организацией с учетом затрат, компенсирующих расходы на восстановление подачи тепловой энергии.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8.9. Ограничение подачи тепловой энергии (мощности), теплоносителя и (или) горячей воды производится в соответствии с действующим законодательством РФ: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для жилого помещения в соответствии с порядком, изложенным в гл. XI Постановления Правительства РФ от 06.05.2011 № 354; для нежилого помещения в соответствии с порядком, изложенным в п.п. 92, 95-97 гл. VI Постановления Правительства РФ от 08.08.2012 № 808.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8.10. При наличии субабонентов (арендаторов встроенных помещений), имеющих договор теплоснабжения с Поставщиком-Теплоснабжающей организацией, З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аказчик-Абонент обязан обеспечить ограничение тепловой энергии (мощности), теплоносителя и или (горячей воды) данному субабоненту (арендатору) за задолженность силами Заказчика-Абонента по заявке Поставщика-Теплоснабжающей организации в установленный срок.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8.11. При отказе от тепловой нагрузки Заказчик-Абонент отключает свои сети и 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ПС от внешней сети на границе раздела балансовой принадлежности. Заказчик-Абонент производит отключение с видимым разрывом на прямом и обратном трубопроводе и составляет с представителем Поставщика-Теплоснабжающей организации двухсторонний акт об отключени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и. В дальнейшем (при необходимости)  подключение теплопотребляющих установок производится в соответствии с порядком, установленным Правилами подключения к системам теплоснабжения (или в соответствии с порядком, установленным действующим законодательством).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8.12 Стороны обязуются в 10-ти-дневный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срок письменно извещать об изменении наименования сторон, всех реквизитов, организационно-правовой формы, ведомственной принадлежности, местонахождения организации с предоставлением подтверждающих документов, которые являются неотъемлемой частью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 случае  ликвидации или реорганизации, Заказчик-Аб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онент и ликвидационная комиссия либо орган, принявший решение о ликвидации, обязан известить Поставщика-Теплоснабжающую организацию об этом не позднее, чем за месяц до ликвидации, принять меры по погашению задолженности, пени и штрафов Заказчика-Абонента.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8.13. Начало и конец отопительного сезона определяются соответствующим нормативным актом муниципального образования.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8.14. Стороны освобождаются от ответственности за неисполнение или ненадлежащее исполнение обязательств по настоящему договору, если это явилось следст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вием обстоятельств непреодолимой силы, возникших после заключения договора, как-то: стихийные явления, забастовка, акты государственных органов власти, препятствующие выполнению условий настоящего договора. Сторона обязана незамедлительно информировать дру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гую сторону о наступлении подобных обстоятельств в письменной форме. По требованию одной из сторон в этом случае может быть создана комиссия, определяющая возможность дальнейшего исполнения взаимных обязательств, в случаях, установленных законодательством.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8.15. Лица, ответственные за выполнение условий договора, приведены в Приложении № 6.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9. ИМУЩЕСТВЕННАЯ ОТВЕТСТВЕННОСТЬ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 Стороны несут ответственность за ненадлежащее исполнение обязательств, предусмотренных договором, согласно действующему законодательству.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9.1.1. В случае нарушения Заказчиком-Абонентом сроков оплаты тепловой энергии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(мощности), теплоносителя и (или) горячей воды, установленных пунктом 7.2. настоящего договора, Поставщик-Теплоснабжающая организация имеет право начислить абоненту пени, в размере, установленном при первичном нарушении в статье 15 Федерального закона от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27.07.2010 № 190-ФЗ «О теплоснабжении» для категории абонента по настоящему договору, ставки рефинансирования Центрального банка Российской Федерации, действующей на дату выставления счета на сумму плановой общей поставки тепловой энергии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(мощности), тепло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носителя и (или) горячей воды в предстоящем периоде, от не выплаченной в срок суммы за каждый день просрочки, начиная со дня следующего, после истечения установленного настоящим договором срока оплаты по день уплаты этой суммы Теплоснабжающей организации.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9.1.2. В случае нарушения Заказчиком-Абонентом сроков оплаты тепловой энергии (мощности),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теплоносителя и (или) горячей воды, установленных пунктом 7.4. настоящего договора, Поставщик-Теплоснабжающая организация имеет право начислить абоненту пени, в порядке и размере, определённом Федеральным законом от 27.07.2010 № 190-ФЗ «О теплоснабжении».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9.2.  В случае просрочки исполнения Заказчиком-Абонентом обязательств, предусмотренных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договором, а также в иных случаях неисполнения или ненадлежащего исполнения Заказчиком-Абонентом обязательств, предусмотренных договором, Поставщик-Теплоснабжающая организация вправе потребовать уплаты неустоек (штрафов, пеней), в том числе законной неуст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ойки, предусмотренной ФЗ от 27.07.2010 №190-ФЗ «О теплоснабжении».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ательства по день фактической оплаты. Такая пеня устанавливается договором в размере 1/130 (одной сто тридцатой) действующей в соответствующие периоды просрочки ставки рефинансирования Центрального банка Российской Федерации от не уплаченной в срок суммы.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9.3. Штрафы на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числяются за ненадлежащее исполнение Сторонами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в порядке, установленном Правительством Российской Федерации.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9.4. До предоставления Заказчиком-Абонентом документов об утрате прав на теплоснабжаемый объект, об отчуждении объекта (продажа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, передача и т.п.), актов приёма-передачи тепловых сетей, а также иных документов, являющихся основанием для изменения или расторжения договора, начисления за теплопотребление ведутся по условиям договора, действующим до изменения или расторжения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9.5. Факты нарушения условий договора, за исключением нарушений сроков и порядка расчетов, фиксируются двухсторонними актами. Отказ Заказчика-Абон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ента от подписания акта не освобождает его от оплаты за потребленную тепловую энергию (мощность), теплоноситель и (или) горячую воду в установленном порядке, а также несения ответственности за ненадлежащее исполнение обязательств, предусмотренных договором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0"/>
        <w:jc w:val="center"/>
        <w:spacing w:before="100" w:after="0" w:line="240" w:lineRule="auto"/>
        <w:tabs>
          <w:tab w:val="left" w:pos="3686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10. СРОК ДЕЙСТВИЯ ДОГОВОРА И ПОРЯДОК РАССМОТРЕНИЯ СПОРОВ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10.1. Договор вступает в силу с момента подписания и действует по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включительно,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обязательствам по оплате за потреблённую тепловую энергию (мощность), теплоноситель и (или) горячую воду, и обязательствам по ответственности сторон в части размера и оплаты неустоек - до их полного исполнения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Условия договора распространяются на правоотношения, возникшие с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г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.  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10.2. Все споры и разногласия, возникающие между Сторонами при исполнении настоящего договора, разрешаются путем переговоров, в том числе путем направления претензий.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Срок рассмотрения претензий не может превышать 10 дней со дня их получения.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 не урегулировании Сторонами в досудебном порядке спор передается на разрешение в  Арбитражный суд </w:t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10.3. Настоящий договор составлен в 2-х экземплярах, имеющих одинаковую юридическую силу.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10.4. Настоящий договор может быть расторгнут: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11. ПРИЛОЖЕНИЯ К ДОГОВОРУ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1 – Договорной объем тепловой энергии (мощности), теплоносителя и (или) горячей воды Заказчика-Абонента.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2 – Перечень объектов Заказчика-Абонента.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3 – Перечень актов разграничения балансовой принадлежности тепловых сетей и эксплуатационной ответственности сторон.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4 – Предельно-допустимые температуры обратной сетевой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5 – Сведения о приборах учета и месте их установки.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5.1. – Формат шаблона предоставление сведений о расходе/показаниях приборов учета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6 - Перечень лиц, ответственных за выполнение условий договора.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Приложение 7 – Порядок ограничения и прекращения подачи тепловой энергии (мощности) теплоносителя и (или) горячей воды.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12. АДРЕСА И РЕКВИЗИТЫ СТОРОН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Поставщик - Теплоснабжающая организация: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Акционерное общество «Дальневосточная генерирующая компания»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 1434031363 КПП 272101001 ОКПО 76727851 ОГРН 1051401746769 от 19.12.2005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Место нахождения: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Российская Федерация, г. Хабаровск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 w:bidi="ru-RU"/>
        </w:rPr>
        <w:t xml:space="preserve">Адрес: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680000, г. Хабаровск, ул. Фрунзе, 49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Грузоотправитель: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ИНН/КПП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/ </w:t>
      </w:r>
      <w:bookmarkStart w:id="0" w:name="undefined"/>
      <w:r>
        <w:rPr>
          <w:sz w:val="22"/>
          <w:szCs w:val="22"/>
        </w:rPr>
      </w:r>
      <w:bookmarkEnd w:id="0"/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t xml:space="preserve">Адрес: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2410" w:leader="none"/>
          <w:tab w:val="left" w:pos="5245" w:leader="none"/>
          <w:tab w:val="left" w:pos="8647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Телефоны: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(приемная)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(договорной отдел)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(отдел реализации)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529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Факс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E-mail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Реквизиты для предоставления показаний приборов учета: тел.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E-mail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  <w:t xml:space="preserve">Платежные реквизиты: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Акционерное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088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ИНН/КПП 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/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103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Р/счет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Кор.счет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в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БИК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underscor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  <w:t xml:space="preserve">Заказчик-абонент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underscor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  <w:t xml:space="preserve">Место нахождения, адрес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: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  <w:t xml:space="preserve">Адрес для корреспонденции: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812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тел.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E-mail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2410" w:leader="none"/>
          <w:tab w:val="left" w:pos="4820" w:leader="none"/>
          <w:tab w:val="left" w:pos="7513" w:leader="none"/>
          <w:tab w:val="left" w:pos="10206" w:leader="none"/>
        </w:tabs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ИНН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КПП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ОКВЭД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ОКПО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4678" w:leader="none"/>
          <w:tab w:val="left" w:pos="10206" w:leader="underscor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Л/счет _____________________________________________ в ________________________________________________________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524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Р/счет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Кор.счет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7655" w:leader="none"/>
          <w:tab w:val="left" w:pos="10206" w:leader="none"/>
        </w:tabs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в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БИК</w:t>
      </w:r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18"/>
          <w:szCs w:val="18"/>
          <w:u w:val="single"/>
          <w:lang w:val="ru-RU" w:bidi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r>
    </w:p>
    <w:tbl>
      <w:tblPr>
        <w:tblStyle w:val="853"/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4536"/>
      </w:tblGrid>
      <w:tr>
        <w:tblPrEx/>
        <w:trPr/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  <w:t xml:space="preserve">От Поставщика-Теплоснабжающей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bidi="ru-RU"/>
              </w:rPr>
              <w:t xml:space="preserve">От Заказчика-Абонента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tabs>
                <w:tab w:val="left" w:pos="4606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tabs>
                <w:tab w:val="left" w:pos="4606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(Должность.)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bottom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“____”_______________  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г.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“_____”______________ 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  <w:tr>
        <w:tblPrEx/>
        <w:trPr>
          <w:trHeight w:val="0"/>
        </w:trPr>
        <w:tc>
          <w:tcPr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val="ru-RU" w:bidi="ar-SA"/>
              </w:rPr>
              <w:t xml:space="preserve">П                   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м.п.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  <w:t xml:space="preserve">                           м.п.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ar-SA"/>
              </w:rPr>
            </w:r>
          </w:p>
        </w:tc>
      </w:tr>
    </w:tbl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lang w:val="ru-RU" w:bidi="ru-RU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 w:bidi="ru-RU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510" w:bottom="51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right"/>
    </w:pPr>
    <w:fldSimple w:instr="PAGE \* MERGEFORMAT">
      <w:r>
        <w:t xml:space="preserve">1</w:t>
      </w:r>
    </w:fldSimple>
    <w:r/>
    <w:r/>
  </w:p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paragraph" w:styleId="856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7" w:customStyle="1">
    <w:name w:val="Plain Text"/>
    <w:basedOn w:val="745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58" w:customStyle="1">
    <w:name w:val="Body Text"/>
    <w:basedOn w:val="745"/>
    <w:pPr>
      <w:contextualSpacing w:val="0"/>
      <w:ind w:left="0" w:right="-8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59" w:customStyle="1">
    <w:name w:val="Body Text 2"/>
    <w:basedOn w:val="745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60" w:customStyle="1">
    <w:name w:val="Body Text Indent"/>
    <w:basedOn w:val="745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character" w:styleId="1_834" w:customStyle="1">
    <w:name w:val="w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1_1601" w:customStyle="1">
    <w:name w:val="Block Text"/>
    <w:basedOn w:val="744"/>
    <w:semiHidden/>
    <w:pPr>
      <w:contextualSpacing w:val="0"/>
      <w:ind w:left="284" w:right="-8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1603" w:customStyle="1">
    <w:name w:val="HTML Preformatted"/>
    <w:basedOn w:val="74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official.academic.ru/26143/%D0%A2%D0%B5%D0%BF%D0%BB%D0%BE%D0%B2%D0%B0%D1%8F_%D1%8D%D0%BD%D0%B5%D1%80%D0%B3%D0%B8%D1%8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Валентина Викторовна</dc:creator>
  <cp:keywords/>
  <dc:description/>
  <cp:lastModifiedBy>arutyunyan_vv</cp:lastModifiedBy>
  <cp:revision>6</cp:revision>
  <dcterms:created xsi:type="dcterms:W3CDTF">2020-02-26T06:20:00Z</dcterms:created>
  <dcterms:modified xsi:type="dcterms:W3CDTF">2025-06-19T07:27:38Z</dcterms:modified>
</cp:coreProperties>
</file>